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2385D5" w14:textId="13EC6277" w:rsidR="00077256" w:rsidRDefault="00077256" w:rsidP="009B462D">
      <w:pPr>
        <w:spacing w:before="0" w:after="200" w:line="240" w:lineRule="auto"/>
        <w:ind w:firstLine="0"/>
      </w:pPr>
    </w:p>
    <w:p w14:paraId="6E8A1990" w14:textId="0A64BFA2" w:rsidR="00077256" w:rsidRDefault="00520C1A" w:rsidP="009B462D">
      <w:pPr>
        <w:spacing w:before="0" w:after="200" w:line="240" w:lineRule="auto"/>
        <w:ind w:firstLine="0"/>
      </w:pPr>
      <w:r>
        <w:rPr>
          <w:noProof/>
        </w:rPr>
        <w:drawing>
          <wp:anchor distT="0" distB="0" distL="114300" distR="114300" simplePos="0" relativeHeight="251660289" behindDoc="1" locked="1" layoutInCell="1" allowOverlap="1" wp14:anchorId="56187348" wp14:editId="420789E1">
            <wp:simplePos x="0" y="0"/>
            <wp:positionH relativeFrom="page">
              <wp:posOffset>0</wp:posOffset>
            </wp:positionH>
            <wp:positionV relativeFrom="page">
              <wp:posOffset>0</wp:posOffset>
            </wp:positionV>
            <wp:extent cx="7771130" cy="10057130"/>
            <wp:effectExtent l="0" t="0" r="1270"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3"/>
                    <a:stretch>
                      <a:fillRect/>
                    </a:stretch>
                  </pic:blipFill>
                  <pic:spPr>
                    <a:xfrm>
                      <a:off x="0" y="0"/>
                      <a:ext cx="7771130" cy="10057130"/>
                    </a:xfrm>
                    <a:prstGeom prst="rect">
                      <a:avLst/>
                    </a:prstGeom>
                  </pic:spPr>
                </pic:pic>
              </a:graphicData>
            </a:graphic>
            <wp14:sizeRelH relativeFrom="page">
              <wp14:pctWidth>0</wp14:pctWidth>
            </wp14:sizeRelH>
            <wp14:sizeRelV relativeFrom="page">
              <wp14:pctHeight>0</wp14:pctHeight>
            </wp14:sizeRelV>
          </wp:anchor>
        </w:drawing>
      </w:r>
    </w:p>
    <w:p w14:paraId="7C65F753" w14:textId="78590272" w:rsidR="00077256" w:rsidRDefault="00077256" w:rsidP="009B462D">
      <w:pPr>
        <w:spacing w:before="0" w:after="200" w:line="240" w:lineRule="auto"/>
        <w:ind w:firstLine="0"/>
      </w:pPr>
    </w:p>
    <w:p w14:paraId="6AD461BC" w14:textId="5726A958" w:rsidR="00077256" w:rsidRDefault="00077256" w:rsidP="009B462D">
      <w:pPr>
        <w:spacing w:before="0" w:after="200" w:line="240" w:lineRule="auto"/>
        <w:ind w:firstLine="0"/>
      </w:pPr>
    </w:p>
    <w:p w14:paraId="738AD499" w14:textId="31E4B03D" w:rsidR="00077256" w:rsidRDefault="00077256" w:rsidP="009B462D">
      <w:pPr>
        <w:spacing w:before="0" w:after="200" w:line="240" w:lineRule="auto"/>
        <w:ind w:firstLine="0"/>
      </w:pPr>
    </w:p>
    <w:p w14:paraId="2C389CCE" w14:textId="21361859" w:rsidR="00077256" w:rsidRDefault="00077256" w:rsidP="009B462D">
      <w:pPr>
        <w:spacing w:before="0" w:after="200" w:line="240" w:lineRule="auto"/>
        <w:ind w:firstLine="0"/>
      </w:pPr>
    </w:p>
    <w:p w14:paraId="1E02A572" w14:textId="5F8A0958" w:rsidR="00A922FD" w:rsidRDefault="00A922FD" w:rsidP="009B462D">
      <w:pPr>
        <w:spacing w:before="0" w:after="200" w:line="240" w:lineRule="auto"/>
        <w:ind w:firstLine="0"/>
      </w:pPr>
    </w:p>
    <w:p w14:paraId="6691C940" w14:textId="77777777" w:rsidR="00A922FD" w:rsidRDefault="00A922FD" w:rsidP="00113D3D">
      <w:pPr>
        <w:spacing w:before="0" w:after="200" w:line="240" w:lineRule="auto"/>
        <w:ind w:firstLine="0"/>
        <w:sectPr w:rsidR="00A922FD" w:rsidSect="002B72C0">
          <w:headerReference w:type="default" r:id="rId14"/>
          <w:footerReference w:type="default" r:id="rId15"/>
          <w:footerReference w:type="first" r:id="rId16"/>
          <w:pgSz w:w="12240" w:h="15840" w:code="1"/>
          <w:pgMar w:top="1440" w:right="1440" w:bottom="1440" w:left="1440" w:header="720" w:footer="720" w:gutter="0"/>
          <w:pgNumType w:fmt="lowerRoman" w:start="1"/>
          <w:cols w:space="720"/>
          <w:vAlign w:val="center"/>
          <w:docGrid w:linePitch="360"/>
        </w:sectPr>
      </w:pPr>
    </w:p>
    <w:p w14:paraId="01E276FE" w14:textId="77777777" w:rsidR="003A0117" w:rsidRPr="004F52FE" w:rsidRDefault="00B166FB" w:rsidP="00113D3D">
      <w:pPr>
        <w:spacing w:before="0" w:after="200" w:line="240" w:lineRule="auto"/>
        <w:ind w:firstLine="0"/>
        <w:rPr>
          <w:b/>
          <w:i/>
          <w:szCs w:val="24"/>
        </w:rPr>
      </w:pPr>
      <w:r>
        <w:rPr>
          <w:b/>
          <w:i/>
          <w:szCs w:val="24"/>
        </w:rPr>
        <w:lastRenderedPageBreak/>
        <w:t xml:space="preserve">Front </w:t>
      </w:r>
      <w:r w:rsidR="004A34C0">
        <w:rPr>
          <w:b/>
          <w:i/>
          <w:szCs w:val="24"/>
        </w:rPr>
        <w:t>C</w:t>
      </w:r>
      <w:r w:rsidR="003A0117" w:rsidRPr="004F52FE">
        <w:rPr>
          <w:b/>
          <w:i/>
          <w:szCs w:val="24"/>
        </w:rPr>
        <w:t xml:space="preserve">over </w:t>
      </w:r>
      <w:r w:rsidR="00D379D7">
        <w:rPr>
          <w:b/>
          <w:i/>
          <w:szCs w:val="24"/>
        </w:rPr>
        <w:t>I</w:t>
      </w:r>
      <w:r w:rsidR="003A0117" w:rsidRPr="004F52FE">
        <w:rPr>
          <w:b/>
          <w:i/>
          <w:szCs w:val="24"/>
        </w:rPr>
        <w:t>mage</w:t>
      </w:r>
    </w:p>
    <w:p w14:paraId="6943A254" w14:textId="34F32BCC" w:rsidR="00BE49FF" w:rsidRDefault="00FA0AE3" w:rsidP="001C26F9">
      <w:pPr>
        <w:spacing w:before="0" w:after="200" w:line="240" w:lineRule="auto"/>
        <w:ind w:firstLine="0"/>
      </w:pPr>
      <w:r w:rsidRPr="00FA0AE3">
        <w:t xml:space="preserve">Shasta </w:t>
      </w:r>
      <w:r w:rsidR="00041E4C" w:rsidRPr="00041E4C">
        <w:t>Dam and Lake</w:t>
      </w:r>
      <w:r w:rsidR="00136C3D">
        <w:t>, C</w:t>
      </w:r>
      <w:r w:rsidR="00925971">
        <w:t>alifornia</w:t>
      </w:r>
    </w:p>
    <w:p w14:paraId="11F82FA3" w14:textId="662B188C" w:rsidR="00041E4C" w:rsidRDefault="00041E4C" w:rsidP="001C26F9">
      <w:pPr>
        <w:spacing w:before="0" w:after="200" w:line="240" w:lineRule="auto"/>
        <w:ind w:firstLine="0"/>
      </w:pPr>
      <w:r>
        <w:t xml:space="preserve">(image courtesy of </w:t>
      </w:r>
      <w:r w:rsidR="00925971">
        <w:t xml:space="preserve">the US </w:t>
      </w:r>
      <w:r>
        <w:t>Bureau of Reclamation</w:t>
      </w:r>
      <w:r w:rsidRPr="00041E4C">
        <w:t xml:space="preserve"> </w:t>
      </w:r>
      <w:r w:rsidR="00844E03">
        <w:t>through</w:t>
      </w:r>
      <w:r w:rsidRPr="00041E4C">
        <w:t xml:space="preserve"> </w:t>
      </w:r>
      <w:hyperlink r:id="rId17" w:history="1">
        <w:r w:rsidRPr="00041E4C">
          <w:rPr>
            <w:rStyle w:val="Hyperlink"/>
          </w:rPr>
          <w:t>CC BY-SA 2.0</w:t>
        </w:r>
      </w:hyperlink>
      <w:r w:rsidR="00844E03">
        <w:t xml:space="preserve"> </w:t>
      </w:r>
      <w:r w:rsidR="00844E03" w:rsidRPr="00041E4C">
        <w:t>license</w:t>
      </w:r>
      <w:r>
        <w:t>)</w:t>
      </w:r>
    </w:p>
    <w:p w14:paraId="45A6EFCE" w14:textId="77777777" w:rsidR="00844E03" w:rsidRDefault="00844E03" w:rsidP="001C26F9">
      <w:pPr>
        <w:spacing w:before="0" w:after="200" w:line="240" w:lineRule="auto"/>
        <w:ind w:firstLine="0"/>
      </w:pPr>
    </w:p>
    <w:p w14:paraId="3B4836A0" w14:textId="77777777" w:rsidR="00A922FD" w:rsidRDefault="00A922FD" w:rsidP="00113D3D">
      <w:pPr>
        <w:spacing w:before="0" w:after="200" w:line="240" w:lineRule="auto"/>
        <w:ind w:firstLine="0"/>
      </w:pPr>
    </w:p>
    <w:p w14:paraId="5C645B7C" w14:textId="77777777" w:rsidR="00A922FD" w:rsidRDefault="00A922FD" w:rsidP="00113D3D">
      <w:pPr>
        <w:spacing w:before="0" w:after="200" w:line="240" w:lineRule="auto"/>
        <w:ind w:firstLine="0"/>
        <w:sectPr w:rsidR="00A922FD" w:rsidSect="00CC3514">
          <w:pgSz w:w="12240" w:h="15840" w:code="1"/>
          <w:pgMar w:top="1440" w:right="1440" w:bottom="1440" w:left="1440" w:header="720" w:footer="720" w:gutter="0"/>
          <w:pgNumType w:fmt="lowerRoman" w:start="1"/>
          <w:cols w:space="720"/>
          <w:docGrid w:linePitch="360"/>
        </w:sectPr>
      </w:pPr>
    </w:p>
    <w:p w14:paraId="6B4602C4" w14:textId="77777777" w:rsidR="00DF5B11" w:rsidRDefault="00DF5B11" w:rsidP="003F21E0">
      <w:pPr>
        <w:spacing w:before="0" w:after="0"/>
        <w:ind w:firstLine="0"/>
        <w:rPr>
          <w:color w:val="000000"/>
        </w:rPr>
      </w:pPr>
    </w:p>
    <w:p w14:paraId="3FB6DA48" w14:textId="37B11C24" w:rsidR="00A922FD" w:rsidRDefault="00DF5B11" w:rsidP="00D24EF1">
      <w:pPr>
        <w:tabs>
          <w:tab w:val="left" w:pos="2145"/>
        </w:tabs>
        <w:spacing w:before="0" w:after="0"/>
        <w:ind w:firstLine="0"/>
        <w:jc w:val="center"/>
        <w:sectPr w:rsidR="00A922FD" w:rsidSect="00CC3514">
          <w:pgSz w:w="12240" w:h="15840" w:code="1"/>
          <w:pgMar w:top="1440" w:right="1440" w:bottom="1440" w:left="1440" w:header="720" w:footer="720" w:gutter="0"/>
          <w:pgNumType w:fmt="lowerRoman" w:start="1"/>
          <w:cols w:space="720"/>
          <w:docGrid w:linePitch="360"/>
        </w:sectPr>
      </w:pPr>
      <w:r>
        <w:rPr>
          <w:rFonts w:eastAsiaTheme="minorHAnsi"/>
          <w:noProof/>
          <w:szCs w:val="24"/>
        </w:rPr>
        <mc:AlternateContent>
          <mc:Choice Requires="wps">
            <w:drawing>
              <wp:anchor distT="0" distB="0" distL="114300" distR="114300" simplePos="0" relativeHeight="251658241" behindDoc="0" locked="1" layoutInCell="1" allowOverlap="0" wp14:anchorId="15887445" wp14:editId="552113DD">
                <wp:simplePos x="0" y="0"/>
                <wp:positionH relativeFrom="margin">
                  <wp:posOffset>47625</wp:posOffset>
                </wp:positionH>
                <wp:positionV relativeFrom="margin">
                  <wp:posOffset>704850</wp:posOffset>
                </wp:positionV>
                <wp:extent cx="5842635" cy="6477000"/>
                <wp:effectExtent l="0" t="0" r="0" b="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6477000"/>
                        </a:xfrm>
                        <a:prstGeom prst="rect">
                          <a:avLst/>
                        </a:prstGeom>
                        <a:noFill/>
                        <a:ln w="9525">
                          <a:noFill/>
                          <a:miter lim="800000"/>
                          <a:headEnd/>
                          <a:tailEnd/>
                        </a:ln>
                      </wps:spPr>
                      <wps:txbx>
                        <w:txbxContent>
                          <w:p w14:paraId="2EE13510" w14:textId="77777777" w:rsidR="00DF5B11" w:rsidRDefault="00DF5B11" w:rsidP="00A62ED4">
                            <w:pPr>
                              <w:spacing w:before="0" w:after="0" w:line="240" w:lineRule="auto"/>
                              <w:ind w:firstLine="0"/>
                              <w:rPr>
                                <w:rFonts w:ascii="Arial" w:hAnsi="Arial" w:cs="Arial"/>
                                <w:sz w:val="16"/>
                              </w:rPr>
                            </w:pPr>
                          </w:p>
                          <w:tbl>
                            <w:tblPr>
                              <w:tblW w:w="0" w:type="auto"/>
                              <w:jc w:val="center"/>
                              <w:tblLayout w:type="fixed"/>
                              <w:tblCellMar>
                                <w:left w:w="58" w:type="dxa"/>
                                <w:right w:w="58" w:type="dxa"/>
                              </w:tblCellMar>
                              <w:tblLook w:val="04A0" w:firstRow="1" w:lastRow="0" w:firstColumn="1" w:lastColumn="0" w:noHBand="0" w:noVBand="1"/>
                            </w:tblPr>
                            <w:tblGrid>
                              <w:gridCol w:w="8075"/>
                            </w:tblGrid>
                            <w:tr w:rsidR="00DF5B11" w14:paraId="4EA1B37F" w14:textId="77777777">
                              <w:trPr>
                                <w:cantSplit/>
                                <w:jc w:val="center"/>
                              </w:trPr>
                              <w:tc>
                                <w:tcPr>
                                  <w:tcW w:w="8075" w:type="dxa"/>
                                  <w:tcBorders>
                                    <w:top w:val="single" w:sz="6" w:space="0" w:color="000000"/>
                                    <w:left w:val="single" w:sz="6" w:space="0" w:color="000000"/>
                                    <w:bottom w:val="nil"/>
                                    <w:right w:val="single" w:sz="6" w:space="0" w:color="000000"/>
                                  </w:tcBorders>
                                  <w:hideMark/>
                                </w:tcPr>
                                <w:p w14:paraId="10BD70EB" w14:textId="77777777" w:rsidR="00DF5B11" w:rsidRDefault="00DF5B11" w:rsidP="00651007">
                                  <w:pPr>
                                    <w:spacing w:before="40" w:after="120" w:line="240" w:lineRule="auto"/>
                                    <w:jc w:val="center"/>
                                    <w:rPr>
                                      <w:rFonts w:ascii="Arial" w:hAnsi="Arial" w:cs="Arial"/>
                                      <w:b/>
                                      <w:sz w:val="20"/>
                                    </w:rPr>
                                  </w:pPr>
                                  <w:r>
                                    <w:rPr>
                                      <w:rFonts w:ascii="Arial" w:hAnsi="Arial" w:cs="Arial"/>
                                      <w:b/>
                                      <w:sz w:val="20"/>
                                    </w:rPr>
                                    <w:t>DOCUMENT AVAILABILITY</w:t>
                                  </w:r>
                                </w:p>
                              </w:tc>
                            </w:tr>
                            <w:tr w:rsidR="00DF5B11" w14:paraId="75394952" w14:textId="77777777">
                              <w:trPr>
                                <w:cantSplit/>
                                <w:jc w:val="center"/>
                              </w:trPr>
                              <w:tc>
                                <w:tcPr>
                                  <w:tcW w:w="8075" w:type="dxa"/>
                                  <w:tcBorders>
                                    <w:top w:val="nil"/>
                                    <w:left w:val="single" w:sz="6" w:space="0" w:color="000000"/>
                                    <w:bottom w:val="single" w:sz="6" w:space="0" w:color="000000"/>
                                    <w:right w:val="single" w:sz="6" w:space="0" w:color="000000"/>
                                  </w:tcBorders>
                                </w:tcPr>
                                <w:p w14:paraId="2C6FFDF5" w14:textId="77D1C3C7" w:rsidR="00DF5B11" w:rsidRPr="0016487F" w:rsidRDefault="00DF5B11" w:rsidP="00651007">
                                  <w:pPr>
                                    <w:spacing w:before="0" w:after="0" w:line="240" w:lineRule="auto"/>
                                    <w:ind w:firstLine="0"/>
                                    <w:jc w:val="both"/>
                                    <w:rPr>
                                      <w:rFonts w:ascii="Arial" w:eastAsia="Times New Roman" w:hAnsi="Arial" w:cs="Arial"/>
                                      <w:snapToGrid w:val="0"/>
                                      <w:sz w:val="18"/>
                                      <w:szCs w:val="18"/>
                                      <w:lang w:bidi="ar-SA"/>
                                    </w:rPr>
                                  </w:pPr>
                                  <w:r w:rsidRPr="0016487F">
                                    <w:rPr>
                                      <w:rFonts w:ascii="Arial" w:eastAsia="Times New Roman" w:hAnsi="Arial" w:cs="Arial"/>
                                      <w:snapToGrid w:val="0"/>
                                      <w:sz w:val="18"/>
                                      <w:szCs w:val="18"/>
                                      <w:lang w:bidi="ar-SA"/>
                                    </w:rPr>
                                    <w:t xml:space="preserve">Reports produced after January 1, 1996, are generally available free </w:t>
                                  </w:r>
                                  <w:r w:rsidR="002954B7" w:rsidRPr="00C61E19">
                                    <w:rPr>
                                      <w:rFonts w:ascii="Arial" w:hAnsi="Arial" w:cs="Arial"/>
                                      <w:sz w:val="18"/>
                                      <w:szCs w:val="18"/>
                                    </w:rPr>
                                    <w:t xml:space="preserve">via </w:t>
                                  </w:r>
                                  <w:r w:rsidR="002954B7">
                                    <w:rPr>
                                      <w:rFonts w:ascii="Arial" w:hAnsi="Arial" w:cs="Arial"/>
                                      <w:sz w:val="18"/>
                                      <w:szCs w:val="18"/>
                                    </w:rPr>
                                    <w:t>OSTI.GOV</w:t>
                                  </w:r>
                                  <w:r w:rsidR="002954B7" w:rsidRPr="00C61E19">
                                    <w:rPr>
                                      <w:rFonts w:ascii="Arial" w:hAnsi="Arial" w:cs="Arial"/>
                                      <w:sz w:val="18"/>
                                      <w:szCs w:val="18"/>
                                    </w:rPr>
                                    <w:t>.</w:t>
                                  </w:r>
                                </w:p>
                                <w:p w14:paraId="2A3CDC8D" w14:textId="77777777" w:rsidR="00DF5B11" w:rsidRDefault="00DF5B11" w:rsidP="00651007">
                                  <w:pPr>
                                    <w:spacing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18" w:history="1">
                                    <w:r>
                                      <w:rPr>
                                        <w:rStyle w:val="Hyperlink"/>
                                        <w:rFonts w:ascii="Arial" w:hAnsi="Arial" w:cs="Arial"/>
                                        <w:sz w:val="18"/>
                                        <w:szCs w:val="18"/>
                                      </w:rPr>
                                      <w:t>www.osti.gov</w:t>
                                    </w:r>
                                  </w:hyperlink>
                                </w:p>
                                <w:p w14:paraId="3A99A81E" w14:textId="6F4A5471" w:rsidR="00DF5B11" w:rsidRDefault="00DF5B11" w:rsidP="00651007">
                                  <w:pPr>
                                    <w:spacing w:before="0" w:after="0" w:line="240" w:lineRule="auto"/>
                                    <w:ind w:firstLine="0"/>
                                    <w:rPr>
                                      <w:rFonts w:ascii="Arial" w:eastAsia="Times New Roman" w:hAnsi="Arial" w:cs="Arial"/>
                                      <w:snapToGrid w:val="0"/>
                                      <w:sz w:val="18"/>
                                      <w:szCs w:val="18"/>
                                      <w:lang w:bidi="ar-SA"/>
                                    </w:rPr>
                                  </w:pPr>
                                  <w:r w:rsidRPr="00A72991">
                                    <w:rPr>
                                      <w:rFonts w:ascii="Arial" w:eastAsia="Times New Roman" w:hAnsi="Arial" w:cs="Arial"/>
                                      <w:snapToGrid w:val="0"/>
                                      <w:sz w:val="18"/>
                                      <w:szCs w:val="18"/>
                                      <w:lang w:bidi="ar-SA"/>
                                    </w:rPr>
                                    <w:t>Reports produced before January 1, 1996, may be purchased by members of the public from the following source:</w:t>
                                  </w:r>
                                </w:p>
                                <w:p w14:paraId="1196658B" w14:textId="77777777" w:rsidR="00651007" w:rsidRPr="00A72991" w:rsidRDefault="00651007" w:rsidP="00651007">
                                  <w:pPr>
                                    <w:spacing w:before="0" w:after="0" w:line="240" w:lineRule="auto"/>
                                    <w:ind w:firstLine="0"/>
                                    <w:jc w:val="both"/>
                                    <w:rPr>
                                      <w:rFonts w:ascii="Arial" w:eastAsia="Times New Roman" w:hAnsi="Arial" w:cs="Arial"/>
                                      <w:snapToGrid w:val="0"/>
                                      <w:sz w:val="18"/>
                                      <w:szCs w:val="18"/>
                                      <w:lang w:bidi="ar-SA"/>
                                    </w:rPr>
                                  </w:pPr>
                                </w:p>
                                <w:p w14:paraId="50A2F3C7"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National Technical Information Service</w:t>
                                  </w:r>
                                </w:p>
                                <w:p w14:paraId="166EFC47"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5285 Port Royal Road</w:t>
                                  </w:r>
                                </w:p>
                                <w:p w14:paraId="3AD0E13F"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Springfield, VA 22161</w:t>
                                  </w:r>
                                </w:p>
                                <w:p w14:paraId="7A5E033A"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Telephone</w:t>
                                  </w:r>
                                  <w:r>
                                    <w:rPr>
                                      <w:rFonts w:ascii="Arial" w:hAnsi="Arial" w:cs="Arial"/>
                                      <w:sz w:val="18"/>
                                      <w:szCs w:val="18"/>
                                    </w:rPr>
                                    <w:t xml:space="preserve"> 703-605-6000 (1-800-553-6847)</w:t>
                                  </w:r>
                                </w:p>
                                <w:p w14:paraId="03AEC401"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TDD</w:t>
                                  </w:r>
                                  <w:r>
                                    <w:rPr>
                                      <w:rFonts w:ascii="Arial" w:hAnsi="Arial" w:cs="Arial"/>
                                      <w:sz w:val="18"/>
                                      <w:szCs w:val="18"/>
                                    </w:rPr>
                                    <w:t xml:space="preserve"> 703-487-4639</w:t>
                                  </w:r>
                                </w:p>
                                <w:p w14:paraId="62A21E9F"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Fax</w:t>
                                  </w:r>
                                  <w:r>
                                    <w:rPr>
                                      <w:rFonts w:ascii="Arial" w:hAnsi="Arial" w:cs="Arial"/>
                                      <w:sz w:val="18"/>
                                      <w:szCs w:val="18"/>
                                    </w:rPr>
                                    <w:t xml:space="preserve"> 703-605-6900</w:t>
                                  </w:r>
                                </w:p>
                                <w:p w14:paraId="007DA5D0"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E-mail</w:t>
                                  </w:r>
                                  <w:r>
                                    <w:rPr>
                                      <w:rFonts w:ascii="Arial" w:hAnsi="Arial" w:cs="Arial"/>
                                      <w:sz w:val="18"/>
                                      <w:szCs w:val="18"/>
                                    </w:rPr>
                                    <w:t xml:space="preserve"> info@ntis.gov</w:t>
                                  </w:r>
                                </w:p>
                                <w:p w14:paraId="6F4ECD30" w14:textId="672DEEC3" w:rsidR="00DF5B11" w:rsidRDefault="00DF5B11" w:rsidP="00651007">
                                  <w:pPr>
                                    <w:spacing w:before="0" w:after="0" w:line="240" w:lineRule="auto"/>
                                    <w:ind w:firstLine="0"/>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19" w:history="1">
                                    <w:r>
                                      <w:rPr>
                                        <w:rStyle w:val="Hyperlink"/>
                                        <w:rFonts w:ascii="Arial" w:hAnsi="Arial" w:cs="Arial"/>
                                        <w:sz w:val="18"/>
                                        <w:szCs w:val="18"/>
                                      </w:rPr>
                                      <w:t>http://classic.ntis.gov/</w:t>
                                    </w:r>
                                  </w:hyperlink>
                                </w:p>
                                <w:p w14:paraId="682D993C" w14:textId="77777777" w:rsidR="00651007" w:rsidRDefault="00651007" w:rsidP="00651007">
                                  <w:pPr>
                                    <w:spacing w:before="0" w:after="0" w:line="240" w:lineRule="auto"/>
                                    <w:ind w:firstLine="0"/>
                                    <w:jc w:val="both"/>
                                    <w:rPr>
                                      <w:rFonts w:ascii="Arial" w:hAnsi="Arial" w:cs="Arial"/>
                                      <w:sz w:val="18"/>
                                      <w:szCs w:val="18"/>
                                    </w:rPr>
                                  </w:pPr>
                                </w:p>
                                <w:p w14:paraId="754F9A6B" w14:textId="77777777" w:rsidR="00DF5B11" w:rsidRPr="00651007" w:rsidRDefault="00DF5B11" w:rsidP="00651007">
                                  <w:pPr>
                                    <w:spacing w:before="0" w:after="0" w:line="240" w:lineRule="auto"/>
                                    <w:ind w:firstLine="0"/>
                                    <w:jc w:val="both"/>
                                    <w:rPr>
                                      <w:rFonts w:ascii="Arial" w:eastAsia="Times New Roman" w:hAnsi="Arial" w:cs="Arial"/>
                                      <w:snapToGrid w:val="0"/>
                                      <w:sz w:val="18"/>
                                      <w:szCs w:val="18"/>
                                      <w:lang w:bidi="ar-SA"/>
                                    </w:rPr>
                                  </w:pPr>
                                  <w:r w:rsidRPr="00651007">
                                    <w:rPr>
                                      <w:rFonts w:ascii="Arial" w:eastAsia="Times New Roman" w:hAnsi="Arial" w:cs="Arial"/>
                                      <w:snapToGrid w:val="0"/>
                                      <w:sz w:val="18"/>
                                      <w:szCs w:val="18"/>
                                      <w:lang w:bidi="ar-SA"/>
                                    </w:rPr>
                                    <w:t>Reports are available to DOE employees, DOE contractors, Energy Technology Data Exchange representatives, and International Nuclear Information System representatives from the following source:</w:t>
                                  </w:r>
                                </w:p>
                                <w:p w14:paraId="061BE802"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Office of Scientific and Technical Information</w:t>
                                  </w:r>
                                </w:p>
                                <w:p w14:paraId="77A0370A"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PO Box 62</w:t>
                                  </w:r>
                                </w:p>
                                <w:p w14:paraId="586C822D"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Oak Ridge, TN 37831</w:t>
                                  </w:r>
                                </w:p>
                                <w:p w14:paraId="55CAE8D0"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Telephone</w:t>
                                  </w:r>
                                  <w:r>
                                    <w:rPr>
                                      <w:rFonts w:ascii="Arial" w:hAnsi="Arial" w:cs="Arial"/>
                                      <w:sz w:val="18"/>
                                      <w:szCs w:val="18"/>
                                    </w:rPr>
                                    <w:t xml:space="preserve"> 865-576-8401</w:t>
                                  </w:r>
                                </w:p>
                                <w:p w14:paraId="6452660D"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Fax</w:t>
                                  </w:r>
                                  <w:r>
                                    <w:rPr>
                                      <w:rFonts w:ascii="Arial" w:hAnsi="Arial" w:cs="Arial"/>
                                      <w:sz w:val="18"/>
                                      <w:szCs w:val="18"/>
                                    </w:rPr>
                                    <w:t xml:space="preserve"> 865-576-5728</w:t>
                                  </w:r>
                                </w:p>
                                <w:p w14:paraId="4821EF8B"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E-mail</w:t>
                                  </w:r>
                                  <w:r>
                                    <w:rPr>
                                      <w:rFonts w:ascii="Arial" w:hAnsi="Arial" w:cs="Arial"/>
                                      <w:sz w:val="18"/>
                                      <w:szCs w:val="18"/>
                                    </w:rPr>
                                    <w:t xml:space="preserve"> reports@osti.gov</w:t>
                                  </w:r>
                                </w:p>
                                <w:p w14:paraId="58EF73C6" w14:textId="77777777" w:rsidR="00DF5B11" w:rsidRDefault="00DF5B11" w:rsidP="00221E7E">
                                  <w:pPr>
                                    <w:spacing w:before="0" w:after="40" w:line="240" w:lineRule="auto"/>
                                    <w:ind w:firstLine="0"/>
                                    <w:jc w:val="both"/>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20" w:history="1">
                                    <w:r>
                                      <w:rPr>
                                        <w:rStyle w:val="Hyperlink"/>
                                        <w:rFonts w:ascii="Arial" w:hAnsi="Arial" w:cs="Arial"/>
                                        <w:sz w:val="18"/>
                                        <w:szCs w:val="18"/>
                                      </w:rPr>
                                      <w:t>https://www.osti.gov/</w:t>
                                    </w:r>
                                  </w:hyperlink>
                                </w:p>
                              </w:tc>
                            </w:tr>
                          </w:tbl>
                          <w:p w14:paraId="7CD33D93" w14:textId="513663BA" w:rsidR="00DF5B11" w:rsidRDefault="00DF5B11" w:rsidP="00A62ED4">
                            <w:pPr>
                              <w:spacing w:before="0" w:after="0" w:line="240" w:lineRule="auto"/>
                              <w:ind w:firstLine="0"/>
                              <w:rPr>
                                <w:rFonts w:ascii="Arial" w:hAnsi="Arial" w:cs="Arial"/>
                                <w:sz w:val="16"/>
                              </w:rPr>
                            </w:pPr>
                          </w:p>
                          <w:p w14:paraId="2E9CADDD" w14:textId="77777777" w:rsidR="00804895" w:rsidRDefault="00804895" w:rsidP="00A62ED4">
                            <w:pPr>
                              <w:spacing w:before="0" w:after="0" w:line="240" w:lineRule="auto"/>
                              <w:ind w:firstLine="0"/>
                              <w:rPr>
                                <w:rFonts w:ascii="Arial" w:hAnsi="Arial" w:cs="Arial"/>
                                <w:sz w:val="16"/>
                              </w:rPr>
                            </w:pPr>
                          </w:p>
                          <w:tbl>
                            <w:tblPr>
                              <w:tblW w:w="0" w:type="auto"/>
                              <w:jc w:val="center"/>
                              <w:tblLayout w:type="fixed"/>
                              <w:tblCellMar>
                                <w:left w:w="58" w:type="dxa"/>
                                <w:right w:w="58" w:type="dxa"/>
                              </w:tblCellMar>
                              <w:tblLook w:val="04A0" w:firstRow="1" w:lastRow="0" w:firstColumn="1" w:lastColumn="0" w:noHBand="0" w:noVBand="1"/>
                            </w:tblPr>
                            <w:tblGrid>
                              <w:gridCol w:w="5760"/>
                            </w:tblGrid>
                            <w:tr w:rsidR="00DF5B11" w14:paraId="24388BB5" w14:textId="77777777">
                              <w:trPr>
                                <w:cantSplit/>
                                <w:jc w:val="center"/>
                              </w:trPr>
                              <w:tc>
                                <w:tcPr>
                                  <w:tcW w:w="5760" w:type="dxa"/>
                                  <w:tcBorders>
                                    <w:top w:val="single" w:sz="6" w:space="0" w:color="000000"/>
                                    <w:left w:val="single" w:sz="6" w:space="0" w:color="000000"/>
                                    <w:bottom w:val="single" w:sz="6" w:space="0" w:color="000000"/>
                                    <w:right w:val="single" w:sz="6" w:space="0" w:color="000000"/>
                                  </w:tcBorders>
                                  <w:hideMark/>
                                </w:tcPr>
                                <w:p w14:paraId="4EEE3A1F" w14:textId="77777777" w:rsidR="00DF5B11" w:rsidRDefault="00DF5B11" w:rsidP="002954B7">
                                  <w:pPr>
                                    <w:pStyle w:val="DISCLAIMER-short"/>
                                  </w:pPr>
                                  <w:r>
                                    <w:t>This report was prepared as an account of work sponsored by an agency of the United States Government. Neither the United States Government nor any agency thereof, nor any of their employees, makes any warranty, express or implied, or assumes any legal liability or responsibility for the accuracy, completeness, or usefulness of any information, apparatus, product, or process disclosed, or represents that its use would not infringe privately owned rights. Reference herein to any specific commercial product, process, or service by trade name, trademark, manufacturer, or otherwise, does not necessarily constitute or imply its endorsement, recommendation, or favoring by the United States Government or any agency thereof. The views and opinions of authors expressed herein do not necessarily state or reflect those of the United States Government or any agency thereof.</w:t>
                                  </w:r>
                                </w:p>
                              </w:tc>
                            </w:tr>
                            <w:tr w:rsidR="00DF5B11" w14:paraId="49F6E429" w14:textId="77777777">
                              <w:trPr>
                                <w:cantSplit/>
                                <w:jc w:val="center"/>
                              </w:trPr>
                              <w:tc>
                                <w:tcPr>
                                  <w:tcW w:w="5760" w:type="dxa"/>
                                  <w:tcBorders>
                                    <w:top w:val="single" w:sz="6" w:space="0" w:color="000000"/>
                                    <w:left w:val="nil"/>
                                    <w:bottom w:val="nil"/>
                                    <w:right w:val="nil"/>
                                  </w:tcBorders>
                                </w:tcPr>
                                <w:p w14:paraId="28546D6E" w14:textId="77777777" w:rsidR="00DF5B11" w:rsidRDefault="00DF5B11">
                                  <w:pPr>
                                    <w:pStyle w:val="DISCLAIMER-short"/>
                                    <w:spacing w:line="276" w:lineRule="auto"/>
                                  </w:pPr>
                                </w:p>
                              </w:tc>
                            </w:tr>
                          </w:tbl>
                          <w:p w14:paraId="1F9BD283" w14:textId="77777777" w:rsidR="00DF5B11" w:rsidRDefault="00DF5B11" w:rsidP="00A62ED4">
                            <w:pPr>
                              <w:spacing w:before="0" w:after="0" w:line="240" w:lineRule="auto"/>
                              <w:ind w:firstLine="0"/>
                              <w:rPr>
                                <w:rFonts w:ascii="Arial" w:eastAsia="Times New Roman" w:hAnsi="Arial" w:cs="Arial"/>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87445" id="_x0000_t202" coordsize="21600,21600" o:spt="202" path="m,l,21600r21600,l21600,xe">
                <v:stroke joinstyle="miter"/>
                <v:path gradientshapeok="t" o:connecttype="rect"/>
              </v:shapetype>
              <v:shape id="Text Box 66" o:spid="_x0000_s1026" type="#_x0000_t202" style="position:absolute;left:0;text-align:left;margin-left:3.75pt;margin-top:55.5pt;width:460.05pt;height:510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" o:allowoverlap="f" filled="f" stroked="f">
                <v:textbox>
                  <w:txbxContent>
                    <w:p w14:paraId="2EE13510" w14:textId="77777777" w:rsidR="00DF5B11" w:rsidRDefault="00DF5B11" w:rsidP="00A62ED4">
                      <w:pPr>
                        <w:spacing w:before="0" w:after="0" w:line="240" w:lineRule="auto"/>
                        <w:ind w:firstLine="0"/>
                        <w:rPr>
                          <w:rFonts w:ascii="Arial" w:hAnsi="Arial" w:cs="Arial"/>
                          <w:sz w:val="16"/>
                        </w:rPr>
                      </w:pPr>
                    </w:p>
                    <w:tbl>
                      <w:tblPr>
                        <w:tblW w:w="0" w:type="auto"/>
                        <w:jc w:val="center"/>
                        <w:tblLayout w:type="fixed"/>
                        <w:tblCellMar>
                          <w:left w:w="58" w:type="dxa"/>
                          <w:right w:w="58" w:type="dxa"/>
                        </w:tblCellMar>
                        <w:tblLook w:val="04A0" w:firstRow="1" w:lastRow="0" w:firstColumn="1" w:lastColumn="0" w:noHBand="0" w:noVBand="1"/>
                      </w:tblPr>
                      <w:tblGrid>
                        <w:gridCol w:w="8075"/>
                      </w:tblGrid>
                      <w:tr w:rsidR="00DF5B11" w14:paraId="4EA1B37F" w14:textId="77777777">
                        <w:trPr>
                          <w:cantSplit/>
                          <w:jc w:val="center"/>
                        </w:trPr>
                        <w:tc>
                          <w:tcPr>
                            <w:tcW w:w="8075" w:type="dxa"/>
                            <w:tcBorders>
                              <w:top w:val="single" w:sz="6" w:space="0" w:color="000000"/>
                              <w:left w:val="single" w:sz="6" w:space="0" w:color="000000"/>
                              <w:bottom w:val="nil"/>
                              <w:right w:val="single" w:sz="6" w:space="0" w:color="000000"/>
                            </w:tcBorders>
                            <w:hideMark/>
                          </w:tcPr>
                          <w:p w14:paraId="10BD70EB" w14:textId="77777777" w:rsidR="00DF5B11" w:rsidRDefault="00DF5B11" w:rsidP="00651007">
                            <w:pPr>
                              <w:spacing w:before="40" w:after="120" w:line="240" w:lineRule="auto"/>
                              <w:jc w:val="center"/>
                              <w:rPr>
                                <w:rFonts w:ascii="Arial" w:hAnsi="Arial" w:cs="Arial"/>
                                <w:b/>
                                <w:sz w:val="20"/>
                              </w:rPr>
                            </w:pPr>
                            <w:r>
                              <w:rPr>
                                <w:rFonts w:ascii="Arial" w:hAnsi="Arial" w:cs="Arial"/>
                                <w:b/>
                                <w:sz w:val="20"/>
                              </w:rPr>
                              <w:t>DOCUMENT AVAILABILITY</w:t>
                            </w:r>
                          </w:p>
                        </w:tc>
                      </w:tr>
                      <w:tr w:rsidR="00DF5B11" w14:paraId="75394952" w14:textId="77777777">
                        <w:trPr>
                          <w:cantSplit/>
                          <w:jc w:val="center"/>
                        </w:trPr>
                        <w:tc>
                          <w:tcPr>
                            <w:tcW w:w="8075" w:type="dxa"/>
                            <w:tcBorders>
                              <w:top w:val="nil"/>
                              <w:left w:val="single" w:sz="6" w:space="0" w:color="000000"/>
                              <w:bottom w:val="single" w:sz="6" w:space="0" w:color="000000"/>
                              <w:right w:val="single" w:sz="6" w:space="0" w:color="000000"/>
                            </w:tcBorders>
                          </w:tcPr>
                          <w:p w14:paraId="2C6FFDF5" w14:textId="77D1C3C7" w:rsidR="00DF5B11" w:rsidRPr="0016487F" w:rsidRDefault="00DF5B11" w:rsidP="00651007">
                            <w:pPr>
                              <w:spacing w:before="0" w:after="0" w:line="240" w:lineRule="auto"/>
                              <w:ind w:firstLine="0"/>
                              <w:jc w:val="both"/>
                              <w:rPr>
                                <w:rFonts w:ascii="Arial" w:eastAsia="Times New Roman" w:hAnsi="Arial" w:cs="Arial"/>
                                <w:snapToGrid w:val="0"/>
                                <w:sz w:val="18"/>
                                <w:szCs w:val="18"/>
                                <w:lang w:bidi="ar-SA"/>
                              </w:rPr>
                            </w:pPr>
                            <w:r w:rsidRPr="0016487F">
                              <w:rPr>
                                <w:rFonts w:ascii="Arial" w:eastAsia="Times New Roman" w:hAnsi="Arial" w:cs="Arial"/>
                                <w:snapToGrid w:val="0"/>
                                <w:sz w:val="18"/>
                                <w:szCs w:val="18"/>
                                <w:lang w:bidi="ar-SA"/>
                              </w:rPr>
                              <w:t xml:space="preserve">Reports produced after January 1, 1996, are generally available free </w:t>
                            </w:r>
                            <w:r w:rsidR="002954B7" w:rsidRPr="00C61E19">
                              <w:rPr>
                                <w:rFonts w:ascii="Arial" w:hAnsi="Arial" w:cs="Arial"/>
                                <w:sz w:val="18"/>
                                <w:szCs w:val="18"/>
                              </w:rPr>
                              <w:t xml:space="preserve">via </w:t>
                            </w:r>
                            <w:r w:rsidR="002954B7">
                              <w:rPr>
                                <w:rFonts w:ascii="Arial" w:hAnsi="Arial" w:cs="Arial"/>
                                <w:sz w:val="18"/>
                                <w:szCs w:val="18"/>
                              </w:rPr>
                              <w:t>OSTI.GOV</w:t>
                            </w:r>
                            <w:r w:rsidR="002954B7" w:rsidRPr="00C61E19">
                              <w:rPr>
                                <w:rFonts w:ascii="Arial" w:hAnsi="Arial" w:cs="Arial"/>
                                <w:sz w:val="18"/>
                                <w:szCs w:val="18"/>
                              </w:rPr>
                              <w:t>.</w:t>
                            </w:r>
                          </w:p>
                          <w:p w14:paraId="2A3CDC8D" w14:textId="77777777" w:rsidR="00DF5B11" w:rsidRDefault="00DF5B11" w:rsidP="00651007">
                            <w:pPr>
                              <w:spacing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21" w:history="1">
                              <w:r>
                                <w:rPr>
                                  <w:rStyle w:val="Hyperlink"/>
                                  <w:rFonts w:ascii="Arial" w:hAnsi="Arial" w:cs="Arial"/>
                                  <w:sz w:val="18"/>
                                  <w:szCs w:val="18"/>
                                </w:rPr>
                                <w:t>www.osti.gov</w:t>
                              </w:r>
                            </w:hyperlink>
                          </w:p>
                          <w:p w14:paraId="3A99A81E" w14:textId="6F4A5471" w:rsidR="00DF5B11" w:rsidRDefault="00DF5B11" w:rsidP="00651007">
                            <w:pPr>
                              <w:spacing w:before="0" w:after="0" w:line="240" w:lineRule="auto"/>
                              <w:ind w:firstLine="0"/>
                              <w:rPr>
                                <w:rFonts w:ascii="Arial" w:eastAsia="Times New Roman" w:hAnsi="Arial" w:cs="Arial"/>
                                <w:snapToGrid w:val="0"/>
                                <w:sz w:val="18"/>
                                <w:szCs w:val="18"/>
                                <w:lang w:bidi="ar-SA"/>
                              </w:rPr>
                            </w:pPr>
                            <w:r w:rsidRPr="00A72991">
                              <w:rPr>
                                <w:rFonts w:ascii="Arial" w:eastAsia="Times New Roman" w:hAnsi="Arial" w:cs="Arial"/>
                                <w:snapToGrid w:val="0"/>
                                <w:sz w:val="18"/>
                                <w:szCs w:val="18"/>
                                <w:lang w:bidi="ar-SA"/>
                              </w:rPr>
                              <w:t>Reports produced before January 1, 1996, may be purchased by members of the public from the following source:</w:t>
                            </w:r>
                          </w:p>
                          <w:p w14:paraId="1196658B" w14:textId="77777777" w:rsidR="00651007" w:rsidRPr="00A72991" w:rsidRDefault="00651007" w:rsidP="00651007">
                            <w:pPr>
                              <w:spacing w:before="0" w:after="0" w:line="240" w:lineRule="auto"/>
                              <w:ind w:firstLine="0"/>
                              <w:jc w:val="both"/>
                              <w:rPr>
                                <w:rFonts w:ascii="Arial" w:eastAsia="Times New Roman" w:hAnsi="Arial" w:cs="Arial"/>
                                <w:snapToGrid w:val="0"/>
                                <w:sz w:val="18"/>
                                <w:szCs w:val="18"/>
                                <w:lang w:bidi="ar-SA"/>
                              </w:rPr>
                            </w:pPr>
                          </w:p>
                          <w:p w14:paraId="50A2F3C7"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National Technical Information Service</w:t>
                            </w:r>
                          </w:p>
                          <w:p w14:paraId="166EFC47"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5285 Port Royal Road</w:t>
                            </w:r>
                          </w:p>
                          <w:p w14:paraId="3AD0E13F"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Springfield, VA 22161</w:t>
                            </w:r>
                          </w:p>
                          <w:p w14:paraId="7A5E033A"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Telephone</w:t>
                            </w:r>
                            <w:r>
                              <w:rPr>
                                <w:rFonts w:ascii="Arial" w:hAnsi="Arial" w:cs="Arial"/>
                                <w:sz w:val="18"/>
                                <w:szCs w:val="18"/>
                              </w:rPr>
                              <w:t xml:space="preserve"> 703-605-6000 (1-800-553-6847)</w:t>
                            </w:r>
                          </w:p>
                          <w:p w14:paraId="03AEC401"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TDD</w:t>
                            </w:r>
                            <w:r>
                              <w:rPr>
                                <w:rFonts w:ascii="Arial" w:hAnsi="Arial" w:cs="Arial"/>
                                <w:sz w:val="18"/>
                                <w:szCs w:val="18"/>
                              </w:rPr>
                              <w:t xml:space="preserve"> 703-487-4639</w:t>
                            </w:r>
                          </w:p>
                          <w:p w14:paraId="62A21E9F"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Fax</w:t>
                            </w:r>
                            <w:r>
                              <w:rPr>
                                <w:rFonts w:ascii="Arial" w:hAnsi="Arial" w:cs="Arial"/>
                                <w:sz w:val="18"/>
                                <w:szCs w:val="18"/>
                              </w:rPr>
                              <w:t xml:space="preserve"> 703-605-6900</w:t>
                            </w:r>
                          </w:p>
                          <w:p w14:paraId="007DA5D0"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E-mail</w:t>
                            </w:r>
                            <w:r>
                              <w:rPr>
                                <w:rFonts w:ascii="Arial" w:hAnsi="Arial" w:cs="Arial"/>
                                <w:sz w:val="18"/>
                                <w:szCs w:val="18"/>
                              </w:rPr>
                              <w:t xml:space="preserve"> info@ntis.gov</w:t>
                            </w:r>
                          </w:p>
                          <w:p w14:paraId="6F4ECD30" w14:textId="672DEEC3" w:rsidR="00DF5B11" w:rsidRDefault="00DF5B11" w:rsidP="00651007">
                            <w:pPr>
                              <w:spacing w:before="0" w:after="0" w:line="240" w:lineRule="auto"/>
                              <w:ind w:firstLine="0"/>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22" w:history="1">
                              <w:r>
                                <w:rPr>
                                  <w:rStyle w:val="Hyperlink"/>
                                  <w:rFonts w:ascii="Arial" w:hAnsi="Arial" w:cs="Arial"/>
                                  <w:sz w:val="18"/>
                                  <w:szCs w:val="18"/>
                                </w:rPr>
                                <w:t>http://classic.ntis.gov/</w:t>
                              </w:r>
                            </w:hyperlink>
                          </w:p>
                          <w:p w14:paraId="682D993C" w14:textId="77777777" w:rsidR="00651007" w:rsidRDefault="00651007" w:rsidP="00651007">
                            <w:pPr>
                              <w:spacing w:before="0" w:after="0" w:line="240" w:lineRule="auto"/>
                              <w:ind w:firstLine="0"/>
                              <w:jc w:val="both"/>
                              <w:rPr>
                                <w:rFonts w:ascii="Arial" w:hAnsi="Arial" w:cs="Arial"/>
                                <w:sz w:val="18"/>
                                <w:szCs w:val="18"/>
                              </w:rPr>
                            </w:pPr>
                          </w:p>
                          <w:p w14:paraId="754F9A6B" w14:textId="77777777" w:rsidR="00DF5B11" w:rsidRPr="00651007" w:rsidRDefault="00DF5B11" w:rsidP="00651007">
                            <w:pPr>
                              <w:spacing w:before="0" w:after="0" w:line="240" w:lineRule="auto"/>
                              <w:ind w:firstLine="0"/>
                              <w:jc w:val="both"/>
                              <w:rPr>
                                <w:rFonts w:ascii="Arial" w:eastAsia="Times New Roman" w:hAnsi="Arial" w:cs="Arial"/>
                                <w:snapToGrid w:val="0"/>
                                <w:sz w:val="18"/>
                                <w:szCs w:val="18"/>
                                <w:lang w:bidi="ar-SA"/>
                              </w:rPr>
                            </w:pPr>
                            <w:r w:rsidRPr="00651007">
                              <w:rPr>
                                <w:rFonts w:ascii="Arial" w:eastAsia="Times New Roman" w:hAnsi="Arial" w:cs="Arial"/>
                                <w:snapToGrid w:val="0"/>
                                <w:sz w:val="18"/>
                                <w:szCs w:val="18"/>
                                <w:lang w:bidi="ar-SA"/>
                              </w:rPr>
                              <w:t>Reports are available to DOE employees, DOE contractors, Energy Technology Data Exchange representatives, and International Nuclear Information System representatives from the following source:</w:t>
                            </w:r>
                          </w:p>
                          <w:p w14:paraId="061BE802"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Office of Scientific and Technical Information</w:t>
                            </w:r>
                          </w:p>
                          <w:p w14:paraId="77A0370A"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PO Box 62</w:t>
                            </w:r>
                          </w:p>
                          <w:p w14:paraId="586C822D"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t>Oak Ridge, TN 37831</w:t>
                            </w:r>
                          </w:p>
                          <w:p w14:paraId="55CAE8D0"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Telephone</w:t>
                            </w:r>
                            <w:r>
                              <w:rPr>
                                <w:rFonts w:ascii="Arial" w:hAnsi="Arial" w:cs="Arial"/>
                                <w:sz w:val="18"/>
                                <w:szCs w:val="18"/>
                              </w:rPr>
                              <w:t xml:space="preserve"> 865-576-8401</w:t>
                            </w:r>
                          </w:p>
                          <w:p w14:paraId="6452660D"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Fax</w:t>
                            </w:r>
                            <w:r>
                              <w:rPr>
                                <w:rFonts w:ascii="Arial" w:hAnsi="Arial" w:cs="Arial"/>
                                <w:sz w:val="18"/>
                                <w:szCs w:val="18"/>
                              </w:rPr>
                              <w:t xml:space="preserve"> 865-576-5728</w:t>
                            </w:r>
                          </w:p>
                          <w:p w14:paraId="4821EF8B" w14:textId="77777777" w:rsidR="00DF5B11" w:rsidRDefault="00DF5B11" w:rsidP="00651007">
                            <w:pPr>
                              <w:spacing w:before="0" w:after="0" w:line="240" w:lineRule="auto"/>
                              <w:ind w:firstLine="0"/>
                              <w:jc w:val="both"/>
                              <w:rPr>
                                <w:rFonts w:ascii="Arial" w:hAnsi="Arial" w:cs="Arial"/>
                                <w:sz w:val="18"/>
                                <w:szCs w:val="18"/>
                              </w:rPr>
                            </w:pPr>
                            <w:r>
                              <w:rPr>
                                <w:rFonts w:ascii="Arial" w:hAnsi="Arial" w:cs="Arial"/>
                                <w:sz w:val="18"/>
                                <w:szCs w:val="18"/>
                              </w:rPr>
                              <w:tab/>
                            </w:r>
                            <w:r>
                              <w:rPr>
                                <w:rFonts w:ascii="Arial" w:hAnsi="Arial" w:cs="Arial"/>
                                <w:b/>
                                <w:i/>
                                <w:sz w:val="18"/>
                                <w:szCs w:val="18"/>
                              </w:rPr>
                              <w:t>E-mail</w:t>
                            </w:r>
                            <w:r>
                              <w:rPr>
                                <w:rFonts w:ascii="Arial" w:hAnsi="Arial" w:cs="Arial"/>
                                <w:sz w:val="18"/>
                                <w:szCs w:val="18"/>
                              </w:rPr>
                              <w:t xml:space="preserve"> reports@osti.gov</w:t>
                            </w:r>
                          </w:p>
                          <w:p w14:paraId="58EF73C6" w14:textId="77777777" w:rsidR="00DF5B11" w:rsidRDefault="00DF5B11" w:rsidP="00221E7E">
                            <w:pPr>
                              <w:spacing w:before="0" w:after="40" w:line="240" w:lineRule="auto"/>
                              <w:ind w:firstLine="0"/>
                              <w:jc w:val="both"/>
                            </w:pPr>
                            <w:r>
                              <w:rPr>
                                <w:rFonts w:ascii="Arial" w:hAnsi="Arial" w:cs="Arial"/>
                                <w:sz w:val="18"/>
                                <w:szCs w:val="18"/>
                              </w:rPr>
                              <w:tab/>
                            </w:r>
                            <w:r>
                              <w:rPr>
                                <w:rFonts w:ascii="Arial" w:hAnsi="Arial" w:cs="Arial"/>
                                <w:b/>
                                <w:i/>
                                <w:sz w:val="18"/>
                                <w:szCs w:val="18"/>
                              </w:rPr>
                              <w:t>Website</w:t>
                            </w:r>
                            <w:r>
                              <w:rPr>
                                <w:rFonts w:ascii="Arial" w:hAnsi="Arial" w:cs="Arial"/>
                                <w:sz w:val="18"/>
                                <w:szCs w:val="18"/>
                              </w:rPr>
                              <w:t xml:space="preserve"> </w:t>
                            </w:r>
                            <w:hyperlink r:id="rId23" w:history="1">
                              <w:r>
                                <w:rPr>
                                  <w:rStyle w:val="Hyperlink"/>
                                  <w:rFonts w:ascii="Arial" w:hAnsi="Arial" w:cs="Arial"/>
                                  <w:sz w:val="18"/>
                                  <w:szCs w:val="18"/>
                                </w:rPr>
                                <w:t>https://www.osti.gov/</w:t>
                              </w:r>
                            </w:hyperlink>
                          </w:p>
                        </w:tc>
                      </w:tr>
                    </w:tbl>
                    <w:p w14:paraId="7CD33D93" w14:textId="513663BA" w:rsidR="00DF5B11" w:rsidRDefault="00DF5B11" w:rsidP="00A62ED4">
                      <w:pPr>
                        <w:spacing w:before="0" w:after="0" w:line="240" w:lineRule="auto"/>
                        <w:ind w:firstLine="0"/>
                        <w:rPr>
                          <w:rFonts w:ascii="Arial" w:hAnsi="Arial" w:cs="Arial"/>
                          <w:sz w:val="16"/>
                        </w:rPr>
                      </w:pPr>
                    </w:p>
                    <w:p w14:paraId="2E9CADDD" w14:textId="77777777" w:rsidR="00804895" w:rsidRDefault="00804895" w:rsidP="00A62ED4">
                      <w:pPr>
                        <w:spacing w:before="0" w:after="0" w:line="240" w:lineRule="auto"/>
                        <w:ind w:firstLine="0"/>
                        <w:rPr>
                          <w:rFonts w:ascii="Arial" w:hAnsi="Arial" w:cs="Arial"/>
                          <w:sz w:val="16"/>
                        </w:rPr>
                      </w:pPr>
                    </w:p>
                    <w:tbl>
                      <w:tblPr>
                        <w:tblW w:w="0" w:type="auto"/>
                        <w:jc w:val="center"/>
                        <w:tblLayout w:type="fixed"/>
                        <w:tblCellMar>
                          <w:left w:w="58" w:type="dxa"/>
                          <w:right w:w="58" w:type="dxa"/>
                        </w:tblCellMar>
                        <w:tblLook w:val="04A0" w:firstRow="1" w:lastRow="0" w:firstColumn="1" w:lastColumn="0" w:noHBand="0" w:noVBand="1"/>
                      </w:tblPr>
                      <w:tblGrid>
                        <w:gridCol w:w="5760"/>
                      </w:tblGrid>
                      <w:tr w:rsidR="00DF5B11" w14:paraId="24388BB5" w14:textId="77777777">
                        <w:trPr>
                          <w:cantSplit/>
                          <w:jc w:val="center"/>
                        </w:trPr>
                        <w:tc>
                          <w:tcPr>
                            <w:tcW w:w="5760" w:type="dxa"/>
                            <w:tcBorders>
                              <w:top w:val="single" w:sz="6" w:space="0" w:color="000000"/>
                              <w:left w:val="single" w:sz="6" w:space="0" w:color="000000"/>
                              <w:bottom w:val="single" w:sz="6" w:space="0" w:color="000000"/>
                              <w:right w:val="single" w:sz="6" w:space="0" w:color="000000"/>
                            </w:tcBorders>
                            <w:hideMark/>
                          </w:tcPr>
                          <w:p w14:paraId="4EEE3A1F" w14:textId="77777777" w:rsidR="00DF5B11" w:rsidRDefault="00DF5B11" w:rsidP="002954B7">
                            <w:pPr>
                              <w:pStyle w:val="DISCLAIMER-short"/>
                            </w:pPr>
                            <w:r>
                              <w:t>This report was prepared as an account of work sponsored by an agency of the United States Government. Neither the United States Government nor any agency thereof, nor any of their employees, makes any warranty, express or implied, or assumes any legal liability or responsibility for the accuracy, completeness, or usefulness of any information, apparatus, product, or process disclosed, or represents that its use would not infringe privately owned rights. Reference herein to any specific commercial product, process, or service by trade name, trademark, manufacturer, or otherwise, does not necessarily constitute or imply its endorsement, recommendation, or favoring by the United States Government or any agency thereof. The views and opinions of authors expressed herein do not necessarily state or reflect those of the United States Government or any agency thereof.</w:t>
                            </w:r>
                          </w:p>
                        </w:tc>
                      </w:tr>
                      <w:tr w:rsidR="00DF5B11" w14:paraId="49F6E429" w14:textId="77777777">
                        <w:trPr>
                          <w:cantSplit/>
                          <w:jc w:val="center"/>
                        </w:trPr>
                        <w:tc>
                          <w:tcPr>
                            <w:tcW w:w="5760" w:type="dxa"/>
                            <w:tcBorders>
                              <w:top w:val="single" w:sz="6" w:space="0" w:color="000000"/>
                              <w:left w:val="nil"/>
                              <w:bottom w:val="nil"/>
                              <w:right w:val="nil"/>
                            </w:tcBorders>
                          </w:tcPr>
                          <w:p w14:paraId="28546D6E" w14:textId="77777777" w:rsidR="00DF5B11" w:rsidRDefault="00DF5B11">
                            <w:pPr>
                              <w:pStyle w:val="DISCLAIMER-short"/>
                              <w:spacing w:line="276" w:lineRule="auto"/>
                            </w:pPr>
                          </w:p>
                        </w:tc>
                      </w:tr>
                    </w:tbl>
                    <w:p w14:paraId="1F9BD283" w14:textId="77777777" w:rsidR="00DF5B11" w:rsidRDefault="00DF5B11" w:rsidP="00A62ED4">
                      <w:pPr>
                        <w:spacing w:before="0" w:after="0" w:line="240" w:lineRule="auto"/>
                        <w:ind w:firstLine="0"/>
                        <w:rPr>
                          <w:rFonts w:ascii="Arial" w:eastAsia="Times New Roman" w:hAnsi="Arial" w:cs="Arial"/>
                          <w:sz w:val="16"/>
                          <w:szCs w:val="20"/>
                        </w:rPr>
                      </w:pPr>
                    </w:p>
                  </w:txbxContent>
                </v:textbox>
                <w10:wrap anchorx="margin" anchory="margin"/>
                <w10:anchorlock/>
              </v:shape>
            </w:pict>
          </mc:Fallback>
        </mc:AlternateContent>
      </w:r>
    </w:p>
    <w:p w14:paraId="64E0C090" w14:textId="4693F5DF" w:rsidR="00D24EF1" w:rsidRDefault="002A06C0" w:rsidP="00D24EF1">
      <w:pPr>
        <w:tabs>
          <w:tab w:val="left" w:pos="2145"/>
        </w:tabs>
        <w:spacing w:before="0" w:after="0"/>
        <w:ind w:firstLine="0"/>
        <w:jc w:val="center"/>
      </w:pPr>
      <w:r>
        <w:lastRenderedPageBreak/>
        <w:t>(Thi</w:t>
      </w:r>
      <w:r w:rsidR="00250F3B">
        <w:t>s page intentionally left bla</w:t>
      </w:r>
      <w:r>
        <w:t>nk)</w:t>
      </w:r>
    </w:p>
    <w:p w14:paraId="1D484E4C" w14:textId="77777777" w:rsidR="00D24EF1" w:rsidRDefault="00D24EF1">
      <w:pPr>
        <w:spacing w:before="0" w:after="200" w:line="276" w:lineRule="auto"/>
        <w:ind w:firstLine="0"/>
      </w:pPr>
    </w:p>
    <w:p w14:paraId="79F0885B" w14:textId="77777777" w:rsidR="00706B38" w:rsidRDefault="00706B38" w:rsidP="003F21E0">
      <w:pPr>
        <w:tabs>
          <w:tab w:val="left" w:pos="2145"/>
        </w:tabs>
        <w:spacing w:before="0" w:after="0"/>
        <w:ind w:firstLine="0"/>
        <w:sectPr w:rsidR="00706B38" w:rsidSect="00250F3B">
          <w:pgSz w:w="12240" w:h="15840" w:code="1"/>
          <w:pgMar w:top="1440" w:right="1440" w:bottom="1440" w:left="1440" w:header="720" w:footer="720" w:gutter="0"/>
          <w:pgNumType w:fmt="lowerRoman" w:start="1"/>
          <w:cols w:space="720"/>
          <w:vAlign w:val="center"/>
          <w:docGrid w:linePitch="360"/>
        </w:sectPr>
      </w:pPr>
    </w:p>
    <w:p w14:paraId="1A9ED5D7" w14:textId="2B93A221" w:rsidR="00EB3313" w:rsidRPr="00EB3313" w:rsidRDefault="00EB3313" w:rsidP="00EB3313">
      <w:pPr>
        <w:widowControl w:val="0"/>
        <w:spacing w:before="0" w:after="0" w:line="240" w:lineRule="auto"/>
        <w:ind w:firstLine="0"/>
        <w:jc w:val="right"/>
        <w:rPr>
          <w:rFonts w:eastAsia="Calibri"/>
          <w:snapToGrid w:val="0"/>
          <w:szCs w:val="20"/>
          <w:lang w:bidi="ar-SA"/>
        </w:rPr>
      </w:pPr>
      <w:r w:rsidRPr="00EB3313">
        <w:rPr>
          <w:rFonts w:eastAsia="Calibri"/>
          <w:snapToGrid w:val="0"/>
          <w:szCs w:val="20"/>
          <w:lang w:bidi="ar-SA"/>
        </w:rPr>
        <w:lastRenderedPageBreak/>
        <w:t>ORNL/</w:t>
      </w:r>
      <w:r w:rsidR="003B68CE">
        <w:rPr>
          <w:rFonts w:eastAsia="Calibri"/>
          <w:snapToGrid w:val="0"/>
          <w:szCs w:val="20"/>
          <w:lang w:bidi="ar-SA"/>
        </w:rPr>
        <w:t>TM</w:t>
      </w:r>
      <w:r w:rsidRPr="00EB3313">
        <w:rPr>
          <w:rFonts w:eastAsia="Calibri"/>
          <w:snapToGrid w:val="0"/>
          <w:szCs w:val="20"/>
          <w:lang w:bidi="ar-SA"/>
        </w:rPr>
        <w:t>-2021/</w:t>
      </w:r>
      <w:r w:rsidR="0076296A" w:rsidRPr="0076296A">
        <w:rPr>
          <w:rFonts w:eastAsia="Calibri"/>
          <w:snapToGrid w:val="0"/>
          <w:szCs w:val="20"/>
          <w:lang w:bidi="ar-SA"/>
        </w:rPr>
        <w:t>2278</w:t>
      </w:r>
    </w:p>
    <w:p w14:paraId="5A7E4A08" w14:textId="5CDB2DD3" w:rsidR="00EB3313" w:rsidRDefault="00EB3313" w:rsidP="00EB3313">
      <w:pPr>
        <w:widowControl w:val="0"/>
        <w:spacing w:before="0" w:after="0" w:line="240" w:lineRule="auto"/>
        <w:ind w:firstLine="0"/>
        <w:jc w:val="center"/>
        <w:rPr>
          <w:rFonts w:eastAsia="Calibri"/>
          <w:snapToGrid w:val="0"/>
          <w:szCs w:val="20"/>
          <w:lang w:bidi="ar-SA"/>
        </w:rPr>
      </w:pPr>
    </w:p>
    <w:p w14:paraId="71257B9D" w14:textId="77777777" w:rsidR="00EB3313" w:rsidRPr="00EB3313" w:rsidRDefault="00EB3313" w:rsidP="00EB3313">
      <w:pPr>
        <w:widowControl w:val="0"/>
        <w:spacing w:before="0" w:after="0" w:line="240" w:lineRule="auto"/>
        <w:ind w:firstLine="0"/>
        <w:jc w:val="center"/>
        <w:rPr>
          <w:rFonts w:eastAsia="Calibri"/>
          <w:snapToGrid w:val="0"/>
          <w:szCs w:val="20"/>
          <w:lang w:bidi="ar-SA"/>
        </w:rPr>
      </w:pPr>
    </w:p>
    <w:p w14:paraId="46042CCC" w14:textId="77777777" w:rsidR="00EB3313" w:rsidRPr="00EB3313" w:rsidRDefault="00EB3313" w:rsidP="00EB3313">
      <w:pPr>
        <w:widowControl w:val="0"/>
        <w:spacing w:before="0" w:after="0" w:line="240" w:lineRule="auto"/>
        <w:ind w:firstLine="0"/>
        <w:jc w:val="center"/>
        <w:rPr>
          <w:rFonts w:eastAsia="Calibri"/>
          <w:snapToGrid w:val="0"/>
          <w:szCs w:val="20"/>
          <w:lang w:bidi="ar-SA"/>
        </w:rPr>
      </w:pPr>
      <w:r w:rsidRPr="00EB3313">
        <w:rPr>
          <w:rFonts w:eastAsia="Calibri"/>
          <w:snapToGrid w:val="0"/>
          <w:szCs w:val="20"/>
          <w:lang w:bidi="ar-SA"/>
        </w:rPr>
        <w:t>Environmental Sciences Division</w:t>
      </w:r>
    </w:p>
    <w:p w14:paraId="6C2E93A5" w14:textId="77777777" w:rsidR="00EB3313" w:rsidRPr="00EB3313" w:rsidRDefault="00EB3313" w:rsidP="00EB3313">
      <w:pPr>
        <w:widowControl w:val="0"/>
        <w:spacing w:before="0" w:after="0" w:line="240" w:lineRule="auto"/>
        <w:ind w:firstLine="0"/>
        <w:jc w:val="center"/>
        <w:rPr>
          <w:rFonts w:eastAsia="Calibri"/>
          <w:snapToGrid w:val="0"/>
          <w:szCs w:val="20"/>
          <w:lang w:bidi="ar-SA"/>
        </w:rPr>
      </w:pPr>
    </w:p>
    <w:p w14:paraId="31AC0180" w14:textId="16D4898D" w:rsidR="00F45BBA" w:rsidRDefault="00F45BBA" w:rsidP="00EB3313">
      <w:pPr>
        <w:widowControl w:val="0"/>
        <w:spacing w:before="0" w:after="0" w:line="240" w:lineRule="auto"/>
        <w:ind w:firstLine="0"/>
        <w:jc w:val="center"/>
        <w:rPr>
          <w:rFonts w:eastAsia="Calibri"/>
          <w:snapToGrid w:val="0"/>
          <w:szCs w:val="20"/>
          <w:lang w:bidi="ar-SA"/>
        </w:rPr>
      </w:pPr>
    </w:p>
    <w:p w14:paraId="72ADA3E3" w14:textId="77777777" w:rsidR="00EB3313" w:rsidRDefault="00EB3313" w:rsidP="00EB3313">
      <w:pPr>
        <w:widowControl w:val="0"/>
        <w:spacing w:before="0" w:after="0" w:line="240" w:lineRule="auto"/>
        <w:ind w:firstLine="0"/>
        <w:jc w:val="center"/>
        <w:rPr>
          <w:rFonts w:eastAsia="Calibri"/>
          <w:snapToGrid w:val="0"/>
          <w:szCs w:val="20"/>
          <w:lang w:bidi="ar-SA"/>
        </w:rPr>
      </w:pPr>
    </w:p>
    <w:p w14:paraId="2EC25694" w14:textId="77777777" w:rsidR="00F45BBA" w:rsidRPr="00025938" w:rsidRDefault="00F45BBA" w:rsidP="00EB3313">
      <w:pPr>
        <w:widowControl w:val="0"/>
        <w:spacing w:before="0" w:after="0" w:line="240" w:lineRule="auto"/>
        <w:ind w:firstLine="0"/>
        <w:jc w:val="center"/>
        <w:rPr>
          <w:rFonts w:eastAsia="Calibri"/>
          <w:snapToGrid w:val="0"/>
          <w:szCs w:val="20"/>
          <w:lang w:bidi="ar-SA"/>
        </w:rPr>
      </w:pPr>
    </w:p>
    <w:p w14:paraId="708045C0" w14:textId="77777777" w:rsidR="00F45BBA" w:rsidRPr="00025938" w:rsidRDefault="00F45BBA" w:rsidP="00EB3313">
      <w:pPr>
        <w:widowControl w:val="0"/>
        <w:spacing w:before="0" w:after="0" w:line="240" w:lineRule="auto"/>
        <w:ind w:firstLine="0"/>
        <w:jc w:val="center"/>
        <w:rPr>
          <w:rFonts w:eastAsia="Calibri"/>
          <w:snapToGrid w:val="0"/>
          <w:szCs w:val="20"/>
          <w:lang w:bidi="ar-SA"/>
        </w:rPr>
      </w:pPr>
    </w:p>
    <w:p w14:paraId="0400DCBA" w14:textId="57485AF5" w:rsidR="00F45BBA" w:rsidRPr="00925971" w:rsidRDefault="008F1D06" w:rsidP="00925971">
      <w:pPr>
        <w:pStyle w:val="Titlepage-reporttitle"/>
      </w:pPr>
      <w:r w:rsidRPr="00925971">
        <w:t xml:space="preserve">THE </w:t>
      </w:r>
      <w:r w:rsidR="00113ADB" w:rsidRPr="00925971">
        <w:t>THIRD</w:t>
      </w:r>
      <w:r w:rsidRPr="00925971">
        <w:t xml:space="preserve"> </w:t>
      </w:r>
      <w:r w:rsidR="002C093D" w:rsidRPr="00925971">
        <w:t>ASSESSMENT OF THE EFFECTS OF CLIMATE CHANGE ON</w:t>
      </w:r>
      <w:r w:rsidR="00925971" w:rsidRPr="00925971">
        <w:t> </w:t>
      </w:r>
      <w:r w:rsidR="002C093D" w:rsidRPr="00925971">
        <w:t>FEDERAL</w:t>
      </w:r>
      <w:r w:rsidR="00925971" w:rsidRPr="00925971">
        <w:t> </w:t>
      </w:r>
      <w:r w:rsidR="002C093D" w:rsidRPr="00925971">
        <w:t>HYDROPOWER</w:t>
      </w:r>
    </w:p>
    <w:p w14:paraId="68695008" w14:textId="77777777" w:rsidR="00910693" w:rsidRPr="00E0759B" w:rsidRDefault="00910693" w:rsidP="00EB3313">
      <w:pPr>
        <w:widowControl w:val="0"/>
        <w:spacing w:before="0" w:after="0" w:line="240" w:lineRule="auto"/>
        <w:ind w:firstLine="0"/>
        <w:jc w:val="center"/>
        <w:rPr>
          <w:rFonts w:eastAsia="Calibri"/>
          <w:snapToGrid w:val="0"/>
          <w:lang w:bidi="ar-SA"/>
        </w:rPr>
      </w:pPr>
    </w:p>
    <w:p w14:paraId="7260BF50" w14:textId="77777777" w:rsidR="00910693" w:rsidRPr="00E0759B" w:rsidRDefault="00910693" w:rsidP="00EB3313">
      <w:pPr>
        <w:widowControl w:val="0"/>
        <w:spacing w:before="0" w:after="0" w:line="240" w:lineRule="auto"/>
        <w:ind w:firstLine="0"/>
        <w:jc w:val="center"/>
        <w:rPr>
          <w:rFonts w:eastAsia="Calibri"/>
          <w:snapToGrid w:val="0"/>
          <w:lang w:bidi="ar-SA"/>
        </w:rPr>
      </w:pPr>
    </w:p>
    <w:p w14:paraId="1210FE60" w14:textId="77777777" w:rsidR="00910693" w:rsidRPr="00E0759B" w:rsidRDefault="00910693" w:rsidP="00EB3313">
      <w:pPr>
        <w:widowControl w:val="0"/>
        <w:spacing w:before="0" w:after="0" w:line="240" w:lineRule="auto"/>
        <w:ind w:firstLine="0"/>
        <w:jc w:val="center"/>
        <w:rPr>
          <w:rFonts w:eastAsia="Calibri"/>
          <w:snapToGrid w:val="0"/>
          <w:lang w:bidi="ar-SA"/>
        </w:rPr>
      </w:pPr>
    </w:p>
    <w:p w14:paraId="5565357D" w14:textId="1B1B4394" w:rsidR="005D601D" w:rsidRDefault="005D601D" w:rsidP="00EB3313">
      <w:pPr>
        <w:widowControl w:val="0"/>
        <w:spacing w:before="0" w:after="0" w:line="240" w:lineRule="auto"/>
        <w:ind w:firstLine="0"/>
        <w:jc w:val="center"/>
        <w:rPr>
          <w:rFonts w:eastAsia="Calibri"/>
          <w:snapToGrid w:val="0"/>
          <w:lang w:bidi="ar-SA"/>
        </w:rPr>
      </w:pPr>
    </w:p>
    <w:p w14:paraId="5243DE8C" w14:textId="444A6ACE" w:rsidR="00EB3313" w:rsidRDefault="00EB3313" w:rsidP="00EB3313">
      <w:pPr>
        <w:widowControl w:val="0"/>
        <w:spacing w:before="0" w:after="0" w:line="240" w:lineRule="auto"/>
        <w:ind w:firstLine="0"/>
        <w:jc w:val="center"/>
        <w:rPr>
          <w:rFonts w:eastAsia="Calibri"/>
          <w:snapToGrid w:val="0"/>
          <w:lang w:bidi="ar-SA"/>
        </w:rPr>
      </w:pPr>
    </w:p>
    <w:p w14:paraId="75F042D7" w14:textId="77777777" w:rsidR="00EB3313" w:rsidRPr="00E0759B" w:rsidRDefault="00EB3313" w:rsidP="00EB3313">
      <w:pPr>
        <w:widowControl w:val="0"/>
        <w:spacing w:before="0" w:after="0" w:line="240" w:lineRule="auto"/>
        <w:ind w:firstLine="0"/>
        <w:jc w:val="center"/>
        <w:rPr>
          <w:rFonts w:eastAsia="Calibri"/>
          <w:snapToGrid w:val="0"/>
          <w:lang w:bidi="ar-SA"/>
        </w:rPr>
      </w:pPr>
    </w:p>
    <w:p w14:paraId="759B630A" w14:textId="77777777" w:rsidR="005D601D" w:rsidRPr="00E0759B" w:rsidRDefault="005D601D" w:rsidP="00EB3313">
      <w:pPr>
        <w:widowControl w:val="0"/>
        <w:spacing w:before="0" w:after="0" w:line="240" w:lineRule="auto"/>
        <w:ind w:firstLine="0"/>
        <w:jc w:val="center"/>
        <w:rPr>
          <w:rFonts w:eastAsia="Calibri"/>
          <w:snapToGrid w:val="0"/>
          <w:lang w:bidi="ar-SA"/>
        </w:rPr>
      </w:pPr>
    </w:p>
    <w:p w14:paraId="27D0CAD4" w14:textId="77777777" w:rsidR="00843801" w:rsidRPr="00E0759B" w:rsidRDefault="00843801" w:rsidP="00EB3313">
      <w:pPr>
        <w:widowControl w:val="0"/>
        <w:spacing w:before="0" w:after="0" w:line="240" w:lineRule="auto"/>
        <w:ind w:firstLine="0"/>
        <w:jc w:val="center"/>
        <w:rPr>
          <w:rFonts w:eastAsia="Calibri"/>
          <w:snapToGrid w:val="0"/>
          <w:lang w:bidi="ar-SA"/>
        </w:rPr>
      </w:pPr>
    </w:p>
    <w:p w14:paraId="2AF7ADC2" w14:textId="38C2509B" w:rsidR="00F45BBA" w:rsidRPr="00E0759B" w:rsidRDefault="00C27013" w:rsidP="00EB3313">
      <w:pPr>
        <w:widowControl w:val="0"/>
        <w:spacing w:before="0" w:after="0" w:line="240" w:lineRule="auto"/>
        <w:ind w:firstLine="0"/>
        <w:jc w:val="center"/>
        <w:rPr>
          <w:rFonts w:eastAsia="Calibri"/>
          <w:b/>
          <w:snapToGrid w:val="0"/>
          <w:lang w:bidi="ar-SA"/>
        </w:rPr>
      </w:pPr>
      <w:r w:rsidRPr="00E0759B">
        <w:rPr>
          <w:b/>
        </w:rPr>
        <w:t>Oak Ridge National Laboratory</w:t>
      </w:r>
    </w:p>
    <w:p w14:paraId="093686ED" w14:textId="4B5391BA" w:rsidR="00C27013" w:rsidRPr="00E0759B" w:rsidRDefault="00385EC4" w:rsidP="00925971">
      <w:pPr>
        <w:pStyle w:val="Titlepage-authornames"/>
      </w:pPr>
      <w:r w:rsidRPr="00E0759B">
        <w:t xml:space="preserve">Shih-Chieh Kao, Moetasim Ashfaq, </w:t>
      </w:r>
      <w:r w:rsidR="00942DB9" w:rsidRPr="00E0759B">
        <w:t>Deeksha Rastogi,</w:t>
      </w:r>
      <w:r w:rsidR="00BC6D73" w:rsidRPr="00E0759B">
        <w:t xml:space="preserve"> Sudershan Gangrade,</w:t>
      </w:r>
    </w:p>
    <w:p w14:paraId="7BF79134" w14:textId="61291853" w:rsidR="00385EC4" w:rsidRPr="00E0759B" w:rsidRDefault="00942DB9" w:rsidP="00925971">
      <w:pPr>
        <w:pStyle w:val="Titlepage-authornames"/>
      </w:pPr>
      <w:r w:rsidRPr="00E0759B">
        <w:t>Rocio Uría Martínez</w:t>
      </w:r>
      <w:r w:rsidR="00BC6D73" w:rsidRPr="00E0759B">
        <w:t xml:space="preserve">, </w:t>
      </w:r>
      <w:r w:rsidR="00BC6D73" w:rsidRPr="00925971">
        <w:t>Alisha Fernandez</w:t>
      </w:r>
      <w:r w:rsidR="0051674E" w:rsidRPr="00925971">
        <w:t>,</w:t>
      </w:r>
      <w:r w:rsidR="0051674E" w:rsidRPr="0051674E">
        <w:t xml:space="preserve"> </w:t>
      </w:r>
      <w:r w:rsidR="0051674E">
        <w:t xml:space="preserve">and </w:t>
      </w:r>
      <w:r w:rsidR="0051674E" w:rsidRPr="00925971">
        <w:t>Goutam Konapala</w:t>
      </w:r>
    </w:p>
    <w:p w14:paraId="5AB13B6F" w14:textId="59C6E254" w:rsidR="00F45BBA" w:rsidRPr="00E0759B" w:rsidRDefault="00F45BBA" w:rsidP="00EB3313">
      <w:pPr>
        <w:widowControl w:val="0"/>
        <w:spacing w:before="0" w:after="0" w:line="240" w:lineRule="auto"/>
        <w:ind w:firstLine="0"/>
        <w:jc w:val="center"/>
        <w:rPr>
          <w:rFonts w:eastAsia="Calibri"/>
          <w:snapToGrid w:val="0"/>
          <w:lang w:bidi="ar-SA"/>
        </w:rPr>
      </w:pPr>
    </w:p>
    <w:p w14:paraId="3DE593F2" w14:textId="54B08F39" w:rsidR="00262C0E" w:rsidRPr="00E0759B" w:rsidRDefault="00262C0E" w:rsidP="00EB3313">
      <w:pPr>
        <w:widowControl w:val="0"/>
        <w:spacing w:before="0" w:after="0" w:line="240" w:lineRule="auto"/>
        <w:ind w:firstLine="0"/>
        <w:jc w:val="center"/>
        <w:rPr>
          <w:rFonts w:eastAsia="Calibri"/>
          <w:b/>
          <w:snapToGrid w:val="0"/>
          <w:lang w:bidi="ar-SA"/>
        </w:rPr>
      </w:pPr>
      <w:r w:rsidRPr="00E0759B">
        <w:rPr>
          <w:b/>
        </w:rPr>
        <w:t>Pacific Northwest National Laboratory</w:t>
      </w:r>
    </w:p>
    <w:p w14:paraId="76D23718" w14:textId="5DB13AA7" w:rsidR="00942DB9" w:rsidRPr="00E0759B" w:rsidRDefault="00C27013" w:rsidP="00925971">
      <w:pPr>
        <w:pStyle w:val="Titlepage-authornames"/>
      </w:pPr>
      <w:r w:rsidRPr="00E0759B">
        <w:t>Nathalie Voisin</w:t>
      </w:r>
      <w:r w:rsidR="00942DB9" w:rsidRPr="00E0759B">
        <w:t xml:space="preserve">, </w:t>
      </w:r>
      <w:r w:rsidRPr="00E0759B">
        <w:t>Tian Zhou, and Wenwei Xu</w:t>
      </w:r>
    </w:p>
    <w:p w14:paraId="5C420696" w14:textId="14735347" w:rsidR="008B1AC9" w:rsidRPr="00E0759B" w:rsidRDefault="008B1AC9" w:rsidP="00EB3313">
      <w:pPr>
        <w:widowControl w:val="0"/>
        <w:spacing w:before="0" w:after="0" w:line="240" w:lineRule="auto"/>
        <w:ind w:firstLine="0"/>
        <w:jc w:val="center"/>
        <w:rPr>
          <w:rFonts w:eastAsia="Calibri"/>
          <w:snapToGrid w:val="0"/>
          <w:lang w:bidi="ar-SA"/>
        </w:rPr>
      </w:pPr>
    </w:p>
    <w:p w14:paraId="274E8EE8" w14:textId="6ED1EBF2" w:rsidR="00262C0E" w:rsidRPr="00E0759B" w:rsidRDefault="00262C0E" w:rsidP="00EB3313">
      <w:pPr>
        <w:widowControl w:val="0"/>
        <w:spacing w:before="0" w:after="0" w:line="240" w:lineRule="auto"/>
        <w:ind w:firstLine="0"/>
        <w:jc w:val="center"/>
        <w:rPr>
          <w:rFonts w:eastAsia="Calibri"/>
          <w:b/>
          <w:snapToGrid w:val="0"/>
          <w:lang w:bidi="ar-SA"/>
        </w:rPr>
      </w:pPr>
      <w:r w:rsidRPr="00E0759B">
        <w:rPr>
          <w:b/>
        </w:rPr>
        <w:t>Texas A&amp;M University</w:t>
      </w:r>
    </w:p>
    <w:p w14:paraId="17567766" w14:textId="7323F3EE" w:rsidR="00C27013" w:rsidRPr="00E0759B" w:rsidRDefault="00C27013" w:rsidP="00925971">
      <w:pPr>
        <w:pStyle w:val="Titlepage-authornames"/>
      </w:pPr>
      <w:r w:rsidRPr="00E0759B">
        <w:t>Huilin Gao, Bingjie Zhao, and Gang Zhao</w:t>
      </w:r>
    </w:p>
    <w:p w14:paraId="6207A0F2" w14:textId="77777777" w:rsidR="00C27013" w:rsidRPr="00E0759B" w:rsidRDefault="00C27013" w:rsidP="00EB3313">
      <w:pPr>
        <w:widowControl w:val="0"/>
        <w:spacing w:before="0" w:after="0" w:line="240" w:lineRule="auto"/>
        <w:ind w:firstLine="0"/>
        <w:jc w:val="center"/>
        <w:rPr>
          <w:rFonts w:eastAsia="Calibri"/>
          <w:snapToGrid w:val="0"/>
          <w:lang w:bidi="ar-SA"/>
        </w:rPr>
      </w:pPr>
    </w:p>
    <w:p w14:paraId="25E84DB6" w14:textId="7416468B" w:rsidR="008B1AC9" w:rsidRPr="00E0759B" w:rsidRDefault="008B1AC9" w:rsidP="00EB3313">
      <w:pPr>
        <w:widowControl w:val="0"/>
        <w:spacing w:before="0" w:after="0" w:line="240" w:lineRule="auto"/>
        <w:ind w:firstLine="0"/>
        <w:jc w:val="center"/>
        <w:rPr>
          <w:rFonts w:eastAsia="Calibri"/>
          <w:snapToGrid w:val="0"/>
          <w:lang w:bidi="ar-SA"/>
        </w:rPr>
      </w:pPr>
    </w:p>
    <w:p w14:paraId="159D45D9" w14:textId="77777777" w:rsidR="004E50AE" w:rsidRPr="00E0759B" w:rsidRDefault="004E50AE" w:rsidP="00EB3313">
      <w:pPr>
        <w:widowControl w:val="0"/>
        <w:spacing w:before="0" w:after="0" w:line="240" w:lineRule="auto"/>
        <w:ind w:firstLine="0"/>
        <w:jc w:val="center"/>
        <w:rPr>
          <w:rFonts w:eastAsia="Calibri"/>
          <w:snapToGrid w:val="0"/>
          <w:lang w:bidi="ar-SA"/>
        </w:rPr>
      </w:pPr>
    </w:p>
    <w:p w14:paraId="5BF9FAE9" w14:textId="3CE4E3BC" w:rsidR="008B1AC9" w:rsidRPr="00E0759B" w:rsidRDefault="003252CD" w:rsidP="00925971">
      <w:pPr>
        <w:pStyle w:val="Titlepage-date"/>
        <w:rPr>
          <w:rFonts w:eastAsiaTheme="minorEastAsia"/>
          <w:lang w:eastAsia="zh-TW"/>
        </w:rPr>
      </w:pPr>
      <w:r w:rsidRPr="00E15C43">
        <w:rPr>
          <w:rFonts w:eastAsia="Calibri"/>
        </w:rPr>
        <w:t xml:space="preserve">September </w:t>
      </w:r>
      <w:r w:rsidR="00113ADB" w:rsidRPr="00E15C43">
        <w:rPr>
          <w:rFonts w:eastAsia="Calibri"/>
        </w:rPr>
        <w:t>202</w:t>
      </w:r>
      <w:r w:rsidR="00966FCA" w:rsidRPr="00E15C43">
        <w:rPr>
          <w:rFonts w:eastAsia="Calibri"/>
        </w:rPr>
        <w:t>2</w:t>
      </w:r>
    </w:p>
    <w:p w14:paraId="5D1E2814" w14:textId="77777777" w:rsidR="00025938" w:rsidRPr="00E0759B" w:rsidRDefault="00025938" w:rsidP="00EB3313">
      <w:pPr>
        <w:widowControl w:val="0"/>
        <w:spacing w:before="0" w:after="0" w:line="240" w:lineRule="auto"/>
        <w:ind w:firstLine="0"/>
        <w:jc w:val="center"/>
        <w:rPr>
          <w:rFonts w:eastAsia="Calibri"/>
          <w:snapToGrid w:val="0"/>
          <w:lang w:bidi="ar-SA"/>
        </w:rPr>
      </w:pPr>
    </w:p>
    <w:p w14:paraId="68F47F13" w14:textId="6A5FD9D2" w:rsidR="008B1AC9" w:rsidRDefault="008B1AC9" w:rsidP="00EB3313">
      <w:pPr>
        <w:widowControl w:val="0"/>
        <w:spacing w:before="0" w:after="0" w:line="240" w:lineRule="auto"/>
        <w:ind w:firstLine="0"/>
        <w:jc w:val="center"/>
        <w:rPr>
          <w:rFonts w:eastAsia="Calibri"/>
          <w:snapToGrid w:val="0"/>
          <w:lang w:bidi="ar-SA"/>
        </w:rPr>
      </w:pPr>
    </w:p>
    <w:p w14:paraId="7A342B19" w14:textId="3E6647CE" w:rsidR="00EB3313" w:rsidRDefault="00EB3313" w:rsidP="00EB3313">
      <w:pPr>
        <w:widowControl w:val="0"/>
        <w:spacing w:before="0" w:after="0" w:line="240" w:lineRule="auto"/>
        <w:ind w:firstLine="0"/>
        <w:jc w:val="center"/>
        <w:rPr>
          <w:rFonts w:eastAsia="Calibri"/>
          <w:snapToGrid w:val="0"/>
          <w:lang w:bidi="ar-SA"/>
        </w:rPr>
      </w:pPr>
    </w:p>
    <w:p w14:paraId="74DD8F10" w14:textId="72C641DC" w:rsidR="00EB3313" w:rsidRDefault="00EB3313" w:rsidP="00EB3313">
      <w:pPr>
        <w:widowControl w:val="0"/>
        <w:spacing w:before="0" w:after="0" w:line="240" w:lineRule="auto"/>
        <w:ind w:firstLine="0"/>
        <w:jc w:val="center"/>
        <w:rPr>
          <w:rFonts w:eastAsia="Calibri"/>
          <w:snapToGrid w:val="0"/>
          <w:lang w:bidi="ar-SA"/>
        </w:rPr>
      </w:pPr>
    </w:p>
    <w:p w14:paraId="3AD9883D" w14:textId="61F1BEF1" w:rsidR="00EB3313" w:rsidRDefault="00EB3313" w:rsidP="00EB3313">
      <w:pPr>
        <w:widowControl w:val="0"/>
        <w:spacing w:before="0" w:after="0" w:line="240" w:lineRule="auto"/>
        <w:ind w:firstLine="0"/>
        <w:jc w:val="center"/>
        <w:rPr>
          <w:rFonts w:eastAsia="Calibri"/>
          <w:snapToGrid w:val="0"/>
          <w:lang w:bidi="ar-SA"/>
        </w:rPr>
      </w:pPr>
    </w:p>
    <w:p w14:paraId="720246F5" w14:textId="5C69225C" w:rsidR="00EB3313" w:rsidRDefault="00EB3313" w:rsidP="00EB3313">
      <w:pPr>
        <w:widowControl w:val="0"/>
        <w:spacing w:before="0" w:after="0" w:line="240" w:lineRule="auto"/>
        <w:ind w:firstLine="0"/>
        <w:jc w:val="center"/>
        <w:rPr>
          <w:rFonts w:eastAsia="Calibri"/>
          <w:snapToGrid w:val="0"/>
          <w:lang w:bidi="ar-SA"/>
        </w:rPr>
      </w:pPr>
    </w:p>
    <w:p w14:paraId="4857F8EA" w14:textId="18F293D1" w:rsidR="00EB3313" w:rsidRDefault="00EB3313" w:rsidP="00EB3313">
      <w:pPr>
        <w:widowControl w:val="0"/>
        <w:spacing w:before="0" w:after="0" w:line="240" w:lineRule="auto"/>
        <w:ind w:firstLine="0"/>
        <w:jc w:val="center"/>
        <w:rPr>
          <w:rFonts w:eastAsia="Calibri"/>
          <w:snapToGrid w:val="0"/>
          <w:lang w:bidi="ar-SA"/>
        </w:rPr>
      </w:pPr>
    </w:p>
    <w:p w14:paraId="2D1D89A0" w14:textId="77777777" w:rsidR="00EB3313" w:rsidRPr="00E0759B" w:rsidRDefault="00EB3313" w:rsidP="00EB3313">
      <w:pPr>
        <w:widowControl w:val="0"/>
        <w:spacing w:before="0" w:after="0" w:line="240" w:lineRule="auto"/>
        <w:ind w:firstLine="0"/>
        <w:jc w:val="center"/>
        <w:rPr>
          <w:rFonts w:eastAsia="Calibri"/>
          <w:snapToGrid w:val="0"/>
          <w:lang w:bidi="ar-SA"/>
        </w:rPr>
      </w:pPr>
    </w:p>
    <w:p w14:paraId="06BBE6C1" w14:textId="77777777" w:rsidR="008B1AC9" w:rsidRPr="00E0759B" w:rsidRDefault="008B1AC9" w:rsidP="00EB3313">
      <w:pPr>
        <w:widowControl w:val="0"/>
        <w:spacing w:before="0" w:after="0" w:line="240" w:lineRule="auto"/>
        <w:ind w:firstLine="0"/>
        <w:jc w:val="center"/>
        <w:rPr>
          <w:rFonts w:eastAsia="Calibri"/>
          <w:snapToGrid w:val="0"/>
          <w:lang w:bidi="ar-SA"/>
        </w:rPr>
      </w:pPr>
    </w:p>
    <w:p w14:paraId="43B21110" w14:textId="77777777" w:rsidR="008B1AC9" w:rsidRPr="00E0759B" w:rsidRDefault="008B1AC9" w:rsidP="00EB3313">
      <w:pPr>
        <w:pStyle w:val="Titlepage-date"/>
      </w:pPr>
      <w:r w:rsidRPr="004F668B">
        <w:t>Prepared by</w:t>
      </w:r>
    </w:p>
    <w:p w14:paraId="214574E5" w14:textId="77777777" w:rsidR="008B1AC9" w:rsidRPr="00E0759B" w:rsidRDefault="008B1AC9" w:rsidP="00EB3313">
      <w:pPr>
        <w:pStyle w:val="Titlepage-date"/>
      </w:pPr>
      <w:r w:rsidRPr="004F668B">
        <w:t>OAK RIDGE NATIONAL LABORATORY</w:t>
      </w:r>
    </w:p>
    <w:p w14:paraId="00A2461E" w14:textId="54909DAE" w:rsidR="00270805" w:rsidRPr="004F668B" w:rsidRDefault="00270805" w:rsidP="00EB3313">
      <w:pPr>
        <w:pStyle w:val="Titlepage-date"/>
      </w:pPr>
      <w:r w:rsidRPr="004F668B">
        <w:t xml:space="preserve">Oak Ridge, </w:t>
      </w:r>
      <w:r>
        <w:t>TN</w:t>
      </w:r>
      <w:r w:rsidRPr="004F668B">
        <w:t xml:space="preserve"> 37831</w:t>
      </w:r>
    </w:p>
    <w:p w14:paraId="6C68A6F7" w14:textId="77777777" w:rsidR="008B1AC9" w:rsidRPr="00E0759B" w:rsidRDefault="008B1AC9" w:rsidP="00EB3313">
      <w:pPr>
        <w:pStyle w:val="Titlepage-date"/>
      </w:pPr>
      <w:r w:rsidRPr="004F668B">
        <w:t>managed by</w:t>
      </w:r>
    </w:p>
    <w:p w14:paraId="05DA492C" w14:textId="77777777" w:rsidR="008B1AC9" w:rsidRPr="00E0759B" w:rsidRDefault="008B1AC9" w:rsidP="00EB3313">
      <w:pPr>
        <w:pStyle w:val="Titlepage-date"/>
      </w:pPr>
      <w:r w:rsidRPr="004F668B">
        <w:t>UT-BATTELLE LLC</w:t>
      </w:r>
    </w:p>
    <w:p w14:paraId="2235CA2B" w14:textId="77777777" w:rsidR="008B1AC9" w:rsidRPr="00E0759B" w:rsidRDefault="008B1AC9" w:rsidP="00EB3313">
      <w:pPr>
        <w:pStyle w:val="Titlepage-date"/>
      </w:pPr>
      <w:r w:rsidRPr="004F668B">
        <w:t>for the</w:t>
      </w:r>
    </w:p>
    <w:p w14:paraId="04999B68" w14:textId="77777777" w:rsidR="00270805" w:rsidRPr="004F668B" w:rsidRDefault="00270805" w:rsidP="00EB3313">
      <w:pPr>
        <w:pStyle w:val="Titlepage-date"/>
      </w:pPr>
      <w:r>
        <w:t>US</w:t>
      </w:r>
      <w:r w:rsidRPr="004F668B">
        <w:t xml:space="preserve"> DEPARTMENT OF ENERGY</w:t>
      </w:r>
    </w:p>
    <w:p w14:paraId="199B2293" w14:textId="2FC03CD4" w:rsidR="008B1AC9" w:rsidRPr="00E0759B" w:rsidRDefault="008B1AC9" w:rsidP="00EB3313">
      <w:pPr>
        <w:widowControl w:val="0"/>
        <w:tabs>
          <w:tab w:val="center" w:pos="4680"/>
        </w:tabs>
        <w:spacing w:before="0" w:after="0" w:line="240" w:lineRule="auto"/>
        <w:ind w:firstLine="0"/>
        <w:jc w:val="center"/>
        <w:rPr>
          <w:rFonts w:eastAsia="Calibri"/>
          <w:snapToGrid w:val="0"/>
          <w:lang w:bidi="ar-SA"/>
        </w:rPr>
      </w:pPr>
      <w:r w:rsidRPr="004F668B">
        <w:t>under contract DE-AC05-00OR22725</w:t>
      </w:r>
    </w:p>
    <w:p w14:paraId="6EEB7622" w14:textId="77777777" w:rsidR="00A922FD" w:rsidRDefault="00A922FD" w:rsidP="004856AD">
      <w:pPr>
        <w:pStyle w:val="TOC1"/>
        <w:rPr>
          <w:rStyle w:val="Hyperlink"/>
          <w:color w:val="000000"/>
        </w:rPr>
      </w:pPr>
    </w:p>
    <w:p w14:paraId="0522EF89" w14:textId="2AEA05C1" w:rsidR="00EB3313" w:rsidRPr="00EB3313" w:rsidRDefault="00EB3313" w:rsidP="00EB3313">
      <w:pPr>
        <w:sectPr w:rsidR="00EB3313" w:rsidRPr="00EB3313" w:rsidSect="00CC3514">
          <w:footerReference w:type="default" r:id="rId24"/>
          <w:pgSz w:w="12240" w:h="15840" w:code="1"/>
          <w:pgMar w:top="1440" w:right="1440" w:bottom="1440" w:left="1440" w:header="720" w:footer="720" w:gutter="0"/>
          <w:pgNumType w:fmt="lowerRoman" w:start="1"/>
          <w:cols w:space="720"/>
          <w:docGrid w:linePitch="360"/>
        </w:sectPr>
      </w:pPr>
    </w:p>
    <w:p w14:paraId="284BFBF7" w14:textId="253DB209" w:rsidR="00D24EF1" w:rsidRDefault="00D24EF1" w:rsidP="00D24EF1">
      <w:pPr>
        <w:tabs>
          <w:tab w:val="left" w:pos="2145"/>
        </w:tabs>
        <w:spacing w:before="0" w:after="0"/>
        <w:ind w:firstLine="0"/>
        <w:jc w:val="center"/>
      </w:pPr>
      <w:r>
        <w:lastRenderedPageBreak/>
        <w:t>(This</w:t>
      </w:r>
      <w:r w:rsidR="00E22D49">
        <w:t xml:space="preserve"> page intentionally left blank</w:t>
      </w:r>
      <w:r>
        <w:t>)</w:t>
      </w:r>
    </w:p>
    <w:p w14:paraId="060E067D" w14:textId="77777777" w:rsidR="003F21E0" w:rsidRPr="003F21E0" w:rsidRDefault="003F21E0" w:rsidP="003F21E0">
      <w:pPr>
        <w:ind w:firstLine="0"/>
        <w:sectPr w:rsidR="003F21E0" w:rsidRPr="003F21E0" w:rsidSect="00E22D49">
          <w:pgSz w:w="12240" w:h="15840" w:code="1"/>
          <w:pgMar w:top="1440" w:right="1440" w:bottom="1440" w:left="1440" w:header="720" w:footer="720" w:gutter="0"/>
          <w:pgNumType w:fmt="lowerRoman" w:start="1"/>
          <w:cols w:space="720"/>
          <w:vAlign w:val="center"/>
          <w:docGrid w:linePitch="360"/>
        </w:sectPr>
      </w:pPr>
    </w:p>
    <w:p w14:paraId="4FB65837" w14:textId="77777777" w:rsidR="006372AD" w:rsidRPr="00972A5B" w:rsidRDefault="006372AD" w:rsidP="002954B7">
      <w:pPr>
        <w:pStyle w:val="Heading1frontsections"/>
      </w:pPr>
      <w:bookmarkStart w:id="0" w:name="_Toc305153721"/>
      <w:bookmarkStart w:id="1" w:name="_Toc377479248"/>
      <w:bookmarkStart w:id="2" w:name="_Toc377479372"/>
      <w:bookmarkStart w:id="3" w:name="_Toc377480579"/>
      <w:bookmarkStart w:id="4" w:name="_Toc113380751"/>
      <w:r w:rsidRPr="00972A5B">
        <w:lastRenderedPageBreak/>
        <w:t>ACKNOWLEDGMENTS</w:t>
      </w:r>
      <w:bookmarkEnd w:id="0"/>
      <w:bookmarkEnd w:id="1"/>
      <w:bookmarkEnd w:id="2"/>
      <w:bookmarkEnd w:id="3"/>
      <w:bookmarkEnd w:id="4"/>
    </w:p>
    <w:p w14:paraId="216311D8" w14:textId="627A457E" w:rsidR="004B5FA6" w:rsidRPr="005F07CF" w:rsidRDefault="007B4A8E" w:rsidP="002954B7">
      <w:pPr>
        <w:pStyle w:val="BodyText"/>
      </w:pPr>
      <w:r w:rsidRPr="005F07CF">
        <w:t xml:space="preserve">This report was sponsored by the </w:t>
      </w:r>
      <w:r w:rsidR="00A12FDF" w:rsidRPr="005F07CF">
        <w:t>US</w:t>
      </w:r>
      <w:r w:rsidRPr="005F07CF">
        <w:t xml:space="preserve"> Department of Energy</w:t>
      </w:r>
      <w:r w:rsidR="00805545">
        <w:t>’</w:t>
      </w:r>
      <w:r w:rsidRPr="005F07CF">
        <w:t>s (DOE</w:t>
      </w:r>
      <w:r w:rsidR="00805545">
        <w:t>’</w:t>
      </w:r>
      <w:r w:rsidR="00270805" w:rsidRPr="005F07CF">
        <w:t>s</w:t>
      </w:r>
      <w:r w:rsidRPr="005F07CF">
        <w:t xml:space="preserve">) </w:t>
      </w:r>
      <w:r w:rsidR="00141AC8" w:rsidRPr="005F07CF">
        <w:t>Water Power Technologies Office</w:t>
      </w:r>
      <w:r w:rsidRPr="005F07CF">
        <w:t xml:space="preserve">. </w:t>
      </w:r>
      <w:r w:rsidR="00B473A9" w:rsidRPr="005F07CF">
        <w:t>The authors</w:t>
      </w:r>
      <w:r w:rsidRPr="005F07CF">
        <w:t xml:space="preserve"> wish to acknowledge the following </w:t>
      </w:r>
      <w:r w:rsidR="00925971" w:rsidRPr="005F07CF">
        <w:t>Water Power Technologies Office</w:t>
      </w:r>
      <w:r w:rsidR="00CE0F48" w:rsidRPr="005F07CF">
        <w:t xml:space="preserve"> </w:t>
      </w:r>
      <w:r w:rsidRPr="005F07CF">
        <w:t xml:space="preserve">staff who provided support and guidance for this assessment: </w:t>
      </w:r>
      <w:r w:rsidR="00CE0F48" w:rsidRPr="005F07CF">
        <w:t xml:space="preserve">Simon Gore, Charles Scaife, Corey Vezina, </w:t>
      </w:r>
      <w:r w:rsidR="000D47FB" w:rsidRPr="000D47FB">
        <w:t>Erfaneh Sharifi</w:t>
      </w:r>
      <w:r w:rsidR="000D47FB">
        <w:t xml:space="preserve">, </w:t>
      </w:r>
      <w:r w:rsidR="00CE0F48" w:rsidRPr="005F07CF">
        <w:t>Timothy Welch, and Hoyt Battey</w:t>
      </w:r>
      <w:r w:rsidRPr="005F07CF">
        <w:t xml:space="preserve">. </w:t>
      </w:r>
      <w:r w:rsidR="00913351" w:rsidRPr="005F07CF">
        <w:t>Several</w:t>
      </w:r>
      <w:r w:rsidRPr="005F07CF">
        <w:t xml:space="preserve"> technical staff from the federal Power Marketing Administrations played </w:t>
      </w:r>
      <w:r w:rsidR="007629F8" w:rsidRPr="005F07CF">
        <w:t xml:space="preserve">a </w:t>
      </w:r>
      <w:r w:rsidRPr="005F07CF">
        <w:t>critical role in the development of this assessment report,</w:t>
      </w:r>
      <w:r w:rsidR="007629F8" w:rsidRPr="005F07CF">
        <w:t xml:space="preserve"> </w:t>
      </w:r>
      <w:r w:rsidRPr="005F07CF">
        <w:t xml:space="preserve">providing essential data, reviews, and advice. The </w:t>
      </w:r>
      <w:r w:rsidR="00925971" w:rsidRPr="005F07CF">
        <w:t>Power Marketing Administration</w:t>
      </w:r>
      <w:r w:rsidRPr="005F07CF">
        <w:t xml:space="preserve"> contributors to this report </w:t>
      </w:r>
      <w:r w:rsidR="00925971">
        <w:t xml:space="preserve">are </w:t>
      </w:r>
      <w:r w:rsidR="001E14E4" w:rsidRPr="005F07CF">
        <w:t>as follows</w:t>
      </w:r>
      <w:r w:rsidR="007629F8" w:rsidRPr="005F07CF">
        <w:t>:</w:t>
      </w:r>
    </w:p>
    <w:p w14:paraId="70B05977" w14:textId="07C8E365" w:rsidR="007B4A8E" w:rsidRPr="005F07CF" w:rsidRDefault="007B4A8E" w:rsidP="002954B7">
      <w:pPr>
        <w:pStyle w:val="BulletList"/>
      </w:pPr>
      <w:r w:rsidRPr="005F07CF">
        <w:rPr>
          <w:b/>
        </w:rPr>
        <w:t>Bonneville Power Administration</w:t>
      </w:r>
      <w:r w:rsidRPr="005F07CF">
        <w:t xml:space="preserve">: </w:t>
      </w:r>
      <w:r w:rsidR="0033053A" w:rsidRPr="005F07CF">
        <w:t>Erik Pytlak and Alisa Kaseweter</w:t>
      </w:r>
    </w:p>
    <w:p w14:paraId="64BA6F16" w14:textId="77777777" w:rsidR="004D4A36" w:rsidRPr="005F07CF" w:rsidRDefault="004D4A36" w:rsidP="002954B7">
      <w:pPr>
        <w:pStyle w:val="BulletList"/>
      </w:pPr>
      <w:r w:rsidRPr="005F07CF">
        <w:rPr>
          <w:b/>
        </w:rPr>
        <w:t>Western Area Power Administration</w:t>
      </w:r>
      <w:r w:rsidRPr="005F07CF">
        <w:t>: Chrystal Dean, Clayton Palmer, Xavier H. Gonzalez, and Robert Delizo</w:t>
      </w:r>
    </w:p>
    <w:p w14:paraId="38652DCE" w14:textId="17E139B4" w:rsidR="007B4A8E" w:rsidRPr="005F07CF" w:rsidRDefault="007B4A8E" w:rsidP="002954B7">
      <w:pPr>
        <w:pStyle w:val="BulletList"/>
      </w:pPr>
      <w:r w:rsidRPr="005F07CF">
        <w:rPr>
          <w:b/>
        </w:rPr>
        <w:t>Southwestern Power Administration</w:t>
      </w:r>
      <w:r w:rsidR="007A3058" w:rsidRPr="005F07CF">
        <w:t xml:space="preserve">: </w:t>
      </w:r>
      <w:r w:rsidR="00D63DE0" w:rsidRPr="005F07CF">
        <w:t>Tyler Gipson, Mike Denny, Fritha Ohlson</w:t>
      </w:r>
      <w:r w:rsidR="00337965" w:rsidRPr="005F07CF">
        <w:t>, and Barbara</w:t>
      </w:r>
      <w:r w:rsidR="00925971">
        <w:t> </w:t>
      </w:r>
      <w:r w:rsidR="00337965" w:rsidRPr="005F07CF">
        <w:t>Smith</w:t>
      </w:r>
    </w:p>
    <w:p w14:paraId="03C86E1C" w14:textId="52E1FD49" w:rsidR="007B4A8E" w:rsidRPr="005F07CF" w:rsidRDefault="004D4A36" w:rsidP="002954B7">
      <w:pPr>
        <w:pStyle w:val="BulletListspace"/>
      </w:pPr>
      <w:r w:rsidRPr="005F07CF">
        <w:rPr>
          <w:b/>
        </w:rPr>
        <w:t>Southeastern Power Administration</w:t>
      </w:r>
      <w:r w:rsidRPr="005F07CF">
        <w:t xml:space="preserve">: </w:t>
      </w:r>
      <w:r w:rsidR="00D63DE0" w:rsidRPr="005F07CF">
        <w:t>Dixie Cordell</w:t>
      </w:r>
      <w:r w:rsidR="00703FCE">
        <w:t>,</w:t>
      </w:r>
      <w:r w:rsidR="00D63DE0" w:rsidRPr="005F07CF">
        <w:t xml:space="preserve"> and Douglas Spencer</w:t>
      </w:r>
    </w:p>
    <w:p w14:paraId="3B34E0E5" w14:textId="3EB6460C" w:rsidR="007B4A8E" w:rsidRPr="005F07CF" w:rsidRDefault="007B4A8E" w:rsidP="002954B7">
      <w:pPr>
        <w:pStyle w:val="BodyText"/>
      </w:pPr>
      <w:r w:rsidRPr="005F07CF">
        <w:t xml:space="preserve">Without the help of </w:t>
      </w:r>
      <w:r w:rsidR="00925971" w:rsidRPr="005F07CF">
        <w:t>Power Marketing Administration</w:t>
      </w:r>
      <w:r w:rsidRPr="005F07CF">
        <w:t xml:space="preserve"> staff, this report would not have been possible. This report </w:t>
      </w:r>
      <w:r w:rsidR="002B0639" w:rsidRPr="005F07CF">
        <w:t xml:space="preserve">also </w:t>
      </w:r>
      <w:r w:rsidRPr="005F07CF">
        <w:t xml:space="preserve">benefited significantly from consultation with other federal agencies, which </w:t>
      </w:r>
      <w:r w:rsidR="001819EF" w:rsidRPr="005F07CF">
        <w:t xml:space="preserve">the authors </w:t>
      </w:r>
      <w:r w:rsidRPr="005F07CF">
        <w:t>greatly appreciate. The</w:t>
      </w:r>
      <w:r w:rsidR="007629F8" w:rsidRPr="005F07CF">
        <w:t xml:space="preserve"> noted</w:t>
      </w:r>
      <w:r w:rsidRPr="005F07CF">
        <w:t xml:space="preserve"> individuals </w:t>
      </w:r>
      <w:r w:rsidR="00925971">
        <w:t xml:space="preserve">are </w:t>
      </w:r>
      <w:r w:rsidR="00C179A0" w:rsidRPr="005F07CF">
        <w:t>as follows</w:t>
      </w:r>
      <w:r w:rsidR="007629F8" w:rsidRPr="005F07CF">
        <w:t>:</w:t>
      </w:r>
    </w:p>
    <w:p w14:paraId="76A477EC" w14:textId="691E9DEC" w:rsidR="007B4A8E" w:rsidRPr="005F07CF" w:rsidRDefault="004218F9" w:rsidP="002954B7">
      <w:pPr>
        <w:pStyle w:val="BulletList"/>
      </w:pPr>
      <w:r w:rsidRPr="005F07CF">
        <w:rPr>
          <w:b/>
        </w:rPr>
        <w:t xml:space="preserve">US </w:t>
      </w:r>
      <w:r w:rsidR="007B4A8E" w:rsidRPr="005F07CF">
        <w:rPr>
          <w:b/>
        </w:rPr>
        <w:t>Bureau of Reclamation</w:t>
      </w:r>
      <w:r w:rsidR="007A3058" w:rsidRPr="005F07CF">
        <w:t xml:space="preserve">: </w:t>
      </w:r>
      <w:r w:rsidR="008E7EB2" w:rsidRPr="005F07CF">
        <w:t>Avra Morgan, Marketa McGuire, Subhrendu Gangopadhyay, Kenneth</w:t>
      </w:r>
      <w:r w:rsidR="00925971">
        <w:t> </w:t>
      </w:r>
      <w:r w:rsidR="008E7EB2" w:rsidRPr="005F07CF">
        <w:t>Nowak, Katie Schultz, Clark Bishop, Levi Brekke, Kenneth Richard, Sophie Wilderotter, Jen Johnson</w:t>
      </w:r>
      <w:r w:rsidR="0050080F">
        <w:t xml:space="preserve">, and </w:t>
      </w:r>
      <w:r w:rsidR="0050080F" w:rsidRPr="0050080F">
        <w:t>Kevin Thielen</w:t>
      </w:r>
    </w:p>
    <w:p w14:paraId="1E99848F" w14:textId="42BEAAAB" w:rsidR="007B4A8E" w:rsidRPr="005F07CF" w:rsidRDefault="00A12FDF" w:rsidP="002954B7">
      <w:pPr>
        <w:pStyle w:val="BulletList"/>
      </w:pPr>
      <w:r w:rsidRPr="005F07CF">
        <w:rPr>
          <w:b/>
        </w:rPr>
        <w:t>US</w:t>
      </w:r>
      <w:r w:rsidR="007B4A8E" w:rsidRPr="005F07CF">
        <w:rPr>
          <w:b/>
        </w:rPr>
        <w:t xml:space="preserve"> Army Corps of Engineers</w:t>
      </w:r>
      <w:r w:rsidR="007A3058" w:rsidRPr="005F07CF">
        <w:t xml:space="preserve">: </w:t>
      </w:r>
      <w:r w:rsidR="008E7EB2" w:rsidRPr="005F07CF">
        <w:t>Jeff Arnold</w:t>
      </w:r>
      <w:r w:rsidR="00703FCE">
        <w:t>,</w:t>
      </w:r>
      <w:r w:rsidR="008E7EB2" w:rsidRPr="005F07CF">
        <w:t xml:space="preserve"> </w:t>
      </w:r>
      <w:r w:rsidR="000354C9" w:rsidRPr="005F07CF">
        <w:t xml:space="preserve">and </w:t>
      </w:r>
      <w:r w:rsidR="008E7EB2" w:rsidRPr="005F07CF">
        <w:t>Daniel Rabon</w:t>
      </w:r>
    </w:p>
    <w:p w14:paraId="027F241D" w14:textId="592C2A99" w:rsidR="007B4A8E" w:rsidRPr="005F07CF" w:rsidRDefault="00A12FDF" w:rsidP="002954B7">
      <w:pPr>
        <w:pStyle w:val="BulletList"/>
      </w:pPr>
      <w:r w:rsidRPr="005F07CF">
        <w:rPr>
          <w:b/>
        </w:rPr>
        <w:t>US</w:t>
      </w:r>
      <w:r w:rsidR="007B4A8E" w:rsidRPr="005F07CF">
        <w:rPr>
          <w:b/>
        </w:rPr>
        <w:t xml:space="preserve"> Geological Survey</w:t>
      </w:r>
      <w:r w:rsidR="007A3058" w:rsidRPr="005F07CF">
        <w:t xml:space="preserve">: </w:t>
      </w:r>
      <w:r w:rsidR="008E7EB2" w:rsidRPr="005F07CF">
        <w:t xml:space="preserve">Melissa Harris, Greg Pederson, </w:t>
      </w:r>
      <w:r w:rsidR="00F2351F" w:rsidRPr="005F07CF">
        <w:t>Gregory McCabe</w:t>
      </w:r>
      <w:r w:rsidR="009D51B5">
        <w:t xml:space="preserve">, and </w:t>
      </w:r>
      <w:r w:rsidR="009D51B5" w:rsidRPr="009D51B5">
        <w:t>Jen Johnson</w:t>
      </w:r>
    </w:p>
    <w:p w14:paraId="2AB02CAE" w14:textId="1A165F1C" w:rsidR="0050080F" w:rsidRPr="005F07CF" w:rsidRDefault="0050080F" w:rsidP="002954B7">
      <w:pPr>
        <w:pStyle w:val="BulletList"/>
      </w:pPr>
      <w:r w:rsidRPr="005F07CF">
        <w:rPr>
          <w:b/>
        </w:rPr>
        <w:t xml:space="preserve">US </w:t>
      </w:r>
      <w:r w:rsidRPr="0050080F">
        <w:rPr>
          <w:b/>
        </w:rPr>
        <w:t>Forest Service</w:t>
      </w:r>
      <w:r w:rsidRPr="005F07CF">
        <w:t xml:space="preserve">: </w:t>
      </w:r>
      <w:r w:rsidRPr="0050080F">
        <w:t>Travis Warziniack</w:t>
      </w:r>
    </w:p>
    <w:p w14:paraId="68760E96" w14:textId="77777777" w:rsidR="00845829" w:rsidRPr="005F07CF" w:rsidRDefault="00845829" w:rsidP="002954B7">
      <w:pPr>
        <w:pStyle w:val="BulletList"/>
      </w:pPr>
      <w:r w:rsidRPr="00925971">
        <w:rPr>
          <w:b/>
          <w:bCs/>
        </w:rPr>
        <w:t>National Oceanic and Atmospheric Administration</w:t>
      </w:r>
      <w:r w:rsidRPr="005F07CF">
        <w:t>: Robert Webb</w:t>
      </w:r>
    </w:p>
    <w:p w14:paraId="62992EEB" w14:textId="0F441CEA" w:rsidR="007B4A8E" w:rsidRPr="005F07CF" w:rsidRDefault="00F2351F" w:rsidP="002954B7">
      <w:pPr>
        <w:pStyle w:val="BulletListspace"/>
      </w:pPr>
      <w:r w:rsidRPr="005F07CF">
        <w:rPr>
          <w:b/>
        </w:rPr>
        <w:t>Tennessee Valley Authority</w:t>
      </w:r>
      <w:r w:rsidR="007A3058" w:rsidRPr="005F07CF">
        <w:t xml:space="preserve">: </w:t>
      </w:r>
      <w:r w:rsidRPr="005F07CF">
        <w:t>Curt Jawdy</w:t>
      </w:r>
      <w:r w:rsidR="0069603A">
        <w:t xml:space="preserve">, </w:t>
      </w:r>
      <w:r w:rsidR="0069603A" w:rsidRPr="003D64C5">
        <w:t>Patrick Massey</w:t>
      </w:r>
      <w:r w:rsidR="0069603A">
        <w:t>, and</w:t>
      </w:r>
      <w:r w:rsidR="0069603A" w:rsidRPr="006C1D66">
        <w:t xml:space="preserve"> Nathan Barber</w:t>
      </w:r>
    </w:p>
    <w:p w14:paraId="29A9EB08" w14:textId="3CA43EE2" w:rsidR="007B4A8E" w:rsidRPr="005F07CF" w:rsidRDefault="001819EF" w:rsidP="002954B7">
      <w:pPr>
        <w:pStyle w:val="BodyText"/>
      </w:pPr>
      <w:r w:rsidRPr="005F07CF">
        <w:t>The authors</w:t>
      </w:r>
      <w:r w:rsidR="007B4A8E" w:rsidRPr="005F07CF">
        <w:t xml:space="preserve"> also wish to thank the following </w:t>
      </w:r>
      <w:r w:rsidR="00B73101" w:rsidRPr="005F07CF">
        <w:t xml:space="preserve">external collaborators and </w:t>
      </w:r>
      <w:r w:rsidR="007B4A8E" w:rsidRPr="005F07CF">
        <w:t xml:space="preserve">technical reviewers for their </w:t>
      </w:r>
      <w:r w:rsidR="00B73101" w:rsidRPr="005F07CF">
        <w:t xml:space="preserve">support and </w:t>
      </w:r>
      <w:r w:rsidR="007B4A8E" w:rsidRPr="005F07CF">
        <w:t xml:space="preserve">constructive comments that helped improve the quality of this </w:t>
      </w:r>
      <w:r w:rsidR="00115F96" w:rsidRPr="005F07CF">
        <w:t>study</w:t>
      </w:r>
      <w:r w:rsidR="007B4A8E" w:rsidRPr="005F07CF">
        <w:t>:</w:t>
      </w:r>
    </w:p>
    <w:p w14:paraId="1DB02490" w14:textId="6E694CE9" w:rsidR="00E01C48" w:rsidRDefault="00643FCD" w:rsidP="002954B7">
      <w:pPr>
        <w:pStyle w:val="BulletList"/>
      </w:pPr>
      <w:r w:rsidRPr="00643FCD">
        <w:t>Bita Analui</w:t>
      </w:r>
      <w:r w:rsidR="00E01C48" w:rsidRPr="006C1D66">
        <w:t xml:space="preserve">, </w:t>
      </w:r>
      <w:r>
        <w:t>University of California, Irvine</w:t>
      </w:r>
    </w:p>
    <w:p w14:paraId="3FEC79C7" w14:textId="35A9B1AA" w:rsidR="00643FCD" w:rsidRDefault="00643FCD" w:rsidP="002954B7">
      <w:pPr>
        <w:pStyle w:val="BulletList"/>
      </w:pPr>
      <w:r w:rsidRPr="006C1D66">
        <w:t>Michael Anderson, California Department of Water Resources</w:t>
      </w:r>
    </w:p>
    <w:p w14:paraId="4A119129" w14:textId="6CF669C0" w:rsidR="005724FA" w:rsidRPr="006C1D66" w:rsidRDefault="005724FA" w:rsidP="002954B7">
      <w:pPr>
        <w:pStyle w:val="BulletList"/>
      </w:pPr>
      <w:r w:rsidRPr="005724FA">
        <w:t>Maya Buchanan</w:t>
      </w:r>
      <w:r>
        <w:t xml:space="preserve">, </w:t>
      </w:r>
      <w:r w:rsidRPr="005724FA">
        <w:t>Oregon Department of Energy</w:t>
      </w:r>
    </w:p>
    <w:p w14:paraId="5A9EB73D" w14:textId="77777777" w:rsidR="006C1D66" w:rsidRPr="00BA6A57" w:rsidRDefault="006C1D66" w:rsidP="002954B7">
      <w:pPr>
        <w:pStyle w:val="BulletList"/>
      </w:pPr>
      <w:r w:rsidRPr="006C1D66">
        <w:t>Ethan Gutma</w:t>
      </w:r>
      <w:r w:rsidRPr="00BA6A57">
        <w:t>nn, National Center for Atmospheric Research</w:t>
      </w:r>
    </w:p>
    <w:p w14:paraId="5BFC03A0" w14:textId="3E96A075" w:rsidR="00BA6A57" w:rsidRPr="00BA6A57" w:rsidRDefault="00BA6A57" w:rsidP="002954B7">
      <w:pPr>
        <w:pStyle w:val="BulletList"/>
      </w:pPr>
      <w:r w:rsidRPr="00BA6A57">
        <w:t>Ariel Miara, National Renewable Energy Laboratory</w:t>
      </w:r>
    </w:p>
    <w:p w14:paraId="21B346FA" w14:textId="63ED6E95" w:rsidR="00BA6A57" w:rsidRPr="00BA6A57" w:rsidRDefault="00BA6A57" w:rsidP="002954B7">
      <w:pPr>
        <w:pStyle w:val="BulletList"/>
      </w:pPr>
      <w:r w:rsidRPr="00BA6A57">
        <w:t>Andrew Newman, National Center for Atmospheric Research</w:t>
      </w:r>
    </w:p>
    <w:p w14:paraId="529AB20C" w14:textId="77777777" w:rsidR="00BA6A57" w:rsidRPr="00BA6A57" w:rsidRDefault="00BA6A57" w:rsidP="002954B7">
      <w:pPr>
        <w:pStyle w:val="BulletList"/>
      </w:pPr>
      <w:r w:rsidRPr="00BA6A57">
        <w:t>Bart Nijssen, University of Washington</w:t>
      </w:r>
    </w:p>
    <w:p w14:paraId="4AB93A5A" w14:textId="45A9E28C" w:rsidR="00BA6A57" w:rsidRPr="00BA6A57" w:rsidRDefault="00BA6A57" w:rsidP="002954B7">
      <w:pPr>
        <w:pStyle w:val="BulletList"/>
      </w:pPr>
      <w:r w:rsidRPr="003D64C5">
        <w:t>Quentin Ploussard</w:t>
      </w:r>
      <w:r w:rsidRPr="00BA6A57">
        <w:t>, Argonne National Laboratory</w:t>
      </w:r>
    </w:p>
    <w:p w14:paraId="29176246" w14:textId="7BEF7502" w:rsidR="00BA6A57" w:rsidRDefault="001154DA" w:rsidP="002954B7">
      <w:pPr>
        <w:pStyle w:val="BulletList"/>
      </w:pPr>
      <w:r w:rsidRPr="003D64C5">
        <w:t>David Rupp</w:t>
      </w:r>
      <w:r>
        <w:t>, Oregon State University</w:t>
      </w:r>
    </w:p>
    <w:p w14:paraId="2C68BAF9" w14:textId="2DB650CB" w:rsidR="001B6652" w:rsidRDefault="001B6652" w:rsidP="002954B7">
      <w:pPr>
        <w:pStyle w:val="BulletList"/>
      </w:pPr>
      <w:r w:rsidRPr="00E371DD">
        <w:t>Soroosh Sorooshian</w:t>
      </w:r>
      <w:r>
        <w:t>, University of California, Irvine</w:t>
      </w:r>
    </w:p>
    <w:p w14:paraId="464644E0" w14:textId="0E79819F" w:rsidR="00703FCE" w:rsidRDefault="00703FCE" w:rsidP="002954B7">
      <w:pPr>
        <w:pStyle w:val="BulletList"/>
      </w:pPr>
      <w:r w:rsidRPr="003D64C5">
        <w:t xml:space="preserve">Andrew Sumner, </w:t>
      </w:r>
      <w:r w:rsidR="00925971">
        <w:t>DOE</w:t>
      </w:r>
    </w:p>
    <w:p w14:paraId="260963D7" w14:textId="666E6270" w:rsidR="00E371DD" w:rsidRPr="00E07356" w:rsidRDefault="00703FCE" w:rsidP="002954B7">
      <w:pPr>
        <w:pStyle w:val="BulletList"/>
      </w:pPr>
      <w:r w:rsidRPr="00E07356">
        <w:t xml:space="preserve">Mai Kim Tran, </w:t>
      </w:r>
      <w:r w:rsidR="0003073E">
        <w:t>DOE</w:t>
      </w:r>
    </w:p>
    <w:p w14:paraId="6F6DD419" w14:textId="05F688C2" w:rsidR="003D64C5" w:rsidRPr="003D64C5" w:rsidRDefault="00E07356" w:rsidP="002954B7">
      <w:pPr>
        <w:pStyle w:val="BulletListspace"/>
      </w:pPr>
      <w:r w:rsidRPr="003D64C5">
        <w:t>Edith Zagona</w:t>
      </w:r>
      <w:r>
        <w:t>, University of Colorado, Boulder</w:t>
      </w:r>
    </w:p>
    <w:p w14:paraId="067496A3" w14:textId="7C3DE72A" w:rsidR="0090750E" w:rsidRPr="005F07CF" w:rsidRDefault="009E4B95" w:rsidP="002954B7">
      <w:pPr>
        <w:pStyle w:val="BodyText"/>
      </w:pPr>
      <w:r w:rsidRPr="005F07CF">
        <w:t>Support from other O</w:t>
      </w:r>
      <w:r w:rsidR="005720CF" w:rsidRPr="005F07CF">
        <w:t xml:space="preserve">ak </w:t>
      </w:r>
      <w:r w:rsidRPr="005F07CF">
        <w:t>R</w:t>
      </w:r>
      <w:r w:rsidR="005720CF" w:rsidRPr="005F07CF">
        <w:t xml:space="preserve">idge </w:t>
      </w:r>
      <w:r w:rsidRPr="005F07CF">
        <w:t>N</w:t>
      </w:r>
      <w:r w:rsidR="005720CF" w:rsidRPr="005F07CF">
        <w:t xml:space="preserve">ational </w:t>
      </w:r>
      <w:r w:rsidRPr="005F07CF">
        <w:t>L</w:t>
      </w:r>
      <w:r w:rsidR="005720CF" w:rsidRPr="005F07CF">
        <w:t>aboratory (ORNL)</w:t>
      </w:r>
      <w:r w:rsidRPr="005F07CF">
        <w:t xml:space="preserve"> staff, including </w:t>
      </w:r>
      <w:r w:rsidR="0023150A" w:rsidRPr="005F07CF">
        <w:t xml:space="preserve">Brennan Smith, Shelaine Curd, </w:t>
      </w:r>
      <w:r w:rsidR="001073FB" w:rsidRPr="005F07CF">
        <w:t>Olivia Shafer, Sam Crawford</w:t>
      </w:r>
      <w:r w:rsidR="007E7B04">
        <w:t>, and Scott Painter</w:t>
      </w:r>
      <w:r w:rsidR="008B723E" w:rsidRPr="005F07CF">
        <w:t xml:space="preserve">, </w:t>
      </w:r>
      <w:r w:rsidR="0090750E" w:rsidRPr="005F07CF">
        <w:t xml:space="preserve">is </w:t>
      </w:r>
      <w:r w:rsidR="002B0639" w:rsidRPr="005F07CF">
        <w:t xml:space="preserve">also </w:t>
      </w:r>
      <w:r w:rsidR="0090750E" w:rsidRPr="005F07CF">
        <w:t>acknowledged.</w:t>
      </w:r>
      <w:r w:rsidR="008B723E" w:rsidRPr="005F07CF">
        <w:t xml:space="preserve"> </w:t>
      </w:r>
      <w:r w:rsidR="005720CF" w:rsidRPr="005F07CF">
        <w:t xml:space="preserve">The research used resources of the Oak Ridge Leadership Computing Facility at ORNL, which is a DOE Office of Science User </w:t>
      </w:r>
      <w:r w:rsidR="005720CF" w:rsidRPr="005F07CF">
        <w:lastRenderedPageBreak/>
        <w:t>Facility</w:t>
      </w:r>
      <w:r w:rsidR="00CF26E0" w:rsidRPr="005F07CF">
        <w:t>. The ORNL authors are employees of UT-Battelle, LLC, under contract DE-AC05-00OR22725 with DOE.</w:t>
      </w:r>
    </w:p>
    <w:p w14:paraId="41C38C55" w14:textId="77777777" w:rsidR="007B4A8E" w:rsidRPr="005F07CF" w:rsidRDefault="0090750E" w:rsidP="002954B7">
      <w:pPr>
        <w:pStyle w:val="BodyText"/>
      </w:pPr>
      <w:r w:rsidRPr="005F07CF">
        <w:t xml:space="preserve">The listing of reviewers here does not imply their agreement with all findings of the report. </w:t>
      </w:r>
      <w:r w:rsidR="007B4A8E" w:rsidRPr="005F07CF">
        <w:t>Any remaining errors in this report are the sole responsibility of the authors.</w:t>
      </w:r>
    </w:p>
    <w:p w14:paraId="05EB7DA9" w14:textId="77777777" w:rsidR="00460924" w:rsidRDefault="00460924" w:rsidP="004B5FA6">
      <w:pPr>
        <w:spacing w:before="0" w:after="0" w:line="240" w:lineRule="auto"/>
        <w:ind w:firstLine="0"/>
      </w:pPr>
    </w:p>
    <w:p w14:paraId="36407BA3" w14:textId="77777777" w:rsidR="00A922FD" w:rsidRDefault="00A922FD" w:rsidP="004B5FA6">
      <w:pPr>
        <w:spacing w:before="0" w:after="0" w:line="240" w:lineRule="auto"/>
        <w:ind w:firstLine="0"/>
        <w:sectPr w:rsidR="00A922FD" w:rsidSect="009B020D">
          <w:footerReference w:type="default" r:id="rId25"/>
          <w:pgSz w:w="12240" w:h="15840" w:code="1"/>
          <w:pgMar w:top="1440" w:right="1440" w:bottom="1440" w:left="1440" w:header="720" w:footer="720" w:gutter="0"/>
          <w:pgNumType w:fmt="lowerRoman" w:start="1"/>
          <w:cols w:space="720"/>
          <w:docGrid w:linePitch="360"/>
        </w:sectPr>
      </w:pPr>
    </w:p>
    <w:p w14:paraId="62D3DB61" w14:textId="47B66158" w:rsidR="00AF4DD7" w:rsidRPr="00925971" w:rsidRDefault="00AF4DD7" w:rsidP="00925971">
      <w:pPr>
        <w:pStyle w:val="Heading1Contents"/>
        <w:rPr>
          <w:bCs/>
          <w:iCs/>
          <w:snapToGrid/>
        </w:rPr>
      </w:pPr>
      <w:bookmarkStart w:id="5" w:name="_Toc377480580"/>
      <w:r w:rsidRPr="00925971">
        <w:rPr>
          <w:bCs/>
          <w:iCs/>
          <w:snapToGrid/>
        </w:rPr>
        <w:lastRenderedPageBreak/>
        <w:t>CONTENTS</w:t>
      </w:r>
      <w:bookmarkEnd w:id="5"/>
    </w:p>
    <w:bookmarkStart w:id="6" w:name="_Hlk106888029"/>
    <w:p w14:paraId="6B792A19" w14:textId="5E72DA9D" w:rsidR="00D8288E" w:rsidRDefault="003214E4">
      <w:pPr>
        <w:pStyle w:val="TOC1"/>
        <w:rPr>
          <w:rFonts w:asciiTheme="minorHAnsi" w:eastAsiaTheme="minorEastAsia" w:hAnsiTheme="minorHAnsi" w:cstheme="minorBidi"/>
          <w:lang w:bidi="ar-SA"/>
        </w:rPr>
      </w:pPr>
      <w:r>
        <w:fldChar w:fldCharType="begin"/>
      </w:r>
      <w:r w:rsidR="00AA4888">
        <w:instrText xml:space="preserve"> TOC \o "2-3" \h \z \t "Heading 1,1,Heading 9,1,Heading 1 (front sections),1" </w:instrText>
      </w:r>
      <w:r>
        <w:fldChar w:fldCharType="separate"/>
      </w:r>
      <w:hyperlink w:anchor="_Toc113380751" w:history="1">
        <w:r w:rsidR="00D8288E" w:rsidRPr="00A030B5">
          <w:rPr>
            <w:rStyle w:val="Hyperlink"/>
          </w:rPr>
          <w:t>ACKNOWLEDGMENTS</w:t>
        </w:r>
        <w:r w:rsidR="00D8288E">
          <w:rPr>
            <w:webHidden/>
          </w:rPr>
          <w:tab/>
        </w:r>
        <w:r w:rsidR="00D8288E">
          <w:rPr>
            <w:webHidden/>
          </w:rPr>
          <w:fldChar w:fldCharType="begin"/>
        </w:r>
        <w:r w:rsidR="00D8288E">
          <w:rPr>
            <w:webHidden/>
          </w:rPr>
          <w:instrText xml:space="preserve"> PAGEREF _Toc113380751 \h </w:instrText>
        </w:r>
        <w:r w:rsidR="00D8288E">
          <w:rPr>
            <w:webHidden/>
          </w:rPr>
        </w:r>
        <w:r w:rsidR="00D8288E">
          <w:rPr>
            <w:webHidden/>
          </w:rPr>
          <w:fldChar w:fldCharType="separate"/>
        </w:r>
        <w:r w:rsidR="00EE0BF5">
          <w:rPr>
            <w:webHidden/>
          </w:rPr>
          <w:t>i</w:t>
        </w:r>
        <w:r w:rsidR="00D8288E">
          <w:rPr>
            <w:webHidden/>
          </w:rPr>
          <w:fldChar w:fldCharType="end"/>
        </w:r>
      </w:hyperlink>
    </w:p>
    <w:p w14:paraId="2250E5CA" w14:textId="5B41CD47" w:rsidR="00D8288E" w:rsidRDefault="008043C8">
      <w:pPr>
        <w:pStyle w:val="TOC1"/>
        <w:rPr>
          <w:rFonts w:asciiTheme="minorHAnsi" w:eastAsiaTheme="minorEastAsia" w:hAnsiTheme="minorHAnsi" w:cstheme="minorBidi"/>
          <w:lang w:bidi="ar-SA"/>
        </w:rPr>
      </w:pPr>
      <w:hyperlink w:anchor="_Toc113380752" w:history="1">
        <w:r w:rsidR="00D8288E" w:rsidRPr="00A030B5">
          <w:rPr>
            <w:rStyle w:val="Hyperlink"/>
          </w:rPr>
          <w:t>LIST OF FIGURES</w:t>
        </w:r>
        <w:r w:rsidR="00D8288E">
          <w:rPr>
            <w:webHidden/>
          </w:rPr>
          <w:tab/>
        </w:r>
        <w:r w:rsidR="00D8288E">
          <w:rPr>
            <w:webHidden/>
          </w:rPr>
          <w:fldChar w:fldCharType="begin"/>
        </w:r>
        <w:r w:rsidR="00D8288E">
          <w:rPr>
            <w:webHidden/>
          </w:rPr>
          <w:instrText xml:space="preserve"> PAGEREF _Toc113380752 \h </w:instrText>
        </w:r>
        <w:r w:rsidR="00D8288E">
          <w:rPr>
            <w:webHidden/>
          </w:rPr>
        </w:r>
        <w:r w:rsidR="00D8288E">
          <w:rPr>
            <w:webHidden/>
          </w:rPr>
          <w:fldChar w:fldCharType="separate"/>
        </w:r>
        <w:r w:rsidR="00EE0BF5">
          <w:rPr>
            <w:webHidden/>
          </w:rPr>
          <w:t>vii</w:t>
        </w:r>
        <w:r w:rsidR="00D8288E">
          <w:rPr>
            <w:webHidden/>
          </w:rPr>
          <w:fldChar w:fldCharType="end"/>
        </w:r>
      </w:hyperlink>
    </w:p>
    <w:p w14:paraId="148C2EA8" w14:textId="1FD95886" w:rsidR="00D8288E" w:rsidRDefault="008043C8">
      <w:pPr>
        <w:pStyle w:val="TOC1"/>
        <w:rPr>
          <w:rFonts w:asciiTheme="minorHAnsi" w:eastAsiaTheme="minorEastAsia" w:hAnsiTheme="minorHAnsi" w:cstheme="minorBidi"/>
          <w:lang w:bidi="ar-SA"/>
        </w:rPr>
      </w:pPr>
      <w:hyperlink w:anchor="_Toc113380753" w:history="1">
        <w:r w:rsidR="00D8288E" w:rsidRPr="00A030B5">
          <w:rPr>
            <w:rStyle w:val="Hyperlink"/>
          </w:rPr>
          <w:t>LIST OF TABLES</w:t>
        </w:r>
        <w:r w:rsidR="00D8288E">
          <w:rPr>
            <w:webHidden/>
          </w:rPr>
          <w:tab/>
        </w:r>
        <w:r w:rsidR="00D8288E">
          <w:rPr>
            <w:webHidden/>
          </w:rPr>
          <w:fldChar w:fldCharType="begin"/>
        </w:r>
        <w:r w:rsidR="00D8288E">
          <w:rPr>
            <w:webHidden/>
          </w:rPr>
          <w:instrText xml:space="preserve"> PAGEREF _Toc113380753 \h </w:instrText>
        </w:r>
        <w:r w:rsidR="00D8288E">
          <w:rPr>
            <w:webHidden/>
          </w:rPr>
        </w:r>
        <w:r w:rsidR="00D8288E">
          <w:rPr>
            <w:webHidden/>
          </w:rPr>
          <w:fldChar w:fldCharType="separate"/>
        </w:r>
        <w:r w:rsidR="00EE0BF5">
          <w:rPr>
            <w:webHidden/>
          </w:rPr>
          <w:t>xi</w:t>
        </w:r>
        <w:r w:rsidR="00D8288E">
          <w:rPr>
            <w:webHidden/>
          </w:rPr>
          <w:fldChar w:fldCharType="end"/>
        </w:r>
      </w:hyperlink>
    </w:p>
    <w:p w14:paraId="60E6A651" w14:textId="73AB4BCE" w:rsidR="00D8288E" w:rsidRDefault="008043C8">
      <w:pPr>
        <w:pStyle w:val="TOC1"/>
        <w:rPr>
          <w:rFonts w:asciiTheme="minorHAnsi" w:eastAsiaTheme="minorEastAsia" w:hAnsiTheme="minorHAnsi" w:cstheme="minorBidi"/>
          <w:lang w:bidi="ar-SA"/>
        </w:rPr>
      </w:pPr>
      <w:hyperlink w:anchor="_Toc113380754" w:history="1">
        <w:r w:rsidR="00D8288E" w:rsidRPr="00A030B5">
          <w:rPr>
            <w:rStyle w:val="Hyperlink"/>
          </w:rPr>
          <w:t>EXECUTIVE SUMMARY</w:t>
        </w:r>
        <w:r w:rsidR="00D8288E">
          <w:rPr>
            <w:webHidden/>
          </w:rPr>
          <w:tab/>
        </w:r>
        <w:r w:rsidR="00D8288E">
          <w:rPr>
            <w:webHidden/>
          </w:rPr>
          <w:fldChar w:fldCharType="begin"/>
        </w:r>
        <w:r w:rsidR="00D8288E">
          <w:rPr>
            <w:webHidden/>
          </w:rPr>
          <w:instrText xml:space="preserve"> PAGEREF _Toc113380754 \h </w:instrText>
        </w:r>
        <w:r w:rsidR="00D8288E">
          <w:rPr>
            <w:webHidden/>
          </w:rPr>
        </w:r>
        <w:r w:rsidR="00D8288E">
          <w:rPr>
            <w:webHidden/>
          </w:rPr>
          <w:fldChar w:fldCharType="separate"/>
        </w:r>
        <w:r w:rsidR="00EE0BF5">
          <w:rPr>
            <w:webHidden/>
          </w:rPr>
          <w:t>xiii</w:t>
        </w:r>
        <w:r w:rsidR="00D8288E">
          <w:rPr>
            <w:webHidden/>
          </w:rPr>
          <w:fldChar w:fldCharType="end"/>
        </w:r>
      </w:hyperlink>
    </w:p>
    <w:p w14:paraId="0B874F9D" w14:textId="3623E35A" w:rsidR="00D8288E" w:rsidRDefault="008043C8">
      <w:pPr>
        <w:pStyle w:val="TOC1"/>
        <w:rPr>
          <w:rFonts w:asciiTheme="minorHAnsi" w:eastAsiaTheme="minorEastAsia" w:hAnsiTheme="minorHAnsi" w:cstheme="minorBidi"/>
          <w:lang w:bidi="ar-SA"/>
        </w:rPr>
      </w:pPr>
      <w:hyperlink w:anchor="_Toc113380755" w:history="1">
        <w:r w:rsidR="00D8288E" w:rsidRPr="00A030B5">
          <w:rPr>
            <w:rStyle w:val="Hyperlink"/>
          </w:rPr>
          <w:t>ABBREVIATIONS</w:t>
        </w:r>
        <w:r w:rsidR="00D8288E">
          <w:rPr>
            <w:webHidden/>
          </w:rPr>
          <w:tab/>
        </w:r>
        <w:r w:rsidR="00D8288E">
          <w:rPr>
            <w:webHidden/>
          </w:rPr>
          <w:fldChar w:fldCharType="begin"/>
        </w:r>
        <w:r w:rsidR="00D8288E">
          <w:rPr>
            <w:webHidden/>
          </w:rPr>
          <w:instrText xml:space="preserve"> PAGEREF _Toc113380755 \h </w:instrText>
        </w:r>
        <w:r w:rsidR="00D8288E">
          <w:rPr>
            <w:webHidden/>
          </w:rPr>
        </w:r>
        <w:r w:rsidR="00D8288E">
          <w:rPr>
            <w:webHidden/>
          </w:rPr>
          <w:fldChar w:fldCharType="separate"/>
        </w:r>
        <w:r w:rsidR="00EE0BF5">
          <w:rPr>
            <w:webHidden/>
          </w:rPr>
          <w:t>xxiii</w:t>
        </w:r>
        <w:r w:rsidR="00D8288E">
          <w:rPr>
            <w:webHidden/>
          </w:rPr>
          <w:fldChar w:fldCharType="end"/>
        </w:r>
      </w:hyperlink>
    </w:p>
    <w:p w14:paraId="6105F9DF" w14:textId="387786BF" w:rsidR="00D8288E" w:rsidRDefault="008043C8">
      <w:pPr>
        <w:pStyle w:val="TOC1"/>
        <w:rPr>
          <w:rFonts w:asciiTheme="minorHAnsi" w:eastAsiaTheme="minorEastAsia" w:hAnsiTheme="minorHAnsi" w:cstheme="minorBidi"/>
          <w:lang w:bidi="ar-SA"/>
        </w:rPr>
      </w:pPr>
      <w:hyperlink w:anchor="_Toc113380756" w:history="1">
        <w:r w:rsidR="00D8288E" w:rsidRPr="00A030B5">
          <w:rPr>
            <w:rStyle w:val="Hyperlink"/>
          </w:rPr>
          <w:t>1.</w:t>
        </w:r>
        <w:r w:rsidR="00D8288E">
          <w:rPr>
            <w:rFonts w:asciiTheme="minorHAnsi" w:eastAsiaTheme="minorEastAsia" w:hAnsiTheme="minorHAnsi" w:cstheme="minorBidi"/>
            <w:lang w:bidi="ar-SA"/>
          </w:rPr>
          <w:tab/>
        </w:r>
        <w:r w:rsidR="00D8288E" w:rsidRPr="00A030B5">
          <w:rPr>
            <w:rStyle w:val="Hyperlink"/>
          </w:rPr>
          <w:t>INTRODUCTION</w:t>
        </w:r>
        <w:r w:rsidR="00D8288E">
          <w:rPr>
            <w:webHidden/>
          </w:rPr>
          <w:tab/>
        </w:r>
        <w:r w:rsidR="00D8288E">
          <w:rPr>
            <w:webHidden/>
          </w:rPr>
          <w:fldChar w:fldCharType="begin"/>
        </w:r>
        <w:r w:rsidR="00D8288E">
          <w:rPr>
            <w:webHidden/>
          </w:rPr>
          <w:instrText xml:space="preserve"> PAGEREF _Toc113380756 \h </w:instrText>
        </w:r>
        <w:r w:rsidR="00D8288E">
          <w:rPr>
            <w:webHidden/>
          </w:rPr>
        </w:r>
        <w:r w:rsidR="00D8288E">
          <w:rPr>
            <w:webHidden/>
          </w:rPr>
          <w:fldChar w:fldCharType="separate"/>
        </w:r>
        <w:r w:rsidR="00EE0BF5">
          <w:rPr>
            <w:webHidden/>
          </w:rPr>
          <w:t>1</w:t>
        </w:r>
        <w:r w:rsidR="00D8288E">
          <w:rPr>
            <w:webHidden/>
          </w:rPr>
          <w:fldChar w:fldCharType="end"/>
        </w:r>
      </w:hyperlink>
    </w:p>
    <w:p w14:paraId="3D4FD6EC" w14:textId="2E0B1771" w:rsidR="00D8288E" w:rsidRDefault="008043C8">
      <w:pPr>
        <w:pStyle w:val="TOC2"/>
        <w:tabs>
          <w:tab w:val="left" w:pos="1008"/>
        </w:tabs>
        <w:rPr>
          <w:rFonts w:asciiTheme="minorHAnsi" w:eastAsiaTheme="minorEastAsia" w:hAnsiTheme="minorHAnsi" w:cstheme="minorBidi"/>
          <w:lang w:bidi="ar-SA"/>
        </w:rPr>
      </w:pPr>
      <w:hyperlink w:anchor="_Toc113380757" w:history="1">
        <w:r w:rsidR="00D8288E" w:rsidRPr="00A030B5">
          <w:rPr>
            <w:rStyle w:val="Hyperlink"/>
            <w:bCs/>
            <w:iCs/>
          </w:rPr>
          <w:t>1.1</w:t>
        </w:r>
        <w:r w:rsidR="00D8288E">
          <w:rPr>
            <w:rFonts w:asciiTheme="minorHAnsi" w:eastAsiaTheme="minorEastAsia" w:hAnsiTheme="minorHAnsi" w:cstheme="minorBidi"/>
            <w:lang w:bidi="ar-SA"/>
          </w:rPr>
          <w:tab/>
        </w:r>
        <w:r w:rsidR="00D8288E" w:rsidRPr="00A030B5">
          <w:rPr>
            <w:rStyle w:val="Hyperlink"/>
            <w:bCs/>
            <w:iCs/>
          </w:rPr>
          <w:t>Background</w:t>
        </w:r>
        <w:r w:rsidR="00D8288E">
          <w:rPr>
            <w:webHidden/>
          </w:rPr>
          <w:tab/>
        </w:r>
        <w:r w:rsidR="00D8288E">
          <w:rPr>
            <w:webHidden/>
          </w:rPr>
          <w:fldChar w:fldCharType="begin"/>
        </w:r>
        <w:r w:rsidR="00D8288E">
          <w:rPr>
            <w:webHidden/>
          </w:rPr>
          <w:instrText xml:space="preserve"> PAGEREF _Toc113380757 \h </w:instrText>
        </w:r>
        <w:r w:rsidR="00D8288E">
          <w:rPr>
            <w:webHidden/>
          </w:rPr>
        </w:r>
        <w:r w:rsidR="00D8288E">
          <w:rPr>
            <w:webHidden/>
          </w:rPr>
          <w:fldChar w:fldCharType="separate"/>
        </w:r>
        <w:r w:rsidR="00EE0BF5">
          <w:rPr>
            <w:webHidden/>
          </w:rPr>
          <w:t>1</w:t>
        </w:r>
        <w:r w:rsidR="00D8288E">
          <w:rPr>
            <w:webHidden/>
          </w:rPr>
          <w:fldChar w:fldCharType="end"/>
        </w:r>
      </w:hyperlink>
    </w:p>
    <w:p w14:paraId="3AF4FFB0" w14:textId="60A2D086" w:rsidR="00D8288E" w:rsidRDefault="008043C8">
      <w:pPr>
        <w:pStyle w:val="TOC2"/>
        <w:tabs>
          <w:tab w:val="left" w:pos="1008"/>
        </w:tabs>
        <w:rPr>
          <w:rFonts w:asciiTheme="minorHAnsi" w:eastAsiaTheme="minorEastAsia" w:hAnsiTheme="minorHAnsi" w:cstheme="minorBidi"/>
          <w:lang w:bidi="ar-SA"/>
        </w:rPr>
      </w:pPr>
      <w:hyperlink w:anchor="_Toc113380758" w:history="1">
        <w:r w:rsidR="00D8288E" w:rsidRPr="00A030B5">
          <w:rPr>
            <w:rStyle w:val="Hyperlink"/>
          </w:rPr>
          <w:t>1.2</w:t>
        </w:r>
        <w:r w:rsidR="00D8288E">
          <w:rPr>
            <w:rFonts w:asciiTheme="minorHAnsi" w:eastAsiaTheme="minorEastAsia" w:hAnsiTheme="minorHAnsi" w:cstheme="minorBidi"/>
            <w:lang w:bidi="ar-SA"/>
          </w:rPr>
          <w:tab/>
        </w:r>
        <w:r w:rsidR="00D8288E" w:rsidRPr="00A030B5">
          <w:rPr>
            <w:rStyle w:val="Hyperlink"/>
          </w:rPr>
          <w:t>The US Federal Hydropower System</w:t>
        </w:r>
        <w:r w:rsidR="00D8288E">
          <w:rPr>
            <w:webHidden/>
          </w:rPr>
          <w:tab/>
        </w:r>
        <w:r w:rsidR="00D8288E">
          <w:rPr>
            <w:webHidden/>
          </w:rPr>
          <w:fldChar w:fldCharType="begin"/>
        </w:r>
        <w:r w:rsidR="00D8288E">
          <w:rPr>
            <w:webHidden/>
          </w:rPr>
          <w:instrText xml:space="preserve"> PAGEREF _Toc113380758 \h </w:instrText>
        </w:r>
        <w:r w:rsidR="00D8288E">
          <w:rPr>
            <w:webHidden/>
          </w:rPr>
        </w:r>
        <w:r w:rsidR="00D8288E">
          <w:rPr>
            <w:webHidden/>
          </w:rPr>
          <w:fldChar w:fldCharType="separate"/>
        </w:r>
        <w:r w:rsidR="00EE0BF5">
          <w:rPr>
            <w:webHidden/>
          </w:rPr>
          <w:t>3</w:t>
        </w:r>
        <w:r w:rsidR="00D8288E">
          <w:rPr>
            <w:webHidden/>
          </w:rPr>
          <w:fldChar w:fldCharType="end"/>
        </w:r>
      </w:hyperlink>
    </w:p>
    <w:p w14:paraId="6401E89D" w14:textId="1FCD2397" w:rsidR="00D8288E" w:rsidRDefault="008043C8">
      <w:pPr>
        <w:pStyle w:val="TOC3"/>
        <w:tabs>
          <w:tab w:val="left" w:pos="1728"/>
        </w:tabs>
        <w:rPr>
          <w:rFonts w:asciiTheme="minorHAnsi" w:eastAsiaTheme="minorEastAsia" w:hAnsiTheme="minorHAnsi" w:cstheme="minorBidi"/>
          <w:lang w:bidi="ar-SA"/>
        </w:rPr>
      </w:pPr>
      <w:hyperlink w:anchor="_Toc113380759" w:history="1">
        <w:r w:rsidR="00D8288E" w:rsidRPr="00A030B5">
          <w:rPr>
            <w:rStyle w:val="Hyperlink"/>
          </w:rPr>
          <w:t>1.2.1</w:t>
        </w:r>
        <w:r w:rsidR="00D8288E">
          <w:rPr>
            <w:rFonts w:asciiTheme="minorHAnsi" w:eastAsiaTheme="minorEastAsia" w:hAnsiTheme="minorHAnsi" w:cstheme="minorBidi"/>
            <w:lang w:bidi="ar-SA"/>
          </w:rPr>
          <w:tab/>
        </w:r>
        <w:r w:rsidR="00D8288E" w:rsidRPr="00A030B5">
          <w:rPr>
            <w:rStyle w:val="Hyperlink"/>
          </w:rPr>
          <w:t>Federal Hydropower Generation</w:t>
        </w:r>
        <w:r w:rsidR="00D8288E">
          <w:rPr>
            <w:webHidden/>
          </w:rPr>
          <w:tab/>
        </w:r>
        <w:r w:rsidR="00D8288E">
          <w:rPr>
            <w:webHidden/>
          </w:rPr>
          <w:fldChar w:fldCharType="begin"/>
        </w:r>
        <w:r w:rsidR="00D8288E">
          <w:rPr>
            <w:webHidden/>
          </w:rPr>
          <w:instrText xml:space="preserve"> PAGEREF _Toc113380759 \h </w:instrText>
        </w:r>
        <w:r w:rsidR="00D8288E">
          <w:rPr>
            <w:webHidden/>
          </w:rPr>
        </w:r>
        <w:r w:rsidR="00D8288E">
          <w:rPr>
            <w:webHidden/>
          </w:rPr>
          <w:fldChar w:fldCharType="separate"/>
        </w:r>
        <w:r w:rsidR="00EE0BF5">
          <w:rPr>
            <w:webHidden/>
          </w:rPr>
          <w:t>3</w:t>
        </w:r>
        <w:r w:rsidR="00D8288E">
          <w:rPr>
            <w:webHidden/>
          </w:rPr>
          <w:fldChar w:fldCharType="end"/>
        </w:r>
      </w:hyperlink>
    </w:p>
    <w:p w14:paraId="3845BB88" w14:textId="3FAFF222" w:rsidR="00D8288E" w:rsidRDefault="008043C8">
      <w:pPr>
        <w:pStyle w:val="TOC3"/>
        <w:tabs>
          <w:tab w:val="left" w:pos="1728"/>
        </w:tabs>
        <w:rPr>
          <w:rFonts w:asciiTheme="minorHAnsi" w:eastAsiaTheme="minorEastAsia" w:hAnsiTheme="minorHAnsi" w:cstheme="minorBidi"/>
          <w:lang w:bidi="ar-SA"/>
        </w:rPr>
      </w:pPr>
      <w:hyperlink w:anchor="_Toc113380760" w:history="1">
        <w:r w:rsidR="00D8288E" w:rsidRPr="00A030B5">
          <w:rPr>
            <w:rStyle w:val="Hyperlink"/>
          </w:rPr>
          <w:t>1.2.2</w:t>
        </w:r>
        <w:r w:rsidR="00D8288E">
          <w:rPr>
            <w:rFonts w:asciiTheme="minorHAnsi" w:eastAsiaTheme="minorEastAsia" w:hAnsiTheme="minorHAnsi" w:cstheme="minorBidi"/>
            <w:lang w:bidi="ar-SA"/>
          </w:rPr>
          <w:tab/>
        </w:r>
        <w:r w:rsidR="00D8288E" w:rsidRPr="00A030B5">
          <w:rPr>
            <w:rStyle w:val="Hyperlink"/>
          </w:rPr>
          <w:t>Marketing Federal Hydropower</w:t>
        </w:r>
        <w:r w:rsidR="00D8288E">
          <w:rPr>
            <w:webHidden/>
          </w:rPr>
          <w:tab/>
        </w:r>
        <w:r w:rsidR="00D8288E">
          <w:rPr>
            <w:webHidden/>
          </w:rPr>
          <w:fldChar w:fldCharType="begin"/>
        </w:r>
        <w:r w:rsidR="00D8288E">
          <w:rPr>
            <w:webHidden/>
          </w:rPr>
          <w:instrText xml:space="preserve"> PAGEREF _Toc113380760 \h </w:instrText>
        </w:r>
        <w:r w:rsidR="00D8288E">
          <w:rPr>
            <w:webHidden/>
          </w:rPr>
        </w:r>
        <w:r w:rsidR="00D8288E">
          <w:rPr>
            <w:webHidden/>
          </w:rPr>
          <w:fldChar w:fldCharType="separate"/>
        </w:r>
        <w:r w:rsidR="00EE0BF5">
          <w:rPr>
            <w:webHidden/>
          </w:rPr>
          <w:t>5</w:t>
        </w:r>
        <w:r w:rsidR="00D8288E">
          <w:rPr>
            <w:webHidden/>
          </w:rPr>
          <w:fldChar w:fldCharType="end"/>
        </w:r>
      </w:hyperlink>
    </w:p>
    <w:p w14:paraId="66382AD8" w14:textId="10904740" w:rsidR="00D8288E" w:rsidRDefault="008043C8">
      <w:pPr>
        <w:pStyle w:val="TOC2"/>
        <w:tabs>
          <w:tab w:val="left" w:pos="1008"/>
        </w:tabs>
        <w:rPr>
          <w:rFonts w:asciiTheme="minorHAnsi" w:eastAsiaTheme="minorEastAsia" w:hAnsiTheme="minorHAnsi" w:cstheme="minorBidi"/>
          <w:lang w:bidi="ar-SA"/>
        </w:rPr>
      </w:pPr>
      <w:hyperlink w:anchor="_Toc113380761" w:history="1">
        <w:r w:rsidR="00D8288E" w:rsidRPr="00A030B5">
          <w:rPr>
            <w:rStyle w:val="Hyperlink"/>
          </w:rPr>
          <w:t>1.3</w:t>
        </w:r>
        <w:r w:rsidR="00D8288E">
          <w:rPr>
            <w:rFonts w:asciiTheme="minorHAnsi" w:eastAsiaTheme="minorEastAsia" w:hAnsiTheme="minorHAnsi" w:cstheme="minorBidi"/>
            <w:lang w:bidi="ar-SA"/>
          </w:rPr>
          <w:tab/>
        </w:r>
        <w:r w:rsidR="00D8288E" w:rsidRPr="00A030B5">
          <w:rPr>
            <w:rStyle w:val="Hyperlink"/>
          </w:rPr>
          <w:t>Organization of the Report</w:t>
        </w:r>
        <w:r w:rsidR="00D8288E">
          <w:rPr>
            <w:webHidden/>
          </w:rPr>
          <w:tab/>
        </w:r>
        <w:r w:rsidR="00D8288E">
          <w:rPr>
            <w:webHidden/>
          </w:rPr>
          <w:fldChar w:fldCharType="begin"/>
        </w:r>
        <w:r w:rsidR="00D8288E">
          <w:rPr>
            <w:webHidden/>
          </w:rPr>
          <w:instrText xml:space="preserve"> PAGEREF _Toc113380761 \h </w:instrText>
        </w:r>
        <w:r w:rsidR="00D8288E">
          <w:rPr>
            <w:webHidden/>
          </w:rPr>
        </w:r>
        <w:r w:rsidR="00D8288E">
          <w:rPr>
            <w:webHidden/>
          </w:rPr>
          <w:fldChar w:fldCharType="separate"/>
        </w:r>
        <w:r w:rsidR="00EE0BF5">
          <w:rPr>
            <w:webHidden/>
          </w:rPr>
          <w:t>6</w:t>
        </w:r>
        <w:r w:rsidR="00D8288E">
          <w:rPr>
            <w:webHidden/>
          </w:rPr>
          <w:fldChar w:fldCharType="end"/>
        </w:r>
      </w:hyperlink>
    </w:p>
    <w:p w14:paraId="13D08387" w14:textId="40ED46DD" w:rsidR="00D8288E" w:rsidRDefault="008043C8">
      <w:pPr>
        <w:pStyle w:val="TOC1"/>
        <w:rPr>
          <w:rFonts w:asciiTheme="minorHAnsi" w:eastAsiaTheme="minorEastAsia" w:hAnsiTheme="minorHAnsi" w:cstheme="minorBidi"/>
          <w:lang w:bidi="ar-SA"/>
        </w:rPr>
      </w:pPr>
      <w:hyperlink w:anchor="_Toc113380762" w:history="1">
        <w:r w:rsidR="00D8288E" w:rsidRPr="00A030B5">
          <w:rPr>
            <w:rStyle w:val="Hyperlink"/>
          </w:rPr>
          <w:t>2.</w:t>
        </w:r>
        <w:r w:rsidR="00D8288E">
          <w:rPr>
            <w:rFonts w:asciiTheme="minorHAnsi" w:eastAsiaTheme="minorEastAsia" w:hAnsiTheme="minorHAnsi" w:cstheme="minorBidi"/>
            <w:lang w:bidi="ar-SA"/>
          </w:rPr>
          <w:tab/>
        </w:r>
        <w:r w:rsidR="00D8288E" w:rsidRPr="00A030B5">
          <w:rPr>
            <w:rStyle w:val="Hyperlink"/>
          </w:rPr>
          <w:t>ASSESSMENT APPROACH</w:t>
        </w:r>
        <w:r w:rsidR="00D8288E">
          <w:rPr>
            <w:webHidden/>
          </w:rPr>
          <w:tab/>
        </w:r>
        <w:r w:rsidR="00D8288E">
          <w:rPr>
            <w:webHidden/>
          </w:rPr>
          <w:fldChar w:fldCharType="begin"/>
        </w:r>
        <w:r w:rsidR="00D8288E">
          <w:rPr>
            <w:webHidden/>
          </w:rPr>
          <w:instrText xml:space="preserve"> PAGEREF _Toc113380762 \h </w:instrText>
        </w:r>
        <w:r w:rsidR="00D8288E">
          <w:rPr>
            <w:webHidden/>
          </w:rPr>
        </w:r>
        <w:r w:rsidR="00D8288E">
          <w:rPr>
            <w:webHidden/>
          </w:rPr>
          <w:fldChar w:fldCharType="separate"/>
        </w:r>
        <w:r w:rsidR="00EE0BF5">
          <w:rPr>
            <w:webHidden/>
          </w:rPr>
          <w:t>7</w:t>
        </w:r>
        <w:r w:rsidR="00D8288E">
          <w:rPr>
            <w:webHidden/>
          </w:rPr>
          <w:fldChar w:fldCharType="end"/>
        </w:r>
      </w:hyperlink>
    </w:p>
    <w:p w14:paraId="41528A77" w14:textId="2BE28A14" w:rsidR="00D8288E" w:rsidRDefault="008043C8">
      <w:pPr>
        <w:pStyle w:val="TOC2"/>
        <w:tabs>
          <w:tab w:val="left" w:pos="1008"/>
        </w:tabs>
        <w:rPr>
          <w:rFonts w:asciiTheme="minorHAnsi" w:eastAsiaTheme="minorEastAsia" w:hAnsiTheme="minorHAnsi" w:cstheme="minorBidi"/>
          <w:lang w:bidi="ar-SA"/>
        </w:rPr>
      </w:pPr>
      <w:hyperlink w:anchor="_Toc113380763" w:history="1">
        <w:r w:rsidR="00D8288E" w:rsidRPr="00A030B5">
          <w:rPr>
            <w:rStyle w:val="Hyperlink"/>
          </w:rPr>
          <w:t>2.1</w:t>
        </w:r>
        <w:r w:rsidR="00D8288E">
          <w:rPr>
            <w:rFonts w:asciiTheme="minorHAnsi" w:eastAsiaTheme="minorEastAsia" w:hAnsiTheme="minorHAnsi" w:cstheme="minorBidi"/>
            <w:lang w:bidi="ar-SA"/>
          </w:rPr>
          <w:tab/>
        </w:r>
        <w:r w:rsidR="00D8288E" w:rsidRPr="00A030B5">
          <w:rPr>
            <w:rStyle w:val="Hyperlink"/>
          </w:rPr>
          <w:t>Scope and Objectives</w:t>
        </w:r>
        <w:r w:rsidR="00D8288E">
          <w:rPr>
            <w:webHidden/>
          </w:rPr>
          <w:tab/>
        </w:r>
        <w:r w:rsidR="00D8288E">
          <w:rPr>
            <w:webHidden/>
          </w:rPr>
          <w:fldChar w:fldCharType="begin"/>
        </w:r>
        <w:r w:rsidR="00D8288E">
          <w:rPr>
            <w:webHidden/>
          </w:rPr>
          <w:instrText xml:space="preserve"> PAGEREF _Toc113380763 \h </w:instrText>
        </w:r>
        <w:r w:rsidR="00D8288E">
          <w:rPr>
            <w:webHidden/>
          </w:rPr>
        </w:r>
        <w:r w:rsidR="00D8288E">
          <w:rPr>
            <w:webHidden/>
          </w:rPr>
          <w:fldChar w:fldCharType="separate"/>
        </w:r>
        <w:r w:rsidR="00EE0BF5">
          <w:rPr>
            <w:webHidden/>
          </w:rPr>
          <w:t>7</w:t>
        </w:r>
        <w:r w:rsidR="00D8288E">
          <w:rPr>
            <w:webHidden/>
          </w:rPr>
          <w:fldChar w:fldCharType="end"/>
        </w:r>
      </w:hyperlink>
    </w:p>
    <w:p w14:paraId="1696C875" w14:textId="7239A9F7" w:rsidR="00D8288E" w:rsidRDefault="008043C8">
      <w:pPr>
        <w:pStyle w:val="TOC2"/>
        <w:tabs>
          <w:tab w:val="left" w:pos="1008"/>
        </w:tabs>
        <w:rPr>
          <w:rFonts w:asciiTheme="minorHAnsi" w:eastAsiaTheme="minorEastAsia" w:hAnsiTheme="minorHAnsi" w:cstheme="minorBidi"/>
          <w:lang w:bidi="ar-SA"/>
        </w:rPr>
      </w:pPr>
      <w:hyperlink w:anchor="_Toc113380764" w:history="1">
        <w:r w:rsidR="00D8288E" w:rsidRPr="00A030B5">
          <w:rPr>
            <w:rStyle w:val="Hyperlink"/>
          </w:rPr>
          <w:t>2.2</w:t>
        </w:r>
        <w:r w:rsidR="00D8288E">
          <w:rPr>
            <w:rFonts w:asciiTheme="minorHAnsi" w:eastAsiaTheme="minorEastAsia" w:hAnsiTheme="minorHAnsi" w:cstheme="minorBidi"/>
            <w:lang w:bidi="ar-SA"/>
          </w:rPr>
          <w:tab/>
        </w:r>
        <w:r w:rsidR="00D8288E" w:rsidRPr="00A030B5">
          <w:rPr>
            <w:rStyle w:val="Hyperlink"/>
          </w:rPr>
          <w:t>Data Sources</w:t>
        </w:r>
        <w:r w:rsidR="00D8288E">
          <w:rPr>
            <w:webHidden/>
          </w:rPr>
          <w:tab/>
        </w:r>
        <w:r w:rsidR="00D8288E">
          <w:rPr>
            <w:webHidden/>
          </w:rPr>
          <w:fldChar w:fldCharType="begin"/>
        </w:r>
        <w:r w:rsidR="00D8288E">
          <w:rPr>
            <w:webHidden/>
          </w:rPr>
          <w:instrText xml:space="preserve"> PAGEREF _Toc113380764 \h </w:instrText>
        </w:r>
        <w:r w:rsidR="00D8288E">
          <w:rPr>
            <w:webHidden/>
          </w:rPr>
        </w:r>
        <w:r w:rsidR="00D8288E">
          <w:rPr>
            <w:webHidden/>
          </w:rPr>
          <w:fldChar w:fldCharType="separate"/>
        </w:r>
        <w:r w:rsidR="00EE0BF5">
          <w:rPr>
            <w:webHidden/>
          </w:rPr>
          <w:t>8</w:t>
        </w:r>
        <w:r w:rsidR="00D8288E">
          <w:rPr>
            <w:webHidden/>
          </w:rPr>
          <w:fldChar w:fldCharType="end"/>
        </w:r>
      </w:hyperlink>
    </w:p>
    <w:p w14:paraId="3194E016" w14:textId="3DDBCCF9" w:rsidR="00D8288E" w:rsidRDefault="008043C8">
      <w:pPr>
        <w:pStyle w:val="TOC3"/>
        <w:tabs>
          <w:tab w:val="left" w:pos="1728"/>
        </w:tabs>
        <w:rPr>
          <w:rFonts w:asciiTheme="minorHAnsi" w:eastAsiaTheme="minorEastAsia" w:hAnsiTheme="minorHAnsi" w:cstheme="minorBidi"/>
          <w:lang w:bidi="ar-SA"/>
        </w:rPr>
      </w:pPr>
      <w:hyperlink w:anchor="_Toc113380765" w:history="1">
        <w:r w:rsidR="00D8288E" w:rsidRPr="00A030B5">
          <w:rPr>
            <w:rStyle w:val="Hyperlink"/>
          </w:rPr>
          <w:t>2.2.1</w:t>
        </w:r>
        <w:r w:rsidR="00D8288E">
          <w:rPr>
            <w:rFonts w:asciiTheme="minorHAnsi" w:eastAsiaTheme="minorEastAsia" w:hAnsiTheme="minorHAnsi" w:cstheme="minorBidi"/>
            <w:lang w:bidi="ar-SA"/>
          </w:rPr>
          <w:tab/>
        </w:r>
        <w:r w:rsidR="00D8288E" w:rsidRPr="00A030B5">
          <w:rPr>
            <w:rStyle w:val="Hyperlink"/>
          </w:rPr>
          <w:t>Hydropower and Power Marketing Data</w:t>
        </w:r>
        <w:r w:rsidR="00D8288E">
          <w:rPr>
            <w:webHidden/>
          </w:rPr>
          <w:tab/>
        </w:r>
        <w:r w:rsidR="00D8288E">
          <w:rPr>
            <w:webHidden/>
          </w:rPr>
          <w:fldChar w:fldCharType="begin"/>
        </w:r>
        <w:r w:rsidR="00D8288E">
          <w:rPr>
            <w:webHidden/>
          </w:rPr>
          <w:instrText xml:space="preserve"> PAGEREF _Toc113380765 \h </w:instrText>
        </w:r>
        <w:r w:rsidR="00D8288E">
          <w:rPr>
            <w:webHidden/>
          </w:rPr>
        </w:r>
        <w:r w:rsidR="00D8288E">
          <w:rPr>
            <w:webHidden/>
          </w:rPr>
          <w:fldChar w:fldCharType="separate"/>
        </w:r>
        <w:r w:rsidR="00EE0BF5">
          <w:rPr>
            <w:webHidden/>
          </w:rPr>
          <w:t>9</w:t>
        </w:r>
        <w:r w:rsidR="00D8288E">
          <w:rPr>
            <w:webHidden/>
          </w:rPr>
          <w:fldChar w:fldCharType="end"/>
        </w:r>
      </w:hyperlink>
    </w:p>
    <w:p w14:paraId="37656C95" w14:textId="78441438" w:rsidR="00D8288E" w:rsidRDefault="008043C8">
      <w:pPr>
        <w:pStyle w:val="TOC3"/>
        <w:tabs>
          <w:tab w:val="left" w:pos="1728"/>
        </w:tabs>
        <w:rPr>
          <w:rFonts w:asciiTheme="minorHAnsi" w:eastAsiaTheme="minorEastAsia" w:hAnsiTheme="minorHAnsi" w:cstheme="minorBidi"/>
          <w:lang w:bidi="ar-SA"/>
        </w:rPr>
      </w:pPr>
      <w:hyperlink w:anchor="_Toc113380766" w:history="1">
        <w:r w:rsidR="00D8288E" w:rsidRPr="00A030B5">
          <w:rPr>
            <w:rStyle w:val="Hyperlink"/>
          </w:rPr>
          <w:t>2.2.2</w:t>
        </w:r>
        <w:r w:rsidR="00D8288E">
          <w:rPr>
            <w:rFonts w:asciiTheme="minorHAnsi" w:eastAsiaTheme="minorEastAsia" w:hAnsiTheme="minorHAnsi" w:cstheme="minorBidi"/>
            <w:lang w:bidi="ar-SA"/>
          </w:rPr>
          <w:tab/>
        </w:r>
        <w:r w:rsidR="00D8288E" w:rsidRPr="00A030B5">
          <w:rPr>
            <w:rStyle w:val="Hyperlink"/>
          </w:rPr>
          <w:t>Meteorological Data</w:t>
        </w:r>
        <w:r w:rsidR="00D8288E">
          <w:rPr>
            <w:webHidden/>
          </w:rPr>
          <w:tab/>
        </w:r>
        <w:r w:rsidR="00D8288E">
          <w:rPr>
            <w:webHidden/>
          </w:rPr>
          <w:fldChar w:fldCharType="begin"/>
        </w:r>
        <w:r w:rsidR="00D8288E">
          <w:rPr>
            <w:webHidden/>
          </w:rPr>
          <w:instrText xml:space="preserve"> PAGEREF _Toc113380766 \h </w:instrText>
        </w:r>
        <w:r w:rsidR="00D8288E">
          <w:rPr>
            <w:webHidden/>
          </w:rPr>
        </w:r>
        <w:r w:rsidR="00D8288E">
          <w:rPr>
            <w:webHidden/>
          </w:rPr>
          <w:fldChar w:fldCharType="separate"/>
        </w:r>
        <w:r w:rsidR="00EE0BF5">
          <w:rPr>
            <w:webHidden/>
          </w:rPr>
          <w:t>10</w:t>
        </w:r>
        <w:r w:rsidR="00D8288E">
          <w:rPr>
            <w:webHidden/>
          </w:rPr>
          <w:fldChar w:fldCharType="end"/>
        </w:r>
      </w:hyperlink>
    </w:p>
    <w:p w14:paraId="490359A2" w14:textId="3B4FF0AC" w:rsidR="00D8288E" w:rsidRDefault="008043C8">
      <w:pPr>
        <w:pStyle w:val="TOC3"/>
        <w:tabs>
          <w:tab w:val="left" w:pos="1728"/>
        </w:tabs>
        <w:rPr>
          <w:rFonts w:asciiTheme="minorHAnsi" w:eastAsiaTheme="minorEastAsia" w:hAnsiTheme="minorHAnsi" w:cstheme="minorBidi"/>
          <w:lang w:bidi="ar-SA"/>
        </w:rPr>
      </w:pPr>
      <w:hyperlink w:anchor="_Toc113380767" w:history="1">
        <w:r w:rsidR="00D8288E" w:rsidRPr="00A030B5">
          <w:rPr>
            <w:rStyle w:val="Hyperlink"/>
          </w:rPr>
          <w:t>2.2.3</w:t>
        </w:r>
        <w:r w:rsidR="00D8288E">
          <w:rPr>
            <w:rFonts w:asciiTheme="minorHAnsi" w:eastAsiaTheme="minorEastAsia" w:hAnsiTheme="minorHAnsi" w:cstheme="minorBidi"/>
            <w:lang w:bidi="ar-SA"/>
          </w:rPr>
          <w:tab/>
        </w:r>
        <w:r w:rsidR="00D8288E" w:rsidRPr="00A030B5">
          <w:rPr>
            <w:rStyle w:val="Hyperlink"/>
          </w:rPr>
          <w:t>Hydrologic Data</w:t>
        </w:r>
        <w:r w:rsidR="00D8288E">
          <w:rPr>
            <w:webHidden/>
          </w:rPr>
          <w:tab/>
        </w:r>
        <w:r w:rsidR="00D8288E">
          <w:rPr>
            <w:webHidden/>
          </w:rPr>
          <w:fldChar w:fldCharType="begin"/>
        </w:r>
        <w:r w:rsidR="00D8288E">
          <w:rPr>
            <w:webHidden/>
          </w:rPr>
          <w:instrText xml:space="preserve"> PAGEREF _Toc113380767 \h </w:instrText>
        </w:r>
        <w:r w:rsidR="00D8288E">
          <w:rPr>
            <w:webHidden/>
          </w:rPr>
        </w:r>
        <w:r w:rsidR="00D8288E">
          <w:rPr>
            <w:webHidden/>
          </w:rPr>
          <w:fldChar w:fldCharType="separate"/>
        </w:r>
        <w:r w:rsidR="00EE0BF5">
          <w:rPr>
            <w:webHidden/>
          </w:rPr>
          <w:t>11</w:t>
        </w:r>
        <w:r w:rsidR="00D8288E">
          <w:rPr>
            <w:webHidden/>
          </w:rPr>
          <w:fldChar w:fldCharType="end"/>
        </w:r>
      </w:hyperlink>
    </w:p>
    <w:p w14:paraId="20927CF6" w14:textId="59F47066" w:rsidR="00D8288E" w:rsidRDefault="008043C8">
      <w:pPr>
        <w:pStyle w:val="TOC3"/>
        <w:tabs>
          <w:tab w:val="left" w:pos="1728"/>
        </w:tabs>
        <w:rPr>
          <w:rFonts w:asciiTheme="minorHAnsi" w:eastAsiaTheme="minorEastAsia" w:hAnsiTheme="minorHAnsi" w:cstheme="minorBidi"/>
          <w:lang w:bidi="ar-SA"/>
        </w:rPr>
      </w:pPr>
      <w:hyperlink w:anchor="_Toc113380768" w:history="1">
        <w:r w:rsidR="00D8288E" w:rsidRPr="00A030B5">
          <w:rPr>
            <w:rStyle w:val="Hyperlink"/>
          </w:rPr>
          <w:t>2.2.4</w:t>
        </w:r>
        <w:r w:rsidR="00D8288E">
          <w:rPr>
            <w:rFonts w:asciiTheme="minorHAnsi" w:eastAsiaTheme="minorEastAsia" w:hAnsiTheme="minorHAnsi" w:cstheme="minorBidi"/>
            <w:lang w:bidi="ar-SA"/>
          </w:rPr>
          <w:tab/>
        </w:r>
        <w:r w:rsidR="00D8288E" w:rsidRPr="00A030B5">
          <w:rPr>
            <w:rStyle w:val="Hyperlink"/>
          </w:rPr>
          <w:t>Additional Data</w:t>
        </w:r>
        <w:r w:rsidR="00D8288E">
          <w:rPr>
            <w:webHidden/>
          </w:rPr>
          <w:tab/>
        </w:r>
        <w:r w:rsidR="00D8288E">
          <w:rPr>
            <w:webHidden/>
          </w:rPr>
          <w:fldChar w:fldCharType="begin"/>
        </w:r>
        <w:r w:rsidR="00D8288E">
          <w:rPr>
            <w:webHidden/>
          </w:rPr>
          <w:instrText xml:space="preserve"> PAGEREF _Toc113380768 \h </w:instrText>
        </w:r>
        <w:r w:rsidR="00D8288E">
          <w:rPr>
            <w:webHidden/>
          </w:rPr>
        </w:r>
        <w:r w:rsidR="00D8288E">
          <w:rPr>
            <w:webHidden/>
          </w:rPr>
          <w:fldChar w:fldCharType="separate"/>
        </w:r>
        <w:r w:rsidR="00EE0BF5">
          <w:rPr>
            <w:webHidden/>
          </w:rPr>
          <w:t>12</w:t>
        </w:r>
        <w:r w:rsidR="00D8288E">
          <w:rPr>
            <w:webHidden/>
          </w:rPr>
          <w:fldChar w:fldCharType="end"/>
        </w:r>
      </w:hyperlink>
    </w:p>
    <w:p w14:paraId="2ED0AC6E" w14:textId="4DB29773" w:rsidR="00D8288E" w:rsidRDefault="008043C8">
      <w:pPr>
        <w:pStyle w:val="TOC2"/>
        <w:tabs>
          <w:tab w:val="left" w:pos="1008"/>
        </w:tabs>
        <w:rPr>
          <w:rFonts w:asciiTheme="minorHAnsi" w:eastAsiaTheme="minorEastAsia" w:hAnsiTheme="minorHAnsi" w:cstheme="minorBidi"/>
          <w:lang w:bidi="ar-SA"/>
        </w:rPr>
      </w:pPr>
      <w:hyperlink w:anchor="_Toc113380769" w:history="1">
        <w:r w:rsidR="00D8288E" w:rsidRPr="00A030B5">
          <w:rPr>
            <w:rStyle w:val="Hyperlink"/>
          </w:rPr>
          <w:t>2.3</w:t>
        </w:r>
        <w:r w:rsidR="00D8288E">
          <w:rPr>
            <w:rFonts w:asciiTheme="minorHAnsi" w:eastAsiaTheme="minorEastAsia" w:hAnsiTheme="minorHAnsi" w:cstheme="minorBidi"/>
            <w:lang w:bidi="ar-SA"/>
          </w:rPr>
          <w:tab/>
        </w:r>
        <w:r w:rsidR="00D8288E" w:rsidRPr="00A030B5">
          <w:rPr>
            <w:rStyle w:val="Hyperlink"/>
          </w:rPr>
          <w:t>Climate Model Evaluation and Selection</w:t>
        </w:r>
        <w:r w:rsidR="00D8288E">
          <w:rPr>
            <w:webHidden/>
          </w:rPr>
          <w:tab/>
        </w:r>
        <w:r w:rsidR="00D8288E">
          <w:rPr>
            <w:webHidden/>
          </w:rPr>
          <w:fldChar w:fldCharType="begin"/>
        </w:r>
        <w:r w:rsidR="00D8288E">
          <w:rPr>
            <w:webHidden/>
          </w:rPr>
          <w:instrText xml:space="preserve"> PAGEREF _Toc113380769 \h </w:instrText>
        </w:r>
        <w:r w:rsidR="00D8288E">
          <w:rPr>
            <w:webHidden/>
          </w:rPr>
        </w:r>
        <w:r w:rsidR="00D8288E">
          <w:rPr>
            <w:webHidden/>
          </w:rPr>
          <w:fldChar w:fldCharType="separate"/>
        </w:r>
        <w:r w:rsidR="00EE0BF5">
          <w:rPr>
            <w:webHidden/>
          </w:rPr>
          <w:t>12</w:t>
        </w:r>
        <w:r w:rsidR="00D8288E">
          <w:rPr>
            <w:webHidden/>
          </w:rPr>
          <w:fldChar w:fldCharType="end"/>
        </w:r>
      </w:hyperlink>
    </w:p>
    <w:p w14:paraId="1673C13E" w14:textId="7378A5D0" w:rsidR="00D8288E" w:rsidRDefault="008043C8">
      <w:pPr>
        <w:pStyle w:val="TOC2"/>
        <w:tabs>
          <w:tab w:val="left" w:pos="1008"/>
        </w:tabs>
        <w:rPr>
          <w:rFonts w:asciiTheme="minorHAnsi" w:eastAsiaTheme="minorEastAsia" w:hAnsiTheme="minorHAnsi" w:cstheme="minorBidi"/>
          <w:lang w:bidi="ar-SA"/>
        </w:rPr>
      </w:pPr>
      <w:hyperlink w:anchor="_Toc113380770" w:history="1">
        <w:r w:rsidR="00D8288E" w:rsidRPr="00A030B5">
          <w:rPr>
            <w:rStyle w:val="Hyperlink"/>
          </w:rPr>
          <w:t>2.4</w:t>
        </w:r>
        <w:r w:rsidR="00D8288E">
          <w:rPr>
            <w:rFonts w:asciiTheme="minorHAnsi" w:eastAsiaTheme="minorEastAsia" w:hAnsiTheme="minorHAnsi" w:cstheme="minorBidi"/>
            <w:lang w:bidi="ar-SA"/>
          </w:rPr>
          <w:tab/>
        </w:r>
        <w:r w:rsidR="00D8288E" w:rsidRPr="00A030B5">
          <w:rPr>
            <w:rStyle w:val="Hyperlink"/>
          </w:rPr>
          <w:t>Climate Model Downscaling</w:t>
        </w:r>
        <w:r w:rsidR="00D8288E">
          <w:rPr>
            <w:webHidden/>
          </w:rPr>
          <w:tab/>
        </w:r>
        <w:r w:rsidR="00D8288E">
          <w:rPr>
            <w:webHidden/>
          </w:rPr>
          <w:fldChar w:fldCharType="begin"/>
        </w:r>
        <w:r w:rsidR="00D8288E">
          <w:rPr>
            <w:webHidden/>
          </w:rPr>
          <w:instrText xml:space="preserve"> PAGEREF _Toc113380770 \h </w:instrText>
        </w:r>
        <w:r w:rsidR="00D8288E">
          <w:rPr>
            <w:webHidden/>
          </w:rPr>
        </w:r>
        <w:r w:rsidR="00D8288E">
          <w:rPr>
            <w:webHidden/>
          </w:rPr>
          <w:fldChar w:fldCharType="separate"/>
        </w:r>
        <w:r w:rsidR="00EE0BF5">
          <w:rPr>
            <w:webHidden/>
          </w:rPr>
          <w:t>21</w:t>
        </w:r>
        <w:r w:rsidR="00D8288E">
          <w:rPr>
            <w:webHidden/>
          </w:rPr>
          <w:fldChar w:fldCharType="end"/>
        </w:r>
      </w:hyperlink>
    </w:p>
    <w:p w14:paraId="71C933B9" w14:textId="5D874F5E" w:rsidR="00D8288E" w:rsidRDefault="008043C8">
      <w:pPr>
        <w:pStyle w:val="TOC3"/>
        <w:tabs>
          <w:tab w:val="left" w:pos="1728"/>
        </w:tabs>
        <w:rPr>
          <w:rFonts w:asciiTheme="minorHAnsi" w:eastAsiaTheme="minorEastAsia" w:hAnsiTheme="minorHAnsi" w:cstheme="minorBidi"/>
          <w:lang w:bidi="ar-SA"/>
        </w:rPr>
      </w:pPr>
      <w:hyperlink w:anchor="_Toc113380771" w:history="1">
        <w:r w:rsidR="00D8288E" w:rsidRPr="00A030B5">
          <w:rPr>
            <w:rStyle w:val="Hyperlink"/>
          </w:rPr>
          <w:t>2.4.1</w:t>
        </w:r>
        <w:r w:rsidR="00D8288E">
          <w:rPr>
            <w:rFonts w:asciiTheme="minorHAnsi" w:eastAsiaTheme="minorEastAsia" w:hAnsiTheme="minorHAnsi" w:cstheme="minorBidi"/>
            <w:lang w:bidi="ar-SA"/>
          </w:rPr>
          <w:tab/>
        </w:r>
        <w:r w:rsidR="00D8288E" w:rsidRPr="00A030B5">
          <w:rPr>
            <w:rStyle w:val="Hyperlink"/>
          </w:rPr>
          <w:t>Regional Climate Model Version 4</w:t>
        </w:r>
        <w:r w:rsidR="00D8288E">
          <w:rPr>
            <w:webHidden/>
          </w:rPr>
          <w:tab/>
        </w:r>
        <w:r w:rsidR="00D8288E">
          <w:rPr>
            <w:webHidden/>
          </w:rPr>
          <w:fldChar w:fldCharType="begin"/>
        </w:r>
        <w:r w:rsidR="00D8288E">
          <w:rPr>
            <w:webHidden/>
          </w:rPr>
          <w:instrText xml:space="preserve"> PAGEREF _Toc113380771 \h </w:instrText>
        </w:r>
        <w:r w:rsidR="00D8288E">
          <w:rPr>
            <w:webHidden/>
          </w:rPr>
        </w:r>
        <w:r w:rsidR="00D8288E">
          <w:rPr>
            <w:webHidden/>
          </w:rPr>
          <w:fldChar w:fldCharType="separate"/>
        </w:r>
        <w:r w:rsidR="00EE0BF5">
          <w:rPr>
            <w:webHidden/>
          </w:rPr>
          <w:t>21</w:t>
        </w:r>
        <w:r w:rsidR="00D8288E">
          <w:rPr>
            <w:webHidden/>
          </w:rPr>
          <w:fldChar w:fldCharType="end"/>
        </w:r>
      </w:hyperlink>
    </w:p>
    <w:p w14:paraId="4ED235FE" w14:textId="3B0AFE4E" w:rsidR="00D8288E" w:rsidRDefault="008043C8">
      <w:pPr>
        <w:pStyle w:val="TOC3"/>
        <w:tabs>
          <w:tab w:val="left" w:pos="1728"/>
        </w:tabs>
        <w:rPr>
          <w:rFonts w:asciiTheme="minorHAnsi" w:eastAsiaTheme="minorEastAsia" w:hAnsiTheme="minorHAnsi" w:cstheme="minorBidi"/>
          <w:lang w:bidi="ar-SA"/>
        </w:rPr>
      </w:pPr>
      <w:hyperlink w:anchor="_Toc113380772" w:history="1">
        <w:r w:rsidR="00D8288E" w:rsidRPr="00A030B5">
          <w:rPr>
            <w:rStyle w:val="Hyperlink"/>
          </w:rPr>
          <w:t>2.4.2</w:t>
        </w:r>
        <w:r w:rsidR="00D8288E">
          <w:rPr>
            <w:rFonts w:asciiTheme="minorHAnsi" w:eastAsiaTheme="minorEastAsia" w:hAnsiTheme="minorHAnsi" w:cstheme="minorBidi"/>
            <w:lang w:bidi="ar-SA"/>
          </w:rPr>
          <w:tab/>
        </w:r>
        <w:r w:rsidR="00D8288E" w:rsidRPr="00A030B5">
          <w:rPr>
            <w:rStyle w:val="Hyperlink"/>
          </w:rPr>
          <w:t>Double Bias Correction Constructed Analogues</w:t>
        </w:r>
        <w:r w:rsidR="00D8288E">
          <w:rPr>
            <w:webHidden/>
          </w:rPr>
          <w:tab/>
        </w:r>
        <w:r w:rsidR="00D8288E">
          <w:rPr>
            <w:webHidden/>
          </w:rPr>
          <w:fldChar w:fldCharType="begin"/>
        </w:r>
        <w:r w:rsidR="00D8288E">
          <w:rPr>
            <w:webHidden/>
          </w:rPr>
          <w:instrText xml:space="preserve"> PAGEREF _Toc113380772 \h </w:instrText>
        </w:r>
        <w:r w:rsidR="00D8288E">
          <w:rPr>
            <w:webHidden/>
          </w:rPr>
        </w:r>
        <w:r w:rsidR="00D8288E">
          <w:rPr>
            <w:webHidden/>
          </w:rPr>
          <w:fldChar w:fldCharType="separate"/>
        </w:r>
        <w:r w:rsidR="00EE0BF5">
          <w:rPr>
            <w:webHidden/>
          </w:rPr>
          <w:t>22</w:t>
        </w:r>
        <w:r w:rsidR="00D8288E">
          <w:rPr>
            <w:webHidden/>
          </w:rPr>
          <w:fldChar w:fldCharType="end"/>
        </w:r>
      </w:hyperlink>
    </w:p>
    <w:p w14:paraId="716E3FCA" w14:textId="10A1770B" w:rsidR="00D8288E" w:rsidRDefault="008043C8">
      <w:pPr>
        <w:pStyle w:val="TOC3"/>
        <w:tabs>
          <w:tab w:val="left" w:pos="1728"/>
        </w:tabs>
        <w:rPr>
          <w:rFonts w:asciiTheme="minorHAnsi" w:eastAsiaTheme="minorEastAsia" w:hAnsiTheme="minorHAnsi" w:cstheme="minorBidi"/>
          <w:lang w:bidi="ar-SA"/>
        </w:rPr>
      </w:pPr>
      <w:hyperlink w:anchor="_Toc113380773" w:history="1">
        <w:r w:rsidR="00D8288E" w:rsidRPr="00A030B5">
          <w:rPr>
            <w:rStyle w:val="Hyperlink"/>
          </w:rPr>
          <w:t>2.4.3</w:t>
        </w:r>
        <w:r w:rsidR="00D8288E">
          <w:rPr>
            <w:rFonts w:asciiTheme="minorHAnsi" w:eastAsiaTheme="minorEastAsia" w:hAnsiTheme="minorHAnsi" w:cstheme="minorBidi"/>
            <w:lang w:bidi="ar-SA"/>
          </w:rPr>
          <w:tab/>
        </w:r>
        <w:r w:rsidR="00D8288E" w:rsidRPr="00A030B5">
          <w:rPr>
            <w:rStyle w:val="Hyperlink"/>
          </w:rPr>
          <w:t>Performance Evaluation</w:t>
        </w:r>
        <w:r w:rsidR="00D8288E">
          <w:rPr>
            <w:webHidden/>
          </w:rPr>
          <w:tab/>
        </w:r>
        <w:r w:rsidR="00D8288E">
          <w:rPr>
            <w:webHidden/>
          </w:rPr>
          <w:fldChar w:fldCharType="begin"/>
        </w:r>
        <w:r w:rsidR="00D8288E">
          <w:rPr>
            <w:webHidden/>
          </w:rPr>
          <w:instrText xml:space="preserve"> PAGEREF _Toc113380773 \h </w:instrText>
        </w:r>
        <w:r w:rsidR="00D8288E">
          <w:rPr>
            <w:webHidden/>
          </w:rPr>
        </w:r>
        <w:r w:rsidR="00D8288E">
          <w:rPr>
            <w:webHidden/>
          </w:rPr>
          <w:fldChar w:fldCharType="separate"/>
        </w:r>
        <w:r w:rsidR="00EE0BF5">
          <w:rPr>
            <w:webHidden/>
          </w:rPr>
          <w:t>23</w:t>
        </w:r>
        <w:r w:rsidR="00D8288E">
          <w:rPr>
            <w:webHidden/>
          </w:rPr>
          <w:fldChar w:fldCharType="end"/>
        </w:r>
      </w:hyperlink>
    </w:p>
    <w:p w14:paraId="2D922584" w14:textId="1DCDB064" w:rsidR="00D8288E" w:rsidRDefault="008043C8">
      <w:pPr>
        <w:pStyle w:val="TOC3"/>
        <w:tabs>
          <w:tab w:val="left" w:pos="1728"/>
        </w:tabs>
        <w:rPr>
          <w:rFonts w:asciiTheme="minorHAnsi" w:eastAsiaTheme="minorEastAsia" w:hAnsiTheme="minorHAnsi" w:cstheme="minorBidi"/>
          <w:lang w:bidi="ar-SA"/>
        </w:rPr>
      </w:pPr>
      <w:hyperlink w:anchor="_Toc113380774" w:history="1">
        <w:r w:rsidR="00D8288E" w:rsidRPr="00A030B5">
          <w:rPr>
            <w:rStyle w:val="Hyperlink"/>
          </w:rPr>
          <w:t>2.4.4</w:t>
        </w:r>
        <w:r w:rsidR="00D8288E">
          <w:rPr>
            <w:rFonts w:asciiTheme="minorHAnsi" w:eastAsiaTheme="minorEastAsia" w:hAnsiTheme="minorHAnsi" w:cstheme="minorBidi"/>
            <w:lang w:bidi="ar-SA"/>
          </w:rPr>
          <w:tab/>
        </w:r>
        <w:r w:rsidR="00D8288E" w:rsidRPr="00A030B5">
          <w:rPr>
            <w:rStyle w:val="Hyperlink"/>
          </w:rPr>
          <w:t>Climate Projection Limitations</w:t>
        </w:r>
        <w:r w:rsidR="00D8288E">
          <w:rPr>
            <w:webHidden/>
          </w:rPr>
          <w:tab/>
        </w:r>
        <w:r w:rsidR="00D8288E">
          <w:rPr>
            <w:webHidden/>
          </w:rPr>
          <w:fldChar w:fldCharType="begin"/>
        </w:r>
        <w:r w:rsidR="00D8288E">
          <w:rPr>
            <w:webHidden/>
          </w:rPr>
          <w:instrText xml:space="preserve"> PAGEREF _Toc113380774 \h </w:instrText>
        </w:r>
        <w:r w:rsidR="00D8288E">
          <w:rPr>
            <w:webHidden/>
          </w:rPr>
        </w:r>
        <w:r w:rsidR="00D8288E">
          <w:rPr>
            <w:webHidden/>
          </w:rPr>
          <w:fldChar w:fldCharType="separate"/>
        </w:r>
        <w:r w:rsidR="00EE0BF5">
          <w:rPr>
            <w:webHidden/>
          </w:rPr>
          <w:t>26</w:t>
        </w:r>
        <w:r w:rsidR="00D8288E">
          <w:rPr>
            <w:webHidden/>
          </w:rPr>
          <w:fldChar w:fldCharType="end"/>
        </w:r>
      </w:hyperlink>
    </w:p>
    <w:p w14:paraId="5AB5F99D" w14:textId="217B3552" w:rsidR="00D8288E" w:rsidRDefault="008043C8">
      <w:pPr>
        <w:pStyle w:val="TOC2"/>
        <w:tabs>
          <w:tab w:val="left" w:pos="1008"/>
        </w:tabs>
        <w:rPr>
          <w:rFonts w:asciiTheme="minorHAnsi" w:eastAsiaTheme="minorEastAsia" w:hAnsiTheme="minorHAnsi" w:cstheme="minorBidi"/>
          <w:lang w:bidi="ar-SA"/>
        </w:rPr>
      </w:pPr>
      <w:hyperlink w:anchor="_Toc113380775" w:history="1">
        <w:r w:rsidR="00D8288E" w:rsidRPr="00A030B5">
          <w:rPr>
            <w:rStyle w:val="Hyperlink"/>
          </w:rPr>
          <w:t>2.5</w:t>
        </w:r>
        <w:r w:rsidR="00D8288E">
          <w:rPr>
            <w:rFonts w:asciiTheme="minorHAnsi" w:eastAsiaTheme="minorEastAsia" w:hAnsiTheme="minorHAnsi" w:cstheme="minorBidi"/>
            <w:lang w:bidi="ar-SA"/>
          </w:rPr>
          <w:tab/>
        </w:r>
        <w:r w:rsidR="00D8288E" w:rsidRPr="00A030B5">
          <w:rPr>
            <w:rStyle w:val="Hyperlink"/>
          </w:rPr>
          <w:t>Hydrologic Modeling</w:t>
        </w:r>
        <w:r w:rsidR="00D8288E">
          <w:rPr>
            <w:webHidden/>
          </w:rPr>
          <w:tab/>
        </w:r>
        <w:r w:rsidR="00D8288E">
          <w:rPr>
            <w:webHidden/>
          </w:rPr>
          <w:fldChar w:fldCharType="begin"/>
        </w:r>
        <w:r w:rsidR="00D8288E">
          <w:rPr>
            <w:webHidden/>
          </w:rPr>
          <w:instrText xml:space="preserve"> PAGEREF _Toc113380775 \h </w:instrText>
        </w:r>
        <w:r w:rsidR="00D8288E">
          <w:rPr>
            <w:webHidden/>
          </w:rPr>
        </w:r>
        <w:r w:rsidR="00D8288E">
          <w:rPr>
            <w:webHidden/>
          </w:rPr>
          <w:fldChar w:fldCharType="separate"/>
        </w:r>
        <w:r w:rsidR="00EE0BF5">
          <w:rPr>
            <w:webHidden/>
          </w:rPr>
          <w:t>26</w:t>
        </w:r>
        <w:r w:rsidR="00D8288E">
          <w:rPr>
            <w:webHidden/>
          </w:rPr>
          <w:fldChar w:fldCharType="end"/>
        </w:r>
      </w:hyperlink>
    </w:p>
    <w:p w14:paraId="1235F2E0" w14:textId="766AE7C8" w:rsidR="00D8288E" w:rsidRDefault="008043C8">
      <w:pPr>
        <w:pStyle w:val="TOC3"/>
        <w:tabs>
          <w:tab w:val="left" w:pos="1728"/>
        </w:tabs>
        <w:rPr>
          <w:rFonts w:asciiTheme="minorHAnsi" w:eastAsiaTheme="minorEastAsia" w:hAnsiTheme="minorHAnsi" w:cstheme="minorBidi"/>
          <w:lang w:bidi="ar-SA"/>
        </w:rPr>
      </w:pPr>
      <w:hyperlink w:anchor="_Toc113380776" w:history="1">
        <w:r w:rsidR="00D8288E" w:rsidRPr="00A030B5">
          <w:rPr>
            <w:rStyle w:val="Hyperlink"/>
          </w:rPr>
          <w:t>2.5.1</w:t>
        </w:r>
        <w:r w:rsidR="00D8288E">
          <w:rPr>
            <w:rFonts w:asciiTheme="minorHAnsi" w:eastAsiaTheme="minorEastAsia" w:hAnsiTheme="minorHAnsi" w:cstheme="minorBidi"/>
            <w:lang w:bidi="ar-SA"/>
          </w:rPr>
          <w:tab/>
        </w:r>
        <w:r w:rsidR="00D8288E" w:rsidRPr="00A030B5">
          <w:rPr>
            <w:rStyle w:val="Hyperlink"/>
          </w:rPr>
          <w:t>VIC</w:t>
        </w:r>
        <w:r w:rsidR="00D8288E">
          <w:rPr>
            <w:webHidden/>
          </w:rPr>
          <w:tab/>
        </w:r>
        <w:r w:rsidR="00D8288E">
          <w:rPr>
            <w:webHidden/>
          </w:rPr>
          <w:fldChar w:fldCharType="begin"/>
        </w:r>
        <w:r w:rsidR="00D8288E">
          <w:rPr>
            <w:webHidden/>
          </w:rPr>
          <w:instrText xml:space="preserve"> PAGEREF _Toc113380776 \h </w:instrText>
        </w:r>
        <w:r w:rsidR="00D8288E">
          <w:rPr>
            <w:webHidden/>
          </w:rPr>
        </w:r>
        <w:r w:rsidR="00D8288E">
          <w:rPr>
            <w:webHidden/>
          </w:rPr>
          <w:fldChar w:fldCharType="separate"/>
        </w:r>
        <w:r w:rsidR="00EE0BF5">
          <w:rPr>
            <w:webHidden/>
          </w:rPr>
          <w:t>27</w:t>
        </w:r>
        <w:r w:rsidR="00D8288E">
          <w:rPr>
            <w:webHidden/>
          </w:rPr>
          <w:fldChar w:fldCharType="end"/>
        </w:r>
      </w:hyperlink>
    </w:p>
    <w:p w14:paraId="3AB33200" w14:textId="199B861A" w:rsidR="00D8288E" w:rsidRDefault="008043C8">
      <w:pPr>
        <w:pStyle w:val="TOC3"/>
        <w:tabs>
          <w:tab w:val="left" w:pos="1728"/>
        </w:tabs>
        <w:rPr>
          <w:rFonts w:asciiTheme="minorHAnsi" w:eastAsiaTheme="minorEastAsia" w:hAnsiTheme="minorHAnsi" w:cstheme="minorBidi"/>
          <w:lang w:bidi="ar-SA"/>
        </w:rPr>
      </w:pPr>
      <w:hyperlink w:anchor="_Toc113380777" w:history="1">
        <w:r w:rsidR="00D8288E" w:rsidRPr="00A030B5">
          <w:rPr>
            <w:rStyle w:val="Hyperlink"/>
          </w:rPr>
          <w:t>2.5.2</w:t>
        </w:r>
        <w:r w:rsidR="00D8288E">
          <w:rPr>
            <w:rFonts w:asciiTheme="minorHAnsi" w:eastAsiaTheme="minorEastAsia" w:hAnsiTheme="minorHAnsi" w:cstheme="minorBidi"/>
            <w:lang w:bidi="ar-SA"/>
          </w:rPr>
          <w:tab/>
        </w:r>
        <w:r w:rsidR="00D8288E" w:rsidRPr="00A030B5">
          <w:rPr>
            <w:rStyle w:val="Hyperlink"/>
          </w:rPr>
          <w:t>PRMS</w:t>
        </w:r>
        <w:r w:rsidR="00D8288E">
          <w:rPr>
            <w:webHidden/>
          </w:rPr>
          <w:tab/>
        </w:r>
        <w:r w:rsidR="00D8288E">
          <w:rPr>
            <w:webHidden/>
          </w:rPr>
          <w:fldChar w:fldCharType="begin"/>
        </w:r>
        <w:r w:rsidR="00D8288E">
          <w:rPr>
            <w:webHidden/>
          </w:rPr>
          <w:instrText xml:space="preserve"> PAGEREF _Toc113380777 \h </w:instrText>
        </w:r>
        <w:r w:rsidR="00D8288E">
          <w:rPr>
            <w:webHidden/>
          </w:rPr>
        </w:r>
        <w:r w:rsidR="00D8288E">
          <w:rPr>
            <w:webHidden/>
          </w:rPr>
          <w:fldChar w:fldCharType="separate"/>
        </w:r>
        <w:r w:rsidR="00EE0BF5">
          <w:rPr>
            <w:webHidden/>
          </w:rPr>
          <w:t>27</w:t>
        </w:r>
        <w:r w:rsidR="00D8288E">
          <w:rPr>
            <w:webHidden/>
          </w:rPr>
          <w:fldChar w:fldCharType="end"/>
        </w:r>
      </w:hyperlink>
    </w:p>
    <w:p w14:paraId="0791ED70" w14:textId="51BFB024" w:rsidR="00D8288E" w:rsidRDefault="008043C8">
      <w:pPr>
        <w:pStyle w:val="TOC3"/>
        <w:tabs>
          <w:tab w:val="left" w:pos="1728"/>
        </w:tabs>
        <w:rPr>
          <w:rFonts w:asciiTheme="minorHAnsi" w:eastAsiaTheme="minorEastAsia" w:hAnsiTheme="minorHAnsi" w:cstheme="minorBidi"/>
          <w:lang w:bidi="ar-SA"/>
        </w:rPr>
      </w:pPr>
      <w:hyperlink w:anchor="_Toc113380778" w:history="1">
        <w:r w:rsidR="00D8288E" w:rsidRPr="00A030B5">
          <w:rPr>
            <w:rStyle w:val="Hyperlink"/>
          </w:rPr>
          <w:t>2.5.3</w:t>
        </w:r>
        <w:r w:rsidR="00D8288E">
          <w:rPr>
            <w:rFonts w:asciiTheme="minorHAnsi" w:eastAsiaTheme="minorEastAsia" w:hAnsiTheme="minorHAnsi" w:cstheme="minorBidi"/>
            <w:lang w:bidi="ar-SA"/>
          </w:rPr>
          <w:tab/>
        </w:r>
        <w:r w:rsidR="00D8288E" w:rsidRPr="00A030B5">
          <w:rPr>
            <w:rStyle w:val="Hyperlink"/>
          </w:rPr>
          <w:t>Model Calibration and Validation</w:t>
        </w:r>
        <w:r w:rsidR="00D8288E">
          <w:rPr>
            <w:webHidden/>
          </w:rPr>
          <w:tab/>
        </w:r>
        <w:r w:rsidR="00D8288E">
          <w:rPr>
            <w:webHidden/>
          </w:rPr>
          <w:fldChar w:fldCharType="begin"/>
        </w:r>
        <w:r w:rsidR="00D8288E">
          <w:rPr>
            <w:webHidden/>
          </w:rPr>
          <w:instrText xml:space="preserve"> PAGEREF _Toc113380778 \h </w:instrText>
        </w:r>
        <w:r w:rsidR="00D8288E">
          <w:rPr>
            <w:webHidden/>
          </w:rPr>
        </w:r>
        <w:r w:rsidR="00D8288E">
          <w:rPr>
            <w:webHidden/>
          </w:rPr>
          <w:fldChar w:fldCharType="separate"/>
        </w:r>
        <w:r w:rsidR="00EE0BF5">
          <w:rPr>
            <w:webHidden/>
          </w:rPr>
          <w:t>28</w:t>
        </w:r>
        <w:r w:rsidR="00D8288E">
          <w:rPr>
            <w:webHidden/>
          </w:rPr>
          <w:fldChar w:fldCharType="end"/>
        </w:r>
      </w:hyperlink>
    </w:p>
    <w:p w14:paraId="044EA773" w14:textId="2CB4A52E" w:rsidR="00D8288E" w:rsidRDefault="008043C8">
      <w:pPr>
        <w:pStyle w:val="TOC3"/>
        <w:tabs>
          <w:tab w:val="left" w:pos="1728"/>
        </w:tabs>
        <w:rPr>
          <w:rFonts w:asciiTheme="minorHAnsi" w:eastAsiaTheme="minorEastAsia" w:hAnsiTheme="minorHAnsi" w:cstheme="minorBidi"/>
          <w:lang w:bidi="ar-SA"/>
        </w:rPr>
      </w:pPr>
      <w:hyperlink w:anchor="_Toc113380779" w:history="1">
        <w:r w:rsidR="00D8288E" w:rsidRPr="00A030B5">
          <w:rPr>
            <w:rStyle w:val="Hyperlink"/>
          </w:rPr>
          <w:t>2.5.4</w:t>
        </w:r>
        <w:r w:rsidR="00D8288E">
          <w:rPr>
            <w:rFonts w:asciiTheme="minorHAnsi" w:eastAsiaTheme="minorEastAsia" w:hAnsiTheme="minorHAnsi" w:cstheme="minorBidi"/>
            <w:lang w:bidi="ar-SA"/>
          </w:rPr>
          <w:tab/>
        </w:r>
        <w:r w:rsidR="00D8288E" w:rsidRPr="00A030B5">
          <w:rPr>
            <w:rStyle w:val="Hyperlink"/>
          </w:rPr>
          <w:t>Hydrologic Evaluation</w:t>
        </w:r>
        <w:r w:rsidR="00D8288E">
          <w:rPr>
            <w:webHidden/>
          </w:rPr>
          <w:tab/>
        </w:r>
        <w:r w:rsidR="00D8288E">
          <w:rPr>
            <w:webHidden/>
          </w:rPr>
          <w:fldChar w:fldCharType="begin"/>
        </w:r>
        <w:r w:rsidR="00D8288E">
          <w:rPr>
            <w:webHidden/>
          </w:rPr>
          <w:instrText xml:space="preserve"> PAGEREF _Toc113380779 \h </w:instrText>
        </w:r>
        <w:r w:rsidR="00D8288E">
          <w:rPr>
            <w:webHidden/>
          </w:rPr>
        </w:r>
        <w:r w:rsidR="00D8288E">
          <w:rPr>
            <w:webHidden/>
          </w:rPr>
          <w:fldChar w:fldCharType="separate"/>
        </w:r>
        <w:r w:rsidR="00EE0BF5">
          <w:rPr>
            <w:webHidden/>
          </w:rPr>
          <w:t>32</w:t>
        </w:r>
        <w:r w:rsidR="00D8288E">
          <w:rPr>
            <w:webHidden/>
          </w:rPr>
          <w:fldChar w:fldCharType="end"/>
        </w:r>
      </w:hyperlink>
    </w:p>
    <w:p w14:paraId="587A9E5F" w14:textId="6F4E66BE" w:rsidR="00D8288E" w:rsidRDefault="008043C8">
      <w:pPr>
        <w:pStyle w:val="TOC3"/>
        <w:tabs>
          <w:tab w:val="left" w:pos="1728"/>
        </w:tabs>
        <w:rPr>
          <w:rFonts w:asciiTheme="minorHAnsi" w:eastAsiaTheme="minorEastAsia" w:hAnsiTheme="minorHAnsi" w:cstheme="minorBidi"/>
          <w:lang w:bidi="ar-SA"/>
        </w:rPr>
      </w:pPr>
      <w:hyperlink w:anchor="_Toc113380780" w:history="1">
        <w:r w:rsidR="00D8288E" w:rsidRPr="00A030B5">
          <w:rPr>
            <w:rStyle w:val="Hyperlink"/>
          </w:rPr>
          <w:t>2.5.5</w:t>
        </w:r>
        <w:r w:rsidR="00D8288E">
          <w:rPr>
            <w:rFonts w:asciiTheme="minorHAnsi" w:eastAsiaTheme="minorEastAsia" w:hAnsiTheme="minorHAnsi" w:cstheme="minorBidi"/>
            <w:lang w:bidi="ar-SA"/>
          </w:rPr>
          <w:tab/>
        </w:r>
        <w:r w:rsidR="00D8288E" w:rsidRPr="00A030B5">
          <w:rPr>
            <w:rStyle w:val="Hyperlink"/>
          </w:rPr>
          <w:t>Model Limitations</w:t>
        </w:r>
        <w:r w:rsidR="00D8288E">
          <w:rPr>
            <w:webHidden/>
          </w:rPr>
          <w:tab/>
        </w:r>
        <w:r w:rsidR="00D8288E">
          <w:rPr>
            <w:webHidden/>
          </w:rPr>
          <w:fldChar w:fldCharType="begin"/>
        </w:r>
        <w:r w:rsidR="00D8288E">
          <w:rPr>
            <w:webHidden/>
          </w:rPr>
          <w:instrText xml:space="preserve"> PAGEREF _Toc113380780 \h </w:instrText>
        </w:r>
        <w:r w:rsidR="00D8288E">
          <w:rPr>
            <w:webHidden/>
          </w:rPr>
        </w:r>
        <w:r w:rsidR="00D8288E">
          <w:rPr>
            <w:webHidden/>
          </w:rPr>
          <w:fldChar w:fldCharType="separate"/>
        </w:r>
        <w:r w:rsidR="00EE0BF5">
          <w:rPr>
            <w:webHidden/>
          </w:rPr>
          <w:t>33</w:t>
        </w:r>
        <w:r w:rsidR="00D8288E">
          <w:rPr>
            <w:webHidden/>
          </w:rPr>
          <w:fldChar w:fldCharType="end"/>
        </w:r>
      </w:hyperlink>
    </w:p>
    <w:p w14:paraId="731A9A2B" w14:textId="7CCB3DEC" w:rsidR="00D8288E" w:rsidRDefault="008043C8">
      <w:pPr>
        <w:pStyle w:val="TOC2"/>
        <w:tabs>
          <w:tab w:val="left" w:pos="1008"/>
        </w:tabs>
        <w:rPr>
          <w:rFonts w:asciiTheme="minorHAnsi" w:eastAsiaTheme="minorEastAsia" w:hAnsiTheme="minorHAnsi" w:cstheme="minorBidi"/>
          <w:lang w:bidi="ar-SA"/>
        </w:rPr>
      </w:pPr>
      <w:hyperlink w:anchor="_Toc113380781" w:history="1">
        <w:r w:rsidR="00D8288E" w:rsidRPr="00A030B5">
          <w:rPr>
            <w:rStyle w:val="Hyperlink"/>
          </w:rPr>
          <w:t>2.6</w:t>
        </w:r>
        <w:r w:rsidR="00D8288E">
          <w:rPr>
            <w:rFonts w:asciiTheme="minorHAnsi" w:eastAsiaTheme="minorEastAsia" w:hAnsiTheme="minorHAnsi" w:cstheme="minorBidi"/>
            <w:lang w:bidi="ar-SA"/>
          </w:rPr>
          <w:tab/>
        </w:r>
        <w:r w:rsidR="00D8288E" w:rsidRPr="00A030B5">
          <w:rPr>
            <w:rStyle w:val="Hyperlink"/>
          </w:rPr>
          <w:t>Hydropower Simulation</w:t>
        </w:r>
        <w:r w:rsidR="00D8288E">
          <w:rPr>
            <w:webHidden/>
          </w:rPr>
          <w:tab/>
        </w:r>
        <w:r w:rsidR="00D8288E">
          <w:rPr>
            <w:webHidden/>
          </w:rPr>
          <w:fldChar w:fldCharType="begin"/>
        </w:r>
        <w:r w:rsidR="00D8288E">
          <w:rPr>
            <w:webHidden/>
          </w:rPr>
          <w:instrText xml:space="preserve"> PAGEREF _Toc113380781 \h </w:instrText>
        </w:r>
        <w:r w:rsidR="00D8288E">
          <w:rPr>
            <w:webHidden/>
          </w:rPr>
        </w:r>
        <w:r w:rsidR="00D8288E">
          <w:rPr>
            <w:webHidden/>
          </w:rPr>
          <w:fldChar w:fldCharType="separate"/>
        </w:r>
        <w:r w:rsidR="00EE0BF5">
          <w:rPr>
            <w:webHidden/>
          </w:rPr>
          <w:t>34</w:t>
        </w:r>
        <w:r w:rsidR="00D8288E">
          <w:rPr>
            <w:webHidden/>
          </w:rPr>
          <w:fldChar w:fldCharType="end"/>
        </w:r>
      </w:hyperlink>
    </w:p>
    <w:p w14:paraId="5E9966E5" w14:textId="34ED0E58" w:rsidR="00D8288E" w:rsidRDefault="008043C8">
      <w:pPr>
        <w:pStyle w:val="TOC3"/>
        <w:tabs>
          <w:tab w:val="left" w:pos="1728"/>
        </w:tabs>
        <w:rPr>
          <w:rFonts w:asciiTheme="minorHAnsi" w:eastAsiaTheme="minorEastAsia" w:hAnsiTheme="minorHAnsi" w:cstheme="minorBidi"/>
          <w:lang w:bidi="ar-SA"/>
        </w:rPr>
      </w:pPr>
      <w:hyperlink w:anchor="_Toc113380782" w:history="1">
        <w:r w:rsidR="00D8288E" w:rsidRPr="00A030B5">
          <w:rPr>
            <w:rStyle w:val="Hyperlink"/>
          </w:rPr>
          <w:t>2.6.1</w:t>
        </w:r>
        <w:r w:rsidR="00D8288E">
          <w:rPr>
            <w:rFonts w:asciiTheme="minorHAnsi" w:eastAsiaTheme="minorEastAsia" w:hAnsiTheme="minorHAnsi" w:cstheme="minorBidi"/>
            <w:lang w:bidi="ar-SA"/>
          </w:rPr>
          <w:tab/>
        </w:r>
        <w:r w:rsidR="00D8288E" w:rsidRPr="00A030B5">
          <w:rPr>
            <w:rStyle w:val="Hyperlink"/>
          </w:rPr>
          <w:t>WRES</w:t>
        </w:r>
        <w:r w:rsidR="00D8288E">
          <w:rPr>
            <w:webHidden/>
          </w:rPr>
          <w:tab/>
        </w:r>
        <w:r w:rsidR="00D8288E">
          <w:rPr>
            <w:webHidden/>
          </w:rPr>
          <w:fldChar w:fldCharType="begin"/>
        </w:r>
        <w:r w:rsidR="00D8288E">
          <w:rPr>
            <w:webHidden/>
          </w:rPr>
          <w:instrText xml:space="preserve"> PAGEREF _Toc113380782 \h </w:instrText>
        </w:r>
        <w:r w:rsidR="00D8288E">
          <w:rPr>
            <w:webHidden/>
          </w:rPr>
        </w:r>
        <w:r w:rsidR="00D8288E">
          <w:rPr>
            <w:webHidden/>
          </w:rPr>
          <w:fldChar w:fldCharType="separate"/>
        </w:r>
        <w:r w:rsidR="00EE0BF5">
          <w:rPr>
            <w:webHidden/>
          </w:rPr>
          <w:t>34</w:t>
        </w:r>
        <w:r w:rsidR="00D8288E">
          <w:rPr>
            <w:webHidden/>
          </w:rPr>
          <w:fldChar w:fldCharType="end"/>
        </w:r>
      </w:hyperlink>
    </w:p>
    <w:p w14:paraId="3E0D4206" w14:textId="55502FA7" w:rsidR="00D8288E" w:rsidRDefault="008043C8">
      <w:pPr>
        <w:pStyle w:val="TOC3"/>
        <w:tabs>
          <w:tab w:val="left" w:pos="1728"/>
        </w:tabs>
        <w:rPr>
          <w:rFonts w:asciiTheme="minorHAnsi" w:eastAsiaTheme="minorEastAsia" w:hAnsiTheme="minorHAnsi" w:cstheme="minorBidi"/>
          <w:lang w:bidi="ar-SA"/>
        </w:rPr>
      </w:pPr>
      <w:hyperlink w:anchor="_Toc113380783" w:history="1">
        <w:r w:rsidR="00D8288E" w:rsidRPr="00A030B5">
          <w:rPr>
            <w:rStyle w:val="Hyperlink"/>
          </w:rPr>
          <w:t>2.6.2</w:t>
        </w:r>
        <w:r w:rsidR="00D8288E">
          <w:rPr>
            <w:rFonts w:asciiTheme="minorHAnsi" w:eastAsiaTheme="minorEastAsia" w:hAnsiTheme="minorHAnsi" w:cstheme="minorBidi"/>
            <w:lang w:bidi="ar-SA"/>
          </w:rPr>
          <w:tab/>
        </w:r>
        <w:r w:rsidR="00D8288E" w:rsidRPr="00A030B5">
          <w:rPr>
            <w:rStyle w:val="Hyperlink"/>
          </w:rPr>
          <w:t>WMP</w:t>
        </w:r>
        <w:r w:rsidR="00D8288E">
          <w:rPr>
            <w:webHidden/>
          </w:rPr>
          <w:tab/>
        </w:r>
        <w:r w:rsidR="00D8288E">
          <w:rPr>
            <w:webHidden/>
          </w:rPr>
          <w:fldChar w:fldCharType="begin"/>
        </w:r>
        <w:r w:rsidR="00D8288E">
          <w:rPr>
            <w:webHidden/>
          </w:rPr>
          <w:instrText xml:space="preserve"> PAGEREF _Toc113380783 \h </w:instrText>
        </w:r>
        <w:r w:rsidR="00D8288E">
          <w:rPr>
            <w:webHidden/>
          </w:rPr>
        </w:r>
        <w:r w:rsidR="00D8288E">
          <w:rPr>
            <w:webHidden/>
          </w:rPr>
          <w:fldChar w:fldCharType="separate"/>
        </w:r>
        <w:r w:rsidR="00EE0BF5">
          <w:rPr>
            <w:webHidden/>
          </w:rPr>
          <w:t>37</w:t>
        </w:r>
        <w:r w:rsidR="00D8288E">
          <w:rPr>
            <w:webHidden/>
          </w:rPr>
          <w:fldChar w:fldCharType="end"/>
        </w:r>
      </w:hyperlink>
    </w:p>
    <w:p w14:paraId="1DAAAA10" w14:textId="59AD52A9" w:rsidR="00D8288E" w:rsidRDefault="008043C8">
      <w:pPr>
        <w:pStyle w:val="TOC3"/>
        <w:tabs>
          <w:tab w:val="left" w:pos="1728"/>
        </w:tabs>
        <w:rPr>
          <w:rFonts w:asciiTheme="minorHAnsi" w:eastAsiaTheme="minorEastAsia" w:hAnsiTheme="minorHAnsi" w:cstheme="minorBidi"/>
          <w:lang w:bidi="ar-SA"/>
        </w:rPr>
      </w:pPr>
      <w:hyperlink w:anchor="_Toc113380784" w:history="1">
        <w:r w:rsidR="00D8288E" w:rsidRPr="00A030B5">
          <w:rPr>
            <w:rStyle w:val="Hyperlink"/>
          </w:rPr>
          <w:t>2.6.3</w:t>
        </w:r>
        <w:r w:rsidR="00D8288E">
          <w:rPr>
            <w:rFonts w:asciiTheme="minorHAnsi" w:eastAsiaTheme="minorEastAsia" w:hAnsiTheme="minorHAnsi" w:cstheme="minorBidi"/>
            <w:lang w:bidi="ar-SA"/>
          </w:rPr>
          <w:tab/>
        </w:r>
        <w:r w:rsidR="00D8288E" w:rsidRPr="00A030B5">
          <w:rPr>
            <w:rStyle w:val="Hyperlink"/>
          </w:rPr>
          <w:t>Model Calibration and Validation</w:t>
        </w:r>
        <w:r w:rsidR="00D8288E">
          <w:rPr>
            <w:webHidden/>
          </w:rPr>
          <w:tab/>
        </w:r>
        <w:r w:rsidR="00D8288E">
          <w:rPr>
            <w:webHidden/>
          </w:rPr>
          <w:fldChar w:fldCharType="begin"/>
        </w:r>
        <w:r w:rsidR="00D8288E">
          <w:rPr>
            <w:webHidden/>
          </w:rPr>
          <w:instrText xml:space="preserve"> PAGEREF _Toc113380784 \h </w:instrText>
        </w:r>
        <w:r w:rsidR="00D8288E">
          <w:rPr>
            <w:webHidden/>
          </w:rPr>
        </w:r>
        <w:r w:rsidR="00D8288E">
          <w:rPr>
            <w:webHidden/>
          </w:rPr>
          <w:fldChar w:fldCharType="separate"/>
        </w:r>
        <w:r w:rsidR="00EE0BF5">
          <w:rPr>
            <w:webHidden/>
          </w:rPr>
          <w:t>40</w:t>
        </w:r>
        <w:r w:rsidR="00D8288E">
          <w:rPr>
            <w:webHidden/>
          </w:rPr>
          <w:fldChar w:fldCharType="end"/>
        </w:r>
      </w:hyperlink>
    </w:p>
    <w:p w14:paraId="374ADF09" w14:textId="31721FA3" w:rsidR="00D8288E" w:rsidRDefault="008043C8">
      <w:pPr>
        <w:pStyle w:val="TOC3"/>
        <w:tabs>
          <w:tab w:val="left" w:pos="1728"/>
        </w:tabs>
        <w:rPr>
          <w:rFonts w:asciiTheme="minorHAnsi" w:eastAsiaTheme="minorEastAsia" w:hAnsiTheme="minorHAnsi" w:cstheme="minorBidi"/>
          <w:lang w:bidi="ar-SA"/>
        </w:rPr>
      </w:pPr>
      <w:hyperlink w:anchor="_Toc113380785" w:history="1">
        <w:r w:rsidR="00D8288E" w:rsidRPr="00A030B5">
          <w:rPr>
            <w:rStyle w:val="Hyperlink"/>
          </w:rPr>
          <w:t>2.6.4</w:t>
        </w:r>
        <w:r w:rsidR="00D8288E">
          <w:rPr>
            <w:rFonts w:asciiTheme="minorHAnsi" w:eastAsiaTheme="minorEastAsia" w:hAnsiTheme="minorHAnsi" w:cstheme="minorBidi"/>
            <w:lang w:bidi="ar-SA"/>
          </w:rPr>
          <w:tab/>
        </w:r>
        <w:r w:rsidR="00D8288E" w:rsidRPr="00A030B5">
          <w:rPr>
            <w:rStyle w:val="Hyperlink"/>
          </w:rPr>
          <w:t>Model Limitations</w:t>
        </w:r>
        <w:r w:rsidR="00D8288E">
          <w:rPr>
            <w:webHidden/>
          </w:rPr>
          <w:tab/>
        </w:r>
        <w:r w:rsidR="00D8288E">
          <w:rPr>
            <w:webHidden/>
          </w:rPr>
          <w:fldChar w:fldCharType="begin"/>
        </w:r>
        <w:r w:rsidR="00D8288E">
          <w:rPr>
            <w:webHidden/>
          </w:rPr>
          <w:instrText xml:space="preserve"> PAGEREF _Toc113380785 \h </w:instrText>
        </w:r>
        <w:r w:rsidR="00D8288E">
          <w:rPr>
            <w:webHidden/>
          </w:rPr>
        </w:r>
        <w:r w:rsidR="00D8288E">
          <w:rPr>
            <w:webHidden/>
          </w:rPr>
          <w:fldChar w:fldCharType="separate"/>
        </w:r>
        <w:r w:rsidR="00EE0BF5">
          <w:rPr>
            <w:webHidden/>
          </w:rPr>
          <w:t>42</w:t>
        </w:r>
        <w:r w:rsidR="00D8288E">
          <w:rPr>
            <w:webHidden/>
          </w:rPr>
          <w:fldChar w:fldCharType="end"/>
        </w:r>
      </w:hyperlink>
    </w:p>
    <w:p w14:paraId="4E5B3116" w14:textId="34257252" w:rsidR="00D8288E" w:rsidRDefault="008043C8">
      <w:pPr>
        <w:pStyle w:val="TOC2"/>
        <w:tabs>
          <w:tab w:val="left" w:pos="1008"/>
        </w:tabs>
        <w:rPr>
          <w:rFonts w:asciiTheme="minorHAnsi" w:eastAsiaTheme="minorEastAsia" w:hAnsiTheme="minorHAnsi" w:cstheme="minorBidi"/>
          <w:lang w:bidi="ar-SA"/>
        </w:rPr>
      </w:pPr>
      <w:hyperlink w:anchor="_Toc113380786" w:history="1">
        <w:r w:rsidR="00D8288E" w:rsidRPr="00A030B5">
          <w:rPr>
            <w:rStyle w:val="Hyperlink"/>
          </w:rPr>
          <w:t>2.7</w:t>
        </w:r>
        <w:r w:rsidR="00D8288E">
          <w:rPr>
            <w:rFonts w:asciiTheme="minorHAnsi" w:eastAsiaTheme="minorEastAsia" w:hAnsiTheme="minorHAnsi" w:cstheme="minorBidi"/>
            <w:lang w:bidi="ar-SA"/>
          </w:rPr>
          <w:tab/>
        </w:r>
        <w:r w:rsidR="00D8288E" w:rsidRPr="00A030B5">
          <w:rPr>
            <w:rStyle w:val="Hyperlink"/>
          </w:rPr>
          <w:t>Reservoir Evaporation</w:t>
        </w:r>
        <w:r w:rsidR="00D8288E">
          <w:rPr>
            <w:webHidden/>
          </w:rPr>
          <w:tab/>
        </w:r>
        <w:r w:rsidR="00D8288E">
          <w:rPr>
            <w:webHidden/>
          </w:rPr>
          <w:fldChar w:fldCharType="begin"/>
        </w:r>
        <w:r w:rsidR="00D8288E">
          <w:rPr>
            <w:webHidden/>
          </w:rPr>
          <w:instrText xml:space="preserve"> PAGEREF _Toc113380786 \h </w:instrText>
        </w:r>
        <w:r w:rsidR="00D8288E">
          <w:rPr>
            <w:webHidden/>
          </w:rPr>
        </w:r>
        <w:r w:rsidR="00D8288E">
          <w:rPr>
            <w:webHidden/>
          </w:rPr>
          <w:fldChar w:fldCharType="separate"/>
        </w:r>
        <w:r w:rsidR="00EE0BF5">
          <w:rPr>
            <w:webHidden/>
          </w:rPr>
          <w:t>44</w:t>
        </w:r>
        <w:r w:rsidR="00D8288E">
          <w:rPr>
            <w:webHidden/>
          </w:rPr>
          <w:fldChar w:fldCharType="end"/>
        </w:r>
      </w:hyperlink>
    </w:p>
    <w:p w14:paraId="1B770A83" w14:textId="50C77C28" w:rsidR="00D8288E" w:rsidRDefault="008043C8">
      <w:pPr>
        <w:pStyle w:val="TOC3"/>
        <w:tabs>
          <w:tab w:val="left" w:pos="1728"/>
        </w:tabs>
        <w:rPr>
          <w:rFonts w:asciiTheme="minorHAnsi" w:eastAsiaTheme="minorEastAsia" w:hAnsiTheme="minorHAnsi" w:cstheme="minorBidi"/>
          <w:lang w:bidi="ar-SA"/>
        </w:rPr>
      </w:pPr>
      <w:hyperlink w:anchor="_Toc113380787" w:history="1">
        <w:r w:rsidR="00D8288E" w:rsidRPr="00A030B5">
          <w:rPr>
            <w:rStyle w:val="Hyperlink"/>
          </w:rPr>
          <w:t>2.7.1</w:t>
        </w:r>
        <w:r w:rsidR="00D8288E">
          <w:rPr>
            <w:rFonts w:asciiTheme="minorHAnsi" w:eastAsiaTheme="minorEastAsia" w:hAnsiTheme="minorHAnsi" w:cstheme="minorBidi"/>
            <w:lang w:bidi="ar-SA"/>
          </w:rPr>
          <w:tab/>
        </w:r>
        <w:r w:rsidR="00D8288E" w:rsidRPr="00A030B5">
          <w:rPr>
            <w:rStyle w:val="Hyperlink"/>
          </w:rPr>
          <w:t>Approach</w:t>
        </w:r>
        <w:r w:rsidR="00D8288E">
          <w:rPr>
            <w:webHidden/>
          </w:rPr>
          <w:tab/>
        </w:r>
        <w:r w:rsidR="00D8288E">
          <w:rPr>
            <w:webHidden/>
          </w:rPr>
          <w:fldChar w:fldCharType="begin"/>
        </w:r>
        <w:r w:rsidR="00D8288E">
          <w:rPr>
            <w:webHidden/>
          </w:rPr>
          <w:instrText xml:space="preserve"> PAGEREF _Toc113380787 \h </w:instrText>
        </w:r>
        <w:r w:rsidR="00D8288E">
          <w:rPr>
            <w:webHidden/>
          </w:rPr>
        </w:r>
        <w:r w:rsidR="00D8288E">
          <w:rPr>
            <w:webHidden/>
          </w:rPr>
          <w:fldChar w:fldCharType="separate"/>
        </w:r>
        <w:r w:rsidR="00EE0BF5">
          <w:rPr>
            <w:webHidden/>
          </w:rPr>
          <w:t>44</w:t>
        </w:r>
        <w:r w:rsidR="00D8288E">
          <w:rPr>
            <w:webHidden/>
          </w:rPr>
          <w:fldChar w:fldCharType="end"/>
        </w:r>
      </w:hyperlink>
    </w:p>
    <w:p w14:paraId="40DAFE2F" w14:textId="7629CB6B" w:rsidR="00D8288E" w:rsidRDefault="008043C8">
      <w:pPr>
        <w:pStyle w:val="TOC3"/>
        <w:tabs>
          <w:tab w:val="left" w:pos="1728"/>
        </w:tabs>
        <w:rPr>
          <w:rFonts w:asciiTheme="minorHAnsi" w:eastAsiaTheme="minorEastAsia" w:hAnsiTheme="minorHAnsi" w:cstheme="minorBidi"/>
          <w:lang w:bidi="ar-SA"/>
        </w:rPr>
      </w:pPr>
      <w:hyperlink w:anchor="_Toc113380788" w:history="1">
        <w:r w:rsidR="00D8288E" w:rsidRPr="00A030B5">
          <w:rPr>
            <w:rStyle w:val="Hyperlink"/>
          </w:rPr>
          <w:t>2.7.2</w:t>
        </w:r>
        <w:r w:rsidR="00D8288E">
          <w:rPr>
            <w:rFonts w:asciiTheme="minorHAnsi" w:eastAsiaTheme="minorEastAsia" w:hAnsiTheme="minorHAnsi" w:cstheme="minorBidi"/>
            <w:lang w:bidi="ar-SA"/>
          </w:rPr>
          <w:tab/>
        </w:r>
        <w:r w:rsidR="00D8288E" w:rsidRPr="00A030B5">
          <w:rPr>
            <w:rStyle w:val="Hyperlink"/>
          </w:rPr>
          <w:t>Model Validation</w:t>
        </w:r>
        <w:r w:rsidR="00D8288E">
          <w:rPr>
            <w:webHidden/>
          </w:rPr>
          <w:tab/>
        </w:r>
        <w:r w:rsidR="00D8288E">
          <w:rPr>
            <w:webHidden/>
          </w:rPr>
          <w:fldChar w:fldCharType="begin"/>
        </w:r>
        <w:r w:rsidR="00D8288E">
          <w:rPr>
            <w:webHidden/>
          </w:rPr>
          <w:instrText xml:space="preserve"> PAGEREF _Toc113380788 \h </w:instrText>
        </w:r>
        <w:r w:rsidR="00D8288E">
          <w:rPr>
            <w:webHidden/>
          </w:rPr>
        </w:r>
        <w:r w:rsidR="00D8288E">
          <w:rPr>
            <w:webHidden/>
          </w:rPr>
          <w:fldChar w:fldCharType="separate"/>
        </w:r>
        <w:r w:rsidR="00EE0BF5">
          <w:rPr>
            <w:webHidden/>
          </w:rPr>
          <w:t>47</w:t>
        </w:r>
        <w:r w:rsidR="00D8288E">
          <w:rPr>
            <w:webHidden/>
          </w:rPr>
          <w:fldChar w:fldCharType="end"/>
        </w:r>
      </w:hyperlink>
    </w:p>
    <w:p w14:paraId="2C562C90" w14:textId="5B1A0D37" w:rsidR="00D8288E" w:rsidRDefault="008043C8">
      <w:pPr>
        <w:pStyle w:val="TOC3"/>
        <w:tabs>
          <w:tab w:val="left" w:pos="1728"/>
        </w:tabs>
        <w:rPr>
          <w:rFonts w:asciiTheme="minorHAnsi" w:eastAsiaTheme="minorEastAsia" w:hAnsiTheme="minorHAnsi" w:cstheme="minorBidi"/>
          <w:lang w:bidi="ar-SA"/>
        </w:rPr>
      </w:pPr>
      <w:hyperlink w:anchor="_Toc113380789" w:history="1">
        <w:r w:rsidR="00D8288E" w:rsidRPr="00A030B5">
          <w:rPr>
            <w:rStyle w:val="Hyperlink"/>
          </w:rPr>
          <w:t>2.7.3</w:t>
        </w:r>
        <w:r w:rsidR="00D8288E">
          <w:rPr>
            <w:rFonts w:asciiTheme="minorHAnsi" w:eastAsiaTheme="minorEastAsia" w:hAnsiTheme="minorHAnsi" w:cstheme="minorBidi"/>
            <w:lang w:bidi="ar-SA"/>
          </w:rPr>
          <w:tab/>
        </w:r>
        <w:r w:rsidR="00D8288E" w:rsidRPr="00A030B5">
          <w:rPr>
            <w:rStyle w:val="Hyperlink"/>
          </w:rPr>
          <w:t>Model Limitations</w:t>
        </w:r>
        <w:r w:rsidR="00D8288E">
          <w:rPr>
            <w:webHidden/>
          </w:rPr>
          <w:tab/>
        </w:r>
        <w:r w:rsidR="00D8288E">
          <w:rPr>
            <w:webHidden/>
          </w:rPr>
          <w:fldChar w:fldCharType="begin"/>
        </w:r>
        <w:r w:rsidR="00D8288E">
          <w:rPr>
            <w:webHidden/>
          </w:rPr>
          <w:instrText xml:space="preserve"> PAGEREF _Toc113380789 \h </w:instrText>
        </w:r>
        <w:r w:rsidR="00D8288E">
          <w:rPr>
            <w:webHidden/>
          </w:rPr>
        </w:r>
        <w:r w:rsidR="00D8288E">
          <w:rPr>
            <w:webHidden/>
          </w:rPr>
          <w:fldChar w:fldCharType="separate"/>
        </w:r>
        <w:r w:rsidR="00EE0BF5">
          <w:rPr>
            <w:webHidden/>
          </w:rPr>
          <w:t>48</w:t>
        </w:r>
        <w:r w:rsidR="00D8288E">
          <w:rPr>
            <w:webHidden/>
          </w:rPr>
          <w:fldChar w:fldCharType="end"/>
        </w:r>
      </w:hyperlink>
    </w:p>
    <w:p w14:paraId="00F861D7" w14:textId="0D158E62" w:rsidR="00D8288E" w:rsidRDefault="008043C8">
      <w:pPr>
        <w:pStyle w:val="TOC2"/>
        <w:tabs>
          <w:tab w:val="left" w:pos="1008"/>
        </w:tabs>
        <w:rPr>
          <w:rFonts w:asciiTheme="minorHAnsi" w:eastAsiaTheme="minorEastAsia" w:hAnsiTheme="minorHAnsi" w:cstheme="minorBidi"/>
          <w:lang w:bidi="ar-SA"/>
        </w:rPr>
      </w:pPr>
      <w:hyperlink w:anchor="_Toc113380790" w:history="1">
        <w:r w:rsidR="00D8288E" w:rsidRPr="00A030B5">
          <w:rPr>
            <w:rStyle w:val="Hyperlink"/>
          </w:rPr>
          <w:t>2.8</w:t>
        </w:r>
        <w:r w:rsidR="00D8288E">
          <w:rPr>
            <w:rFonts w:asciiTheme="minorHAnsi" w:eastAsiaTheme="minorEastAsia" w:hAnsiTheme="minorHAnsi" w:cstheme="minorBidi"/>
            <w:lang w:bidi="ar-SA"/>
          </w:rPr>
          <w:tab/>
        </w:r>
        <w:r w:rsidR="00D8288E" w:rsidRPr="00A030B5">
          <w:rPr>
            <w:rStyle w:val="Hyperlink"/>
          </w:rPr>
          <w:t>Energy Demand Analysis</w:t>
        </w:r>
        <w:r w:rsidR="00D8288E">
          <w:rPr>
            <w:webHidden/>
          </w:rPr>
          <w:tab/>
        </w:r>
        <w:r w:rsidR="00D8288E">
          <w:rPr>
            <w:webHidden/>
          </w:rPr>
          <w:fldChar w:fldCharType="begin"/>
        </w:r>
        <w:r w:rsidR="00D8288E">
          <w:rPr>
            <w:webHidden/>
          </w:rPr>
          <w:instrText xml:space="preserve"> PAGEREF _Toc113380790 \h </w:instrText>
        </w:r>
        <w:r w:rsidR="00D8288E">
          <w:rPr>
            <w:webHidden/>
          </w:rPr>
        </w:r>
        <w:r w:rsidR="00D8288E">
          <w:rPr>
            <w:webHidden/>
          </w:rPr>
          <w:fldChar w:fldCharType="separate"/>
        </w:r>
        <w:r w:rsidR="00EE0BF5">
          <w:rPr>
            <w:webHidden/>
          </w:rPr>
          <w:t>49</w:t>
        </w:r>
        <w:r w:rsidR="00D8288E">
          <w:rPr>
            <w:webHidden/>
          </w:rPr>
          <w:fldChar w:fldCharType="end"/>
        </w:r>
      </w:hyperlink>
    </w:p>
    <w:p w14:paraId="53CE1A32" w14:textId="253DF409" w:rsidR="00D8288E" w:rsidRDefault="008043C8">
      <w:pPr>
        <w:pStyle w:val="TOC3"/>
        <w:tabs>
          <w:tab w:val="left" w:pos="1728"/>
        </w:tabs>
        <w:rPr>
          <w:rFonts w:asciiTheme="minorHAnsi" w:eastAsiaTheme="minorEastAsia" w:hAnsiTheme="minorHAnsi" w:cstheme="minorBidi"/>
          <w:lang w:bidi="ar-SA"/>
        </w:rPr>
      </w:pPr>
      <w:hyperlink w:anchor="_Toc113380791" w:history="1">
        <w:r w:rsidR="00D8288E" w:rsidRPr="00A030B5">
          <w:rPr>
            <w:rStyle w:val="Hyperlink"/>
          </w:rPr>
          <w:t>2.8.1</w:t>
        </w:r>
        <w:r w:rsidR="00D8288E">
          <w:rPr>
            <w:rFonts w:asciiTheme="minorHAnsi" w:eastAsiaTheme="minorEastAsia" w:hAnsiTheme="minorHAnsi" w:cstheme="minorBidi"/>
            <w:lang w:bidi="ar-SA"/>
          </w:rPr>
          <w:tab/>
        </w:r>
        <w:r w:rsidR="00D8288E" w:rsidRPr="00A030B5">
          <w:rPr>
            <w:rStyle w:val="Hyperlink"/>
          </w:rPr>
          <w:t>Approach</w:t>
        </w:r>
        <w:r w:rsidR="00D8288E">
          <w:rPr>
            <w:webHidden/>
          </w:rPr>
          <w:tab/>
        </w:r>
        <w:r w:rsidR="00D8288E">
          <w:rPr>
            <w:webHidden/>
          </w:rPr>
          <w:fldChar w:fldCharType="begin"/>
        </w:r>
        <w:r w:rsidR="00D8288E">
          <w:rPr>
            <w:webHidden/>
          </w:rPr>
          <w:instrText xml:space="preserve"> PAGEREF _Toc113380791 \h </w:instrText>
        </w:r>
        <w:r w:rsidR="00D8288E">
          <w:rPr>
            <w:webHidden/>
          </w:rPr>
        </w:r>
        <w:r w:rsidR="00D8288E">
          <w:rPr>
            <w:webHidden/>
          </w:rPr>
          <w:fldChar w:fldCharType="separate"/>
        </w:r>
        <w:r w:rsidR="00EE0BF5">
          <w:rPr>
            <w:webHidden/>
          </w:rPr>
          <w:t>49</w:t>
        </w:r>
        <w:r w:rsidR="00D8288E">
          <w:rPr>
            <w:webHidden/>
          </w:rPr>
          <w:fldChar w:fldCharType="end"/>
        </w:r>
      </w:hyperlink>
    </w:p>
    <w:p w14:paraId="24CFC6A2" w14:textId="0FD692E4" w:rsidR="00D8288E" w:rsidRDefault="008043C8">
      <w:pPr>
        <w:pStyle w:val="TOC3"/>
        <w:tabs>
          <w:tab w:val="left" w:pos="1728"/>
        </w:tabs>
        <w:rPr>
          <w:rFonts w:asciiTheme="minorHAnsi" w:eastAsiaTheme="minorEastAsia" w:hAnsiTheme="minorHAnsi" w:cstheme="minorBidi"/>
          <w:lang w:bidi="ar-SA"/>
        </w:rPr>
      </w:pPr>
      <w:hyperlink w:anchor="_Toc113380792" w:history="1">
        <w:r w:rsidR="00D8288E" w:rsidRPr="00A030B5">
          <w:rPr>
            <w:rStyle w:val="Hyperlink"/>
          </w:rPr>
          <w:t>2.8.2</w:t>
        </w:r>
        <w:r w:rsidR="00D8288E">
          <w:rPr>
            <w:rFonts w:asciiTheme="minorHAnsi" w:eastAsiaTheme="minorEastAsia" w:hAnsiTheme="minorHAnsi" w:cstheme="minorBidi"/>
            <w:lang w:bidi="ar-SA"/>
          </w:rPr>
          <w:tab/>
        </w:r>
        <w:r w:rsidR="00D8288E" w:rsidRPr="00A030B5">
          <w:rPr>
            <w:rStyle w:val="Hyperlink"/>
          </w:rPr>
          <w:t>Model Validation</w:t>
        </w:r>
        <w:r w:rsidR="00D8288E">
          <w:rPr>
            <w:webHidden/>
          </w:rPr>
          <w:tab/>
        </w:r>
        <w:r w:rsidR="00D8288E">
          <w:rPr>
            <w:webHidden/>
          </w:rPr>
          <w:fldChar w:fldCharType="begin"/>
        </w:r>
        <w:r w:rsidR="00D8288E">
          <w:rPr>
            <w:webHidden/>
          </w:rPr>
          <w:instrText xml:space="preserve"> PAGEREF _Toc113380792 \h </w:instrText>
        </w:r>
        <w:r w:rsidR="00D8288E">
          <w:rPr>
            <w:webHidden/>
          </w:rPr>
        </w:r>
        <w:r w:rsidR="00D8288E">
          <w:rPr>
            <w:webHidden/>
          </w:rPr>
          <w:fldChar w:fldCharType="separate"/>
        </w:r>
        <w:r w:rsidR="00EE0BF5">
          <w:rPr>
            <w:webHidden/>
          </w:rPr>
          <w:t>51</w:t>
        </w:r>
        <w:r w:rsidR="00D8288E">
          <w:rPr>
            <w:webHidden/>
          </w:rPr>
          <w:fldChar w:fldCharType="end"/>
        </w:r>
      </w:hyperlink>
    </w:p>
    <w:p w14:paraId="52040B51" w14:textId="3B01BFB8" w:rsidR="00D8288E" w:rsidRDefault="008043C8">
      <w:pPr>
        <w:pStyle w:val="TOC3"/>
        <w:tabs>
          <w:tab w:val="left" w:pos="1728"/>
        </w:tabs>
        <w:rPr>
          <w:rFonts w:asciiTheme="minorHAnsi" w:eastAsiaTheme="minorEastAsia" w:hAnsiTheme="minorHAnsi" w:cstheme="minorBidi"/>
          <w:lang w:bidi="ar-SA"/>
        </w:rPr>
      </w:pPr>
      <w:hyperlink w:anchor="_Toc113380793" w:history="1">
        <w:r w:rsidR="00D8288E" w:rsidRPr="00A030B5">
          <w:rPr>
            <w:rStyle w:val="Hyperlink"/>
          </w:rPr>
          <w:t>2.8.3</w:t>
        </w:r>
        <w:r w:rsidR="00D8288E">
          <w:rPr>
            <w:rFonts w:asciiTheme="minorHAnsi" w:eastAsiaTheme="minorEastAsia" w:hAnsiTheme="minorHAnsi" w:cstheme="minorBidi"/>
            <w:lang w:bidi="ar-SA"/>
          </w:rPr>
          <w:tab/>
        </w:r>
        <w:r w:rsidR="00D8288E" w:rsidRPr="00A030B5">
          <w:rPr>
            <w:rStyle w:val="Hyperlink"/>
          </w:rPr>
          <w:t>Model Limitations</w:t>
        </w:r>
        <w:r w:rsidR="00D8288E">
          <w:rPr>
            <w:webHidden/>
          </w:rPr>
          <w:tab/>
        </w:r>
        <w:r w:rsidR="00D8288E">
          <w:rPr>
            <w:webHidden/>
          </w:rPr>
          <w:fldChar w:fldCharType="begin"/>
        </w:r>
        <w:r w:rsidR="00D8288E">
          <w:rPr>
            <w:webHidden/>
          </w:rPr>
          <w:instrText xml:space="preserve"> PAGEREF _Toc113380793 \h </w:instrText>
        </w:r>
        <w:r w:rsidR="00D8288E">
          <w:rPr>
            <w:webHidden/>
          </w:rPr>
        </w:r>
        <w:r w:rsidR="00D8288E">
          <w:rPr>
            <w:webHidden/>
          </w:rPr>
          <w:fldChar w:fldCharType="separate"/>
        </w:r>
        <w:r w:rsidR="00EE0BF5">
          <w:rPr>
            <w:webHidden/>
          </w:rPr>
          <w:t>52</w:t>
        </w:r>
        <w:r w:rsidR="00D8288E">
          <w:rPr>
            <w:webHidden/>
          </w:rPr>
          <w:fldChar w:fldCharType="end"/>
        </w:r>
      </w:hyperlink>
    </w:p>
    <w:p w14:paraId="003313CC" w14:textId="1774276E" w:rsidR="00D8288E" w:rsidRDefault="008043C8">
      <w:pPr>
        <w:pStyle w:val="TOC2"/>
        <w:tabs>
          <w:tab w:val="left" w:pos="1008"/>
        </w:tabs>
        <w:rPr>
          <w:rFonts w:asciiTheme="minorHAnsi" w:eastAsiaTheme="minorEastAsia" w:hAnsiTheme="minorHAnsi" w:cstheme="minorBidi"/>
          <w:lang w:bidi="ar-SA"/>
        </w:rPr>
      </w:pPr>
      <w:hyperlink w:anchor="_Toc113380794" w:history="1">
        <w:r w:rsidR="00D8288E" w:rsidRPr="00A030B5">
          <w:rPr>
            <w:rStyle w:val="Hyperlink"/>
          </w:rPr>
          <w:t>2.9</w:t>
        </w:r>
        <w:r w:rsidR="00D8288E">
          <w:rPr>
            <w:rFonts w:asciiTheme="minorHAnsi" w:eastAsiaTheme="minorEastAsia" w:hAnsiTheme="minorHAnsi" w:cstheme="minorBidi"/>
            <w:lang w:bidi="ar-SA"/>
          </w:rPr>
          <w:tab/>
        </w:r>
        <w:r w:rsidR="00D8288E" w:rsidRPr="00A030B5">
          <w:rPr>
            <w:rStyle w:val="Hyperlink"/>
          </w:rPr>
          <w:t>Analysis of Variance</w:t>
        </w:r>
        <w:r w:rsidR="00D8288E">
          <w:rPr>
            <w:webHidden/>
          </w:rPr>
          <w:tab/>
        </w:r>
        <w:r w:rsidR="00D8288E">
          <w:rPr>
            <w:webHidden/>
          </w:rPr>
          <w:fldChar w:fldCharType="begin"/>
        </w:r>
        <w:r w:rsidR="00D8288E">
          <w:rPr>
            <w:webHidden/>
          </w:rPr>
          <w:instrText xml:space="preserve"> PAGEREF _Toc113380794 \h </w:instrText>
        </w:r>
        <w:r w:rsidR="00D8288E">
          <w:rPr>
            <w:webHidden/>
          </w:rPr>
        </w:r>
        <w:r w:rsidR="00D8288E">
          <w:rPr>
            <w:webHidden/>
          </w:rPr>
          <w:fldChar w:fldCharType="separate"/>
        </w:r>
        <w:r w:rsidR="00EE0BF5">
          <w:rPr>
            <w:webHidden/>
          </w:rPr>
          <w:t>53</w:t>
        </w:r>
        <w:r w:rsidR="00D8288E">
          <w:rPr>
            <w:webHidden/>
          </w:rPr>
          <w:fldChar w:fldCharType="end"/>
        </w:r>
      </w:hyperlink>
    </w:p>
    <w:p w14:paraId="428B25C4" w14:textId="1138C3A0" w:rsidR="00D8288E" w:rsidRDefault="008043C8">
      <w:pPr>
        <w:pStyle w:val="TOC3"/>
        <w:tabs>
          <w:tab w:val="left" w:pos="1728"/>
        </w:tabs>
        <w:rPr>
          <w:rFonts w:asciiTheme="minorHAnsi" w:eastAsiaTheme="minorEastAsia" w:hAnsiTheme="minorHAnsi" w:cstheme="minorBidi"/>
          <w:lang w:bidi="ar-SA"/>
        </w:rPr>
      </w:pPr>
      <w:hyperlink w:anchor="_Toc113380795" w:history="1">
        <w:r w:rsidR="00D8288E" w:rsidRPr="00A030B5">
          <w:rPr>
            <w:rStyle w:val="Hyperlink"/>
          </w:rPr>
          <w:t>2.9.1</w:t>
        </w:r>
        <w:r w:rsidR="00D8288E">
          <w:rPr>
            <w:rFonts w:asciiTheme="minorHAnsi" w:eastAsiaTheme="minorEastAsia" w:hAnsiTheme="minorHAnsi" w:cstheme="minorBidi"/>
            <w:lang w:bidi="ar-SA"/>
          </w:rPr>
          <w:tab/>
        </w:r>
        <w:r w:rsidR="00D8288E" w:rsidRPr="00A030B5">
          <w:rPr>
            <w:rStyle w:val="Hyperlink"/>
          </w:rPr>
          <w:t>Approach</w:t>
        </w:r>
        <w:r w:rsidR="00D8288E">
          <w:rPr>
            <w:webHidden/>
          </w:rPr>
          <w:tab/>
        </w:r>
        <w:r w:rsidR="00D8288E">
          <w:rPr>
            <w:webHidden/>
          </w:rPr>
          <w:fldChar w:fldCharType="begin"/>
        </w:r>
        <w:r w:rsidR="00D8288E">
          <w:rPr>
            <w:webHidden/>
          </w:rPr>
          <w:instrText xml:space="preserve"> PAGEREF _Toc113380795 \h </w:instrText>
        </w:r>
        <w:r w:rsidR="00D8288E">
          <w:rPr>
            <w:webHidden/>
          </w:rPr>
        </w:r>
        <w:r w:rsidR="00D8288E">
          <w:rPr>
            <w:webHidden/>
          </w:rPr>
          <w:fldChar w:fldCharType="separate"/>
        </w:r>
        <w:r w:rsidR="00EE0BF5">
          <w:rPr>
            <w:webHidden/>
          </w:rPr>
          <w:t>53</w:t>
        </w:r>
        <w:r w:rsidR="00D8288E">
          <w:rPr>
            <w:webHidden/>
          </w:rPr>
          <w:fldChar w:fldCharType="end"/>
        </w:r>
      </w:hyperlink>
    </w:p>
    <w:p w14:paraId="6F34B3EE" w14:textId="548A2FA8" w:rsidR="00D8288E" w:rsidRDefault="008043C8">
      <w:pPr>
        <w:pStyle w:val="TOC3"/>
        <w:tabs>
          <w:tab w:val="left" w:pos="1728"/>
        </w:tabs>
        <w:rPr>
          <w:rFonts w:asciiTheme="minorHAnsi" w:eastAsiaTheme="minorEastAsia" w:hAnsiTheme="minorHAnsi" w:cstheme="minorBidi"/>
          <w:lang w:bidi="ar-SA"/>
        </w:rPr>
      </w:pPr>
      <w:hyperlink w:anchor="_Toc113380796" w:history="1">
        <w:r w:rsidR="00D8288E" w:rsidRPr="00A030B5">
          <w:rPr>
            <w:rStyle w:val="Hyperlink"/>
          </w:rPr>
          <w:t>2.9.2</w:t>
        </w:r>
        <w:r w:rsidR="00D8288E">
          <w:rPr>
            <w:rFonts w:asciiTheme="minorHAnsi" w:eastAsiaTheme="minorEastAsia" w:hAnsiTheme="minorHAnsi" w:cstheme="minorBidi"/>
            <w:lang w:bidi="ar-SA"/>
          </w:rPr>
          <w:tab/>
        </w:r>
        <w:r w:rsidR="00D8288E" w:rsidRPr="00A030B5">
          <w:rPr>
            <w:rStyle w:val="Hyperlink"/>
          </w:rPr>
          <w:t>Limitations</w:t>
        </w:r>
        <w:r w:rsidR="00D8288E">
          <w:rPr>
            <w:webHidden/>
          </w:rPr>
          <w:tab/>
        </w:r>
        <w:r w:rsidR="00D8288E">
          <w:rPr>
            <w:webHidden/>
          </w:rPr>
          <w:fldChar w:fldCharType="begin"/>
        </w:r>
        <w:r w:rsidR="00D8288E">
          <w:rPr>
            <w:webHidden/>
          </w:rPr>
          <w:instrText xml:space="preserve"> PAGEREF _Toc113380796 \h </w:instrText>
        </w:r>
        <w:r w:rsidR="00D8288E">
          <w:rPr>
            <w:webHidden/>
          </w:rPr>
        </w:r>
        <w:r w:rsidR="00D8288E">
          <w:rPr>
            <w:webHidden/>
          </w:rPr>
          <w:fldChar w:fldCharType="separate"/>
        </w:r>
        <w:r w:rsidR="00EE0BF5">
          <w:rPr>
            <w:webHidden/>
          </w:rPr>
          <w:t>53</w:t>
        </w:r>
        <w:r w:rsidR="00D8288E">
          <w:rPr>
            <w:webHidden/>
          </w:rPr>
          <w:fldChar w:fldCharType="end"/>
        </w:r>
      </w:hyperlink>
    </w:p>
    <w:p w14:paraId="53E7B6FB" w14:textId="17334239" w:rsidR="00D8288E" w:rsidRDefault="008043C8">
      <w:pPr>
        <w:pStyle w:val="TOC1"/>
        <w:rPr>
          <w:rFonts w:asciiTheme="minorHAnsi" w:eastAsiaTheme="minorEastAsia" w:hAnsiTheme="minorHAnsi" w:cstheme="minorBidi"/>
          <w:lang w:bidi="ar-SA"/>
        </w:rPr>
      </w:pPr>
      <w:hyperlink w:anchor="_Toc113380797" w:history="1">
        <w:r w:rsidR="00D8288E" w:rsidRPr="00A030B5">
          <w:rPr>
            <w:rStyle w:val="Hyperlink"/>
          </w:rPr>
          <w:t>3.</w:t>
        </w:r>
        <w:r w:rsidR="00D8288E">
          <w:rPr>
            <w:rFonts w:asciiTheme="minorHAnsi" w:eastAsiaTheme="minorEastAsia" w:hAnsiTheme="minorHAnsi" w:cstheme="minorBidi"/>
            <w:lang w:bidi="ar-SA"/>
          </w:rPr>
          <w:tab/>
        </w:r>
        <w:r w:rsidR="00D8288E" w:rsidRPr="00A030B5">
          <w:rPr>
            <w:rStyle w:val="Hyperlink"/>
          </w:rPr>
          <w:t>THE BPA REGION</w:t>
        </w:r>
        <w:r w:rsidR="00D8288E">
          <w:rPr>
            <w:webHidden/>
          </w:rPr>
          <w:tab/>
        </w:r>
        <w:r w:rsidR="00D8288E">
          <w:rPr>
            <w:webHidden/>
          </w:rPr>
          <w:fldChar w:fldCharType="begin"/>
        </w:r>
        <w:r w:rsidR="00D8288E">
          <w:rPr>
            <w:webHidden/>
          </w:rPr>
          <w:instrText xml:space="preserve"> PAGEREF _Toc113380797 \h </w:instrText>
        </w:r>
        <w:r w:rsidR="00D8288E">
          <w:rPr>
            <w:webHidden/>
          </w:rPr>
        </w:r>
        <w:r w:rsidR="00D8288E">
          <w:rPr>
            <w:webHidden/>
          </w:rPr>
          <w:fldChar w:fldCharType="separate"/>
        </w:r>
        <w:r w:rsidR="00EE0BF5">
          <w:rPr>
            <w:webHidden/>
          </w:rPr>
          <w:t>55</w:t>
        </w:r>
        <w:r w:rsidR="00D8288E">
          <w:rPr>
            <w:webHidden/>
          </w:rPr>
          <w:fldChar w:fldCharType="end"/>
        </w:r>
      </w:hyperlink>
    </w:p>
    <w:p w14:paraId="7B63AF65" w14:textId="6936EF5E" w:rsidR="00D8288E" w:rsidRDefault="008043C8">
      <w:pPr>
        <w:pStyle w:val="TOC2"/>
        <w:tabs>
          <w:tab w:val="left" w:pos="1008"/>
        </w:tabs>
        <w:rPr>
          <w:rFonts w:asciiTheme="minorHAnsi" w:eastAsiaTheme="minorEastAsia" w:hAnsiTheme="minorHAnsi" w:cstheme="minorBidi"/>
          <w:lang w:bidi="ar-SA"/>
        </w:rPr>
      </w:pPr>
      <w:hyperlink w:anchor="_Toc113380798" w:history="1">
        <w:r w:rsidR="00D8288E" w:rsidRPr="00A030B5">
          <w:rPr>
            <w:rStyle w:val="Hyperlink"/>
          </w:rPr>
          <w:t>3.1</w:t>
        </w:r>
        <w:r w:rsidR="00D8288E">
          <w:rPr>
            <w:rFonts w:asciiTheme="minorHAnsi" w:eastAsiaTheme="minorEastAsia" w:hAnsiTheme="minorHAnsi" w:cstheme="minorBidi"/>
            <w:lang w:bidi="ar-SA"/>
          </w:rPr>
          <w:tab/>
        </w:r>
        <w:r w:rsidR="00D8288E" w:rsidRPr="00A030B5">
          <w:rPr>
            <w:rStyle w:val="Hyperlink"/>
          </w:rPr>
          <w:t>BPA Regional Characteristics</w:t>
        </w:r>
        <w:r w:rsidR="00D8288E">
          <w:rPr>
            <w:webHidden/>
          </w:rPr>
          <w:tab/>
        </w:r>
        <w:r w:rsidR="00D8288E">
          <w:rPr>
            <w:webHidden/>
          </w:rPr>
          <w:fldChar w:fldCharType="begin"/>
        </w:r>
        <w:r w:rsidR="00D8288E">
          <w:rPr>
            <w:webHidden/>
          </w:rPr>
          <w:instrText xml:space="preserve"> PAGEREF _Toc113380798 \h </w:instrText>
        </w:r>
        <w:r w:rsidR="00D8288E">
          <w:rPr>
            <w:webHidden/>
          </w:rPr>
        </w:r>
        <w:r w:rsidR="00D8288E">
          <w:rPr>
            <w:webHidden/>
          </w:rPr>
          <w:fldChar w:fldCharType="separate"/>
        </w:r>
        <w:r w:rsidR="00EE0BF5">
          <w:rPr>
            <w:webHidden/>
          </w:rPr>
          <w:t>55</w:t>
        </w:r>
        <w:r w:rsidR="00D8288E">
          <w:rPr>
            <w:webHidden/>
          </w:rPr>
          <w:fldChar w:fldCharType="end"/>
        </w:r>
      </w:hyperlink>
    </w:p>
    <w:p w14:paraId="3A4CAB54" w14:textId="7476971D" w:rsidR="00D8288E" w:rsidRDefault="008043C8">
      <w:pPr>
        <w:pStyle w:val="TOC3"/>
        <w:tabs>
          <w:tab w:val="left" w:pos="1728"/>
        </w:tabs>
        <w:rPr>
          <w:rFonts w:asciiTheme="minorHAnsi" w:eastAsiaTheme="minorEastAsia" w:hAnsiTheme="minorHAnsi" w:cstheme="minorBidi"/>
          <w:lang w:bidi="ar-SA"/>
        </w:rPr>
      </w:pPr>
      <w:hyperlink w:anchor="_Toc113380799" w:history="1">
        <w:r w:rsidR="00D8288E" w:rsidRPr="00A030B5">
          <w:rPr>
            <w:rStyle w:val="Hyperlink"/>
          </w:rPr>
          <w:t>3.1.1</w:t>
        </w:r>
        <w:r w:rsidR="00D8288E">
          <w:rPr>
            <w:rFonts w:asciiTheme="minorHAnsi" w:eastAsiaTheme="minorEastAsia" w:hAnsiTheme="minorHAnsi" w:cstheme="minorBidi"/>
            <w:lang w:bidi="ar-SA"/>
          </w:rPr>
          <w:tab/>
        </w:r>
        <w:r w:rsidR="00D8288E" w:rsidRPr="00A030B5">
          <w:rPr>
            <w:rStyle w:val="Hyperlink"/>
          </w:rPr>
          <w:t>Federal Hydropower in the BPA Region</w:t>
        </w:r>
        <w:r w:rsidR="00D8288E">
          <w:rPr>
            <w:webHidden/>
          </w:rPr>
          <w:tab/>
        </w:r>
        <w:r w:rsidR="00D8288E">
          <w:rPr>
            <w:webHidden/>
          </w:rPr>
          <w:fldChar w:fldCharType="begin"/>
        </w:r>
        <w:r w:rsidR="00D8288E">
          <w:rPr>
            <w:webHidden/>
          </w:rPr>
          <w:instrText xml:space="preserve"> PAGEREF _Toc113380799 \h </w:instrText>
        </w:r>
        <w:r w:rsidR="00D8288E">
          <w:rPr>
            <w:webHidden/>
          </w:rPr>
        </w:r>
        <w:r w:rsidR="00D8288E">
          <w:rPr>
            <w:webHidden/>
          </w:rPr>
          <w:fldChar w:fldCharType="separate"/>
        </w:r>
        <w:r w:rsidR="00EE0BF5">
          <w:rPr>
            <w:webHidden/>
          </w:rPr>
          <w:t>55</w:t>
        </w:r>
        <w:r w:rsidR="00D8288E">
          <w:rPr>
            <w:webHidden/>
          </w:rPr>
          <w:fldChar w:fldCharType="end"/>
        </w:r>
      </w:hyperlink>
    </w:p>
    <w:p w14:paraId="2A559640" w14:textId="2BB8E46D" w:rsidR="00D8288E" w:rsidRDefault="008043C8">
      <w:pPr>
        <w:pStyle w:val="TOC3"/>
        <w:tabs>
          <w:tab w:val="left" w:pos="1728"/>
        </w:tabs>
        <w:rPr>
          <w:rFonts w:asciiTheme="minorHAnsi" w:eastAsiaTheme="minorEastAsia" w:hAnsiTheme="minorHAnsi" w:cstheme="minorBidi"/>
          <w:lang w:bidi="ar-SA"/>
        </w:rPr>
      </w:pPr>
      <w:hyperlink w:anchor="_Toc113380800" w:history="1">
        <w:r w:rsidR="00D8288E" w:rsidRPr="00A030B5">
          <w:rPr>
            <w:rStyle w:val="Hyperlink"/>
          </w:rPr>
          <w:t>3.1.2</w:t>
        </w:r>
        <w:r w:rsidR="00D8288E">
          <w:rPr>
            <w:rFonts w:asciiTheme="minorHAnsi" w:eastAsiaTheme="minorEastAsia" w:hAnsiTheme="minorHAnsi" w:cstheme="minorBidi"/>
            <w:lang w:bidi="ar-SA"/>
          </w:rPr>
          <w:tab/>
        </w:r>
        <w:r w:rsidR="00D8288E" w:rsidRPr="00A030B5">
          <w:rPr>
            <w:rStyle w:val="Hyperlink"/>
          </w:rPr>
          <w:t>Power Marketing by BPA</w:t>
        </w:r>
        <w:r w:rsidR="00D8288E">
          <w:rPr>
            <w:webHidden/>
          </w:rPr>
          <w:tab/>
        </w:r>
        <w:r w:rsidR="00D8288E">
          <w:rPr>
            <w:webHidden/>
          </w:rPr>
          <w:fldChar w:fldCharType="begin"/>
        </w:r>
        <w:r w:rsidR="00D8288E">
          <w:rPr>
            <w:webHidden/>
          </w:rPr>
          <w:instrText xml:space="preserve"> PAGEREF _Toc113380800 \h </w:instrText>
        </w:r>
        <w:r w:rsidR="00D8288E">
          <w:rPr>
            <w:webHidden/>
          </w:rPr>
        </w:r>
        <w:r w:rsidR="00D8288E">
          <w:rPr>
            <w:webHidden/>
          </w:rPr>
          <w:fldChar w:fldCharType="separate"/>
        </w:r>
        <w:r w:rsidR="00EE0BF5">
          <w:rPr>
            <w:webHidden/>
          </w:rPr>
          <w:t>58</w:t>
        </w:r>
        <w:r w:rsidR="00D8288E">
          <w:rPr>
            <w:webHidden/>
          </w:rPr>
          <w:fldChar w:fldCharType="end"/>
        </w:r>
      </w:hyperlink>
    </w:p>
    <w:p w14:paraId="3071DBD5" w14:textId="36903B22" w:rsidR="00D8288E" w:rsidRDefault="008043C8">
      <w:pPr>
        <w:pStyle w:val="TOC2"/>
        <w:tabs>
          <w:tab w:val="left" w:pos="1008"/>
        </w:tabs>
        <w:rPr>
          <w:rFonts w:asciiTheme="minorHAnsi" w:eastAsiaTheme="minorEastAsia" w:hAnsiTheme="minorHAnsi" w:cstheme="minorBidi"/>
          <w:lang w:bidi="ar-SA"/>
        </w:rPr>
      </w:pPr>
      <w:hyperlink w:anchor="_Toc113380801" w:history="1">
        <w:r w:rsidR="00D8288E" w:rsidRPr="00A030B5">
          <w:rPr>
            <w:rStyle w:val="Hyperlink"/>
          </w:rPr>
          <w:t>3.2</w:t>
        </w:r>
        <w:r w:rsidR="00D8288E">
          <w:rPr>
            <w:rFonts w:asciiTheme="minorHAnsi" w:eastAsiaTheme="minorEastAsia" w:hAnsiTheme="minorHAnsi" w:cstheme="minorBidi"/>
            <w:lang w:bidi="ar-SA"/>
          </w:rPr>
          <w:tab/>
        </w:r>
        <w:r w:rsidR="00D8288E" w:rsidRPr="00A030B5">
          <w:rPr>
            <w:rStyle w:val="Hyperlink"/>
          </w:rPr>
          <w:t>Future Climate in the BPA Region</w:t>
        </w:r>
        <w:r w:rsidR="00D8288E">
          <w:rPr>
            <w:webHidden/>
          </w:rPr>
          <w:tab/>
        </w:r>
        <w:r w:rsidR="00D8288E">
          <w:rPr>
            <w:webHidden/>
          </w:rPr>
          <w:fldChar w:fldCharType="begin"/>
        </w:r>
        <w:r w:rsidR="00D8288E">
          <w:rPr>
            <w:webHidden/>
          </w:rPr>
          <w:instrText xml:space="preserve"> PAGEREF _Toc113380801 \h </w:instrText>
        </w:r>
        <w:r w:rsidR="00D8288E">
          <w:rPr>
            <w:webHidden/>
          </w:rPr>
        </w:r>
        <w:r w:rsidR="00D8288E">
          <w:rPr>
            <w:webHidden/>
          </w:rPr>
          <w:fldChar w:fldCharType="separate"/>
        </w:r>
        <w:r w:rsidR="00EE0BF5">
          <w:rPr>
            <w:webHidden/>
          </w:rPr>
          <w:t>60</w:t>
        </w:r>
        <w:r w:rsidR="00D8288E">
          <w:rPr>
            <w:webHidden/>
          </w:rPr>
          <w:fldChar w:fldCharType="end"/>
        </w:r>
      </w:hyperlink>
    </w:p>
    <w:p w14:paraId="1B0B5844" w14:textId="70867B2A" w:rsidR="00D8288E" w:rsidRDefault="008043C8">
      <w:pPr>
        <w:pStyle w:val="TOC3"/>
        <w:tabs>
          <w:tab w:val="left" w:pos="1728"/>
        </w:tabs>
        <w:rPr>
          <w:rFonts w:asciiTheme="minorHAnsi" w:eastAsiaTheme="minorEastAsia" w:hAnsiTheme="minorHAnsi" w:cstheme="minorBidi"/>
          <w:lang w:bidi="ar-SA"/>
        </w:rPr>
      </w:pPr>
      <w:hyperlink w:anchor="_Toc113380802" w:history="1">
        <w:r w:rsidR="00D8288E" w:rsidRPr="00A030B5">
          <w:rPr>
            <w:rStyle w:val="Hyperlink"/>
          </w:rPr>
          <w:t>3.2.1</w:t>
        </w:r>
        <w:r w:rsidR="00D8288E">
          <w:rPr>
            <w:rFonts w:asciiTheme="minorHAnsi" w:eastAsiaTheme="minorEastAsia" w:hAnsiTheme="minorHAnsi" w:cstheme="minorBidi"/>
            <w:lang w:bidi="ar-SA"/>
          </w:rPr>
          <w:tab/>
        </w:r>
        <w:r w:rsidR="00D8288E" w:rsidRPr="00A030B5">
          <w:rPr>
            <w:rStyle w:val="Hyperlink"/>
          </w:rPr>
          <w:t>Regional Climate Projections</w:t>
        </w:r>
        <w:r w:rsidR="00D8288E">
          <w:rPr>
            <w:webHidden/>
          </w:rPr>
          <w:tab/>
        </w:r>
        <w:r w:rsidR="00D8288E">
          <w:rPr>
            <w:webHidden/>
          </w:rPr>
          <w:fldChar w:fldCharType="begin"/>
        </w:r>
        <w:r w:rsidR="00D8288E">
          <w:rPr>
            <w:webHidden/>
          </w:rPr>
          <w:instrText xml:space="preserve"> PAGEREF _Toc113380802 \h </w:instrText>
        </w:r>
        <w:r w:rsidR="00D8288E">
          <w:rPr>
            <w:webHidden/>
          </w:rPr>
        </w:r>
        <w:r w:rsidR="00D8288E">
          <w:rPr>
            <w:webHidden/>
          </w:rPr>
          <w:fldChar w:fldCharType="separate"/>
        </w:r>
        <w:r w:rsidR="00EE0BF5">
          <w:rPr>
            <w:webHidden/>
          </w:rPr>
          <w:t>60</w:t>
        </w:r>
        <w:r w:rsidR="00D8288E">
          <w:rPr>
            <w:webHidden/>
          </w:rPr>
          <w:fldChar w:fldCharType="end"/>
        </w:r>
      </w:hyperlink>
    </w:p>
    <w:p w14:paraId="1D45F309" w14:textId="30EB4931" w:rsidR="00D8288E" w:rsidRDefault="008043C8">
      <w:pPr>
        <w:pStyle w:val="TOC3"/>
        <w:tabs>
          <w:tab w:val="left" w:pos="1728"/>
        </w:tabs>
        <w:rPr>
          <w:rFonts w:asciiTheme="minorHAnsi" w:eastAsiaTheme="minorEastAsia" w:hAnsiTheme="minorHAnsi" w:cstheme="minorBidi"/>
          <w:lang w:bidi="ar-SA"/>
        </w:rPr>
      </w:pPr>
      <w:hyperlink w:anchor="_Toc113380803" w:history="1">
        <w:r w:rsidR="00D8288E" w:rsidRPr="00A030B5">
          <w:rPr>
            <w:rStyle w:val="Hyperlink"/>
          </w:rPr>
          <w:t>3.2.2</w:t>
        </w:r>
        <w:r w:rsidR="00D8288E">
          <w:rPr>
            <w:rFonts w:asciiTheme="minorHAnsi" w:eastAsiaTheme="minorEastAsia" w:hAnsiTheme="minorHAnsi" w:cstheme="minorBidi"/>
            <w:lang w:bidi="ar-SA"/>
          </w:rPr>
          <w:tab/>
        </w:r>
        <w:r w:rsidR="00D8288E" w:rsidRPr="00A030B5">
          <w:rPr>
            <w:rStyle w:val="Hyperlink"/>
          </w:rPr>
          <w:t>Regional Hydrologic Projections</w:t>
        </w:r>
        <w:r w:rsidR="00D8288E">
          <w:rPr>
            <w:webHidden/>
          </w:rPr>
          <w:tab/>
        </w:r>
        <w:r w:rsidR="00D8288E">
          <w:rPr>
            <w:webHidden/>
          </w:rPr>
          <w:fldChar w:fldCharType="begin"/>
        </w:r>
        <w:r w:rsidR="00D8288E">
          <w:rPr>
            <w:webHidden/>
          </w:rPr>
          <w:instrText xml:space="preserve"> PAGEREF _Toc113380803 \h </w:instrText>
        </w:r>
        <w:r w:rsidR="00D8288E">
          <w:rPr>
            <w:webHidden/>
          </w:rPr>
        </w:r>
        <w:r w:rsidR="00D8288E">
          <w:rPr>
            <w:webHidden/>
          </w:rPr>
          <w:fldChar w:fldCharType="separate"/>
        </w:r>
        <w:r w:rsidR="00EE0BF5">
          <w:rPr>
            <w:webHidden/>
          </w:rPr>
          <w:t>64</w:t>
        </w:r>
        <w:r w:rsidR="00D8288E">
          <w:rPr>
            <w:webHidden/>
          </w:rPr>
          <w:fldChar w:fldCharType="end"/>
        </w:r>
      </w:hyperlink>
    </w:p>
    <w:p w14:paraId="1F895AF1" w14:textId="0288641A" w:rsidR="00D8288E" w:rsidRDefault="008043C8">
      <w:pPr>
        <w:pStyle w:val="TOC2"/>
        <w:tabs>
          <w:tab w:val="left" w:pos="1008"/>
        </w:tabs>
        <w:rPr>
          <w:rFonts w:asciiTheme="minorHAnsi" w:eastAsiaTheme="minorEastAsia" w:hAnsiTheme="minorHAnsi" w:cstheme="minorBidi"/>
          <w:lang w:bidi="ar-SA"/>
        </w:rPr>
      </w:pPr>
      <w:hyperlink w:anchor="_Toc113380804" w:history="1">
        <w:r w:rsidR="00D8288E" w:rsidRPr="00A030B5">
          <w:rPr>
            <w:rStyle w:val="Hyperlink"/>
          </w:rPr>
          <w:t>3.3</w:t>
        </w:r>
        <w:r w:rsidR="00D8288E">
          <w:rPr>
            <w:rFonts w:asciiTheme="minorHAnsi" w:eastAsiaTheme="minorEastAsia" w:hAnsiTheme="minorHAnsi" w:cstheme="minorBidi"/>
            <w:lang w:bidi="ar-SA"/>
          </w:rPr>
          <w:tab/>
        </w:r>
        <w:r w:rsidR="00D8288E" w:rsidRPr="00A030B5">
          <w:rPr>
            <w:rStyle w:val="Hyperlink"/>
          </w:rPr>
          <w:t>Climate Effects on Federal Hydropower in the BPA Region</w:t>
        </w:r>
        <w:r w:rsidR="00D8288E">
          <w:rPr>
            <w:webHidden/>
          </w:rPr>
          <w:tab/>
        </w:r>
        <w:r w:rsidR="00D8288E">
          <w:rPr>
            <w:webHidden/>
          </w:rPr>
          <w:fldChar w:fldCharType="begin"/>
        </w:r>
        <w:r w:rsidR="00D8288E">
          <w:rPr>
            <w:webHidden/>
          </w:rPr>
          <w:instrText xml:space="preserve"> PAGEREF _Toc113380804 \h </w:instrText>
        </w:r>
        <w:r w:rsidR="00D8288E">
          <w:rPr>
            <w:webHidden/>
          </w:rPr>
        </w:r>
        <w:r w:rsidR="00D8288E">
          <w:rPr>
            <w:webHidden/>
          </w:rPr>
          <w:fldChar w:fldCharType="separate"/>
        </w:r>
        <w:r w:rsidR="00EE0BF5">
          <w:rPr>
            <w:webHidden/>
          </w:rPr>
          <w:t>72</w:t>
        </w:r>
        <w:r w:rsidR="00D8288E">
          <w:rPr>
            <w:webHidden/>
          </w:rPr>
          <w:fldChar w:fldCharType="end"/>
        </w:r>
      </w:hyperlink>
    </w:p>
    <w:p w14:paraId="73728BA4" w14:textId="3344594E" w:rsidR="00D8288E" w:rsidRDefault="008043C8">
      <w:pPr>
        <w:pStyle w:val="TOC3"/>
        <w:tabs>
          <w:tab w:val="left" w:pos="1728"/>
        </w:tabs>
        <w:rPr>
          <w:rFonts w:asciiTheme="minorHAnsi" w:eastAsiaTheme="minorEastAsia" w:hAnsiTheme="minorHAnsi" w:cstheme="minorBidi"/>
          <w:lang w:bidi="ar-SA"/>
        </w:rPr>
      </w:pPr>
      <w:hyperlink w:anchor="_Toc113380805" w:history="1">
        <w:r w:rsidR="00D8288E" w:rsidRPr="00A030B5">
          <w:rPr>
            <w:rStyle w:val="Hyperlink"/>
          </w:rPr>
          <w:t>3.3.1</w:t>
        </w:r>
        <w:r w:rsidR="00D8288E">
          <w:rPr>
            <w:rFonts w:asciiTheme="minorHAnsi" w:eastAsiaTheme="minorEastAsia" w:hAnsiTheme="minorHAnsi" w:cstheme="minorBidi"/>
            <w:lang w:bidi="ar-SA"/>
          </w:rPr>
          <w:tab/>
        </w:r>
        <w:r w:rsidR="00D8288E" w:rsidRPr="00A030B5">
          <w:rPr>
            <w:rStyle w:val="Hyperlink"/>
          </w:rPr>
          <w:t>Projections of Hydropower Generation</w:t>
        </w:r>
        <w:r w:rsidR="00D8288E">
          <w:rPr>
            <w:webHidden/>
          </w:rPr>
          <w:tab/>
        </w:r>
        <w:r w:rsidR="00D8288E">
          <w:rPr>
            <w:webHidden/>
          </w:rPr>
          <w:fldChar w:fldCharType="begin"/>
        </w:r>
        <w:r w:rsidR="00D8288E">
          <w:rPr>
            <w:webHidden/>
          </w:rPr>
          <w:instrText xml:space="preserve"> PAGEREF _Toc113380805 \h </w:instrText>
        </w:r>
        <w:r w:rsidR="00D8288E">
          <w:rPr>
            <w:webHidden/>
          </w:rPr>
        </w:r>
        <w:r w:rsidR="00D8288E">
          <w:rPr>
            <w:webHidden/>
          </w:rPr>
          <w:fldChar w:fldCharType="separate"/>
        </w:r>
        <w:r w:rsidR="00EE0BF5">
          <w:rPr>
            <w:webHidden/>
          </w:rPr>
          <w:t>72</w:t>
        </w:r>
        <w:r w:rsidR="00D8288E">
          <w:rPr>
            <w:webHidden/>
          </w:rPr>
          <w:fldChar w:fldCharType="end"/>
        </w:r>
      </w:hyperlink>
    </w:p>
    <w:p w14:paraId="0C640659" w14:textId="324090E5" w:rsidR="00D8288E" w:rsidRDefault="008043C8">
      <w:pPr>
        <w:pStyle w:val="TOC3"/>
        <w:tabs>
          <w:tab w:val="left" w:pos="1728"/>
        </w:tabs>
        <w:rPr>
          <w:rFonts w:asciiTheme="minorHAnsi" w:eastAsiaTheme="minorEastAsia" w:hAnsiTheme="minorHAnsi" w:cstheme="minorBidi"/>
          <w:lang w:bidi="ar-SA"/>
        </w:rPr>
      </w:pPr>
      <w:hyperlink w:anchor="_Toc113380806" w:history="1">
        <w:r w:rsidR="00D8288E" w:rsidRPr="00A030B5">
          <w:rPr>
            <w:rStyle w:val="Hyperlink"/>
          </w:rPr>
          <w:t>3.3.2</w:t>
        </w:r>
        <w:r w:rsidR="00D8288E">
          <w:rPr>
            <w:rFonts w:asciiTheme="minorHAnsi" w:eastAsiaTheme="minorEastAsia" w:hAnsiTheme="minorHAnsi" w:cstheme="minorBidi"/>
            <w:lang w:bidi="ar-SA"/>
          </w:rPr>
          <w:tab/>
        </w:r>
        <w:r w:rsidR="00D8288E" w:rsidRPr="00A030B5">
          <w:rPr>
            <w:rStyle w:val="Hyperlink"/>
          </w:rPr>
          <w:t>Climate Change Impacts on Energy Demand and Federal Power Marketing</w:t>
        </w:r>
        <w:r w:rsidR="00D8288E">
          <w:rPr>
            <w:webHidden/>
          </w:rPr>
          <w:tab/>
        </w:r>
        <w:r w:rsidR="00D8288E">
          <w:rPr>
            <w:webHidden/>
          </w:rPr>
          <w:fldChar w:fldCharType="begin"/>
        </w:r>
        <w:r w:rsidR="00D8288E">
          <w:rPr>
            <w:webHidden/>
          </w:rPr>
          <w:instrText xml:space="preserve"> PAGEREF _Toc113380806 \h </w:instrText>
        </w:r>
        <w:r w:rsidR="00D8288E">
          <w:rPr>
            <w:webHidden/>
          </w:rPr>
        </w:r>
        <w:r w:rsidR="00D8288E">
          <w:rPr>
            <w:webHidden/>
          </w:rPr>
          <w:fldChar w:fldCharType="separate"/>
        </w:r>
        <w:r w:rsidR="00EE0BF5">
          <w:rPr>
            <w:webHidden/>
          </w:rPr>
          <w:t>76</w:t>
        </w:r>
        <w:r w:rsidR="00D8288E">
          <w:rPr>
            <w:webHidden/>
          </w:rPr>
          <w:fldChar w:fldCharType="end"/>
        </w:r>
      </w:hyperlink>
    </w:p>
    <w:p w14:paraId="745429DE" w14:textId="097160A5" w:rsidR="00D8288E" w:rsidRDefault="008043C8">
      <w:pPr>
        <w:pStyle w:val="TOC1"/>
        <w:rPr>
          <w:rFonts w:asciiTheme="minorHAnsi" w:eastAsiaTheme="minorEastAsia" w:hAnsiTheme="minorHAnsi" w:cstheme="minorBidi"/>
          <w:lang w:bidi="ar-SA"/>
        </w:rPr>
      </w:pPr>
      <w:hyperlink w:anchor="_Toc113380807" w:history="1">
        <w:r w:rsidR="00D8288E" w:rsidRPr="00A030B5">
          <w:rPr>
            <w:rStyle w:val="Hyperlink"/>
          </w:rPr>
          <w:t>4.</w:t>
        </w:r>
        <w:r w:rsidR="00D8288E">
          <w:rPr>
            <w:rFonts w:asciiTheme="minorHAnsi" w:eastAsiaTheme="minorEastAsia" w:hAnsiTheme="minorHAnsi" w:cstheme="minorBidi"/>
            <w:lang w:bidi="ar-SA"/>
          </w:rPr>
          <w:tab/>
        </w:r>
        <w:r w:rsidR="00D8288E" w:rsidRPr="00A030B5">
          <w:rPr>
            <w:rStyle w:val="Hyperlink"/>
          </w:rPr>
          <w:t>THE WAPA REGION</w:t>
        </w:r>
        <w:r w:rsidR="00D8288E">
          <w:rPr>
            <w:webHidden/>
          </w:rPr>
          <w:tab/>
        </w:r>
        <w:r w:rsidR="00D8288E">
          <w:rPr>
            <w:webHidden/>
          </w:rPr>
          <w:fldChar w:fldCharType="begin"/>
        </w:r>
        <w:r w:rsidR="00D8288E">
          <w:rPr>
            <w:webHidden/>
          </w:rPr>
          <w:instrText xml:space="preserve"> PAGEREF _Toc113380807 \h </w:instrText>
        </w:r>
        <w:r w:rsidR="00D8288E">
          <w:rPr>
            <w:webHidden/>
          </w:rPr>
        </w:r>
        <w:r w:rsidR="00D8288E">
          <w:rPr>
            <w:webHidden/>
          </w:rPr>
          <w:fldChar w:fldCharType="separate"/>
        </w:r>
        <w:r w:rsidR="00EE0BF5">
          <w:rPr>
            <w:webHidden/>
          </w:rPr>
          <w:t>81</w:t>
        </w:r>
        <w:r w:rsidR="00D8288E">
          <w:rPr>
            <w:webHidden/>
          </w:rPr>
          <w:fldChar w:fldCharType="end"/>
        </w:r>
      </w:hyperlink>
    </w:p>
    <w:p w14:paraId="5BD729ED" w14:textId="42DC1E26" w:rsidR="00D8288E" w:rsidRDefault="008043C8">
      <w:pPr>
        <w:pStyle w:val="TOC2"/>
        <w:tabs>
          <w:tab w:val="left" w:pos="1008"/>
        </w:tabs>
        <w:rPr>
          <w:rFonts w:asciiTheme="minorHAnsi" w:eastAsiaTheme="minorEastAsia" w:hAnsiTheme="minorHAnsi" w:cstheme="minorBidi"/>
          <w:lang w:bidi="ar-SA"/>
        </w:rPr>
      </w:pPr>
      <w:hyperlink w:anchor="_Toc113380808" w:history="1">
        <w:r w:rsidR="00D8288E" w:rsidRPr="00A030B5">
          <w:rPr>
            <w:rStyle w:val="Hyperlink"/>
          </w:rPr>
          <w:t>4.1</w:t>
        </w:r>
        <w:r w:rsidR="00D8288E">
          <w:rPr>
            <w:rFonts w:asciiTheme="minorHAnsi" w:eastAsiaTheme="minorEastAsia" w:hAnsiTheme="minorHAnsi" w:cstheme="minorBidi"/>
            <w:lang w:bidi="ar-SA"/>
          </w:rPr>
          <w:tab/>
        </w:r>
        <w:r w:rsidR="00D8288E" w:rsidRPr="00A030B5">
          <w:rPr>
            <w:rStyle w:val="Hyperlink"/>
          </w:rPr>
          <w:t>WAPA Regional Characteristics</w:t>
        </w:r>
        <w:r w:rsidR="00D8288E">
          <w:rPr>
            <w:webHidden/>
          </w:rPr>
          <w:tab/>
        </w:r>
        <w:r w:rsidR="00D8288E">
          <w:rPr>
            <w:webHidden/>
          </w:rPr>
          <w:fldChar w:fldCharType="begin"/>
        </w:r>
        <w:r w:rsidR="00D8288E">
          <w:rPr>
            <w:webHidden/>
          </w:rPr>
          <w:instrText xml:space="preserve"> PAGEREF _Toc113380808 \h </w:instrText>
        </w:r>
        <w:r w:rsidR="00D8288E">
          <w:rPr>
            <w:webHidden/>
          </w:rPr>
        </w:r>
        <w:r w:rsidR="00D8288E">
          <w:rPr>
            <w:webHidden/>
          </w:rPr>
          <w:fldChar w:fldCharType="separate"/>
        </w:r>
        <w:r w:rsidR="00EE0BF5">
          <w:rPr>
            <w:webHidden/>
          </w:rPr>
          <w:t>81</w:t>
        </w:r>
        <w:r w:rsidR="00D8288E">
          <w:rPr>
            <w:webHidden/>
          </w:rPr>
          <w:fldChar w:fldCharType="end"/>
        </w:r>
      </w:hyperlink>
    </w:p>
    <w:p w14:paraId="687041BC" w14:textId="1352A611" w:rsidR="00D8288E" w:rsidRDefault="008043C8">
      <w:pPr>
        <w:pStyle w:val="TOC3"/>
        <w:tabs>
          <w:tab w:val="left" w:pos="1728"/>
        </w:tabs>
        <w:rPr>
          <w:rFonts w:asciiTheme="minorHAnsi" w:eastAsiaTheme="minorEastAsia" w:hAnsiTheme="minorHAnsi" w:cstheme="minorBidi"/>
          <w:lang w:bidi="ar-SA"/>
        </w:rPr>
      </w:pPr>
      <w:hyperlink w:anchor="_Toc113380809" w:history="1">
        <w:r w:rsidR="00D8288E" w:rsidRPr="00A030B5">
          <w:rPr>
            <w:rStyle w:val="Hyperlink"/>
          </w:rPr>
          <w:t>4.1.1</w:t>
        </w:r>
        <w:r w:rsidR="00D8288E">
          <w:rPr>
            <w:rFonts w:asciiTheme="minorHAnsi" w:eastAsiaTheme="minorEastAsia" w:hAnsiTheme="minorHAnsi" w:cstheme="minorBidi"/>
            <w:lang w:bidi="ar-SA"/>
          </w:rPr>
          <w:tab/>
        </w:r>
        <w:r w:rsidR="00D8288E" w:rsidRPr="00A030B5">
          <w:rPr>
            <w:rStyle w:val="Hyperlink"/>
          </w:rPr>
          <w:t>Federal Hydropower in the WAPA Region</w:t>
        </w:r>
        <w:r w:rsidR="00D8288E">
          <w:rPr>
            <w:webHidden/>
          </w:rPr>
          <w:tab/>
        </w:r>
        <w:r w:rsidR="00D8288E">
          <w:rPr>
            <w:webHidden/>
          </w:rPr>
          <w:fldChar w:fldCharType="begin"/>
        </w:r>
        <w:r w:rsidR="00D8288E">
          <w:rPr>
            <w:webHidden/>
          </w:rPr>
          <w:instrText xml:space="preserve"> PAGEREF _Toc113380809 \h </w:instrText>
        </w:r>
        <w:r w:rsidR="00D8288E">
          <w:rPr>
            <w:webHidden/>
          </w:rPr>
        </w:r>
        <w:r w:rsidR="00D8288E">
          <w:rPr>
            <w:webHidden/>
          </w:rPr>
          <w:fldChar w:fldCharType="separate"/>
        </w:r>
        <w:r w:rsidR="00EE0BF5">
          <w:rPr>
            <w:webHidden/>
          </w:rPr>
          <w:t>81</w:t>
        </w:r>
        <w:r w:rsidR="00D8288E">
          <w:rPr>
            <w:webHidden/>
          </w:rPr>
          <w:fldChar w:fldCharType="end"/>
        </w:r>
      </w:hyperlink>
    </w:p>
    <w:p w14:paraId="3596C4EE" w14:textId="3E67C6BC" w:rsidR="00D8288E" w:rsidRDefault="008043C8">
      <w:pPr>
        <w:pStyle w:val="TOC3"/>
        <w:tabs>
          <w:tab w:val="left" w:pos="1728"/>
        </w:tabs>
        <w:rPr>
          <w:rFonts w:asciiTheme="minorHAnsi" w:eastAsiaTheme="minorEastAsia" w:hAnsiTheme="minorHAnsi" w:cstheme="minorBidi"/>
          <w:lang w:bidi="ar-SA"/>
        </w:rPr>
      </w:pPr>
      <w:hyperlink w:anchor="_Toc113380810" w:history="1">
        <w:r w:rsidR="00D8288E" w:rsidRPr="00A030B5">
          <w:rPr>
            <w:rStyle w:val="Hyperlink"/>
          </w:rPr>
          <w:t>4.1.2</w:t>
        </w:r>
        <w:r w:rsidR="00D8288E">
          <w:rPr>
            <w:rFonts w:asciiTheme="minorHAnsi" w:eastAsiaTheme="minorEastAsia" w:hAnsiTheme="minorHAnsi" w:cstheme="minorBidi"/>
            <w:lang w:bidi="ar-SA"/>
          </w:rPr>
          <w:tab/>
        </w:r>
        <w:r w:rsidR="00D8288E" w:rsidRPr="00A030B5">
          <w:rPr>
            <w:rStyle w:val="Hyperlink"/>
          </w:rPr>
          <w:t>Power Marketing by WAPA</w:t>
        </w:r>
        <w:r w:rsidR="00D8288E">
          <w:rPr>
            <w:webHidden/>
          </w:rPr>
          <w:tab/>
        </w:r>
        <w:r w:rsidR="00D8288E">
          <w:rPr>
            <w:webHidden/>
          </w:rPr>
          <w:fldChar w:fldCharType="begin"/>
        </w:r>
        <w:r w:rsidR="00D8288E">
          <w:rPr>
            <w:webHidden/>
          </w:rPr>
          <w:instrText xml:space="preserve"> PAGEREF _Toc113380810 \h </w:instrText>
        </w:r>
        <w:r w:rsidR="00D8288E">
          <w:rPr>
            <w:webHidden/>
          </w:rPr>
        </w:r>
        <w:r w:rsidR="00D8288E">
          <w:rPr>
            <w:webHidden/>
          </w:rPr>
          <w:fldChar w:fldCharType="separate"/>
        </w:r>
        <w:r w:rsidR="00EE0BF5">
          <w:rPr>
            <w:webHidden/>
          </w:rPr>
          <w:t>84</w:t>
        </w:r>
        <w:r w:rsidR="00D8288E">
          <w:rPr>
            <w:webHidden/>
          </w:rPr>
          <w:fldChar w:fldCharType="end"/>
        </w:r>
      </w:hyperlink>
    </w:p>
    <w:p w14:paraId="740DAD0F" w14:textId="678E287D" w:rsidR="00D8288E" w:rsidRDefault="008043C8">
      <w:pPr>
        <w:pStyle w:val="TOC2"/>
        <w:tabs>
          <w:tab w:val="left" w:pos="1008"/>
        </w:tabs>
        <w:rPr>
          <w:rFonts w:asciiTheme="minorHAnsi" w:eastAsiaTheme="minorEastAsia" w:hAnsiTheme="minorHAnsi" w:cstheme="minorBidi"/>
          <w:lang w:bidi="ar-SA"/>
        </w:rPr>
      </w:pPr>
      <w:hyperlink w:anchor="_Toc113380811" w:history="1">
        <w:r w:rsidR="00D8288E" w:rsidRPr="00A030B5">
          <w:rPr>
            <w:rStyle w:val="Hyperlink"/>
          </w:rPr>
          <w:t>4.2</w:t>
        </w:r>
        <w:r w:rsidR="00D8288E">
          <w:rPr>
            <w:rFonts w:asciiTheme="minorHAnsi" w:eastAsiaTheme="minorEastAsia" w:hAnsiTheme="minorHAnsi" w:cstheme="minorBidi"/>
            <w:lang w:bidi="ar-SA"/>
          </w:rPr>
          <w:tab/>
        </w:r>
        <w:r w:rsidR="00D8288E" w:rsidRPr="00A030B5">
          <w:rPr>
            <w:rStyle w:val="Hyperlink"/>
          </w:rPr>
          <w:t>Future Climate in the WAPA Region</w:t>
        </w:r>
        <w:r w:rsidR="00D8288E">
          <w:rPr>
            <w:webHidden/>
          </w:rPr>
          <w:tab/>
        </w:r>
        <w:r w:rsidR="00D8288E">
          <w:rPr>
            <w:webHidden/>
          </w:rPr>
          <w:fldChar w:fldCharType="begin"/>
        </w:r>
        <w:r w:rsidR="00D8288E">
          <w:rPr>
            <w:webHidden/>
          </w:rPr>
          <w:instrText xml:space="preserve"> PAGEREF _Toc113380811 \h </w:instrText>
        </w:r>
        <w:r w:rsidR="00D8288E">
          <w:rPr>
            <w:webHidden/>
          </w:rPr>
        </w:r>
        <w:r w:rsidR="00D8288E">
          <w:rPr>
            <w:webHidden/>
          </w:rPr>
          <w:fldChar w:fldCharType="separate"/>
        </w:r>
        <w:r w:rsidR="00EE0BF5">
          <w:rPr>
            <w:webHidden/>
          </w:rPr>
          <w:t>86</w:t>
        </w:r>
        <w:r w:rsidR="00D8288E">
          <w:rPr>
            <w:webHidden/>
          </w:rPr>
          <w:fldChar w:fldCharType="end"/>
        </w:r>
      </w:hyperlink>
    </w:p>
    <w:p w14:paraId="4BB5070B" w14:textId="406E2AF0" w:rsidR="00D8288E" w:rsidRDefault="008043C8">
      <w:pPr>
        <w:pStyle w:val="TOC3"/>
        <w:tabs>
          <w:tab w:val="left" w:pos="1728"/>
        </w:tabs>
        <w:rPr>
          <w:rFonts w:asciiTheme="minorHAnsi" w:eastAsiaTheme="minorEastAsia" w:hAnsiTheme="minorHAnsi" w:cstheme="minorBidi"/>
          <w:lang w:bidi="ar-SA"/>
        </w:rPr>
      </w:pPr>
      <w:hyperlink w:anchor="_Toc113380812" w:history="1">
        <w:r w:rsidR="00D8288E" w:rsidRPr="00A030B5">
          <w:rPr>
            <w:rStyle w:val="Hyperlink"/>
          </w:rPr>
          <w:t>4.2.1</w:t>
        </w:r>
        <w:r w:rsidR="00D8288E">
          <w:rPr>
            <w:rFonts w:asciiTheme="minorHAnsi" w:eastAsiaTheme="minorEastAsia" w:hAnsiTheme="minorHAnsi" w:cstheme="minorBidi"/>
            <w:lang w:bidi="ar-SA"/>
          </w:rPr>
          <w:tab/>
        </w:r>
        <w:r w:rsidR="00D8288E" w:rsidRPr="00A030B5">
          <w:rPr>
            <w:rStyle w:val="Hyperlink"/>
          </w:rPr>
          <w:t>Regional Climate Projections</w:t>
        </w:r>
        <w:r w:rsidR="00D8288E">
          <w:rPr>
            <w:webHidden/>
          </w:rPr>
          <w:tab/>
        </w:r>
        <w:r w:rsidR="00D8288E">
          <w:rPr>
            <w:webHidden/>
          </w:rPr>
          <w:fldChar w:fldCharType="begin"/>
        </w:r>
        <w:r w:rsidR="00D8288E">
          <w:rPr>
            <w:webHidden/>
          </w:rPr>
          <w:instrText xml:space="preserve"> PAGEREF _Toc113380812 \h </w:instrText>
        </w:r>
        <w:r w:rsidR="00D8288E">
          <w:rPr>
            <w:webHidden/>
          </w:rPr>
        </w:r>
        <w:r w:rsidR="00D8288E">
          <w:rPr>
            <w:webHidden/>
          </w:rPr>
          <w:fldChar w:fldCharType="separate"/>
        </w:r>
        <w:r w:rsidR="00EE0BF5">
          <w:rPr>
            <w:webHidden/>
          </w:rPr>
          <w:t>86</w:t>
        </w:r>
        <w:r w:rsidR="00D8288E">
          <w:rPr>
            <w:webHidden/>
          </w:rPr>
          <w:fldChar w:fldCharType="end"/>
        </w:r>
      </w:hyperlink>
    </w:p>
    <w:p w14:paraId="7ADC0EBA" w14:textId="7D64B8CC" w:rsidR="00D8288E" w:rsidRDefault="008043C8">
      <w:pPr>
        <w:pStyle w:val="TOC3"/>
        <w:tabs>
          <w:tab w:val="left" w:pos="1728"/>
        </w:tabs>
        <w:rPr>
          <w:rFonts w:asciiTheme="minorHAnsi" w:eastAsiaTheme="minorEastAsia" w:hAnsiTheme="minorHAnsi" w:cstheme="minorBidi"/>
          <w:lang w:bidi="ar-SA"/>
        </w:rPr>
      </w:pPr>
      <w:hyperlink w:anchor="_Toc113380813" w:history="1">
        <w:r w:rsidR="00D8288E" w:rsidRPr="00A030B5">
          <w:rPr>
            <w:rStyle w:val="Hyperlink"/>
          </w:rPr>
          <w:t>4.2.2</w:t>
        </w:r>
        <w:r w:rsidR="00D8288E">
          <w:rPr>
            <w:rFonts w:asciiTheme="minorHAnsi" w:eastAsiaTheme="minorEastAsia" w:hAnsiTheme="minorHAnsi" w:cstheme="minorBidi"/>
            <w:lang w:bidi="ar-SA"/>
          </w:rPr>
          <w:tab/>
        </w:r>
        <w:r w:rsidR="00D8288E" w:rsidRPr="00A030B5">
          <w:rPr>
            <w:rStyle w:val="Hyperlink"/>
          </w:rPr>
          <w:t>Regional Hydrologic Projections</w:t>
        </w:r>
        <w:r w:rsidR="00D8288E">
          <w:rPr>
            <w:webHidden/>
          </w:rPr>
          <w:tab/>
        </w:r>
        <w:r w:rsidR="00D8288E">
          <w:rPr>
            <w:webHidden/>
          </w:rPr>
          <w:fldChar w:fldCharType="begin"/>
        </w:r>
        <w:r w:rsidR="00D8288E">
          <w:rPr>
            <w:webHidden/>
          </w:rPr>
          <w:instrText xml:space="preserve"> PAGEREF _Toc113380813 \h </w:instrText>
        </w:r>
        <w:r w:rsidR="00D8288E">
          <w:rPr>
            <w:webHidden/>
          </w:rPr>
        </w:r>
        <w:r w:rsidR="00D8288E">
          <w:rPr>
            <w:webHidden/>
          </w:rPr>
          <w:fldChar w:fldCharType="separate"/>
        </w:r>
        <w:r w:rsidR="00EE0BF5">
          <w:rPr>
            <w:webHidden/>
          </w:rPr>
          <w:t>92</w:t>
        </w:r>
        <w:r w:rsidR="00D8288E">
          <w:rPr>
            <w:webHidden/>
          </w:rPr>
          <w:fldChar w:fldCharType="end"/>
        </w:r>
      </w:hyperlink>
    </w:p>
    <w:p w14:paraId="672DFEB0" w14:textId="07A82648" w:rsidR="00D8288E" w:rsidRDefault="008043C8">
      <w:pPr>
        <w:pStyle w:val="TOC2"/>
        <w:tabs>
          <w:tab w:val="left" w:pos="1008"/>
        </w:tabs>
        <w:rPr>
          <w:rFonts w:asciiTheme="minorHAnsi" w:eastAsiaTheme="minorEastAsia" w:hAnsiTheme="minorHAnsi" w:cstheme="minorBidi"/>
          <w:lang w:bidi="ar-SA"/>
        </w:rPr>
      </w:pPr>
      <w:hyperlink w:anchor="_Toc113380814" w:history="1">
        <w:r w:rsidR="00D8288E" w:rsidRPr="00A030B5">
          <w:rPr>
            <w:rStyle w:val="Hyperlink"/>
          </w:rPr>
          <w:t>4.3</w:t>
        </w:r>
        <w:r w:rsidR="00D8288E">
          <w:rPr>
            <w:rFonts w:asciiTheme="minorHAnsi" w:eastAsiaTheme="minorEastAsia" w:hAnsiTheme="minorHAnsi" w:cstheme="minorBidi"/>
            <w:lang w:bidi="ar-SA"/>
          </w:rPr>
          <w:tab/>
        </w:r>
        <w:r w:rsidR="00D8288E" w:rsidRPr="00A030B5">
          <w:rPr>
            <w:rStyle w:val="Hyperlink"/>
          </w:rPr>
          <w:t>Climate Effects on Federal Hydropower in the WAPA Region</w:t>
        </w:r>
        <w:r w:rsidR="00D8288E">
          <w:rPr>
            <w:webHidden/>
          </w:rPr>
          <w:tab/>
        </w:r>
        <w:r w:rsidR="00D8288E">
          <w:rPr>
            <w:webHidden/>
          </w:rPr>
          <w:fldChar w:fldCharType="begin"/>
        </w:r>
        <w:r w:rsidR="00D8288E">
          <w:rPr>
            <w:webHidden/>
          </w:rPr>
          <w:instrText xml:space="preserve"> PAGEREF _Toc113380814 \h </w:instrText>
        </w:r>
        <w:r w:rsidR="00D8288E">
          <w:rPr>
            <w:webHidden/>
          </w:rPr>
        </w:r>
        <w:r w:rsidR="00D8288E">
          <w:rPr>
            <w:webHidden/>
          </w:rPr>
          <w:fldChar w:fldCharType="separate"/>
        </w:r>
        <w:r w:rsidR="00EE0BF5">
          <w:rPr>
            <w:webHidden/>
          </w:rPr>
          <w:t>102</w:t>
        </w:r>
        <w:r w:rsidR="00D8288E">
          <w:rPr>
            <w:webHidden/>
          </w:rPr>
          <w:fldChar w:fldCharType="end"/>
        </w:r>
      </w:hyperlink>
    </w:p>
    <w:p w14:paraId="6A908F5C" w14:textId="70523764" w:rsidR="00D8288E" w:rsidRDefault="008043C8">
      <w:pPr>
        <w:pStyle w:val="TOC3"/>
        <w:tabs>
          <w:tab w:val="left" w:pos="1728"/>
        </w:tabs>
        <w:rPr>
          <w:rFonts w:asciiTheme="minorHAnsi" w:eastAsiaTheme="minorEastAsia" w:hAnsiTheme="minorHAnsi" w:cstheme="minorBidi"/>
          <w:lang w:bidi="ar-SA"/>
        </w:rPr>
      </w:pPr>
      <w:hyperlink w:anchor="_Toc113380815" w:history="1">
        <w:r w:rsidR="00D8288E" w:rsidRPr="00A030B5">
          <w:rPr>
            <w:rStyle w:val="Hyperlink"/>
          </w:rPr>
          <w:t>4.3.1</w:t>
        </w:r>
        <w:r w:rsidR="00D8288E">
          <w:rPr>
            <w:rFonts w:asciiTheme="minorHAnsi" w:eastAsiaTheme="minorEastAsia" w:hAnsiTheme="minorHAnsi" w:cstheme="minorBidi"/>
            <w:lang w:bidi="ar-SA"/>
          </w:rPr>
          <w:tab/>
        </w:r>
        <w:r w:rsidR="00D8288E" w:rsidRPr="00A030B5">
          <w:rPr>
            <w:rStyle w:val="Hyperlink"/>
          </w:rPr>
          <w:t>Projections of Hydropower Generation</w:t>
        </w:r>
        <w:r w:rsidR="00D8288E">
          <w:rPr>
            <w:webHidden/>
          </w:rPr>
          <w:tab/>
        </w:r>
        <w:r w:rsidR="00D8288E">
          <w:rPr>
            <w:webHidden/>
          </w:rPr>
          <w:fldChar w:fldCharType="begin"/>
        </w:r>
        <w:r w:rsidR="00D8288E">
          <w:rPr>
            <w:webHidden/>
          </w:rPr>
          <w:instrText xml:space="preserve"> PAGEREF _Toc113380815 \h </w:instrText>
        </w:r>
        <w:r w:rsidR="00D8288E">
          <w:rPr>
            <w:webHidden/>
          </w:rPr>
        </w:r>
        <w:r w:rsidR="00D8288E">
          <w:rPr>
            <w:webHidden/>
          </w:rPr>
          <w:fldChar w:fldCharType="separate"/>
        </w:r>
        <w:r w:rsidR="00EE0BF5">
          <w:rPr>
            <w:webHidden/>
          </w:rPr>
          <w:t>102</w:t>
        </w:r>
        <w:r w:rsidR="00D8288E">
          <w:rPr>
            <w:webHidden/>
          </w:rPr>
          <w:fldChar w:fldCharType="end"/>
        </w:r>
      </w:hyperlink>
    </w:p>
    <w:p w14:paraId="46D8AC11" w14:textId="072C961F" w:rsidR="00D8288E" w:rsidRDefault="008043C8">
      <w:pPr>
        <w:pStyle w:val="TOC3"/>
        <w:tabs>
          <w:tab w:val="left" w:pos="1728"/>
        </w:tabs>
        <w:rPr>
          <w:rFonts w:asciiTheme="minorHAnsi" w:eastAsiaTheme="minorEastAsia" w:hAnsiTheme="minorHAnsi" w:cstheme="minorBidi"/>
          <w:lang w:bidi="ar-SA"/>
        </w:rPr>
      </w:pPr>
      <w:hyperlink w:anchor="_Toc113380816" w:history="1">
        <w:r w:rsidR="00D8288E" w:rsidRPr="00A030B5">
          <w:rPr>
            <w:rStyle w:val="Hyperlink"/>
          </w:rPr>
          <w:t>4.3.2</w:t>
        </w:r>
        <w:r w:rsidR="00D8288E">
          <w:rPr>
            <w:rFonts w:asciiTheme="minorHAnsi" w:eastAsiaTheme="minorEastAsia" w:hAnsiTheme="minorHAnsi" w:cstheme="minorBidi"/>
            <w:lang w:bidi="ar-SA"/>
          </w:rPr>
          <w:tab/>
        </w:r>
        <w:r w:rsidR="00D8288E" w:rsidRPr="00A030B5">
          <w:rPr>
            <w:rStyle w:val="Hyperlink"/>
          </w:rPr>
          <w:t>Climate Change Impacts on Regional Electricity Demand</w:t>
        </w:r>
        <w:r w:rsidR="00D8288E">
          <w:rPr>
            <w:webHidden/>
          </w:rPr>
          <w:tab/>
        </w:r>
        <w:r w:rsidR="00D8288E">
          <w:rPr>
            <w:webHidden/>
          </w:rPr>
          <w:fldChar w:fldCharType="begin"/>
        </w:r>
        <w:r w:rsidR="00D8288E">
          <w:rPr>
            <w:webHidden/>
          </w:rPr>
          <w:instrText xml:space="preserve"> PAGEREF _Toc113380816 \h </w:instrText>
        </w:r>
        <w:r w:rsidR="00D8288E">
          <w:rPr>
            <w:webHidden/>
          </w:rPr>
        </w:r>
        <w:r w:rsidR="00D8288E">
          <w:rPr>
            <w:webHidden/>
          </w:rPr>
          <w:fldChar w:fldCharType="separate"/>
        </w:r>
        <w:r w:rsidR="00EE0BF5">
          <w:rPr>
            <w:webHidden/>
          </w:rPr>
          <w:t>108</w:t>
        </w:r>
        <w:r w:rsidR="00D8288E">
          <w:rPr>
            <w:webHidden/>
          </w:rPr>
          <w:fldChar w:fldCharType="end"/>
        </w:r>
      </w:hyperlink>
    </w:p>
    <w:p w14:paraId="014DD462" w14:textId="79B908AA" w:rsidR="00D8288E" w:rsidRDefault="008043C8">
      <w:pPr>
        <w:pStyle w:val="TOC1"/>
        <w:rPr>
          <w:rFonts w:asciiTheme="minorHAnsi" w:eastAsiaTheme="minorEastAsia" w:hAnsiTheme="minorHAnsi" w:cstheme="minorBidi"/>
          <w:lang w:bidi="ar-SA"/>
        </w:rPr>
      </w:pPr>
      <w:hyperlink w:anchor="_Toc113380817" w:history="1">
        <w:r w:rsidR="00D8288E" w:rsidRPr="00A030B5">
          <w:rPr>
            <w:rStyle w:val="Hyperlink"/>
          </w:rPr>
          <w:t>5.</w:t>
        </w:r>
        <w:r w:rsidR="00D8288E">
          <w:rPr>
            <w:rFonts w:asciiTheme="minorHAnsi" w:eastAsiaTheme="minorEastAsia" w:hAnsiTheme="minorHAnsi" w:cstheme="minorBidi"/>
            <w:lang w:bidi="ar-SA"/>
          </w:rPr>
          <w:tab/>
        </w:r>
        <w:r w:rsidR="00D8288E" w:rsidRPr="00A030B5">
          <w:rPr>
            <w:rStyle w:val="Hyperlink"/>
          </w:rPr>
          <w:t>THE SWPA REGION</w:t>
        </w:r>
        <w:r w:rsidR="00D8288E">
          <w:rPr>
            <w:webHidden/>
          </w:rPr>
          <w:tab/>
        </w:r>
        <w:r w:rsidR="00D8288E">
          <w:rPr>
            <w:webHidden/>
          </w:rPr>
          <w:fldChar w:fldCharType="begin"/>
        </w:r>
        <w:r w:rsidR="00D8288E">
          <w:rPr>
            <w:webHidden/>
          </w:rPr>
          <w:instrText xml:space="preserve"> PAGEREF _Toc113380817 \h </w:instrText>
        </w:r>
        <w:r w:rsidR="00D8288E">
          <w:rPr>
            <w:webHidden/>
          </w:rPr>
        </w:r>
        <w:r w:rsidR="00D8288E">
          <w:rPr>
            <w:webHidden/>
          </w:rPr>
          <w:fldChar w:fldCharType="separate"/>
        </w:r>
        <w:r w:rsidR="00EE0BF5">
          <w:rPr>
            <w:webHidden/>
          </w:rPr>
          <w:t>115</w:t>
        </w:r>
        <w:r w:rsidR="00D8288E">
          <w:rPr>
            <w:webHidden/>
          </w:rPr>
          <w:fldChar w:fldCharType="end"/>
        </w:r>
      </w:hyperlink>
    </w:p>
    <w:p w14:paraId="21D95CAA" w14:textId="54C3BB5B" w:rsidR="00D8288E" w:rsidRDefault="008043C8">
      <w:pPr>
        <w:pStyle w:val="TOC2"/>
        <w:tabs>
          <w:tab w:val="left" w:pos="1008"/>
        </w:tabs>
        <w:rPr>
          <w:rFonts w:asciiTheme="minorHAnsi" w:eastAsiaTheme="minorEastAsia" w:hAnsiTheme="minorHAnsi" w:cstheme="minorBidi"/>
          <w:lang w:bidi="ar-SA"/>
        </w:rPr>
      </w:pPr>
      <w:hyperlink w:anchor="_Toc113380818" w:history="1">
        <w:r w:rsidR="00D8288E" w:rsidRPr="00A030B5">
          <w:rPr>
            <w:rStyle w:val="Hyperlink"/>
          </w:rPr>
          <w:t>5.1</w:t>
        </w:r>
        <w:r w:rsidR="00D8288E">
          <w:rPr>
            <w:rFonts w:asciiTheme="minorHAnsi" w:eastAsiaTheme="minorEastAsia" w:hAnsiTheme="minorHAnsi" w:cstheme="minorBidi"/>
            <w:lang w:bidi="ar-SA"/>
          </w:rPr>
          <w:tab/>
        </w:r>
        <w:r w:rsidR="00D8288E" w:rsidRPr="00A030B5">
          <w:rPr>
            <w:rStyle w:val="Hyperlink"/>
          </w:rPr>
          <w:t>SWPA Regional Characteristics</w:t>
        </w:r>
        <w:r w:rsidR="00D8288E">
          <w:rPr>
            <w:webHidden/>
          </w:rPr>
          <w:tab/>
        </w:r>
        <w:r w:rsidR="00D8288E">
          <w:rPr>
            <w:webHidden/>
          </w:rPr>
          <w:fldChar w:fldCharType="begin"/>
        </w:r>
        <w:r w:rsidR="00D8288E">
          <w:rPr>
            <w:webHidden/>
          </w:rPr>
          <w:instrText xml:space="preserve"> PAGEREF _Toc113380818 \h </w:instrText>
        </w:r>
        <w:r w:rsidR="00D8288E">
          <w:rPr>
            <w:webHidden/>
          </w:rPr>
        </w:r>
        <w:r w:rsidR="00D8288E">
          <w:rPr>
            <w:webHidden/>
          </w:rPr>
          <w:fldChar w:fldCharType="separate"/>
        </w:r>
        <w:r w:rsidR="00EE0BF5">
          <w:rPr>
            <w:webHidden/>
          </w:rPr>
          <w:t>115</w:t>
        </w:r>
        <w:r w:rsidR="00D8288E">
          <w:rPr>
            <w:webHidden/>
          </w:rPr>
          <w:fldChar w:fldCharType="end"/>
        </w:r>
      </w:hyperlink>
    </w:p>
    <w:p w14:paraId="2AC4ADEB" w14:textId="76B3BF8F" w:rsidR="00D8288E" w:rsidRDefault="008043C8">
      <w:pPr>
        <w:pStyle w:val="TOC3"/>
        <w:tabs>
          <w:tab w:val="left" w:pos="1728"/>
        </w:tabs>
        <w:rPr>
          <w:rFonts w:asciiTheme="minorHAnsi" w:eastAsiaTheme="minorEastAsia" w:hAnsiTheme="minorHAnsi" w:cstheme="minorBidi"/>
          <w:lang w:bidi="ar-SA"/>
        </w:rPr>
      </w:pPr>
      <w:hyperlink w:anchor="_Toc113380819" w:history="1">
        <w:r w:rsidR="00D8288E" w:rsidRPr="00A030B5">
          <w:rPr>
            <w:rStyle w:val="Hyperlink"/>
          </w:rPr>
          <w:t>5.1.1</w:t>
        </w:r>
        <w:r w:rsidR="00D8288E">
          <w:rPr>
            <w:rFonts w:asciiTheme="minorHAnsi" w:eastAsiaTheme="minorEastAsia" w:hAnsiTheme="minorHAnsi" w:cstheme="minorBidi"/>
            <w:lang w:bidi="ar-SA"/>
          </w:rPr>
          <w:tab/>
        </w:r>
        <w:r w:rsidR="00D8288E" w:rsidRPr="00A030B5">
          <w:rPr>
            <w:rStyle w:val="Hyperlink"/>
          </w:rPr>
          <w:t>Federal Hydropower in the SWPA Region</w:t>
        </w:r>
        <w:r w:rsidR="00D8288E">
          <w:rPr>
            <w:webHidden/>
          </w:rPr>
          <w:tab/>
        </w:r>
        <w:r w:rsidR="00D8288E">
          <w:rPr>
            <w:webHidden/>
          </w:rPr>
          <w:fldChar w:fldCharType="begin"/>
        </w:r>
        <w:r w:rsidR="00D8288E">
          <w:rPr>
            <w:webHidden/>
          </w:rPr>
          <w:instrText xml:space="preserve"> PAGEREF _Toc113380819 \h </w:instrText>
        </w:r>
        <w:r w:rsidR="00D8288E">
          <w:rPr>
            <w:webHidden/>
          </w:rPr>
        </w:r>
        <w:r w:rsidR="00D8288E">
          <w:rPr>
            <w:webHidden/>
          </w:rPr>
          <w:fldChar w:fldCharType="separate"/>
        </w:r>
        <w:r w:rsidR="00EE0BF5">
          <w:rPr>
            <w:webHidden/>
          </w:rPr>
          <w:t>115</w:t>
        </w:r>
        <w:r w:rsidR="00D8288E">
          <w:rPr>
            <w:webHidden/>
          </w:rPr>
          <w:fldChar w:fldCharType="end"/>
        </w:r>
      </w:hyperlink>
    </w:p>
    <w:p w14:paraId="5650CC46" w14:textId="79DBE49F" w:rsidR="00D8288E" w:rsidRDefault="008043C8">
      <w:pPr>
        <w:pStyle w:val="TOC3"/>
        <w:tabs>
          <w:tab w:val="left" w:pos="1728"/>
        </w:tabs>
        <w:rPr>
          <w:rFonts w:asciiTheme="minorHAnsi" w:eastAsiaTheme="minorEastAsia" w:hAnsiTheme="minorHAnsi" w:cstheme="minorBidi"/>
          <w:lang w:bidi="ar-SA"/>
        </w:rPr>
      </w:pPr>
      <w:hyperlink w:anchor="_Toc113380820" w:history="1">
        <w:r w:rsidR="00D8288E" w:rsidRPr="00A030B5">
          <w:rPr>
            <w:rStyle w:val="Hyperlink"/>
          </w:rPr>
          <w:t>5.1.2</w:t>
        </w:r>
        <w:r w:rsidR="00D8288E">
          <w:rPr>
            <w:rFonts w:asciiTheme="minorHAnsi" w:eastAsiaTheme="minorEastAsia" w:hAnsiTheme="minorHAnsi" w:cstheme="minorBidi"/>
            <w:lang w:bidi="ar-SA"/>
          </w:rPr>
          <w:tab/>
        </w:r>
        <w:r w:rsidR="00D8288E" w:rsidRPr="00A030B5">
          <w:rPr>
            <w:rStyle w:val="Hyperlink"/>
          </w:rPr>
          <w:t>Power Marketing by SWPA</w:t>
        </w:r>
        <w:r w:rsidR="00D8288E">
          <w:rPr>
            <w:webHidden/>
          </w:rPr>
          <w:tab/>
        </w:r>
        <w:r w:rsidR="00D8288E">
          <w:rPr>
            <w:webHidden/>
          </w:rPr>
          <w:fldChar w:fldCharType="begin"/>
        </w:r>
        <w:r w:rsidR="00D8288E">
          <w:rPr>
            <w:webHidden/>
          </w:rPr>
          <w:instrText xml:space="preserve"> PAGEREF _Toc113380820 \h </w:instrText>
        </w:r>
        <w:r w:rsidR="00D8288E">
          <w:rPr>
            <w:webHidden/>
          </w:rPr>
        </w:r>
        <w:r w:rsidR="00D8288E">
          <w:rPr>
            <w:webHidden/>
          </w:rPr>
          <w:fldChar w:fldCharType="separate"/>
        </w:r>
        <w:r w:rsidR="00EE0BF5">
          <w:rPr>
            <w:webHidden/>
          </w:rPr>
          <w:t>117</w:t>
        </w:r>
        <w:r w:rsidR="00D8288E">
          <w:rPr>
            <w:webHidden/>
          </w:rPr>
          <w:fldChar w:fldCharType="end"/>
        </w:r>
      </w:hyperlink>
    </w:p>
    <w:p w14:paraId="74B98EF4" w14:textId="0D51FDC3" w:rsidR="00D8288E" w:rsidRDefault="008043C8">
      <w:pPr>
        <w:pStyle w:val="TOC2"/>
        <w:tabs>
          <w:tab w:val="left" w:pos="1008"/>
        </w:tabs>
        <w:rPr>
          <w:rFonts w:asciiTheme="minorHAnsi" w:eastAsiaTheme="minorEastAsia" w:hAnsiTheme="minorHAnsi" w:cstheme="minorBidi"/>
          <w:lang w:bidi="ar-SA"/>
        </w:rPr>
      </w:pPr>
      <w:hyperlink w:anchor="_Toc113380821" w:history="1">
        <w:r w:rsidR="00D8288E" w:rsidRPr="00A030B5">
          <w:rPr>
            <w:rStyle w:val="Hyperlink"/>
          </w:rPr>
          <w:t>5.2</w:t>
        </w:r>
        <w:r w:rsidR="00D8288E">
          <w:rPr>
            <w:rFonts w:asciiTheme="minorHAnsi" w:eastAsiaTheme="minorEastAsia" w:hAnsiTheme="minorHAnsi" w:cstheme="minorBidi"/>
            <w:lang w:bidi="ar-SA"/>
          </w:rPr>
          <w:tab/>
        </w:r>
        <w:r w:rsidR="00D8288E" w:rsidRPr="00A030B5">
          <w:rPr>
            <w:rStyle w:val="Hyperlink"/>
          </w:rPr>
          <w:t>Future Climate in the SWPA Region</w:t>
        </w:r>
        <w:r w:rsidR="00D8288E">
          <w:rPr>
            <w:webHidden/>
          </w:rPr>
          <w:tab/>
        </w:r>
        <w:r w:rsidR="00D8288E">
          <w:rPr>
            <w:webHidden/>
          </w:rPr>
          <w:fldChar w:fldCharType="begin"/>
        </w:r>
        <w:r w:rsidR="00D8288E">
          <w:rPr>
            <w:webHidden/>
          </w:rPr>
          <w:instrText xml:space="preserve"> PAGEREF _Toc113380821 \h </w:instrText>
        </w:r>
        <w:r w:rsidR="00D8288E">
          <w:rPr>
            <w:webHidden/>
          </w:rPr>
        </w:r>
        <w:r w:rsidR="00D8288E">
          <w:rPr>
            <w:webHidden/>
          </w:rPr>
          <w:fldChar w:fldCharType="separate"/>
        </w:r>
        <w:r w:rsidR="00EE0BF5">
          <w:rPr>
            <w:webHidden/>
          </w:rPr>
          <w:t>118</w:t>
        </w:r>
        <w:r w:rsidR="00D8288E">
          <w:rPr>
            <w:webHidden/>
          </w:rPr>
          <w:fldChar w:fldCharType="end"/>
        </w:r>
      </w:hyperlink>
    </w:p>
    <w:p w14:paraId="0DAE0FFE" w14:textId="74A95D65" w:rsidR="00D8288E" w:rsidRDefault="008043C8">
      <w:pPr>
        <w:pStyle w:val="TOC3"/>
        <w:tabs>
          <w:tab w:val="left" w:pos="1728"/>
        </w:tabs>
        <w:rPr>
          <w:rFonts w:asciiTheme="minorHAnsi" w:eastAsiaTheme="minorEastAsia" w:hAnsiTheme="minorHAnsi" w:cstheme="minorBidi"/>
          <w:lang w:bidi="ar-SA"/>
        </w:rPr>
      </w:pPr>
      <w:hyperlink w:anchor="_Toc113380822" w:history="1">
        <w:r w:rsidR="00D8288E" w:rsidRPr="00A030B5">
          <w:rPr>
            <w:rStyle w:val="Hyperlink"/>
          </w:rPr>
          <w:t>5.2.1</w:t>
        </w:r>
        <w:r w:rsidR="00D8288E">
          <w:rPr>
            <w:rFonts w:asciiTheme="minorHAnsi" w:eastAsiaTheme="minorEastAsia" w:hAnsiTheme="minorHAnsi" w:cstheme="minorBidi"/>
            <w:lang w:bidi="ar-SA"/>
          </w:rPr>
          <w:tab/>
        </w:r>
        <w:r w:rsidR="00D8288E" w:rsidRPr="00A030B5">
          <w:rPr>
            <w:rStyle w:val="Hyperlink"/>
          </w:rPr>
          <w:t>Regional Climate Projections</w:t>
        </w:r>
        <w:r w:rsidR="00D8288E">
          <w:rPr>
            <w:webHidden/>
          </w:rPr>
          <w:tab/>
        </w:r>
        <w:r w:rsidR="00D8288E">
          <w:rPr>
            <w:webHidden/>
          </w:rPr>
          <w:fldChar w:fldCharType="begin"/>
        </w:r>
        <w:r w:rsidR="00D8288E">
          <w:rPr>
            <w:webHidden/>
          </w:rPr>
          <w:instrText xml:space="preserve"> PAGEREF _Toc113380822 \h </w:instrText>
        </w:r>
        <w:r w:rsidR="00D8288E">
          <w:rPr>
            <w:webHidden/>
          </w:rPr>
        </w:r>
        <w:r w:rsidR="00D8288E">
          <w:rPr>
            <w:webHidden/>
          </w:rPr>
          <w:fldChar w:fldCharType="separate"/>
        </w:r>
        <w:r w:rsidR="00EE0BF5">
          <w:rPr>
            <w:webHidden/>
          </w:rPr>
          <w:t>118</w:t>
        </w:r>
        <w:r w:rsidR="00D8288E">
          <w:rPr>
            <w:webHidden/>
          </w:rPr>
          <w:fldChar w:fldCharType="end"/>
        </w:r>
      </w:hyperlink>
    </w:p>
    <w:p w14:paraId="69A845BC" w14:textId="240B84EA" w:rsidR="00D8288E" w:rsidRDefault="008043C8">
      <w:pPr>
        <w:pStyle w:val="TOC3"/>
        <w:tabs>
          <w:tab w:val="left" w:pos="1728"/>
        </w:tabs>
        <w:rPr>
          <w:rFonts w:asciiTheme="minorHAnsi" w:eastAsiaTheme="minorEastAsia" w:hAnsiTheme="minorHAnsi" w:cstheme="minorBidi"/>
          <w:lang w:bidi="ar-SA"/>
        </w:rPr>
      </w:pPr>
      <w:hyperlink w:anchor="_Toc113380823" w:history="1">
        <w:r w:rsidR="00D8288E" w:rsidRPr="00A030B5">
          <w:rPr>
            <w:rStyle w:val="Hyperlink"/>
          </w:rPr>
          <w:t>5.2.2</w:t>
        </w:r>
        <w:r w:rsidR="00D8288E">
          <w:rPr>
            <w:rFonts w:asciiTheme="minorHAnsi" w:eastAsiaTheme="minorEastAsia" w:hAnsiTheme="minorHAnsi" w:cstheme="minorBidi"/>
            <w:lang w:bidi="ar-SA"/>
          </w:rPr>
          <w:tab/>
        </w:r>
        <w:r w:rsidR="00D8288E" w:rsidRPr="00A030B5">
          <w:rPr>
            <w:rStyle w:val="Hyperlink"/>
          </w:rPr>
          <w:t>Regional Hydrologic Projections</w:t>
        </w:r>
        <w:r w:rsidR="00D8288E">
          <w:rPr>
            <w:webHidden/>
          </w:rPr>
          <w:tab/>
        </w:r>
        <w:r w:rsidR="00D8288E">
          <w:rPr>
            <w:webHidden/>
          </w:rPr>
          <w:fldChar w:fldCharType="begin"/>
        </w:r>
        <w:r w:rsidR="00D8288E">
          <w:rPr>
            <w:webHidden/>
          </w:rPr>
          <w:instrText xml:space="preserve"> PAGEREF _Toc113380823 \h </w:instrText>
        </w:r>
        <w:r w:rsidR="00D8288E">
          <w:rPr>
            <w:webHidden/>
          </w:rPr>
        </w:r>
        <w:r w:rsidR="00D8288E">
          <w:rPr>
            <w:webHidden/>
          </w:rPr>
          <w:fldChar w:fldCharType="separate"/>
        </w:r>
        <w:r w:rsidR="00EE0BF5">
          <w:rPr>
            <w:webHidden/>
          </w:rPr>
          <w:t>122</w:t>
        </w:r>
        <w:r w:rsidR="00D8288E">
          <w:rPr>
            <w:webHidden/>
          </w:rPr>
          <w:fldChar w:fldCharType="end"/>
        </w:r>
      </w:hyperlink>
    </w:p>
    <w:p w14:paraId="77881B8E" w14:textId="5CA2D81F" w:rsidR="00D8288E" w:rsidRDefault="008043C8">
      <w:pPr>
        <w:pStyle w:val="TOC2"/>
        <w:tabs>
          <w:tab w:val="left" w:pos="1008"/>
        </w:tabs>
        <w:rPr>
          <w:rFonts w:asciiTheme="minorHAnsi" w:eastAsiaTheme="minorEastAsia" w:hAnsiTheme="minorHAnsi" w:cstheme="minorBidi"/>
          <w:lang w:bidi="ar-SA"/>
        </w:rPr>
      </w:pPr>
      <w:hyperlink w:anchor="_Toc113380824" w:history="1">
        <w:r w:rsidR="00D8288E" w:rsidRPr="00A030B5">
          <w:rPr>
            <w:rStyle w:val="Hyperlink"/>
          </w:rPr>
          <w:t>5.3</w:t>
        </w:r>
        <w:r w:rsidR="00D8288E">
          <w:rPr>
            <w:rFonts w:asciiTheme="minorHAnsi" w:eastAsiaTheme="minorEastAsia" w:hAnsiTheme="minorHAnsi" w:cstheme="minorBidi"/>
            <w:lang w:bidi="ar-SA"/>
          </w:rPr>
          <w:tab/>
        </w:r>
        <w:r w:rsidR="00D8288E" w:rsidRPr="00A030B5">
          <w:rPr>
            <w:rStyle w:val="Hyperlink"/>
          </w:rPr>
          <w:t>Climate Effects on Federal Hydropower in the SWPA Region</w:t>
        </w:r>
        <w:r w:rsidR="00D8288E">
          <w:rPr>
            <w:webHidden/>
          </w:rPr>
          <w:tab/>
        </w:r>
        <w:r w:rsidR="00D8288E">
          <w:rPr>
            <w:webHidden/>
          </w:rPr>
          <w:fldChar w:fldCharType="begin"/>
        </w:r>
        <w:r w:rsidR="00D8288E">
          <w:rPr>
            <w:webHidden/>
          </w:rPr>
          <w:instrText xml:space="preserve"> PAGEREF _Toc113380824 \h </w:instrText>
        </w:r>
        <w:r w:rsidR="00D8288E">
          <w:rPr>
            <w:webHidden/>
          </w:rPr>
        </w:r>
        <w:r w:rsidR="00D8288E">
          <w:rPr>
            <w:webHidden/>
          </w:rPr>
          <w:fldChar w:fldCharType="separate"/>
        </w:r>
        <w:r w:rsidR="00EE0BF5">
          <w:rPr>
            <w:webHidden/>
          </w:rPr>
          <w:t>129</w:t>
        </w:r>
        <w:r w:rsidR="00D8288E">
          <w:rPr>
            <w:webHidden/>
          </w:rPr>
          <w:fldChar w:fldCharType="end"/>
        </w:r>
      </w:hyperlink>
    </w:p>
    <w:p w14:paraId="3B9603C2" w14:textId="2987B05D" w:rsidR="00D8288E" w:rsidRDefault="008043C8">
      <w:pPr>
        <w:pStyle w:val="TOC3"/>
        <w:tabs>
          <w:tab w:val="left" w:pos="1728"/>
        </w:tabs>
        <w:rPr>
          <w:rFonts w:asciiTheme="minorHAnsi" w:eastAsiaTheme="minorEastAsia" w:hAnsiTheme="minorHAnsi" w:cstheme="minorBidi"/>
          <w:lang w:bidi="ar-SA"/>
        </w:rPr>
      </w:pPr>
      <w:hyperlink w:anchor="_Toc113380825" w:history="1">
        <w:r w:rsidR="00D8288E" w:rsidRPr="00A030B5">
          <w:rPr>
            <w:rStyle w:val="Hyperlink"/>
          </w:rPr>
          <w:t>5.3.1</w:t>
        </w:r>
        <w:r w:rsidR="00D8288E">
          <w:rPr>
            <w:rFonts w:asciiTheme="minorHAnsi" w:eastAsiaTheme="minorEastAsia" w:hAnsiTheme="minorHAnsi" w:cstheme="minorBidi"/>
            <w:lang w:bidi="ar-SA"/>
          </w:rPr>
          <w:tab/>
        </w:r>
        <w:r w:rsidR="00D8288E" w:rsidRPr="00A030B5">
          <w:rPr>
            <w:rStyle w:val="Hyperlink"/>
          </w:rPr>
          <w:t>Projections of Hydropower Generation</w:t>
        </w:r>
        <w:r w:rsidR="00D8288E">
          <w:rPr>
            <w:webHidden/>
          </w:rPr>
          <w:tab/>
        </w:r>
        <w:r w:rsidR="00D8288E">
          <w:rPr>
            <w:webHidden/>
          </w:rPr>
          <w:fldChar w:fldCharType="begin"/>
        </w:r>
        <w:r w:rsidR="00D8288E">
          <w:rPr>
            <w:webHidden/>
          </w:rPr>
          <w:instrText xml:space="preserve"> PAGEREF _Toc113380825 \h </w:instrText>
        </w:r>
        <w:r w:rsidR="00D8288E">
          <w:rPr>
            <w:webHidden/>
          </w:rPr>
        </w:r>
        <w:r w:rsidR="00D8288E">
          <w:rPr>
            <w:webHidden/>
          </w:rPr>
          <w:fldChar w:fldCharType="separate"/>
        </w:r>
        <w:r w:rsidR="00EE0BF5">
          <w:rPr>
            <w:webHidden/>
          </w:rPr>
          <w:t>129</w:t>
        </w:r>
        <w:r w:rsidR="00D8288E">
          <w:rPr>
            <w:webHidden/>
          </w:rPr>
          <w:fldChar w:fldCharType="end"/>
        </w:r>
      </w:hyperlink>
    </w:p>
    <w:p w14:paraId="051AF5FB" w14:textId="05EA03E8" w:rsidR="00D8288E" w:rsidRDefault="008043C8">
      <w:pPr>
        <w:pStyle w:val="TOC3"/>
        <w:tabs>
          <w:tab w:val="left" w:pos="1728"/>
        </w:tabs>
        <w:rPr>
          <w:rFonts w:asciiTheme="minorHAnsi" w:eastAsiaTheme="minorEastAsia" w:hAnsiTheme="minorHAnsi" w:cstheme="minorBidi"/>
          <w:lang w:bidi="ar-SA"/>
        </w:rPr>
      </w:pPr>
      <w:hyperlink w:anchor="_Toc113380826" w:history="1">
        <w:r w:rsidR="00D8288E" w:rsidRPr="00A030B5">
          <w:rPr>
            <w:rStyle w:val="Hyperlink"/>
          </w:rPr>
          <w:t>5.3.2</w:t>
        </w:r>
        <w:r w:rsidR="00D8288E">
          <w:rPr>
            <w:rFonts w:asciiTheme="minorHAnsi" w:eastAsiaTheme="minorEastAsia" w:hAnsiTheme="minorHAnsi" w:cstheme="minorBidi"/>
            <w:lang w:bidi="ar-SA"/>
          </w:rPr>
          <w:tab/>
        </w:r>
        <w:r w:rsidR="00D8288E" w:rsidRPr="00A030B5">
          <w:rPr>
            <w:rStyle w:val="Hyperlink"/>
          </w:rPr>
          <w:t>Climate Change Impacts on Regional Electricity Demand</w:t>
        </w:r>
        <w:r w:rsidR="00D8288E">
          <w:rPr>
            <w:webHidden/>
          </w:rPr>
          <w:tab/>
        </w:r>
        <w:r w:rsidR="00D8288E">
          <w:rPr>
            <w:webHidden/>
          </w:rPr>
          <w:fldChar w:fldCharType="begin"/>
        </w:r>
        <w:r w:rsidR="00D8288E">
          <w:rPr>
            <w:webHidden/>
          </w:rPr>
          <w:instrText xml:space="preserve"> PAGEREF _Toc113380826 \h </w:instrText>
        </w:r>
        <w:r w:rsidR="00D8288E">
          <w:rPr>
            <w:webHidden/>
          </w:rPr>
        </w:r>
        <w:r w:rsidR="00D8288E">
          <w:rPr>
            <w:webHidden/>
          </w:rPr>
          <w:fldChar w:fldCharType="separate"/>
        </w:r>
        <w:r w:rsidR="00EE0BF5">
          <w:rPr>
            <w:webHidden/>
          </w:rPr>
          <w:t>133</w:t>
        </w:r>
        <w:r w:rsidR="00D8288E">
          <w:rPr>
            <w:webHidden/>
          </w:rPr>
          <w:fldChar w:fldCharType="end"/>
        </w:r>
      </w:hyperlink>
    </w:p>
    <w:p w14:paraId="765B631D" w14:textId="2A8756DC" w:rsidR="00D8288E" w:rsidRDefault="008043C8">
      <w:pPr>
        <w:pStyle w:val="TOC1"/>
        <w:rPr>
          <w:rFonts w:asciiTheme="minorHAnsi" w:eastAsiaTheme="minorEastAsia" w:hAnsiTheme="minorHAnsi" w:cstheme="minorBidi"/>
          <w:lang w:bidi="ar-SA"/>
        </w:rPr>
      </w:pPr>
      <w:hyperlink w:anchor="_Toc113380827" w:history="1">
        <w:r w:rsidR="00D8288E" w:rsidRPr="00A030B5">
          <w:rPr>
            <w:rStyle w:val="Hyperlink"/>
          </w:rPr>
          <w:t>6.</w:t>
        </w:r>
        <w:r w:rsidR="00D8288E">
          <w:rPr>
            <w:rFonts w:asciiTheme="minorHAnsi" w:eastAsiaTheme="minorEastAsia" w:hAnsiTheme="minorHAnsi" w:cstheme="minorBidi"/>
            <w:lang w:bidi="ar-SA"/>
          </w:rPr>
          <w:tab/>
        </w:r>
        <w:r w:rsidR="00D8288E" w:rsidRPr="00A030B5">
          <w:rPr>
            <w:rStyle w:val="Hyperlink"/>
          </w:rPr>
          <w:t>THE SEPA REGION</w:t>
        </w:r>
        <w:r w:rsidR="00D8288E">
          <w:rPr>
            <w:webHidden/>
          </w:rPr>
          <w:tab/>
        </w:r>
        <w:r w:rsidR="00D8288E">
          <w:rPr>
            <w:webHidden/>
          </w:rPr>
          <w:fldChar w:fldCharType="begin"/>
        </w:r>
        <w:r w:rsidR="00D8288E">
          <w:rPr>
            <w:webHidden/>
          </w:rPr>
          <w:instrText xml:space="preserve"> PAGEREF _Toc113380827 \h </w:instrText>
        </w:r>
        <w:r w:rsidR="00D8288E">
          <w:rPr>
            <w:webHidden/>
          </w:rPr>
        </w:r>
        <w:r w:rsidR="00D8288E">
          <w:rPr>
            <w:webHidden/>
          </w:rPr>
          <w:fldChar w:fldCharType="separate"/>
        </w:r>
        <w:r w:rsidR="00EE0BF5">
          <w:rPr>
            <w:webHidden/>
          </w:rPr>
          <w:t>137</w:t>
        </w:r>
        <w:r w:rsidR="00D8288E">
          <w:rPr>
            <w:webHidden/>
          </w:rPr>
          <w:fldChar w:fldCharType="end"/>
        </w:r>
      </w:hyperlink>
    </w:p>
    <w:p w14:paraId="2AF653EF" w14:textId="3FA40860" w:rsidR="00D8288E" w:rsidRDefault="008043C8">
      <w:pPr>
        <w:pStyle w:val="TOC2"/>
        <w:tabs>
          <w:tab w:val="left" w:pos="1008"/>
        </w:tabs>
        <w:rPr>
          <w:rFonts w:asciiTheme="minorHAnsi" w:eastAsiaTheme="minorEastAsia" w:hAnsiTheme="minorHAnsi" w:cstheme="minorBidi"/>
          <w:lang w:bidi="ar-SA"/>
        </w:rPr>
      </w:pPr>
      <w:hyperlink w:anchor="_Toc113380828" w:history="1">
        <w:r w:rsidR="00D8288E" w:rsidRPr="00A030B5">
          <w:rPr>
            <w:rStyle w:val="Hyperlink"/>
          </w:rPr>
          <w:t>6.1</w:t>
        </w:r>
        <w:r w:rsidR="00D8288E">
          <w:rPr>
            <w:rFonts w:asciiTheme="minorHAnsi" w:eastAsiaTheme="minorEastAsia" w:hAnsiTheme="minorHAnsi" w:cstheme="minorBidi"/>
            <w:lang w:bidi="ar-SA"/>
          </w:rPr>
          <w:tab/>
        </w:r>
        <w:r w:rsidR="00D8288E" w:rsidRPr="00A030B5">
          <w:rPr>
            <w:rStyle w:val="Hyperlink"/>
          </w:rPr>
          <w:t>SEPA Regional Characteristics</w:t>
        </w:r>
        <w:r w:rsidR="00D8288E">
          <w:rPr>
            <w:webHidden/>
          </w:rPr>
          <w:tab/>
        </w:r>
        <w:r w:rsidR="00D8288E">
          <w:rPr>
            <w:webHidden/>
          </w:rPr>
          <w:fldChar w:fldCharType="begin"/>
        </w:r>
        <w:r w:rsidR="00D8288E">
          <w:rPr>
            <w:webHidden/>
          </w:rPr>
          <w:instrText xml:space="preserve"> PAGEREF _Toc113380828 \h </w:instrText>
        </w:r>
        <w:r w:rsidR="00D8288E">
          <w:rPr>
            <w:webHidden/>
          </w:rPr>
        </w:r>
        <w:r w:rsidR="00D8288E">
          <w:rPr>
            <w:webHidden/>
          </w:rPr>
          <w:fldChar w:fldCharType="separate"/>
        </w:r>
        <w:r w:rsidR="00EE0BF5">
          <w:rPr>
            <w:webHidden/>
          </w:rPr>
          <w:t>137</w:t>
        </w:r>
        <w:r w:rsidR="00D8288E">
          <w:rPr>
            <w:webHidden/>
          </w:rPr>
          <w:fldChar w:fldCharType="end"/>
        </w:r>
      </w:hyperlink>
    </w:p>
    <w:p w14:paraId="46FED02A" w14:textId="08B89161" w:rsidR="00D8288E" w:rsidRDefault="008043C8">
      <w:pPr>
        <w:pStyle w:val="TOC3"/>
        <w:tabs>
          <w:tab w:val="left" w:pos="1728"/>
        </w:tabs>
        <w:rPr>
          <w:rFonts w:asciiTheme="minorHAnsi" w:eastAsiaTheme="minorEastAsia" w:hAnsiTheme="minorHAnsi" w:cstheme="minorBidi"/>
          <w:lang w:bidi="ar-SA"/>
        </w:rPr>
      </w:pPr>
      <w:hyperlink w:anchor="_Toc113380829" w:history="1">
        <w:r w:rsidR="00D8288E" w:rsidRPr="00A030B5">
          <w:rPr>
            <w:rStyle w:val="Hyperlink"/>
          </w:rPr>
          <w:t>6.1.1</w:t>
        </w:r>
        <w:r w:rsidR="00D8288E">
          <w:rPr>
            <w:rFonts w:asciiTheme="minorHAnsi" w:eastAsiaTheme="minorEastAsia" w:hAnsiTheme="minorHAnsi" w:cstheme="minorBidi"/>
            <w:lang w:bidi="ar-SA"/>
          </w:rPr>
          <w:tab/>
        </w:r>
        <w:r w:rsidR="00D8288E" w:rsidRPr="00A030B5">
          <w:rPr>
            <w:rStyle w:val="Hyperlink"/>
          </w:rPr>
          <w:t>Federal Hydropower in the SEPA Region</w:t>
        </w:r>
        <w:r w:rsidR="00D8288E">
          <w:rPr>
            <w:webHidden/>
          </w:rPr>
          <w:tab/>
        </w:r>
        <w:r w:rsidR="00D8288E">
          <w:rPr>
            <w:webHidden/>
          </w:rPr>
          <w:fldChar w:fldCharType="begin"/>
        </w:r>
        <w:r w:rsidR="00D8288E">
          <w:rPr>
            <w:webHidden/>
          </w:rPr>
          <w:instrText xml:space="preserve"> PAGEREF _Toc113380829 \h </w:instrText>
        </w:r>
        <w:r w:rsidR="00D8288E">
          <w:rPr>
            <w:webHidden/>
          </w:rPr>
        </w:r>
        <w:r w:rsidR="00D8288E">
          <w:rPr>
            <w:webHidden/>
          </w:rPr>
          <w:fldChar w:fldCharType="separate"/>
        </w:r>
        <w:r w:rsidR="00EE0BF5">
          <w:rPr>
            <w:webHidden/>
          </w:rPr>
          <w:t>137</w:t>
        </w:r>
        <w:r w:rsidR="00D8288E">
          <w:rPr>
            <w:webHidden/>
          </w:rPr>
          <w:fldChar w:fldCharType="end"/>
        </w:r>
      </w:hyperlink>
    </w:p>
    <w:p w14:paraId="3884BB04" w14:textId="4BE5CC64" w:rsidR="00D8288E" w:rsidRDefault="008043C8">
      <w:pPr>
        <w:pStyle w:val="TOC3"/>
        <w:tabs>
          <w:tab w:val="left" w:pos="1728"/>
        </w:tabs>
        <w:rPr>
          <w:rFonts w:asciiTheme="minorHAnsi" w:eastAsiaTheme="minorEastAsia" w:hAnsiTheme="minorHAnsi" w:cstheme="minorBidi"/>
          <w:lang w:bidi="ar-SA"/>
        </w:rPr>
      </w:pPr>
      <w:hyperlink w:anchor="_Toc113380830" w:history="1">
        <w:r w:rsidR="00D8288E" w:rsidRPr="00A030B5">
          <w:rPr>
            <w:rStyle w:val="Hyperlink"/>
          </w:rPr>
          <w:t>6.1.2</w:t>
        </w:r>
        <w:r w:rsidR="00D8288E">
          <w:rPr>
            <w:rFonts w:asciiTheme="minorHAnsi" w:eastAsiaTheme="minorEastAsia" w:hAnsiTheme="minorHAnsi" w:cstheme="minorBidi"/>
            <w:lang w:bidi="ar-SA"/>
          </w:rPr>
          <w:tab/>
        </w:r>
        <w:r w:rsidR="00D8288E" w:rsidRPr="00A030B5">
          <w:rPr>
            <w:rStyle w:val="Hyperlink"/>
          </w:rPr>
          <w:t>Power Marketing by SEPA</w:t>
        </w:r>
        <w:r w:rsidR="00D8288E">
          <w:rPr>
            <w:webHidden/>
          </w:rPr>
          <w:tab/>
        </w:r>
        <w:r w:rsidR="00D8288E">
          <w:rPr>
            <w:webHidden/>
          </w:rPr>
          <w:fldChar w:fldCharType="begin"/>
        </w:r>
        <w:r w:rsidR="00D8288E">
          <w:rPr>
            <w:webHidden/>
          </w:rPr>
          <w:instrText xml:space="preserve"> PAGEREF _Toc113380830 \h </w:instrText>
        </w:r>
        <w:r w:rsidR="00D8288E">
          <w:rPr>
            <w:webHidden/>
          </w:rPr>
        </w:r>
        <w:r w:rsidR="00D8288E">
          <w:rPr>
            <w:webHidden/>
          </w:rPr>
          <w:fldChar w:fldCharType="separate"/>
        </w:r>
        <w:r w:rsidR="00EE0BF5">
          <w:rPr>
            <w:webHidden/>
          </w:rPr>
          <w:t>139</w:t>
        </w:r>
        <w:r w:rsidR="00D8288E">
          <w:rPr>
            <w:webHidden/>
          </w:rPr>
          <w:fldChar w:fldCharType="end"/>
        </w:r>
      </w:hyperlink>
    </w:p>
    <w:p w14:paraId="57076789" w14:textId="0975E7DD" w:rsidR="00D8288E" w:rsidRDefault="008043C8">
      <w:pPr>
        <w:pStyle w:val="TOC2"/>
        <w:tabs>
          <w:tab w:val="left" w:pos="1008"/>
        </w:tabs>
        <w:rPr>
          <w:rFonts w:asciiTheme="minorHAnsi" w:eastAsiaTheme="minorEastAsia" w:hAnsiTheme="minorHAnsi" w:cstheme="minorBidi"/>
          <w:lang w:bidi="ar-SA"/>
        </w:rPr>
      </w:pPr>
      <w:hyperlink w:anchor="_Toc113380831" w:history="1">
        <w:r w:rsidR="00D8288E" w:rsidRPr="00A030B5">
          <w:rPr>
            <w:rStyle w:val="Hyperlink"/>
          </w:rPr>
          <w:t>6.2</w:t>
        </w:r>
        <w:r w:rsidR="00D8288E">
          <w:rPr>
            <w:rFonts w:asciiTheme="minorHAnsi" w:eastAsiaTheme="minorEastAsia" w:hAnsiTheme="minorHAnsi" w:cstheme="minorBidi"/>
            <w:lang w:bidi="ar-SA"/>
          </w:rPr>
          <w:tab/>
        </w:r>
        <w:r w:rsidR="00D8288E" w:rsidRPr="00A030B5">
          <w:rPr>
            <w:rStyle w:val="Hyperlink"/>
          </w:rPr>
          <w:t>Future Climate in the SEPA Region</w:t>
        </w:r>
        <w:r w:rsidR="00D8288E">
          <w:rPr>
            <w:webHidden/>
          </w:rPr>
          <w:tab/>
        </w:r>
        <w:r w:rsidR="00D8288E">
          <w:rPr>
            <w:webHidden/>
          </w:rPr>
          <w:fldChar w:fldCharType="begin"/>
        </w:r>
        <w:r w:rsidR="00D8288E">
          <w:rPr>
            <w:webHidden/>
          </w:rPr>
          <w:instrText xml:space="preserve"> PAGEREF _Toc113380831 \h </w:instrText>
        </w:r>
        <w:r w:rsidR="00D8288E">
          <w:rPr>
            <w:webHidden/>
          </w:rPr>
        </w:r>
        <w:r w:rsidR="00D8288E">
          <w:rPr>
            <w:webHidden/>
          </w:rPr>
          <w:fldChar w:fldCharType="separate"/>
        </w:r>
        <w:r w:rsidR="00EE0BF5">
          <w:rPr>
            <w:webHidden/>
          </w:rPr>
          <w:t>141</w:t>
        </w:r>
        <w:r w:rsidR="00D8288E">
          <w:rPr>
            <w:webHidden/>
          </w:rPr>
          <w:fldChar w:fldCharType="end"/>
        </w:r>
      </w:hyperlink>
    </w:p>
    <w:p w14:paraId="521BDFDD" w14:textId="1CAFB6F5" w:rsidR="00D8288E" w:rsidRDefault="008043C8">
      <w:pPr>
        <w:pStyle w:val="TOC3"/>
        <w:tabs>
          <w:tab w:val="left" w:pos="1728"/>
        </w:tabs>
        <w:rPr>
          <w:rFonts w:asciiTheme="minorHAnsi" w:eastAsiaTheme="minorEastAsia" w:hAnsiTheme="minorHAnsi" w:cstheme="minorBidi"/>
          <w:lang w:bidi="ar-SA"/>
        </w:rPr>
      </w:pPr>
      <w:hyperlink w:anchor="_Toc113380832" w:history="1">
        <w:r w:rsidR="00D8288E" w:rsidRPr="00A030B5">
          <w:rPr>
            <w:rStyle w:val="Hyperlink"/>
          </w:rPr>
          <w:t>6.2.1</w:t>
        </w:r>
        <w:r w:rsidR="00D8288E">
          <w:rPr>
            <w:rFonts w:asciiTheme="minorHAnsi" w:eastAsiaTheme="minorEastAsia" w:hAnsiTheme="minorHAnsi" w:cstheme="minorBidi"/>
            <w:lang w:bidi="ar-SA"/>
          </w:rPr>
          <w:tab/>
        </w:r>
        <w:r w:rsidR="00D8288E" w:rsidRPr="00A030B5">
          <w:rPr>
            <w:rStyle w:val="Hyperlink"/>
          </w:rPr>
          <w:t>Regional Climate Projections</w:t>
        </w:r>
        <w:r w:rsidR="00D8288E">
          <w:rPr>
            <w:webHidden/>
          </w:rPr>
          <w:tab/>
        </w:r>
        <w:r w:rsidR="00D8288E">
          <w:rPr>
            <w:webHidden/>
          </w:rPr>
          <w:fldChar w:fldCharType="begin"/>
        </w:r>
        <w:r w:rsidR="00D8288E">
          <w:rPr>
            <w:webHidden/>
          </w:rPr>
          <w:instrText xml:space="preserve"> PAGEREF _Toc113380832 \h </w:instrText>
        </w:r>
        <w:r w:rsidR="00D8288E">
          <w:rPr>
            <w:webHidden/>
          </w:rPr>
        </w:r>
        <w:r w:rsidR="00D8288E">
          <w:rPr>
            <w:webHidden/>
          </w:rPr>
          <w:fldChar w:fldCharType="separate"/>
        </w:r>
        <w:r w:rsidR="00EE0BF5">
          <w:rPr>
            <w:webHidden/>
          </w:rPr>
          <w:t>141</w:t>
        </w:r>
        <w:r w:rsidR="00D8288E">
          <w:rPr>
            <w:webHidden/>
          </w:rPr>
          <w:fldChar w:fldCharType="end"/>
        </w:r>
      </w:hyperlink>
    </w:p>
    <w:p w14:paraId="12680D1C" w14:textId="5F9AB4E2" w:rsidR="00D8288E" w:rsidRDefault="008043C8">
      <w:pPr>
        <w:pStyle w:val="TOC3"/>
        <w:tabs>
          <w:tab w:val="left" w:pos="1728"/>
        </w:tabs>
        <w:rPr>
          <w:rFonts w:asciiTheme="minorHAnsi" w:eastAsiaTheme="minorEastAsia" w:hAnsiTheme="minorHAnsi" w:cstheme="minorBidi"/>
          <w:lang w:bidi="ar-SA"/>
        </w:rPr>
      </w:pPr>
      <w:hyperlink w:anchor="_Toc113380833" w:history="1">
        <w:r w:rsidR="00D8288E" w:rsidRPr="00A030B5">
          <w:rPr>
            <w:rStyle w:val="Hyperlink"/>
          </w:rPr>
          <w:t>6.2.2</w:t>
        </w:r>
        <w:r w:rsidR="00D8288E">
          <w:rPr>
            <w:rFonts w:asciiTheme="minorHAnsi" w:eastAsiaTheme="minorEastAsia" w:hAnsiTheme="minorHAnsi" w:cstheme="minorBidi"/>
            <w:lang w:bidi="ar-SA"/>
          </w:rPr>
          <w:tab/>
        </w:r>
        <w:r w:rsidR="00D8288E" w:rsidRPr="00A030B5">
          <w:rPr>
            <w:rStyle w:val="Hyperlink"/>
          </w:rPr>
          <w:t>Regional Hydrologic Projections</w:t>
        </w:r>
        <w:r w:rsidR="00D8288E">
          <w:rPr>
            <w:webHidden/>
          </w:rPr>
          <w:tab/>
        </w:r>
        <w:r w:rsidR="00D8288E">
          <w:rPr>
            <w:webHidden/>
          </w:rPr>
          <w:fldChar w:fldCharType="begin"/>
        </w:r>
        <w:r w:rsidR="00D8288E">
          <w:rPr>
            <w:webHidden/>
          </w:rPr>
          <w:instrText xml:space="preserve"> PAGEREF _Toc113380833 \h </w:instrText>
        </w:r>
        <w:r w:rsidR="00D8288E">
          <w:rPr>
            <w:webHidden/>
          </w:rPr>
        </w:r>
        <w:r w:rsidR="00D8288E">
          <w:rPr>
            <w:webHidden/>
          </w:rPr>
          <w:fldChar w:fldCharType="separate"/>
        </w:r>
        <w:r w:rsidR="00EE0BF5">
          <w:rPr>
            <w:webHidden/>
          </w:rPr>
          <w:t>145</w:t>
        </w:r>
        <w:r w:rsidR="00D8288E">
          <w:rPr>
            <w:webHidden/>
          </w:rPr>
          <w:fldChar w:fldCharType="end"/>
        </w:r>
      </w:hyperlink>
    </w:p>
    <w:p w14:paraId="3CCBAD42" w14:textId="7F07AEB3" w:rsidR="00D8288E" w:rsidRDefault="008043C8">
      <w:pPr>
        <w:pStyle w:val="TOC2"/>
        <w:tabs>
          <w:tab w:val="left" w:pos="1008"/>
        </w:tabs>
        <w:rPr>
          <w:rFonts w:asciiTheme="minorHAnsi" w:eastAsiaTheme="minorEastAsia" w:hAnsiTheme="minorHAnsi" w:cstheme="minorBidi"/>
          <w:lang w:bidi="ar-SA"/>
        </w:rPr>
      </w:pPr>
      <w:hyperlink w:anchor="_Toc113380834" w:history="1">
        <w:r w:rsidR="00D8288E" w:rsidRPr="00A030B5">
          <w:rPr>
            <w:rStyle w:val="Hyperlink"/>
          </w:rPr>
          <w:t>6.3</w:t>
        </w:r>
        <w:r w:rsidR="00D8288E">
          <w:rPr>
            <w:rFonts w:asciiTheme="minorHAnsi" w:eastAsiaTheme="minorEastAsia" w:hAnsiTheme="minorHAnsi" w:cstheme="minorBidi"/>
            <w:lang w:bidi="ar-SA"/>
          </w:rPr>
          <w:tab/>
        </w:r>
        <w:r w:rsidR="00D8288E" w:rsidRPr="00A030B5">
          <w:rPr>
            <w:rStyle w:val="Hyperlink"/>
          </w:rPr>
          <w:t>Climate Effects on Federal Hydropower in the SEPA Region</w:t>
        </w:r>
        <w:r w:rsidR="00D8288E">
          <w:rPr>
            <w:webHidden/>
          </w:rPr>
          <w:tab/>
        </w:r>
        <w:r w:rsidR="00D8288E">
          <w:rPr>
            <w:webHidden/>
          </w:rPr>
          <w:fldChar w:fldCharType="begin"/>
        </w:r>
        <w:r w:rsidR="00D8288E">
          <w:rPr>
            <w:webHidden/>
          </w:rPr>
          <w:instrText xml:space="preserve"> PAGEREF _Toc113380834 \h </w:instrText>
        </w:r>
        <w:r w:rsidR="00D8288E">
          <w:rPr>
            <w:webHidden/>
          </w:rPr>
        </w:r>
        <w:r w:rsidR="00D8288E">
          <w:rPr>
            <w:webHidden/>
          </w:rPr>
          <w:fldChar w:fldCharType="separate"/>
        </w:r>
        <w:r w:rsidR="00EE0BF5">
          <w:rPr>
            <w:webHidden/>
          </w:rPr>
          <w:t>152</w:t>
        </w:r>
        <w:r w:rsidR="00D8288E">
          <w:rPr>
            <w:webHidden/>
          </w:rPr>
          <w:fldChar w:fldCharType="end"/>
        </w:r>
      </w:hyperlink>
    </w:p>
    <w:p w14:paraId="6CC29EC1" w14:textId="1CECA7B7" w:rsidR="00D8288E" w:rsidRDefault="008043C8">
      <w:pPr>
        <w:pStyle w:val="TOC3"/>
        <w:tabs>
          <w:tab w:val="left" w:pos="1728"/>
        </w:tabs>
        <w:rPr>
          <w:rFonts w:asciiTheme="minorHAnsi" w:eastAsiaTheme="minorEastAsia" w:hAnsiTheme="minorHAnsi" w:cstheme="minorBidi"/>
          <w:lang w:bidi="ar-SA"/>
        </w:rPr>
      </w:pPr>
      <w:hyperlink w:anchor="_Toc113380835" w:history="1">
        <w:r w:rsidR="00D8288E" w:rsidRPr="00A030B5">
          <w:rPr>
            <w:rStyle w:val="Hyperlink"/>
          </w:rPr>
          <w:t>6.3.1</w:t>
        </w:r>
        <w:r w:rsidR="00D8288E">
          <w:rPr>
            <w:rFonts w:asciiTheme="minorHAnsi" w:eastAsiaTheme="minorEastAsia" w:hAnsiTheme="minorHAnsi" w:cstheme="minorBidi"/>
            <w:lang w:bidi="ar-SA"/>
          </w:rPr>
          <w:tab/>
        </w:r>
        <w:r w:rsidR="00D8288E" w:rsidRPr="00A030B5">
          <w:rPr>
            <w:rStyle w:val="Hyperlink"/>
          </w:rPr>
          <w:t>Projections of Hydropower Generation</w:t>
        </w:r>
        <w:r w:rsidR="00D8288E">
          <w:rPr>
            <w:webHidden/>
          </w:rPr>
          <w:tab/>
        </w:r>
        <w:r w:rsidR="00D8288E">
          <w:rPr>
            <w:webHidden/>
          </w:rPr>
          <w:fldChar w:fldCharType="begin"/>
        </w:r>
        <w:r w:rsidR="00D8288E">
          <w:rPr>
            <w:webHidden/>
          </w:rPr>
          <w:instrText xml:space="preserve"> PAGEREF _Toc113380835 \h </w:instrText>
        </w:r>
        <w:r w:rsidR="00D8288E">
          <w:rPr>
            <w:webHidden/>
          </w:rPr>
        </w:r>
        <w:r w:rsidR="00D8288E">
          <w:rPr>
            <w:webHidden/>
          </w:rPr>
          <w:fldChar w:fldCharType="separate"/>
        </w:r>
        <w:r w:rsidR="00EE0BF5">
          <w:rPr>
            <w:webHidden/>
          </w:rPr>
          <w:t>152</w:t>
        </w:r>
        <w:r w:rsidR="00D8288E">
          <w:rPr>
            <w:webHidden/>
          </w:rPr>
          <w:fldChar w:fldCharType="end"/>
        </w:r>
      </w:hyperlink>
    </w:p>
    <w:p w14:paraId="015153E5" w14:textId="781095C7" w:rsidR="00D8288E" w:rsidRDefault="008043C8">
      <w:pPr>
        <w:pStyle w:val="TOC3"/>
        <w:tabs>
          <w:tab w:val="left" w:pos="1728"/>
        </w:tabs>
        <w:rPr>
          <w:rFonts w:asciiTheme="minorHAnsi" w:eastAsiaTheme="minorEastAsia" w:hAnsiTheme="minorHAnsi" w:cstheme="minorBidi"/>
          <w:lang w:bidi="ar-SA"/>
        </w:rPr>
      </w:pPr>
      <w:hyperlink w:anchor="_Toc113380836" w:history="1">
        <w:r w:rsidR="00D8288E" w:rsidRPr="00A030B5">
          <w:rPr>
            <w:rStyle w:val="Hyperlink"/>
          </w:rPr>
          <w:t>6.3.2</w:t>
        </w:r>
        <w:r w:rsidR="00D8288E">
          <w:rPr>
            <w:rFonts w:asciiTheme="minorHAnsi" w:eastAsiaTheme="minorEastAsia" w:hAnsiTheme="minorHAnsi" w:cstheme="minorBidi"/>
            <w:lang w:bidi="ar-SA"/>
          </w:rPr>
          <w:tab/>
        </w:r>
        <w:r w:rsidR="00D8288E" w:rsidRPr="00A030B5">
          <w:rPr>
            <w:rStyle w:val="Hyperlink"/>
          </w:rPr>
          <w:t>Climate Change Impacts on Regional Electricity Demand</w:t>
        </w:r>
        <w:r w:rsidR="00D8288E">
          <w:rPr>
            <w:webHidden/>
          </w:rPr>
          <w:tab/>
        </w:r>
        <w:r w:rsidR="00D8288E">
          <w:rPr>
            <w:webHidden/>
          </w:rPr>
          <w:fldChar w:fldCharType="begin"/>
        </w:r>
        <w:r w:rsidR="00D8288E">
          <w:rPr>
            <w:webHidden/>
          </w:rPr>
          <w:instrText xml:space="preserve"> PAGEREF _Toc113380836 \h </w:instrText>
        </w:r>
        <w:r w:rsidR="00D8288E">
          <w:rPr>
            <w:webHidden/>
          </w:rPr>
        </w:r>
        <w:r w:rsidR="00D8288E">
          <w:rPr>
            <w:webHidden/>
          </w:rPr>
          <w:fldChar w:fldCharType="separate"/>
        </w:r>
        <w:r w:rsidR="00EE0BF5">
          <w:rPr>
            <w:webHidden/>
          </w:rPr>
          <w:t>156</w:t>
        </w:r>
        <w:r w:rsidR="00D8288E">
          <w:rPr>
            <w:webHidden/>
          </w:rPr>
          <w:fldChar w:fldCharType="end"/>
        </w:r>
      </w:hyperlink>
    </w:p>
    <w:p w14:paraId="280C1C62" w14:textId="032DBD78" w:rsidR="00D8288E" w:rsidRDefault="008043C8">
      <w:pPr>
        <w:pStyle w:val="TOC1"/>
        <w:rPr>
          <w:rFonts w:asciiTheme="minorHAnsi" w:eastAsiaTheme="minorEastAsia" w:hAnsiTheme="minorHAnsi" w:cstheme="minorBidi"/>
          <w:lang w:bidi="ar-SA"/>
        </w:rPr>
      </w:pPr>
      <w:hyperlink w:anchor="_Toc113380837" w:history="1">
        <w:r w:rsidR="00D8288E" w:rsidRPr="00A030B5">
          <w:rPr>
            <w:rStyle w:val="Hyperlink"/>
          </w:rPr>
          <w:t>7.</w:t>
        </w:r>
        <w:r w:rsidR="00D8288E">
          <w:rPr>
            <w:rFonts w:asciiTheme="minorHAnsi" w:eastAsiaTheme="minorEastAsia" w:hAnsiTheme="minorHAnsi" w:cstheme="minorBidi"/>
            <w:lang w:bidi="ar-SA"/>
          </w:rPr>
          <w:tab/>
        </w:r>
        <w:r w:rsidR="00D8288E" w:rsidRPr="00A030B5">
          <w:rPr>
            <w:rStyle w:val="Hyperlink"/>
          </w:rPr>
          <w:t>INTERREGIONAL COMPARISON</w:t>
        </w:r>
        <w:r w:rsidR="00D8288E">
          <w:rPr>
            <w:webHidden/>
          </w:rPr>
          <w:tab/>
        </w:r>
        <w:r w:rsidR="00D8288E">
          <w:rPr>
            <w:webHidden/>
          </w:rPr>
          <w:fldChar w:fldCharType="begin"/>
        </w:r>
        <w:r w:rsidR="00D8288E">
          <w:rPr>
            <w:webHidden/>
          </w:rPr>
          <w:instrText xml:space="preserve"> PAGEREF _Toc113380837 \h </w:instrText>
        </w:r>
        <w:r w:rsidR="00D8288E">
          <w:rPr>
            <w:webHidden/>
          </w:rPr>
        </w:r>
        <w:r w:rsidR="00D8288E">
          <w:rPr>
            <w:webHidden/>
          </w:rPr>
          <w:fldChar w:fldCharType="separate"/>
        </w:r>
        <w:r w:rsidR="00EE0BF5">
          <w:rPr>
            <w:webHidden/>
          </w:rPr>
          <w:t>161</w:t>
        </w:r>
        <w:r w:rsidR="00D8288E">
          <w:rPr>
            <w:webHidden/>
          </w:rPr>
          <w:fldChar w:fldCharType="end"/>
        </w:r>
      </w:hyperlink>
    </w:p>
    <w:p w14:paraId="73A9AB2C" w14:textId="4C397E57" w:rsidR="00D8288E" w:rsidRDefault="008043C8">
      <w:pPr>
        <w:pStyle w:val="TOC2"/>
        <w:tabs>
          <w:tab w:val="left" w:pos="1008"/>
        </w:tabs>
        <w:rPr>
          <w:rFonts w:asciiTheme="minorHAnsi" w:eastAsiaTheme="minorEastAsia" w:hAnsiTheme="minorHAnsi" w:cstheme="minorBidi"/>
          <w:lang w:bidi="ar-SA"/>
        </w:rPr>
      </w:pPr>
      <w:hyperlink w:anchor="_Toc113380838" w:history="1">
        <w:r w:rsidR="00D8288E" w:rsidRPr="00A030B5">
          <w:rPr>
            <w:rStyle w:val="Hyperlink"/>
          </w:rPr>
          <w:t>7.1</w:t>
        </w:r>
        <w:r w:rsidR="00D8288E">
          <w:rPr>
            <w:rFonts w:asciiTheme="minorHAnsi" w:eastAsiaTheme="minorEastAsia" w:hAnsiTheme="minorHAnsi" w:cstheme="minorBidi"/>
            <w:lang w:bidi="ar-SA"/>
          </w:rPr>
          <w:tab/>
        </w:r>
        <w:r w:rsidR="00D8288E" w:rsidRPr="00A030B5">
          <w:rPr>
            <w:rStyle w:val="Hyperlink"/>
          </w:rPr>
          <w:t>Climate Projections</w:t>
        </w:r>
        <w:r w:rsidR="00D8288E">
          <w:rPr>
            <w:webHidden/>
          </w:rPr>
          <w:tab/>
        </w:r>
        <w:r w:rsidR="00D8288E">
          <w:rPr>
            <w:webHidden/>
          </w:rPr>
          <w:fldChar w:fldCharType="begin"/>
        </w:r>
        <w:r w:rsidR="00D8288E">
          <w:rPr>
            <w:webHidden/>
          </w:rPr>
          <w:instrText xml:space="preserve"> PAGEREF _Toc113380838 \h </w:instrText>
        </w:r>
        <w:r w:rsidR="00D8288E">
          <w:rPr>
            <w:webHidden/>
          </w:rPr>
        </w:r>
        <w:r w:rsidR="00D8288E">
          <w:rPr>
            <w:webHidden/>
          </w:rPr>
          <w:fldChar w:fldCharType="separate"/>
        </w:r>
        <w:r w:rsidR="00EE0BF5">
          <w:rPr>
            <w:webHidden/>
          </w:rPr>
          <w:t>161</w:t>
        </w:r>
        <w:r w:rsidR="00D8288E">
          <w:rPr>
            <w:webHidden/>
          </w:rPr>
          <w:fldChar w:fldCharType="end"/>
        </w:r>
      </w:hyperlink>
    </w:p>
    <w:p w14:paraId="4F18BEF1" w14:textId="17137F14" w:rsidR="00D8288E" w:rsidRDefault="008043C8">
      <w:pPr>
        <w:pStyle w:val="TOC3"/>
        <w:tabs>
          <w:tab w:val="left" w:pos="1728"/>
        </w:tabs>
        <w:rPr>
          <w:rFonts w:asciiTheme="minorHAnsi" w:eastAsiaTheme="minorEastAsia" w:hAnsiTheme="minorHAnsi" w:cstheme="minorBidi"/>
          <w:lang w:bidi="ar-SA"/>
        </w:rPr>
      </w:pPr>
      <w:hyperlink w:anchor="_Toc113380839" w:history="1">
        <w:r w:rsidR="00D8288E" w:rsidRPr="00A030B5">
          <w:rPr>
            <w:rStyle w:val="Hyperlink"/>
          </w:rPr>
          <w:t>7.1.1</w:t>
        </w:r>
        <w:r w:rsidR="00D8288E">
          <w:rPr>
            <w:rFonts w:asciiTheme="minorHAnsi" w:eastAsiaTheme="minorEastAsia" w:hAnsiTheme="minorHAnsi" w:cstheme="minorBidi"/>
            <w:lang w:bidi="ar-SA"/>
          </w:rPr>
          <w:tab/>
        </w:r>
        <w:r w:rsidR="00D8288E" w:rsidRPr="00A030B5">
          <w:rPr>
            <w:rStyle w:val="Hyperlink"/>
          </w:rPr>
          <w:t>Projected Changes in Mean and Extreme Daily Maximum Temperature</w:t>
        </w:r>
        <w:r w:rsidR="00D8288E">
          <w:rPr>
            <w:webHidden/>
          </w:rPr>
          <w:tab/>
        </w:r>
        <w:r w:rsidR="00D8288E">
          <w:rPr>
            <w:webHidden/>
          </w:rPr>
          <w:fldChar w:fldCharType="begin"/>
        </w:r>
        <w:r w:rsidR="00D8288E">
          <w:rPr>
            <w:webHidden/>
          </w:rPr>
          <w:instrText xml:space="preserve"> PAGEREF _Toc113380839 \h </w:instrText>
        </w:r>
        <w:r w:rsidR="00D8288E">
          <w:rPr>
            <w:webHidden/>
          </w:rPr>
        </w:r>
        <w:r w:rsidR="00D8288E">
          <w:rPr>
            <w:webHidden/>
          </w:rPr>
          <w:fldChar w:fldCharType="separate"/>
        </w:r>
        <w:r w:rsidR="00EE0BF5">
          <w:rPr>
            <w:webHidden/>
          </w:rPr>
          <w:t>161</w:t>
        </w:r>
        <w:r w:rsidR="00D8288E">
          <w:rPr>
            <w:webHidden/>
          </w:rPr>
          <w:fldChar w:fldCharType="end"/>
        </w:r>
      </w:hyperlink>
    </w:p>
    <w:p w14:paraId="036200D7" w14:textId="0A9F5193" w:rsidR="00D8288E" w:rsidRDefault="008043C8">
      <w:pPr>
        <w:pStyle w:val="TOC3"/>
        <w:tabs>
          <w:tab w:val="left" w:pos="1728"/>
        </w:tabs>
        <w:rPr>
          <w:rFonts w:asciiTheme="minorHAnsi" w:eastAsiaTheme="minorEastAsia" w:hAnsiTheme="minorHAnsi" w:cstheme="minorBidi"/>
          <w:lang w:bidi="ar-SA"/>
        </w:rPr>
      </w:pPr>
      <w:hyperlink w:anchor="_Toc113380840" w:history="1">
        <w:r w:rsidR="00D8288E" w:rsidRPr="00A030B5">
          <w:rPr>
            <w:rStyle w:val="Hyperlink"/>
          </w:rPr>
          <w:t>7.1.2</w:t>
        </w:r>
        <w:r w:rsidR="00D8288E">
          <w:rPr>
            <w:rFonts w:asciiTheme="minorHAnsi" w:eastAsiaTheme="minorEastAsia" w:hAnsiTheme="minorHAnsi" w:cstheme="minorBidi"/>
            <w:lang w:bidi="ar-SA"/>
          </w:rPr>
          <w:tab/>
        </w:r>
        <w:r w:rsidR="00D8288E" w:rsidRPr="00A030B5">
          <w:rPr>
            <w:rStyle w:val="Hyperlink"/>
          </w:rPr>
          <w:t>Projected Changes in Mean and Extreme Daily Minimum Temperature</w:t>
        </w:r>
        <w:r w:rsidR="00D8288E">
          <w:rPr>
            <w:webHidden/>
          </w:rPr>
          <w:tab/>
        </w:r>
        <w:r w:rsidR="00D8288E">
          <w:rPr>
            <w:webHidden/>
          </w:rPr>
          <w:fldChar w:fldCharType="begin"/>
        </w:r>
        <w:r w:rsidR="00D8288E">
          <w:rPr>
            <w:webHidden/>
          </w:rPr>
          <w:instrText xml:space="preserve"> PAGEREF _Toc113380840 \h </w:instrText>
        </w:r>
        <w:r w:rsidR="00D8288E">
          <w:rPr>
            <w:webHidden/>
          </w:rPr>
        </w:r>
        <w:r w:rsidR="00D8288E">
          <w:rPr>
            <w:webHidden/>
          </w:rPr>
          <w:fldChar w:fldCharType="separate"/>
        </w:r>
        <w:r w:rsidR="00EE0BF5">
          <w:rPr>
            <w:webHidden/>
          </w:rPr>
          <w:t>162</w:t>
        </w:r>
        <w:r w:rsidR="00D8288E">
          <w:rPr>
            <w:webHidden/>
          </w:rPr>
          <w:fldChar w:fldCharType="end"/>
        </w:r>
      </w:hyperlink>
    </w:p>
    <w:p w14:paraId="61C6F10D" w14:textId="04F52146" w:rsidR="00D8288E" w:rsidRDefault="008043C8">
      <w:pPr>
        <w:pStyle w:val="TOC3"/>
        <w:tabs>
          <w:tab w:val="left" w:pos="1728"/>
        </w:tabs>
        <w:rPr>
          <w:rFonts w:asciiTheme="minorHAnsi" w:eastAsiaTheme="minorEastAsia" w:hAnsiTheme="minorHAnsi" w:cstheme="minorBidi"/>
          <w:lang w:bidi="ar-SA"/>
        </w:rPr>
      </w:pPr>
      <w:hyperlink w:anchor="_Toc113380841" w:history="1">
        <w:r w:rsidR="00D8288E" w:rsidRPr="00A030B5">
          <w:rPr>
            <w:rStyle w:val="Hyperlink"/>
          </w:rPr>
          <w:t>7.1.3</w:t>
        </w:r>
        <w:r w:rsidR="00D8288E">
          <w:rPr>
            <w:rFonts w:asciiTheme="minorHAnsi" w:eastAsiaTheme="minorEastAsia" w:hAnsiTheme="minorHAnsi" w:cstheme="minorBidi"/>
            <w:lang w:bidi="ar-SA"/>
          </w:rPr>
          <w:tab/>
        </w:r>
        <w:r w:rsidR="00D8288E" w:rsidRPr="00A030B5">
          <w:rPr>
            <w:rStyle w:val="Hyperlink"/>
          </w:rPr>
          <w:t>Projected Changes in Mean and Extreme Precipitation</w:t>
        </w:r>
        <w:r w:rsidR="00D8288E">
          <w:rPr>
            <w:webHidden/>
          </w:rPr>
          <w:tab/>
        </w:r>
        <w:r w:rsidR="00D8288E">
          <w:rPr>
            <w:webHidden/>
          </w:rPr>
          <w:fldChar w:fldCharType="begin"/>
        </w:r>
        <w:r w:rsidR="00D8288E">
          <w:rPr>
            <w:webHidden/>
          </w:rPr>
          <w:instrText xml:space="preserve"> PAGEREF _Toc113380841 \h </w:instrText>
        </w:r>
        <w:r w:rsidR="00D8288E">
          <w:rPr>
            <w:webHidden/>
          </w:rPr>
        </w:r>
        <w:r w:rsidR="00D8288E">
          <w:rPr>
            <w:webHidden/>
          </w:rPr>
          <w:fldChar w:fldCharType="separate"/>
        </w:r>
        <w:r w:rsidR="00EE0BF5">
          <w:rPr>
            <w:webHidden/>
          </w:rPr>
          <w:t>163</w:t>
        </w:r>
        <w:r w:rsidR="00D8288E">
          <w:rPr>
            <w:webHidden/>
          </w:rPr>
          <w:fldChar w:fldCharType="end"/>
        </w:r>
      </w:hyperlink>
    </w:p>
    <w:p w14:paraId="281A5B5D" w14:textId="61142901" w:rsidR="00D8288E" w:rsidRDefault="008043C8">
      <w:pPr>
        <w:pStyle w:val="TOC2"/>
        <w:tabs>
          <w:tab w:val="left" w:pos="1008"/>
        </w:tabs>
        <w:rPr>
          <w:rFonts w:asciiTheme="minorHAnsi" w:eastAsiaTheme="minorEastAsia" w:hAnsiTheme="minorHAnsi" w:cstheme="minorBidi"/>
          <w:lang w:bidi="ar-SA"/>
        </w:rPr>
      </w:pPr>
      <w:hyperlink w:anchor="_Toc113380842" w:history="1">
        <w:r w:rsidR="00D8288E" w:rsidRPr="00A030B5">
          <w:rPr>
            <w:rStyle w:val="Hyperlink"/>
          </w:rPr>
          <w:t>7.2</w:t>
        </w:r>
        <w:r w:rsidR="00D8288E">
          <w:rPr>
            <w:rFonts w:asciiTheme="minorHAnsi" w:eastAsiaTheme="minorEastAsia" w:hAnsiTheme="minorHAnsi" w:cstheme="minorBidi"/>
            <w:lang w:bidi="ar-SA"/>
          </w:rPr>
          <w:tab/>
        </w:r>
        <w:r w:rsidR="00D8288E" w:rsidRPr="00A030B5">
          <w:rPr>
            <w:rStyle w:val="Hyperlink"/>
          </w:rPr>
          <w:t>Water Availability</w:t>
        </w:r>
        <w:r w:rsidR="00D8288E">
          <w:rPr>
            <w:webHidden/>
          </w:rPr>
          <w:tab/>
        </w:r>
        <w:r w:rsidR="00D8288E">
          <w:rPr>
            <w:webHidden/>
          </w:rPr>
          <w:fldChar w:fldCharType="begin"/>
        </w:r>
        <w:r w:rsidR="00D8288E">
          <w:rPr>
            <w:webHidden/>
          </w:rPr>
          <w:instrText xml:space="preserve"> PAGEREF _Toc113380842 \h </w:instrText>
        </w:r>
        <w:r w:rsidR="00D8288E">
          <w:rPr>
            <w:webHidden/>
          </w:rPr>
        </w:r>
        <w:r w:rsidR="00D8288E">
          <w:rPr>
            <w:webHidden/>
          </w:rPr>
          <w:fldChar w:fldCharType="separate"/>
        </w:r>
        <w:r w:rsidR="00EE0BF5">
          <w:rPr>
            <w:webHidden/>
          </w:rPr>
          <w:t>163</w:t>
        </w:r>
        <w:r w:rsidR="00D8288E">
          <w:rPr>
            <w:webHidden/>
          </w:rPr>
          <w:fldChar w:fldCharType="end"/>
        </w:r>
      </w:hyperlink>
    </w:p>
    <w:p w14:paraId="162FB7E2" w14:textId="0F2BCA76" w:rsidR="00D8288E" w:rsidRDefault="008043C8">
      <w:pPr>
        <w:pStyle w:val="TOC2"/>
        <w:tabs>
          <w:tab w:val="left" w:pos="1008"/>
        </w:tabs>
        <w:rPr>
          <w:rFonts w:asciiTheme="minorHAnsi" w:eastAsiaTheme="minorEastAsia" w:hAnsiTheme="minorHAnsi" w:cstheme="minorBidi"/>
          <w:lang w:bidi="ar-SA"/>
        </w:rPr>
      </w:pPr>
      <w:hyperlink w:anchor="_Toc113380843" w:history="1">
        <w:r w:rsidR="00D8288E" w:rsidRPr="00A030B5">
          <w:rPr>
            <w:rStyle w:val="Hyperlink"/>
          </w:rPr>
          <w:t>7.3</w:t>
        </w:r>
        <w:r w:rsidR="00D8288E">
          <w:rPr>
            <w:rFonts w:asciiTheme="minorHAnsi" w:eastAsiaTheme="minorEastAsia" w:hAnsiTheme="minorHAnsi" w:cstheme="minorBidi"/>
            <w:lang w:bidi="ar-SA"/>
          </w:rPr>
          <w:tab/>
        </w:r>
        <w:r w:rsidR="00D8288E" w:rsidRPr="00A030B5">
          <w:rPr>
            <w:rStyle w:val="Hyperlink"/>
          </w:rPr>
          <w:t>Reservoir Evaporation</w:t>
        </w:r>
        <w:r w:rsidR="00D8288E">
          <w:rPr>
            <w:webHidden/>
          </w:rPr>
          <w:tab/>
        </w:r>
        <w:r w:rsidR="00D8288E">
          <w:rPr>
            <w:webHidden/>
          </w:rPr>
          <w:fldChar w:fldCharType="begin"/>
        </w:r>
        <w:r w:rsidR="00D8288E">
          <w:rPr>
            <w:webHidden/>
          </w:rPr>
          <w:instrText xml:space="preserve"> PAGEREF _Toc113380843 \h </w:instrText>
        </w:r>
        <w:r w:rsidR="00D8288E">
          <w:rPr>
            <w:webHidden/>
          </w:rPr>
        </w:r>
        <w:r w:rsidR="00D8288E">
          <w:rPr>
            <w:webHidden/>
          </w:rPr>
          <w:fldChar w:fldCharType="separate"/>
        </w:r>
        <w:r w:rsidR="00EE0BF5">
          <w:rPr>
            <w:webHidden/>
          </w:rPr>
          <w:t>166</w:t>
        </w:r>
        <w:r w:rsidR="00D8288E">
          <w:rPr>
            <w:webHidden/>
          </w:rPr>
          <w:fldChar w:fldCharType="end"/>
        </w:r>
      </w:hyperlink>
    </w:p>
    <w:p w14:paraId="3FAE1C50" w14:textId="6D8EDA7B" w:rsidR="00D8288E" w:rsidRDefault="008043C8">
      <w:pPr>
        <w:pStyle w:val="TOC2"/>
        <w:tabs>
          <w:tab w:val="left" w:pos="1008"/>
        </w:tabs>
        <w:rPr>
          <w:rFonts w:asciiTheme="minorHAnsi" w:eastAsiaTheme="minorEastAsia" w:hAnsiTheme="minorHAnsi" w:cstheme="minorBidi"/>
          <w:lang w:bidi="ar-SA"/>
        </w:rPr>
      </w:pPr>
      <w:hyperlink w:anchor="_Toc113380844" w:history="1">
        <w:r w:rsidR="00D8288E" w:rsidRPr="00A030B5">
          <w:rPr>
            <w:rStyle w:val="Hyperlink"/>
          </w:rPr>
          <w:t>7.4</w:t>
        </w:r>
        <w:r w:rsidR="00D8288E">
          <w:rPr>
            <w:rFonts w:asciiTheme="minorHAnsi" w:eastAsiaTheme="minorEastAsia" w:hAnsiTheme="minorHAnsi" w:cstheme="minorBidi"/>
            <w:lang w:bidi="ar-SA"/>
          </w:rPr>
          <w:tab/>
        </w:r>
        <w:r w:rsidR="00D8288E" w:rsidRPr="00A030B5">
          <w:rPr>
            <w:rStyle w:val="Hyperlink"/>
          </w:rPr>
          <w:t>Federal Hydropower Generation</w:t>
        </w:r>
        <w:r w:rsidR="00D8288E">
          <w:rPr>
            <w:webHidden/>
          </w:rPr>
          <w:tab/>
        </w:r>
        <w:r w:rsidR="00D8288E">
          <w:rPr>
            <w:webHidden/>
          </w:rPr>
          <w:fldChar w:fldCharType="begin"/>
        </w:r>
        <w:r w:rsidR="00D8288E">
          <w:rPr>
            <w:webHidden/>
          </w:rPr>
          <w:instrText xml:space="preserve"> PAGEREF _Toc113380844 \h </w:instrText>
        </w:r>
        <w:r w:rsidR="00D8288E">
          <w:rPr>
            <w:webHidden/>
          </w:rPr>
        </w:r>
        <w:r w:rsidR="00D8288E">
          <w:rPr>
            <w:webHidden/>
          </w:rPr>
          <w:fldChar w:fldCharType="separate"/>
        </w:r>
        <w:r w:rsidR="00EE0BF5">
          <w:rPr>
            <w:webHidden/>
          </w:rPr>
          <w:t>168</w:t>
        </w:r>
        <w:r w:rsidR="00D8288E">
          <w:rPr>
            <w:webHidden/>
          </w:rPr>
          <w:fldChar w:fldCharType="end"/>
        </w:r>
      </w:hyperlink>
    </w:p>
    <w:p w14:paraId="15810048" w14:textId="3EC19BFA" w:rsidR="00D8288E" w:rsidRDefault="008043C8">
      <w:pPr>
        <w:pStyle w:val="TOC3"/>
        <w:tabs>
          <w:tab w:val="left" w:pos="1728"/>
        </w:tabs>
        <w:rPr>
          <w:rFonts w:asciiTheme="minorHAnsi" w:eastAsiaTheme="minorEastAsia" w:hAnsiTheme="minorHAnsi" w:cstheme="minorBidi"/>
          <w:lang w:bidi="ar-SA"/>
        </w:rPr>
      </w:pPr>
      <w:hyperlink w:anchor="_Toc113380845" w:history="1">
        <w:r w:rsidR="00D8288E" w:rsidRPr="00A030B5">
          <w:rPr>
            <w:rStyle w:val="Hyperlink"/>
          </w:rPr>
          <w:t>7.4.1</w:t>
        </w:r>
        <w:r w:rsidR="00D8288E">
          <w:rPr>
            <w:rFonts w:asciiTheme="minorHAnsi" w:eastAsiaTheme="minorEastAsia" w:hAnsiTheme="minorHAnsi" w:cstheme="minorBidi"/>
            <w:lang w:bidi="ar-SA"/>
          </w:rPr>
          <w:tab/>
        </w:r>
        <w:r w:rsidR="00D8288E" w:rsidRPr="00A030B5">
          <w:rPr>
            <w:rStyle w:val="Hyperlink"/>
          </w:rPr>
          <w:t>Projected Changes in Annual Hydropower Generations</w:t>
        </w:r>
        <w:r w:rsidR="00D8288E">
          <w:rPr>
            <w:webHidden/>
          </w:rPr>
          <w:tab/>
        </w:r>
        <w:r w:rsidR="00D8288E">
          <w:rPr>
            <w:webHidden/>
          </w:rPr>
          <w:fldChar w:fldCharType="begin"/>
        </w:r>
        <w:r w:rsidR="00D8288E">
          <w:rPr>
            <w:webHidden/>
          </w:rPr>
          <w:instrText xml:space="preserve"> PAGEREF _Toc113380845 \h </w:instrText>
        </w:r>
        <w:r w:rsidR="00D8288E">
          <w:rPr>
            <w:webHidden/>
          </w:rPr>
        </w:r>
        <w:r w:rsidR="00D8288E">
          <w:rPr>
            <w:webHidden/>
          </w:rPr>
          <w:fldChar w:fldCharType="separate"/>
        </w:r>
        <w:r w:rsidR="00EE0BF5">
          <w:rPr>
            <w:webHidden/>
          </w:rPr>
          <w:t>168</w:t>
        </w:r>
        <w:r w:rsidR="00D8288E">
          <w:rPr>
            <w:webHidden/>
          </w:rPr>
          <w:fldChar w:fldCharType="end"/>
        </w:r>
      </w:hyperlink>
    </w:p>
    <w:p w14:paraId="10F48E1F" w14:textId="4C15A6B7" w:rsidR="00D8288E" w:rsidRDefault="008043C8">
      <w:pPr>
        <w:pStyle w:val="TOC3"/>
        <w:tabs>
          <w:tab w:val="left" w:pos="1728"/>
        </w:tabs>
        <w:rPr>
          <w:rFonts w:asciiTheme="minorHAnsi" w:eastAsiaTheme="minorEastAsia" w:hAnsiTheme="minorHAnsi" w:cstheme="minorBidi"/>
          <w:lang w:bidi="ar-SA"/>
        </w:rPr>
      </w:pPr>
      <w:hyperlink w:anchor="_Toc113380846" w:history="1">
        <w:r w:rsidR="00D8288E" w:rsidRPr="00A030B5">
          <w:rPr>
            <w:rStyle w:val="Hyperlink"/>
          </w:rPr>
          <w:t>7.4.2</w:t>
        </w:r>
        <w:r w:rsidR="00D8288E">
          <w:rPr>
            <w:rFonts w:asciiTheme="minorHAnsi" w:eastAsiaTheme="minorEastAsia" w:hAnsiTheme="minorHAnsi" w:cstheme="minorBidi"/>
            <w:lang w:bidi="ar-SA"/>
          </w:rPr>
          <w:tab/>
        </w:r>
        <w:r w:rsidR="00D8288E" w:rsidRPr="00A030B5">
          <w:rPr>
            <w:rStyle w:val="Hyperlink"/>
          </w:rPr>
          <w:t>Propagation of Projected Annual and Seasonal Changes from Natural Streamflow to Hydropower Generation</w:t>
        </w:r>
        <w:r w:rsidR="00D8288E">
          <w:rPr>
            <w:webHidden/>
          </w:rPr>
          <w:tab/>
        </w:r>
        <w:r w:rsidR="00D8288E">
          <w:rPr>
            <w:webHidden/>
          </w:rPr>
          <w:fldChar w:fldCharType="begin"/>
        </w:r>
        <w:r w:rsidR="00D8288E">
          <w:rPr>
            <w:webHidden/>
          </w:rPr>
          <w:instrText xml:space="preserve"> PAGEREF _Toc113380846 \h </w:instrText>
        </w:r>
        <w:r w:rsidR="00D8288E">
          <w:rPr>
            <w:webHidden/>
          </w:rPr>
        </w:r>
        <w:r w:rsidR="00D8288E">
          <w:rPr>
            <w:webHidden/>
          </w:rPr>
          <w:fldChar w:fldCharType="separate"/>
        </w:r>
        <w:r w:rsidR="00EE0BF5">
          <w:rPr>
            <w:webHidden/>
          </w:rPr>
          <w:t>169</w:t>
        </w:r>
        <w:r w:rsidR="00D8288E">
          <w:rPr>
            <w:webHidden/>
          </w:rPr>
          <w:fldChar w:fldCharType="end"/>
        </w:r>
      </w:hyperlink>
    </w:p>
    <w:p w14:paraId="10FCE513" w14:textId="083E21D9" w:rsidR="00D8288E" w:rsidRDefault="008043C8">
      <w:pPr>
        <w:pStyle w:val="TOC3"/>
        <w:tabs>
          <w:tab w:val="left" w:pos="1728"/>
        </w:tabs>
        <w:rPr>
          <w:rFonts w:asciiTheme="minorHAnsi" w:eastAsiaTheme="minorEastAsia" w:hAnsiTheme="minorHAnsi" w:cstheme="minorBidi"/>
          <w:lang w:bidi="ar-SA"/>
        </w:rPr>
      </w:pPr>
      <w:hyperlink w:anchor="_Toc113380847" w:history="1">
        <w:r w:rsidR="00D8288E" w:rsidRPr="00A030B5">
          <w:rPr>
            <w:rStyle w:val="Hyperlink"/>
          </w:rPr>
          <w:t>7.4.3</w:t>
        </w:r>
        <w:r w:rsidR="00D8288E">
          <w:rPr>
            <w:rFonts w:asciiTheme="minorHAnsi" w:eastAsiaTheme="minorEastAsia" w:hAnsiTheme="minorHAnsi" w:cstheme="minorBidi"/>
            <w:lang w:bidi="ar-SA"/>
          </w:rPr>
          <w:tab/>
        </w:r>
        <w:r w:rsidR="00D8288E" w:rsidRPr="00A030B5">
          <w:rPr>
            <w:rStyle w:val="Hyperlink"/>
          </w:rPr>
          <w:t>Modeling Choices Controlling Annual and Seasonal Hydropower Generation</w:t>
        </w:r>
        <w:r w:rsidR="00D8288E">
          <w:rPr>
            <w:webHidden/>
          </w:rPr>
          <w:tab/>
        </w:r>
        <w:r w:rsidR="00D8288E">
          <w:rPr>
            <w:webHidden/>
          </w:rPr>
          <w:fldChar w:fldCharType="begin"/>
        </w:r>
        <w:r w:rsidR="00D8288E">
          <w:rPr>
            <w:webHidden/>
          </w:rPr>
          <w:instrText xml:space="preserve"> PAGEREF _Toc113380847 \h </w:instrText>
        </w:r>
        <w:r w:rsidR="00D8288E">
          <w:rPr>
            <w:webHidden/>
          </w:rPr>
        </w:r>
        <w:r w:rsidR="00D8288E">
          <w:rPr>
            <w:webHidden/>
          </w:rPr>
          <w:fldChar w:fldCharType="separate"/>
        </w:r>
        <w:r w:rsidR="00EE0BF5">
          <w:rPr>
            <w:webHidden/>
          </w:rPr>
          <w:t>170</w:t>
        </w:r>
        <w:r w:rsidR="00D8288E">
          <w:rPr>
            <w:webHidden/>
          </w:rPr>
          <w:fldChar w:fldCharType="end"/>
        </w:r>
      </w:hyperlink>
    </w:p>
    <w:p w14:paraId="50ECCB04" w14:textId="2939CF82" w:rsidR="00D8288E" w:rsidRDefault="008043C8">
      <w:pPr>
        <w:pStyle w:val="TOC2"/>
        <w:tabs>
          <w:tab w:val="left" w:pos="1008"/>
        </w:tabs>
        <w:rPr>
          <w:rFonts w:asciiTheme="minorHAnsi" w:eastAsiaTheme="minorEastAsia" w:hAnsiTheme="minorHAnsi" w:cstheme="minorBidi"/>
          <w:lang w:bidi="ar-SA"/>
        </w:rPr>
      </w:pPr>
      <w:hyperlink w:anchor="_Toc113380848" w:history="1">
        <w:r w:rsidR="00D8288E" w:rsidRPr="00A030B5">
          <w:rPr>
            <w:rStyle w:val="Hyperlink"/>
          </w:rPr>
          <w:t>7.5</w:t>
        </w:r>
        <w:r w:rsidR="00D8288E">
          <w:rPr>
            <w:rFonts w:asciiTheme="minorHAnsi" w:eastAsiaTheme="minorEastAsia" w:hAnsiTheme="minorHAnsi" w:cstheme="minorBidi"/>
            <w:lang w:bidi="ar-SA"/>
          </w:rPr>
          <w:tab/>
        </w:r>
        <w:r w:rsidR="00D8288E" w:rsidRPr="00A030B5">
          <w:rPr>
            <w:rStyle w:val="Hyperlink"/>
          </w:rPr>
          <w:t>Power Marketing</w:t>
        </w:r>
        <w:r w:rsidR="00D8288E">
          <w:rPr>
            <w:webHidden/>
          </w:rPr>
          <w:tab/>
        </w:r>
        <w:r w:rsidR="00D8288E">
          <w:rPr>
            <w:webHidden/>
          </w:rPr>
          <w:fldChar w:fldCharType="begin"/>
        </w:r>
        <w:r w:rsidR="00D8288E">
          <w:rPr>
            <w:webHidden/>
          </w:rPr>
          <w:instrText xml:space="preserve"> PAGEREF _Toc113380848 \h </w:instrText>
        </w:r>
        <w:r w:rsidR="00D8288E">
          <w:rPr>
            <w:webHidden/>
          </w:rPr>
        </w:r>
        <w:r w:rsidR="00D8288E">
          <w:rPr>
            <w:webHidden/>
          </w:rPr>
          <w:fldChar w:fldCharType="separate"/>
        </w:r>
        <w:r w:rsidR="00EE0BF5">
          <w:rPr>
            <w:webHidden/>
          </w:rPr>
          <w:t>171</w:t>
        </w:r>
        <w:r w:rsidR="00D8288E">
          <w:rPr>
            <w:webHidden/>
          </w:rPr>
          <w:fldChar w:fldCharType="end"/>
        </w:r>
      </w:hyperlink>
    </w:p>
    <w:p w14:paraId="27352C60" w14:textId="3CC8A6B2" w:rsidR="00D8288E" w:rsidRDefault="008043C8">
      <w:pPr>
        <w:pStyle w:val="TOC1"/>
        <w:rPr>
          <w:rFonts w:asciiTheme="minorHAnsi" w:eastAsiaTheme="minorEastAsia" w:hAnsiTheme="minorHAnsi" w:cstheme="minorBidi"/>
          <w:lang w:bidi="ar-SA"/>
        </w:rPr>
      </w:pPr>
      <w:hyperlink w:anchor="_Toc113380849" w:history="1">
        <w:r w:rsidR="00D8288E" w:rsidRPr="00A030B5">
          <w:rPr>
            <w:rStyle w:val="Hyperlink"/>
          </w:rPr>
          <w:t>8.</w:t>
        </w:r>
        <w:r w:rsidR="00D8288E">
          <w:rPr>
            <w:rFonts w:asciiTheme="minorHAnsi" w:eastAsiaTheme="minorEastAsia" w:hAnsiTheme="minorHAnsi" w:cstheme="minorBidi"/>
            <w:lang w:bidi="ar-SA"/>
          </w:rPr>
          <w:tab/>
        </w:r>
        <w:r w:rsidR="00D8288E" w:rsidRPr="00A030B5">
          <w:rPr>
            <w:rStyle w:val="Hyperlink"/>
          </w:rPr>
          <w:t>SUMMARY AND CONCLUSION</w:t>
        </w:r>
        <w:r w:rsidR="00D8288E">
          <w:rPr>
            <w:webHidden/>
          </w:rPr>
          <w:tab/>
        </w:r>
        <w:r w:rsidR="00D8288E">
          <w:rPr>
            <w:webHidden/>
          </w:rPr>
          <w:fldChar w:fldCharType="begin"/>
        </w:r>
        <w:r w:rsidR="00D8288E">
          <w:rPr>
            <w:webHidden/>
          </w:rPr>
          <w:instrText xml:space="preserve"> PAGEREF _Toc113380849 \h </w:instrText>
        </w:r>
        <w:r w:rsidR="00D8288E">
          <w:rPr>
            <w:webHidden/>
          </w:rPr>
        </w:r>
        <w:r w:rsidR="00D8288E">
          <w:rPr>
            <w:webHidden/>
          </w:rPr>
          <w:fldChar w:fldCharType="separate"/>
        </w:r>
        <w:r w:rsidR="00EE0BF5">
          <w:rPr>
            <w:webHidden/>
          </w:rPr>
          <w:t>175</w:t>
        </w:r>
        <w:r w:rsidR="00D8288E">
          <w:rPr>
            <w:webHidden/>
          </w:rPr>
          <w:fldChar w:fldCharType="end"/>
        </w:r>
      </w:hyperlink>
    </w:p>
    <w:p w14:paraId="3DF42323" w14:textId="0E0A986F" w:rsidR="00D8288E" w:rsidRDefault="008043C8">
      <w:pPr>
        <w:pStyle w:val="TOC2"/>
        <w:tabs>
          <w:tab w:val="left" w:pos="1008"/>
        </w:tabs>
        <w:rPr>
          <w:rFonts w:asciiTheme="minorHAnsi" w:eastAsiaTheme="minorEastAsia" w:hAnsiTheme="minorHAnsi" w:cstheme="minorBidi"/>
          <w:lang w:bidi="ar-SA"/>
        </w:rPr>
      </w:pPr>
      <w:hyperlink w:anchor="_Toc113380850" w:history="1">
        <w:r w:rsidR="00D8288E" w:rsidRPr="00A030B5">
          <w:rPr>
            <w:rStyle w:val="Hyperlink"/>
          </w:rPr>
          <w:t>8.1</w:t>
        </w:r>
        <w:r w:rsidR="00D8288E">
          <w:rPr>
            <w:rFonts w:asciiTheme="minorHAnsi" w:eastAsiaTheme="minorEastAsia" w:hAnsiTheme="minorHAnsi" w:cstheme="minorBidi"/>
            <w:lang w:bidi="ar-SA"/>
          </w:rPr>
          <w:tab/>
        </w:r>
        <w:r w:rsidR="00D8288E" w:rsidRPr="00A030B5">
          <w:rPr>
            <w:rStyle w:val="Hyperlink"/>
          </w:rPr>
          <w:t>Summary of Major Findings</w:t>
        </w:r>
        <w:r w:rsidR="00D8288E">
          <w:rPr>
            <w:webHidden/>
          </w:rPr>
          <w:tab/>
        </w:r>
        <w:r w:rsidR="00D8288E">
          <w:rPr>
            <w:webHidden/>
          </w:rPr>
          <w:fldChar w:fldCharType="begin"/>
        </w:r>
        <w:r w:rsidR="00D8288E">
          <w:rPr>
            <w:webHidden/>
          </w:rPr>
          <w:instrText xml:space="preserve"> PAGEREF _Toc113380850 \h </w:instrText>
        </w:r>
        <w:r w:rsidR="00D8288E">
          <w:rPr>
            <w:webHidden/>
          </w:rPr>
        </w:r>
        <w:r w:rsidR="00D8288E">
          <w:rPr>
            <w:webHidden/>
          </w:rPr>
          <w:fldChar w:fldCharType="separate"/>
        </w:r>
        <w:r w:rsidR="00EE0BF5">
          <w:rPr>
            <w:webHidden/>
          </w:rPr>
          <w:t>175</w:t>
        </w:r>
        <w:r w:rsidR="00D8288E">
          <w:rPr>
            <w:webHidden/>
          </w:rPr>
          <w:fldChar w:fldCharType="end"/>
        </w:r>
      </w:hyperlink>
    </w:p>
    <w:p w14:paraId="59F4BB66" w14:textId="0FB5C640" w:rsidR="00D8288E" w:rsidRDefault="008043C8">
      <w:pPr>
        <w:pStyle w:val="TOC2"/>
        <w:tabs>
          <w:tab w:val="left" w:pos="1008"/>
        </w:tabs>
        <w:rPr>
          <w:rFonts w:asciiTheme="minorHAnsi" w:eastAsiaTheme="minorEastAsia" w:hAnsiTheme="minorHAnsi" w:cstheme="minorBidi"/>
          <w:lang w:bidi="ar-SA"/>
        </w:rPr>
      </w:pPr>
      <w:hyperlink w:anchor="_Toc113380851" w:history="1">
        <w:r w:rsidR="00D8288E" w:rsidRPr="00A030B5">
          <w:rPr>
            <w:rStyle w:val="Hyperlink"/>
          </w:rPr>
          <w:t>8.2</w:t>
        </w:r>
        <w:r w:rsidR="00D8288E">
          <w:rPr>
            <w:rFonts w:asciiTheme="minorHAnsi" w:eastAsiaTheme="minorEastAsia" w:hAnsiTheme="minorHAnsi" w:cstheme="minorBidi"/>
            <w:lang w:bidi="ar-SA"/>
          </w:rPr>
          <w:tab/>
        </w:r>
        <w:r w:rsidR="00D8288E" w:rsidRPr="00A030B5">
          <w:rPr>
            <w:rStyle w:val="Hyperlink"/>
          </w:rPr>
          <w:t>Summary of Assessment Limitations</w:t>
        </w:r>
        <w:r w:rsidR="00D8288E">
          <w:rPr>
            <w:webHidden/>
          </w:rPr>
          <w:tab/>
        </w:r>
        <w:r w:rsidR="00D8288E">
          <w:rPr>
            <w:webHidden/>
          </w:rPr>
          <w:fldChar w:fldCharType="begin"/>
        </w:r>
        <w:r w:rsidR="00D8288E">
          <w:rPr>
            <w:webHidden/>
          </w:rPr>
          <w:instrText xml:space="preserve"> PAGEREF _Toc113380851 \h </w:instrText>
        </w:r>
        <w:r w:rsidR="00D8288E">
          <w:rPr>
            <w:webHidden/>
          </w:rPr>
        </w:r>
        <w:r w:rsidR="00D8288E">
          <w:rPr>
            <w:webHidden/>
          </w:rPr>
          <w:fldChar w:fldCharType="separate"/>
        </w:r>
        <w:r w:rsidR="00EE0BF5">
          <w:rPr>
            <w:webHidden/>
          </w:rPr>
          <w:t>179</w:t>
        </w:r>
        <w:r w:rsidR="00D8288E">
          <w:rPr>
            <w:webHidden/>
          </w:rPr>
          <w:fldChar w:fldCharType="end"/>
        </w:r>
      </w:hyperlink>
    </w:p>
    <w:p w14:paraId="1CC60F0D" w14:textId="0765A3BE" w:rsidR="00D8288E" w:rsidRDefault="008043C8">
      <w:pPr>
        <w:pStyle w:val="TOC2"/>
        <w:tabs>
          <w:tab w:val="left" w:pos="1008"/>
        </w:tabs>
        <w:rPr>
          <w:rFonts w:asciiTheme="minorHAnsi" w:eastAsiaTheme="minorEastAsia" w:hAnsiTheme="minorHAnsi" w:cstheme="minorBidi"/>
          <w:lang w:bidi="ar-SA"/>
        </w:rPr>
      </w:pPr>
      <w:hyperlink w:anchor="_Toc113380852" w:history="1">
        <w:r w:rsidR="00D8288E" w:rsidRPr="00A030B5">
          <w:rPr>
            <w:rStyle w:val="Hyperlink"/>
          </w:rPr>
          <w:t>8.3</w:t>
        </w:r>
        <w:r w:rsidR="00D8288E">
          <w:rPr>
            <w:rFonts w:asciiTheme="minorHAnsi" w:eastAsiaTheme="minorEastAsia" w:hAnsiTheme="minorHAnsi" w:cstheme="minorBidi"/>
            <w:lang w:bidi="ar-SA"/>
          </w:rPr>
          <w:tab/>
        </w:r>
        <w:r w:rsidR="00D8288E" w:rsidRPr="00A030B5">
          <w:rPr>
            <w:rStyle w:val="Hyperlink"/>
          </w:rPr>
          <w:t>Future Assessment Needs</w:t>
        </w:r>
        <w:r w:rsidR="00D8288E">
          <w:rPr>
            <w:webHidden/>
          </w:rPr>
          <w:tab/>
        </w:r>
        <w:r w:rsidR="00D8288E">
          <w:rPr>
            <w:webHidden/>
          </w:rPr>
          <w:fldChar w:fldCharType="begin"/>
        </w:r>
        <w:r w:rsidR="00D8288E">
          <w:rPr>
            <w:webHidden/>
          </w:rPr>
          <w:instrText xml:space="preserve"> PAGEREF _Toc113380852 \h </w:instrText>
        </w:r>
        <w:r w:rsidR="00D8288E">
          <w:rPr>
            <w:webHidden/>
          </w:rPr>
        </w:r>
        <w:r w:rsidR="00D8288E">
          <w:rPr>
            <w:webHidden/>
          </w:rPr>
          <w:fldChar w:fldCharType="separate"/>
        </w:r>
        <w:r w:rsidR="00EE0BF5">
          <w:rPr>
            <w:webHidden/>
          </w:rPr>
          <w:t>180</w:t>
        </w:r>
        <w:r w:rsidR="00D8288E">
          <w:rPr>
            <w:webHidden/>
          </w:rPr>
          <w:fldChar w:fldCharType="end"/>
        </w:r>
      </w:hyperlink>
    </w:p>
    <w:p w14:paraId="753C14C6" w14:textId="09CF820A" w:rsidR="00D8288E" w:rsidRDefault="008043C8">
      <w:pPr>
        <w:pStyle w:val="TOC1"/>
        <w:rPr>
          <w:rFonts w:asciiTheme="minorHAnsi" w:eastAsiaTheme="minorEastAsia" w:hAnsiTheme="minorHAnsi" w:cstheme="minorBidi"/>
          <w:lang w:bidi="ar-SA"/>
        </w:rPr>
      </w:pPr>
      <w:hyperlink w:anchor="_Toc113380853" w:history="1">
        <w:r w:rsidR="00D8288E" w:rsidRPr="00A030B5">
          <w:rPr>
            <w:rStyle w:val="Hyperlink"/>
          </w:rPr>
          <w:t>9.</w:t>
        </w:r>
        <w:r w:rsidR="00D8288E">
          <w:rPr>
            <w:rFonts w:asciiTheme="minorHAnsi" w:eastAsiaTheme="minorEastAsia" w:hAnsiTheme="minorHAnsi" w:cstheme="minorBidi"/>
            <w:lang w:bidi="ar-SA"/>
          </w:rPr>
          <w:tab/>
        </w:r>
        <w:r w:rsidR="00D8288E" w:rsidRPr="00A030B5">
          <w:rPr>
            <w:rStyle w:val="Hyperlink"/>
          </w:rPr>
          <w:t>REFERENCES</w:t>
        </w:r>
        <w:r w:rsidR="00D8288E">
          <w:rPr>
            <w:webHidden/>
          </w:rPr>
          <w:tab/>
        </w:r>
        <w:r w:rsidR="00D8288E">
          <w:rPr>
            <w:webHidden/>
          </w:rPr>
          <w:fldChar w:fldCharType="begin"/>
        </w:r>
        <w:r w:rsidR="00D8288E">
          <w:rPr>
            <w:webHidden/>
          </w:rPr>
          <w:instrText xml:space="preserve"> PAGEREF _Toc113380853 \h </w:instrText>
        </w:r>
        <w:r w:rsidR="00D8288E">
          <w:rPr>
            <w:webHidden/>
          </w:rPr>
        </w:r>
        <w:r w:rsidR="00D8288E">
          <w:rPr>
            <w:webHidden/>
          </w:rPr>
          <w:fldChar w:fldCharType="separate"/>
        </w:r>
        <w:r w:rsidR="00EE0BF5">
          <w:rPr>
            <w:webHidden/>
          </w:rPr>
          <w:t>185</w:t>
        </w:r>
        <w:r w:rsidR="00D8288E">
          <w:rPr>
            <w:webHidden/>
          </w:rPr>
          <w:fldChar w:fldCharType="end"/>
        </w:r>
      </w:hyperlink>
    </w:p>
    <w:p w14:paraId="1CF5F2D5" w14:textId="6FC3DC11" w:rsidR="00D8288E" w:rsidRDefault="008043C8">
      <w:pPr>
        <w:pStyle w:val="TOC1"/>
        <w:rPr>
          <w:rFonts w:asciiTheme="minorHAnsi" w:eastAsiaTheme="minorEastAsia" w:hAnsiTheme="minorHAnsi" w:cstheme="minorBidi"/>
          <w:lang w:bidi="ar-SA"/>
        </w:rPr>
      </w:pPr>
      <w:hyperlink w:anchor="_Toc113380854" w:history="1">
        <w:r w:rsidR="00D8288E" w:rsidRPr="00A030B5">
          <w:rPr>
            <w:rStyle w:val="Hyperlink"/>
            <w:caps/>
          </w:rPr>
          <w:t>APPENDIX A.</w:t>
        </w:r>
        <w:r w:rsidR="00D8288E" w:rsidRPr="00A030B5">
          <w:rPr>
            <w:rStyle w:val="Hyperlink"/>
          </w:rPr>
          <w:t xml:space="preserve"> SECTION 9505 OF THE SECURE WATER ACT OF 2009 (PUB L. 111-11)</w:t>
        </w:r>
        <w:r w:rsidR="00D8288E">
          <w:rPr>
            <w:webHidden/>
          </w:rPr>
          <w:tab/>
        </w:r>
        <w:r w:rsidR="00D8288E">
          <w:rPr>
            <w:webHidden/>
          </w:rPr>
          <w:fldChar w:fldCharType="begin"/>
        </w:r>
        <w:r w:rsidR="00D8288E">
          <w:rPr>
            <w:webHidden/>
          </w:rPr>
          <w:instrText xml:space="preserve"> PAGEREF _Toc113380854 \h </w:instrText>
        </w:r>
        <w:r w:rsidR="00D8288E">
          <w:rPr>
            <w:webHidden/>
          </w:rPr>
        </w:r>
        <w:r w:rsidR="00D8288E">
          <w:rPr>
            <w:webHidden/>
          </w:rPr>
          <w:fldChar w:fldCharType="separate"/>
        </w:r>
        <w:r w:rsidR="00EE0BF5">
          <w:rPr>
            <w:webHidden/>
          </w:rPr>
          <w:t>A-1</w:t>
        </w:r>
        <w:r w:rsidR="00D8288E">
          <w:rPr>
            <w:webHidden/>
          </w:rPr>
          <w:fldChar w:fldCharType="end"/>
        </w:r>
      </w:hyperlink>
    </w:p>
    <w:p w14:paraId="22719572" w14:textId="38F71E70" w:rsidR="00D8288E" w:rsidRDefault="008043C8">
      <w:pPr>
        <w:pStyle w:val="TOC1"/>
        <w:rPr>
          <w:rFonts w:asciiTheme="minorHAnsi" w:eastAsiaTheme="minorEastAsia" w:hAnsiTheme="minorHAnsi" w:cstheme="minorBidi"/>
          <w:lang w:bidi="ar-SA"/>
        </w:rPr>
      </w:pPr>
      <w:hyperlink w:anchor="_Toc113380855" w:history="1">
        <w:r w:rsidR="00D8288E" w:rsidRPr="00A030B5">
          <w:rPr>
            <w:rStyle w:val="Hyperlink"/>
            <w:caps/>
          </w:rPr>
          <w:t>APPENDIX B.</w:t>
        </w:r>
        <w:r w:rsidR="00D8288E" w:rsidRPr="00A030B5">
          <w:rPr>
            <w:rStyle w:val="Hyperlink"/>
          </w:rPr>
          <w:t xml:space="preserve"> LIST OF FEDERAL HYDROPOWER PLANTS MARKETED THROUGH PMAS</w:t>
        </w:r>
        <w:r w:rsidR="00D8288E">
          <w:rPr>
            <w:webHidden/>
          </w:rPr>
          <w:tab/>
        </w:r>
        <w:r w:rsidR="00D8288E">
          <w:rPr>
            <w:webHidden/>
          </w:rPr>
          <w:fldChar w:fldCharType="begin"/>
        </w:r>
        <w:r w:rsidR="00D8288E">
          <w:rPr>
            <w:webHidden/>
          </w:rPr>
          <w:instrText xml:space="preserve"> PAGEREF _Toc113380855 \h </w:instrText>
        </w:r>
        <w:r w:rsidR="00D8288E">
          <w:rPr>
            <w:webHidden/>
          </w:rPr>
        </w:r>
        <w:r w:rsidR="00D8288E">
          <w:rPr>
            <w:webHidden/>
          </w:rPr>
          <w:fldChar w:fldCharType="separate"/>
        </w:r>
        <w:r w:rsidR="00EE0BF5">
          <w:rPr>
            <w:webHidden/>
          </w:rPr>
          <w:t>B-1</w:t>
        </w:r>
        <w:r w:rsidR="00D8288E">
          <w:rPr>
            <w:webHidden/>
          </w:rPr>
          <w:fldChar w:fldCharType="end"/>
        </w:r>
      </w:hyperlink>
    </w:p>
    <w:p w14:paraId="7A7EF580" w14:textId="69A18341" w:rsidR="00D8288E" w:rsidRDefault="008043C8">
      <w:pPr>
        <w:pStyle w:val="TOC1"/>
        <w:rPr>
          <w:rFonts w:asciiTheme="minorHAnsi" w:eastAsiaTheme="minorEastAsia" w:hAnsiTheme="minorHAnsi" w:cstheme="minorBidi"/>
          <w:lang w:bidi="ar-SA"/>
        </w:rPr>
      </w:pPr>
      <w:hyperlink w:anchor="_Toc113380856" w:history="1">
        <w:r w:rsidR="00D8288E" w:rsidRPr="00A030B5">
          <w:rPr>
            <w:rStyle w:val="Hyperlink"/>
            <w:caps/>
          </w:rPr>
          <w:t>APPENDIX C.</w:t>
        </w:r>
        <w:r w:rsidR="00D8288E" w:rsidRPr="00A030B5">
          <w:rPr>
            <w:rStyle w:val="Hyperlink"/>
          </w:rPr>
          <w:t xml:space="preserve"> EVALUATION OF CLIMATE MODEL</w:t>
        </w:r>
        <w:r w:rsidR="00D8288E">
          <w:rPr>
            <w:webHidden/>
          </w:rPr>
          <w:tab/>
        </w:r>
        <w:r w:rsidR="00D8288E">
          <w:rPr>
            <w:webHidden/>
          </w:rPr>
          <w:fldChar w:fldCharType="begin"/>
        </w:r>
        <w:r w:rsidR="00D8288E">
          <w:rPr>
            <w:webHidden/>
          </w:rPr>
          <w:instrText xml:space="preserve"> PAGEREF _Toc113380856 \h </w:instrText>
        </w:r>
        <w:r w:rsidR="00D8288E">
          <w:rPr>
            <w:webHidden/>
          </w:rPr>
        </w:r>
        <w:r w:rsidR="00D8288E">
          <w:rPr>
            <w:webHidden/>
          </w:rPr>
          <w:fldChar w:fldCharType="separate"/>
        </w:r>
        <w:r w:rsidR="00EE0BF5">
          <w:rPr>
            <w:webHidden/>
          </w:rPr>
          <w:t>C-1</w:t>
        </w:r>
        <w:r w:rsidR="00D8288E">
          <w:rPr>
            <w:webHidden/>
          </w:rPr>
          <w:fldChar w:fldCharType="end"/>
        </w:r>
      </w:hyperlink>
    </w:p>
    <w:p w14:paraId="739D2D74" w14:textId="3A12897B" w:rsidR="00D8288E" w:rsidRDefault="008043C8">
      <w:pPr>
        <w:pStyle w:val="TOC1"/>
        <w:rPr>
          <w:rFonts w:asciiTheme="minorHAnsi" w:eastAsiaTheme="minorEastAsia" w:hAnsiTheme="minorHAnsi" w:cstheme="minorBidi"/>
          <w:lang w:bidi="ar-SA"/>
        </w:rPr>
      </w:pPr>
      <w:hyperlink w:anchor="_Toc113380857" w:history="1">
        <w:r w:rsidR="00D8288E" w:rsidRPr="00A030B5">
          <w:rPr>
            <w:rStyle w:val="Hyperlink"/>
            <w:caps/>
          </w:rPr>
          <w:t>APPENDIX D.</w:t>
        </w:r>
        <w:r w:rsidR="00D8288E" w:rsidRPr="00A030B5">
          <w:rPr>
            <w:rStyle w:val="Hyperlink"/>
          </w:rPr>
          <w:t xml:space="preserve"> EVALUATION OF DOWNSCALED CLIMATE PROJECTIONS</w:t>
        </w:r>
        <w:r w:rsidR="00D8288E">
          <w:rPr>
            <w:webHidden/>
          </w:rPr>
          <w:tab/>
        </w:r>
        <w:r w:rsidR="00D8288E">
          <w:rPr>
            <w:webHidden/>
          </w:rPr>
          <w:fldChar w:fldCharType="begin"/>
        </w:r>
        <w:r w:rsidR="00D8288E">
          <w:rPr>
            <w:webHidden/>
          </w:rPr>
          <w:instrText xml:space="preserve"> PAGEREF _Toc113380857 \h </w:instrText>
        </w:r>
        <w:r w:rsidR="00D8288E">
          <w:rPr>
            <w:webHidden/>
          </w:rPr>
        </w:r>
        <w:r w:rsidR="00D8288E">
          <w:rPr>
            <w:webHidden/>
          </w:rPr>
          <w:fldChar w:fldCharType="separate"/>
        </w:r>
        <w:r w:rsidR="00EE0BF5">
          <w:rPr>
            <w:webHidden/>
          </w:rPr>
          <w:t>D-1</w:t>
        </w:r>
        <w:r w:rsidR="00D8288E">
          <w:rPr>
            <w:webHidden/>
          </w:rPr>
          <w:fldChar w:fldCharType="end"/>
        </w:r>
      </w:hyperlink>
    </w:p>
    <w:p w14:paraId="6FE5A204" w14:textId="19A4168F" w:rsidR="00D8288E" w:rsidRDefault="008043C8">
      <w:pPr>
        <w:pStyle w:val="TOC1"/>
        <w:rPr>
          <w:rFonts w:asciiTheme="minorHAnsi" w:eastAsiaTheme="minorEastAsia" w:hAnsiTheme="minorHAnsi" w:cstheme="minorBidi"/>
          <w:lang w:bidi="ar-SA"/>
        </w:rPr>
      </w:pPr>
      <w:hyperlink w:anchor="_Toc113380858" w:history="1">
        <w:r w:rsidR="00D8288E" w:rsidRPr="00A030B5">
          <w:rPr>
            <w:rStyle w:val="Hyperlink"/>
            <w:caps/>
          </w:rPr>
          <w:t>APPENDIX E.</w:t>
        </w:r>
        <w:r w:rsidR="00D8288E" w:rsidRPr="00A030B5">
          <w:rPr>
            <w:rStyle w:val="Hyperlink"/>
          </w:rPr>
          <w:t xml:space="preserve"> ANOVA OF SEASONAL RUNOFF</w:t>
        </w:r>
        <w:r w:rsidR="00D8288E">
          <w:rPr>
            <w:webHidden/>
          </w:rPr>
          <w:tab/>
        </w:r>
        <w:r w:rsidR="00D8288E">
          <w:rPr>
            <w:webHidden/>
          </w:rPr>
          <w:fldChar w:fldCharType="begin"/>
        </w:r>
        <w:r w:rsidR="00D8288E">
          <w:rPr>
            <w:webHidden/>
          </w:rPr>
          <w:instrText xml:space="preserve"> PAGEREF _Toc113380858 \h </w:instrText>
        </w:r>
        <w:r w:rsidR="00D8288E">
          <w:rPr>
            <w:webHidden/>
          </w:rPr>
        </w:r>
        <w:r w:rsidR="00D8288E">
          <w:rPr>
            <w:webHidden/>
          </w:rPr>
          <w:fldChar w:fldCharType="separate"/>
        </w:r>
        <w:r w:rsidR="00EE0BF5">
          <w:rPr>
            <w:webHidden/>
          </w:rPr>
          <w:t>E-1</w:t>
        </w:r>
        <w:r w:rsidR="00D8288E">
          <w:rPr>
            <w:webHidden/>
          </w:rPr>
          <w:fldChar w:fldCharType="end"/>
        </w:r>
      </w:hyperlink>
    </w:p>
    <w:p w14:paraId="57855C6D" w14:textId="3B703CBF" w:rsidR="00D8288E" w:rsidRDefault="008043C8">
      <w:pPr>
        <w:pStyle w:val="TOC1"/>
        <w:rPr>
          <w:rFonts w:asciiTheme="minorHAnsi" w:eastAsiaTheme="minorEastAsia" w:hAnsiTheme="minorHAnsi" w:cstheme="minorBidi"/>
          <w:lang w:bidi="ar-SA"/>
        </w:rPr>
      </w:pPr>
      <w:hyperlink w:anchor="_Toc113380859" w:history="1">
        <w:r w:rsidR="00D8288E" w:rsidRPr="00A030B5">
          <w:rPr>
            <w:rStyle w:val="Hyperlink"/>
            <w:caps/>
          </w:rPr>
          <w:t>APPENDIX F.</w:t>
        </w:r>
        <w:r w:rsidR="00D8288E" w:rsidRPr="00A030B5">
          <w:rPr>
            <w:rStyle w:val="Hyperlink"/>
          </w:rPr>
          <w:t xml:space="preserve"> ANOVA OF SEASONAL RESERVOIR EVAPORATION</w:t>
        </w:r>
        <w:r w:rsidR="00D8288E">
          <w:rPr>
            <w:webHidden/>
          </w:rPr>
          <w:tab/>
        </w:r>
        <w:r w:rsidR="00D8288E">
          <w:rPr>
            <w:webHidden/>
          </w:rPr>
          <w:fldChar w:fldCharType="begin"/>
        </w:r>
        <w:r w:rsidR="00D8288E">
          <w:rPr>
            <w:webHidden/>
          </w:rPr>
          <w:instrText xml:space="preserve"> PAGEREF _Toc113380859 \h </w:instrText>
        </w:r>
        <w:r w:rsidR="00D8288E">
          <w:rPr>
            <w:webHidden/>
          </w:rPr>
        </w:r>
        <w:r w:rsidR="00D8288E">
          <w:rPr>
            <w:webHidden/>
          </w:rPr>
          <w:fldChar w:fldCharType="separate"/>
        </w:r>
        <w:r w:rsidR="00EE0BF5">
          <w:rPr>
            <w:webHidden/>
          </w:rPr>
          <w:t>F-1</w:t>
        </w:r>
        <w:r w:rsidR="00D8288E">
          <w:rPr>
            <w:webHidden/>
          </w:rPr>
          <w:fldChar w:fldCharType="end"/>
        </w:r>
      </w:hyperlink>
    </w:p>
    <w:p w14:paraId="3237ADDF" w14:textId="6D8A481A" w:rsidR="00D8288E" w:rsidRDefault="008043C8">
      <w:pPr>
        <w:pStyle w:val="TOC1"/>
        <w:rPr>
          <w:rFonts w:asciiTheme="minorHAnsi" w:eastAsiaTheme="minorEastAsia" w:hAnsiTheme="minorHAnsi" w:cstheme="minorBidi"/>
          <w:lang w:bidi="ar-SA"/>
        </w:rPr>
      </w:pPr>
      <w:hyperlink w:anchor="_Toc113380860" w:history="1">
        <w:r w:rsidR="00D8288E" w:rsidRPr="00A030B5">
          <w:rPr>
            <w:rStyle w:val="Hyperlink"/>
            <w:caps/>
          </w:rPr>
          <w:t>APPENDIX G.</w:t>
        </w:r>
        <w:r w:rsidR="00D8288E" w:rsidRPr="00A030B5">
          <w:rPr>
            <w:rStyle w:val="Hyperlink"/>
          </w:rPr>
          <w:t xml:space="preserve"> ANOVA OF SEASONAL HYDROPOWER GENERATION</w:t>
        </w:r>
        <w:r w:rsidR="00D8288E">
          <w:rPr>
            <w:webHidden/>
          </w:rPr>
          <w:tab/>
        </w:r>
        <w:r w:rsidR="00D8288E">
          <w:rPr>
            <w:webHidden/>
          </w:rPr>
          <w:fldChar w:fldCharType="begin"/>
        </w:r>
        <w:r w:rsidR="00D8288E">
          <w:rPr>
            <w:webHidden/>
          </w:rPr>
          <w:instrText xml:space="preserve"> PAGEREF _Toc113380860 \h </w:instrText>
        </w:r>
        <w:r w:rsidR="00D8288E">
          <w:rPr>
            <w:webHidden/>
          </w:rPr>
        </w:r>
        <w:r w:rsidR="00D8288E">
          <w:rPr>
            <w:webHidden/>
          </w:rPr>
          <w:fldChar w:fldCharType="separate"/>
        </w:r>
        <w:r w:rsidR="00EE0BF5">
          <w:rPr>
            <w:webHidden/>
          </w:rPr>
          <w:t>G-1</w:t>
        </w:r>
        <w:r w:rsidR="00D8288E">
          <w:rPr>
            <w:webHidden/>
          </w:rPr>
          <w:fldChar w:fldCharType="end"/>
        </w:r>
      </w:hyperlink>
    </w:p>
    <w:p w14:paraId="1D16098C" w14:textId="3F19180F" w:rsidR="00D8288E" w:rsidRDefault="008043C8">
      <w:pPr>
        <w:pStyle w:val="TOC1"/>
        <w:rPr>
          <w:rFonts w:asciiTheme="minorHAnsi" w:eastAsiaTheme="minorEastAsia" w:hAnsiTheme="minorHAnsi" w:cstheme="minorBidi"/>
          <w:lang w:bidi="ar-SA"/>
        </w:rPr>
      </w:pPr>
      <w:hyperlink w:anchor="_Toc113380861" w:history="1">
        <w:r w:rsidR="00D8288E" w:rsidRPr="00A030B5">
          <w:rPr>
            <w:rStyle w:val="Hyperlink"/>
            <w:caps/>
          </w:rPr>
          <w:t>APPENDIX H.</w:t>
        </w:r>
        <w:r w:rsidR="00D8288E" w:rsidRPr="00A030B5">
          <w:rPr>
            <w:rStyle w:val="Hyperlink"/>
          </w:rPr>
          <w:t xml:space="preserve"> POWER MARKETING ANALYSIS</w:t>
        </w:r>
        <w:r w:rsidR="00D8288E">
          <w:rPr>
            <w:webHidden/>
          </w:rPr>
          <w:tab/>
        </w:r>
        <w:r w:rsidR="00D8288E">
          <w:rPr>
            <w:webHidden/>
          </w:rPr>
          <w:fldChar w:fldCharType="begin"/>
        </w:r>
        <w:r w:rsidR="00D8288E">
          <w:rPr>
            <w:webHidden/>
          </w:rPr>
          <w:instrText xml:space="preserve"> PAGEREF _Toc113380861 \h </w:instrText>
        </w:r>
        <w:r w:rsidR="00D8288E">
          <w:rPr>
            <w:webHidden/>
          </w:rPr>
        </w:r>
        <w:r w:rsidR="00D8288E">
          <w:rPr>
            <w:webHidden/>
          </w:rPr>
          <w:fldChar w:fldCharType="separate"/>
        </w:r>
        <w:r w:rsidR="00EE0BF5">
          <w:rPr>
            <w:webHidden/>
          </w:rPr>
          <w:t>H-1</w:t>
        </w:r>
        <w:r w:rsidR="00D8288E">
          <w:rPr>
            <w:webHidden/>
          </w:rPr>
          <w:fldChar w:fldCharType="end"/>
        </w:r>
      </w:hyperlink>
    </w:p>
    <w:p w14:paraId="717908E9" w14:textId="2426730B" w:rsidR="00D8288E" w:rsidRDefault="008043C8">
      <w:pPr>
        <w:pStyle w:val="TOC1"/>
        <w:rPr>
          <w:rFonts w:asciiTheme="minorHAnsi" w:eastAsiaTheme="minorEastAsia" w:hAnsiTheme="minorHAnsi" w:cstheme="minorBidi"/>
          <w:lang w:bidi="ar-SA"/>
        </w:rPr>
      </w:pPr>
      <w:hyperlink w:anchor="_Toc113380862" w:history="1">
        <w:r w:rsidR="00D8288E" w:rsidRPr="00A030B5">
          <w:rPr>
            <w:rStyle w:val="Hyperlink"/>
            <w:caps/>
          </w:rPr>
          <w:t>APPENDIX I.</w:t>
        </w:r>
        <w:r w:rsidR="00D8288E" w:rsidRPr="00A030B5">
          <w:rPr>
            <w:rStyle w:val="Hyperlink"/>
          </w:rPr>
          <w:t xml:space="preserve"> VIC AND PRMS PERFORMANCE</w:t>
        </w:r>
        <w:r w:rsidR="00D8288E">
          <w:rPr>
            <w:webHidden/>
          </w:rPr>
          <w:tab/>
        </w:r>
        <w:r w:rsidR="00D8288E">
          <w:rPr>
            <w:webHidden/>
          </w:rPr>
          <w:fldChar w:fldCharType="begin"/>
        </w:r>
        <w:r w:rsidR="00D8288E">
          <w:rPr>
            <w:webHidden/>
          </w:rPr>
          <w:instrText xml:space="preserve"> PAGEREF _Toc113380862 \h </w:instrText>
        </w:r>
        <w:r w:rsidR="00D8288E">
          <w:rPr>
            <w:webHidden/>
          </w:rPr>
        </w:r>
        <w:r w:rsidR="00D8288E">
          <w:rPr>
            <w:webHidden/>
          </w:rPr>
          <w:fldChar w:fldCharType="separate"/>
        </w:r>
        <w:r w:rsidR="00EE0BF5">
          <w:rPr>
            <w:webHidden/>
          </w:rPr>
          <w:t>I-1</w:t>
        </w:r>
        <w:r w:rsidR="00D8288E">
          <w:rPr>
            <w:webHidden/>
          </w:rPr>
          <w:fldChar w:fldCharType="end"/>
        </w:r>
      </w:hyperlink>
    </w:p>
    <w:p w14:paraId="4B57D6AB" w14:textId="2565B3D1" w:rsidR="00D8288E" w:rsidRDefault="008043C8">
      <w:pPr>
        <w:pStyle w:val="TOC1"/>
        <w:rPr>
          <w:rFonts w:asciiTheme="minorHAnsi" w:eastAsiaTheme="minorEastAsia" w:hAnsiTheme="minorHAnsi" w:cstheme="minorBidi"/>
          <w:lang w:bidi="ar-SA"/>
        </w:rPr>
      </w:pPr>
      <w:hyperlink w:anchor="_Toc113380863" w:history="1">
        <w:r w:rsidR="00D8288E" w:rsidRPr="00A030B5">
          <w:rPr>
            <w:rStyle w:val="Hyperlink"/>
            <w:caps/>
          </w:rPr>
          <w:t>APPENDIX J.</w:t>
        </w:r>
        <w:r w:rsidR="00D8288E" w:rsidRPr="00A030B5">
          <w:rPr>
            <w:rStyle w:val="Hyperlink"/>
          </w:rPr>
          <w:t xml:space="preserve"> SUMMARY OF RESPONSE TO KEY REVIEW COMMENTS</w:t>
        </w:r>
        <w:r w:rsidR="00D8288E">
          <w:rPr>
            <w:webHidden/>
          </w:rPr>
          <w:tab/>
        </w:r>
        <w:r w:rsidR="00D8288E">
          <w:rPr>
            <w:webHidden/>
          </w:rPr>
          <w:fldChar w:fldCharType="begin"/>
        </w:r>
        <w:r w:rsidR="00D8288E">
          <w:rPr>
            <w:webHidden/>
          </w:rPr>
          <w:instrText xml:space="preserve"> PAGEREF _Toc113380863 \h </w:instrText>
        </w:r>
        <w:r w:rsidR="00D8288E">
          <w:rPr>
            <w:webHidden/>
          </w:rPr>
        </w:r>
        <w:r w:rsidR="00D8288E">
          <w:rPr>
            <w:webHidden/>
          </w:rPr>
          <w:fldChar w:fldCharType="separate"/>
        </w:r>
        <w:r w:rsidR="00EE0BF5">
          <w:rPr>
            <w:webHidden/>
          </w:rPr>
          <w:t>J-1</w:t>
        </w:r>
        <w:r w:rsidR="00D8288E">
          <w:rPr>
            <w:webHidden/>
          </w:rPr>
          <w:fldChar w:fldCharType="end"/>
        </w:r>
      </w:hyperlink>
    </w:p>
    <w:p w14:paraId="6E831AD9" w14:textId="03D33A10" w:rsidR="00AA4888" w:rsidRDefault="003214E4" w:rsidP="00AA4888">
      <w:pPr>
        <w:pStyle w:val="BodyText"/>
      </w:pPr>
      <w:r>
        <w:fldChar w:fldCharType="end"/>
      </w:r>
    </w:p>
    <w:bookmarkEnd w:id="6"/>
    <w:p w14:paraId="36A9F251" w14:textId="77777777" w:rsidR="005213E9" w:rsidRDefault="005213E9" w:rsidP="00AA4888">
      <w:pPr>
        <w:pStyle w:val="BodyText"/>
        <w:sectPr w:rsidR="005213E9" w:rsidSect="00CC3514">
          <w:pgSz w:w="12240" w:h="15840" w:code="1"/>
          <w:pgMar w:top="1440" w:right="1440" w:bottom="1440" w:left="1440" w:header="720" w:footer="720" w:gutter="0"/>
          <w:pgNumType w:fmt="lowerRoman"/>
          <w:cols w:space="720"/>
          <w:docGrid w:linePitch="360"/>
        </w:sectPr>
      </w:pPr>
    </w:p>
    <w:p w14:paraId="30C1CE17" w14:textId="77777777" w:rsidR="00AA4888" w:rsidRDefault="005213E9" w:rsidP="005213E9">
      <w:pPr>
        <w:pStyle w:val="BodyText"/>
        <w:jc w:val="center"/>
      </w:pPr>
      <w:r>
        <w:lastRenderedPageBreak/>
        <w:t>(This page intentionally left blank)</w:t>
      </w:r>
    </w:p>
    <w:p w14:paraId="160C18D5" w14:textId="77777777" w:rsidR="00AA4888" w:rsidRDefault="00AA4888" w:rsidP="00AA4888">
      <w:pPr>
        <w:pStyle w:val="BodyText"/>
      </w:pPr>
    </w:p>
    <w:p w14:paraId="69215A00" w14:textId="77777777" w:rsidR="00A922FD" w:rsidRPr="004C5793" w:rsidRDefault="00A922FD" w:rsidP="00357BBE">
      <w:pPr>
        <w:pStyle w:val="TOC2"/>
        <w:rPr>
          <w:rStyle w:val="Hyperlink"/>
          <w:color w:val="000000"/>
        </w:rPr>
        <w:sectPr w:rsidR="00A922FD" w:rsidRPr="004C5793" w:rsidSect="00250F3B">
          <w:pgSz w:w="12240" w:h="15840" w:code="1"/>
          <w:pgMar w:top="1440" w:right="1440" w:bottom="1440" w:left="1440" w:header="720" w:footer="720" w:gutter="0"/>
          <w:pgNumType w:fmt="lowerRoman"/>
          <w:cols w:space="720"/>
          <w:vAlign w:val="center"/>
          <w:docGrid w:linePitch="360"/>
        </w:sectPr>
      </w:pPr>
    </w:p>
    <w:p w14:paraId="3F869BCD" w14:textId="562229E6" w:rsidR="00706B38" w:rsidRDefault="00925971" w:rsidP="00357BBE">
      <w:pPr>
        <w:pStyle w:val="Heading1frontsections"/>
      </w:pPr>
      <w:bookmarkStart w:id="7" w:name="_Toc377479250"/>
      <w:bookmarkStart w:id="8" w:name="_Toc377479373"/>
      <w:bookmarkStart w:id="9" w:name="_Toc377480581"/>
      <w:bookmarkStart w:id="10" w:name="_Toc113380752"/>
      <w:r w:rsidRPr="00830AB1">
        <w:lastRenderedPageBreak/>
        <w:t>LIST OF FIGURES</w:t>
      </w:r>
      <w:bookmarkEnd w:id="7"/>
      <w:bookmarkEnd w:id="8"/>
      <w:bookmarkEnd w:id="9"/>
      <w:bookmarkEnd w:id="10"/>
    </w:p>
    <w:p w14:paraId="52564897" w14:textId="64F31AF0" w:rsidR="00D8288E" w:rsidRDefault="003214E4">
      <w:pPr>
        <w:pStyle w:val="TableofFigures"/>
        <w:rPr>
          <w:rFonts w:asciiTheme="minorHAnsi" w:eastAsiaTheme="minorEastAsia" w:hAnsiTheme="minorHAnsi" w:cstheme="minorBidi"/>
          <w:noProof/>
          <w:snapToGrid/>
          <w:szCs w:val="22"/>
        </w:rPr>
      </w:pPr>
      <w:r>
        <w:fldChar w:fldCharType="begin"/>
      </w:r>
      <w:r w:rsidR="00CD3542">
        <w:instrText xml:space="preserve"> TOC \h \z \t "Figure Caption" \c </w:instrText>
      </w:r>
      <w:r>
        <w:fldChar w:fldCharType="separate"/>
      </w:r>
      <w:hyperlink w:anchor="_Toc113380864" w:history="1">
        <w:r w:rsidR="00D8288E" w:rsidRPr="005A4C33">
          <w:rPr>
            <w:rStyle w:val="Hyperlink"/>
            <w:noProof/>
            <w:lang w:eastAsia="zh-TW"/>
          </w:rPr>
          <w:t>Figure 1.1. Federal hydropower facilities and federal power marketing regions in the United States.</w:t>
        </w:r>
        <w:r w:rsidR="00D8288E">
          <w:rPr>
            <w:noProof/>
            <w:webHidden/>
          </w:rPr>
          <w:tab/>
        </w:r>
        <w:r w:rsidR="00D8288E">
          <w:rPr>
            <w:noProof/>
            <w:webHidden/>
          </w:rPr>
          <w:fldChar w:fldCharType="begin"/>
        </w:r>
        <w:r w:rsidR="00D8288E">
          <w:rPr>
            <w:noProof/>
            <w:webHidden/>
          </w:rPr>
          <w:instrText xml:space="preserve"> PAGEREF _Toc113380864 \h </w:instrText>
        </w:r>
        <w:r w:rsidR="00D8288E">
          <w:rPr>
            <w:noProof/>
            <w:webHidden/>
          </w:rPr>
        </w:r>
        <w:r w:rsidR="00D8288E">
          <w:rPr>
            <w:noProof/>
            <w:webHidden/>
          </w:rPr>
          <w:fldChar w:fldCharType="separate"/>
        </w:r>
        <w:r w:rsidR="00EE0BF5">
          <w:rPr>
            <w:noProof/>
            <w:webHidden/>
          </w:rPr>
          <w:t>4</w:t>
        </w:r>
        <w:r w:rsidR="00D8288E">
          <w:rPr>
            <w:noProof/>
            <w:webHidden/>
          </w:rPr>
          <w:fldChar w:fldCharType="end"/>
        </w:r>
      </w:hyperlink>
    </w:p>
    <w:p w14:paraId="532BA4B7" w14:textId="5E17D2C2" w:rsidR="00D8288E" w:rsidRDefault="008043C8">
      <w:pPr>
        <w:pStyle w:val="TableofFigures"/>
        <w:rPr>
          <w:rFonts w:asciiTheme="minorHAnsi" w:eastAsiaTheme="minorEastAsia" w:hAnsiTheme="minorHAnsi" w:cstheme="minorBidi"/>
          <w:noProof/>
          <w:snapToGrid/>
          <w:szCs w:val="22"/>
        </w:rPr>
      </w:pPr>
      <w:hyperlink w:anchor="_Toc113380865" w:history="1">
        <w:r w:rsidR="00D8288E" w:rsidRPr="005A4C33">
          <w:rPr>
            <w:rStyle w:val="Hyperlink"/>
            <w:noProof/>
            <w:lang w:eastAsia="zh-TW"/>
          </w:rPr>
          <w:t>Figure 2.1. Multimodel ensemble simulation conducted for this assessment.</w:t>
        </w:r>
        <w:r w:rsidR="00D8288E">
          <w:rPr>
            <w:noProof/>
            <w:webHidden/>
          </w:rPr>
          <w:tab/>
        </w:r>
        <w:r w:rsidR="00D8288E">
          <w:rPr>
            <w:noProof/>
            <w:webHidden/>
          </w:rPr>
          <w:fldChar w:fldCharType="begin"/>
        </w:r>
        <w:r w:rsidR="00D8288E">
          <w:rPr>
            <w:noProof/>
            <w:webHidden/>
          </w:rPr>
          <w:instrText xml:space="preserve"> PAGEREF _Toc113380865 \h </w:instrText>
        </w:r>
        <w:r w:rsidR="00D8288E">
          <w:rPr>
            <w:noProof/>
            <w:webHidden/>
          </w:rPr>
        </w:r>
        <w:r w:rsidR="00D8288E">
          <w:rPr>
            <w:noProof/>
            <w:webHidden/>
          </w:rPr>
          <w:fldChar w:fldCharType="separate"/>
        </w:r>
        <w:r w:rsidR="00EE0BF5">
          <w:rPr>
            <w:noProof/>
            <w:webHidden/>
          </w:rPr>
          <w:t>8</w:t>
        </w:r>
        <w:r w:rsidR="00D8288E">
          <w:rPr>
            <w:noProof/>
            <w:webHidden/>
          </w:rPr>
          <w:fldChar w:fldCharType="end"/>
        </w:r>
      </w:hyperlink>
    </w:p>
    <w:p w14:paraId="4C5AF4D8" w14:textId="56CBF697" w:rsidR="00D8288E" w:rsidRDefault="008043C8">
      <w:pPr>
        <w:pStyle w:val="TableofFigures"/>
        <w:rPr>
          <w:rFonts w:asciiTheme="minorHAnsi" w:eastAsiaTheme="minorEastAsia" w:hAnsiTheme="minorHAnsi" w:cstheme="minorBidi"/>
          <w:noProof/>
          <w:snapToGrid/>
          <w:szCs w:val="22"/>
        </w:rPr>
      </w:pPr>
      <w:hyperlink w:anchor="_Toc113380866" w:history="1">
        <w:r w:rsidR="00D8288E" w:rsidRPr="005A4C33">
          <w:rPr>
            <w:rStyle w:val="Hyperlink"/>
            <w:noProof/>
            <w:lang w:eastAsia="zh-TW"/>
          </w:rPr>
          <w:t xml:space="preserve">Figure 2.2. </w:t>
        </w:r>
        <w:r w:rsidR="00D8288E" w:rsidRPr="005A4C33">
          <w:rPr>
            <w:rStyle w:val="Hyperlink"/>
            <w:noProof/>
          </w:rPr>
          <w:t>Projected changes (%) in seasonal precipitation in 2041–2060 compared with 1995–2014 (a–d) SSP585 and (e–h) SSP370.</w:t>
        </w:r>
        <w:r w:rsidR="00D8288E">
          <w:rPr>
            <w:noProof/>
            <w:webHidden/>
          </w:rPr>
          <w:tab/>
        </w:r>
        <w:r w:rsidR="00D8288E">
          <w:rPr>
            <w:noProof/>
            <w:webHidden/>
          </w:rPr>
          <w:fldChar w:fldCharType="begin"/>
        </w:r>
        <w:r w:rsidR="00D8288E">
          <w:rPr>
            <w:noProof/>
            <w:webHidden/>
          </w:rPr>
          <w:instrText xml:space="preserve"> PAGEREF _Toc113380866 \h </w:instrText>
        </w:r>
        <w:r w:rsidR="00D8288E">
          <w:rPr>
            <w:noProof/>
            <w:webHidden/>
          </w:rPr>
        </w:r>
        <w:r w:rsidR="00D8288E">
          <w:rPr>
            <w:noProof/>
            <w:webHidden/>
          </w:rPr>
          <w:fldChar w:fldCharType="separate"/>
        </w:r>
        <w:r w:rsidR="00EE0BF5">
          <w:rPr>
            <w:noProof/>
            <w:webHidden/>
          </w:rPr>
          <w:t>13</w:t>
        </w:r>
        <w:r w:rsidR="00D8288E">
          <w:rPr>
            <w:noProof/>
            <w:webHidden/>
          </w:rPr>
          <w:fldChar w:fldCharType="end"/>
        </w:r>
      </w:hyperlink>
    </w:p>
    <w:p w14:paraId="586FDFAE" w14:textId="7F451DB4" w:rsidR="00D8288E" w:rsidRDefault="008043C8">
      <w:pPr>
        <w:pStyle w:val="TableofFigures"/>
        <w:rPr>
          <w:rFonts w:asciiTheme="minorHAnsi" w:eastAsiaTheme="minorEastAsia" w:hAnsiTheme="minorHAnsi" w:cstheme="minorBidi"/>
          <w:noProof/>
          <w:snapToGrid/>
          <w:szCs w:val="22"/>
        </w:rPr>
      </w:pPr>
      <w:hyperlink w:anchor="_Toc113380867" w:history="1">
        <w:r w:rsidR="00D8288E" w:rsidRPr="005A4C33">
          <w:rPr>
            <w:rStyle w:val="Hyperlink"/>
            <w:noProof/>
            <w:lang w:eastAsia="zh-TW"/>
          </w:rPr>
          <w:t xml:space="preserve">Figure 2.3. </w:t>
        </w:r>
        <w:r w:rsidR="00D8288E" w:rsidRPr="005A4C33">
          <w:rPr>
            <w:rStyle w:val="Hyperlink"/>
            <w:noProof/>
          </w:rPr>
          <w:t>Projected changes (°C) in seasonal temperature in 2041–2060 compared with 1995–2014 in SSP585 (a–d) and SSP370 (e–h).</w:t>
        </w:r>
        <w:r w:rsidR="00D8288E">
          <w:rPr>
            <w:noProof/>
            <w:webHidden/>
          </w:rPr>
          <w:tab/>
        </w:r>
        <w:r w:rsidR="00D8288E">
          <w:rPr>
            <w:noProof/>
            <w:webHidden/>
          </w:rPr>
          <w:fldChar w:fldCharType="begin"/>
        </w:r>
        <w:r w:rsidR="00D8288E">
          <w:rPr>
            <w:noProof/>
            <w:webHidden/>
          </w:rPr>
          <w:instrText xml:space="preserve"> PAGEREF _Toc113380867 \h </w:instrText>
        </w:r>
        <w:r w:rsidR="00D8288E">
          <w:rPr>
            <w:noProof/>
            <w:webHidden/>
          </w:rPr>
        </w:r>
        <w:r w:rsidR="00D8288E">
          <w:rPr>
            <w:noProof/>
            <w:webHidden/>
          </w:rPr>
          <w:fldChar w:fldCharType="separate"/>
        </w:r>
        <w:r w:rsidR="00EE0BF5">
          <w:rPr>
            <w:noProof/>
            <w:webHidden/>
          </w:rPr>
          <w:t>14</w:t>
        </w:r>
        <w:r w:rsidR="00D8288E">
          <w:rPr>
            <w:noProof/>
            <w:webHidden/>
          </w:rPr>
          <w:fldChar w:fldCharType="end"/>
        </w:r>
      </w:hyperlink>
    </w:p>
    <w:p w14:paraId="56E4EE8D" w14:textId="7EEFAB84" w:rsidR="00D8288E" w:rsidRDefault="008043C8">
      <w:pPr>
        <w:pStyle w:val="TableofFigures"/>
        <w:rPr>
          <w:rFonts w:asciiTheme="minorHAnsi" w:eastAsiaTheme="minorEastAsia" w:hAnsiTheme="minorHAnsi" w:cstheme="minorBidi"/>
          <w:noProof/>
          <w:snapToGrid/>
          <w:szCs w:val="22"/>
        </w:rPr>
      </w:pPr>
      <w:hyperlink w:anchor="_Toc113380868" w:history="1">
        <w:r w:rsidR="00D8288E" w:rsidRPr="005A4C33">
          <w:rPr>
            <w:rStyle w:val="Hyperlink"/>
            <w:noProof/>
            <w:lang w:eastAsia="zh-TW"/>
          </w:rPr>
          <w:t xml:space="preserve">Figure 2.4. </w:t>
        </w:r>
        <w:r w:rsidR="00D8288E" w:rsidRPr="005A4C33">
          <w:rPr>
            <w:rStyle w:val="Hyperlink"/>
            <w:noProof/>
          </w:rPr>
          <w:t>The pairwise metrics correlation (bottom triangle) and the corresponding similarity score (top triangle) over the northern United States.</w:t>
        </w:r>
        <w:r w:rsidR="00D8288E">
          <w:rPr>
            <w:noProof/>
            <w:webHidden/>
          </w:rPr>
          <w:tab/>
        </w:r>
        <w:r w:rsidR="00D8288E">
          <w:rPr>
            <w:noProof/>
            <w:webHidden/>
          </w:rPr>
          <w:fldChar w:fldCharType="begin"/>
        </w:r>
        <w:r w:rsidR="00D8288E">
          <w:rPr>
            <w:noProof/>
            <w:webHidden/>
          </w:rPr>
          <w:instrText xml:space="preserve"> PAGEREF _Toc113380868 \h </w:instrText>
        </w:r>
        <w:r w:rsidR="00D8288E">
          <w:rPr>
            <w:noProof/>
            <w:webHidden/>
          </w:rPr>
        </w:r>
        <w:r w:rsidR="00D8288E">
          <w:rPr>
            <w:noProof/>
            <w:webHidden/>
          </w:rPr>
          <w:fldChar w:fldCharType="separate"/>
        </w:r>
        <w:r w:rsidR="00EE0BF5">
          <w:rPr>
            <w:noProof/>
            <w:webHidden/>
          </w:rPr>
          <w:t>16</w:t>
        </w:r>
        <w:r w:rsidR="00D8288E">
          <w:rPr>
            <w:noProof/>
            <w:webHidden/>
          </w:rPr>
          <w:fldChar w:fldCharType="end"/>
        </w:r>
      </w:hyperlink>
    </w:p>
    <w:p w14:paraId="27A076FC" w14:textId="03516448" w:rsidR="00D8288E" w:rsidRDefault="008043C8">
      <w:pPr>
        <w:pStyle w:val="TableofFigures"/>
        <w:rPr>
          <w:rFonts w:asciiTheme="minorHAnsi" w:eastAsiaTheme="minorEastAsia" w:hAnsiTheme="minorHAnsi" w:cstheme="minorBidi"/>
          <w:noProof/>
          <w:snapToGrid/>
          <w:szCs w:val="22"/>
        </w:rPr>
      </w:pPr>
      <w:hyperlink w:anchor="_Toc113380869" w:history="1">
        <w:r w:rsidR="00D8288E" w:rsidRPr="005A4C33">
          <w:rPr>
            <w:rStyle w:val="Hyperlink"/>
            <w:noProof/>
            <w:lang w:eastAsia="zh-TW"/>
          </w:rPr>
          <w:t xml:space="preserve">Figure 2.5. </w:t>
        </w:r>
        <w:r w:rsidR="00D8288E" w:rsidRPr="005A4C33">
          <w:rPr>
            <w:rStyle w:val="Hyperlink"/>
            <w:noProof/>
            <w:lang w:bidi="en-US"/>
          </w:rPr>
          <w:t>The normalized relative disagreement of GCMs from the observations over the north</w:t>
        </w:r>
        <w:r w:rsidR="00D8288E" w:rsidRPr="005A4C33">
          <w:rPr>
            <w:rStyle w:val="Hyperlink"/>
            <w:noProof/>
          </w:rPr>
          <w:t>ern United States</w:t>
        </w:r>
        <w:r w:rsidR="00D8288E" w:rsidRPr="005A4C33">
          <w:rPr>
            <w:rStyle w:val="Hyperlink"/>
            <w:noProof/>
            <w:lang w:bidi="en-US"/>
          </w:rPr>
          <w:t xml:space="preserve"> for each metric (left) and their overall standard deviation across evaluated GCMs (right).</w:t>
        </w:r>
        <w:r w:rsidR="00D8288E">
          <w:rPr>
            <w:noProof/>
            <w:webHidden/>
          </w:rPr>
          <w:tab/>
        </w:r>
        <w:r w:rsidR="00D8288E">
          <w:rPr>
            <w:noProof/>
            <w:webHidden/>
          </w:rPr>
          <w:fldChar w:fldCharType="begin"/>
        </w:r>
        <w:r w:rsidR="00D8288E">
          <w:rPr>
            <w:noProof/>
            <w:webHidden/>
          </w:rPr>
          <w:instrText xml:space="preserve"> PAGEREF _Toc113380869 \h </w:instrText>
        </w:r>
        <w:r w:rsidR="00D8288E">
          <w:rPr>
            <w:noProof/>
            <w:webHidden/>
          </w:rPr>
        </w:r>
        <w:r w:rsidR="00D8288E">
          <w:rPr>
            <w:noProof/>
            <w:webHidden/>
          </w:rPr>
          <w:fldChar w:fldCharType="separate"/>
        </w:r>
        <w:r w:rsidR="00EE0BF5">
          <w:rPr>
            <w:noProof/>
            <w:webHidden/>
          </w:rPr>
          <w:t>17</w:t>
        </w:r>
        <w:r w:rsidR="00D8288E">
          <w:rPr>
            <w:noProof/>
            <w:webHidden/>
          </w:rPr>
          <w:fldChar w:fldCharType="end"/>
        </w:r>
      </w:hyperlink>
    </w:p>
    <w:p w14:paraId="52015A44" w14:textId="3B9B352D" w:rsidR="00D8288E" w:rsidRDefault="008043C8">
      <w:pPr>
        <w:pStyle w:val="TableofFigures"/>
        <w:rPr>
          <w:rFonts w:asciiTheme="minorHAnsi" w:eastAsiaTheme="minorEastAsia" w:hAnsiTheme="minorHAnsi" w:cstheme="minorBidi"/>
          <w:noProof/>
          <w:snapToGrid/>
          <w:szCs w:val="22"/>
        </w:rPr>
      </w:pPr>
      <w:hyperlink w:anchor="_Toc113380870" w:history="1">
        <w:r w:rsidR="00D8288E" w:rsidRPr="005A4C33">
          <w:rPr>
            <w:rStyle w:val="Hyperlink"/>
            <w:noProof/>
            <w:lang w:eastAsia="zh-TW"/>
          </w:rPr>
          <w:t xml:space="preserve">Figure 2.6. </w:t>
        </w:r>
        <w:r w:rsidR="00D8288E" w:rsidRPr="005A4C33">
          <w:rPr>
            <w:rStyle w:val="Hyperlink"/>
            <w:noProof/>
            <w:lang w:bidi="en-US"/>
          </w:rPr>
          <w:t>The ranking of GCMs using the simple weighting approach.</w:t>
        </w:r>
        <w:r w:rsidR="00D8288E">
          <w:rPr>
            <w:noProof/>
            <w:webHidden/>
          </w:rPr>
          <w:tab/>
        </w:r>
        <w:r w:rsidR="00D8288E">
          <w:rPr>
            <w:noProof/>
            <w:webHidden/>
          </w:rPr>
          <w:fldChar w:fldCharType="begin"/>
        </w:r>
        <w:r w:rsidR="00D8288E">
          <w:rPr>
            <w:noProof/>
            <w:webHidden/>
          </w:rPr>
          <w:instrText xml:space="preserve"> PAGEREF _Toc113380870 \h </w:instrText>
        </w:r>
        <w:r w:rsidR="00D8288E">
          <w:rPr>
            <w:noProof/>
            <w:webHidden/>
          </w:rPr>
        </w:r>
        <w:r w:rsidR="00D8288E">
          <w:rPr>
            <w:noProof/>
            <w:webHidden/>
          </w:rPr>
          <w:fldChar w:fldCharType="separate"/>
        </w:r>
        <w:r w:rsidR="00EE0BF5">
          <w:rPr>
            <w:noProof/>
            <w:webHidden/>
          </w:rPr>
          <w:t>19</w:t>
        </w:r>
        <w:r w:rsidR="00D8288E">
          <w:rPr>
            <w:noProof/>
            <w:webHidden/>
          </w:rPr>
          <w:fldChar w:fldCharType="end"/>
        </w:r>
      </w:hyperlink>
    </w:p>
    <w:p w14:paraId="18F0CFCD" w14:textId="455E7387" w:rsidR="00D8288E" w:rsidRDefault="008043C8">
      <w:pPr>
        <w:pStyle w:val="TableofFigures"/>
        <w:rPr>
          <w:rFonts w:asciiTheme="minorHAnsi" w:eastAsiaTheme="minorEastAsia" w:hAnsiTheme="minorHAnsi" w:cstheme="minorBidi"/>
          <w:noProof/>
          <w:snapToGrid/>
          <w:szCs w:val="22"/>
        </w:rPr>
      </w:pPr>
      <w:hyperlink w:anchor="_Toc113380871" w:history="1">
        <w:r w:rsidR="00D8288E" w:rsidRPr="005A4C33">
          <w:rPr>
            <w:rStyle w:val="Hyperlink"/>
            <w:noProof/>
            <w:lang w:eastAsia="zh-TW"/>
          </w:rPr>
          <w:t xml:space="preserve">Figure 2.7. </w:t>
        </w:r>
        <w:r w:rsidR="00D8288E" w:rsidRPr="005A4C33">
          <w:rPr>
            <w:rStyle w:val="Hyperlink"/>
            <w:rFonts w:eastAsia="PMingLiU"/>
            <w:noProof/>
            <w:lang w:eastAsia="zh-TW"/>
          </w:rPr>
          <w:t xml:space="preserve">Annual and seasonal </w:t>
        </w:r>
        <w:r w:rsidR="00D8288E" w:rsidRPr="005A4C33">
          <w:rPr>
            <w:rStyle w:val="Hyperlink"/>
            <w:noProof/>
            <w:lang w:eastAsia="zh-TW"/>
          </w:rPr>
          <w:t xml:space="preserve">CONUS </w:t>
        </w:r>
        <w:r w:rsidR="00D8288E" w:rsidRPr="005A4C33">
          <w:rPr>
            <w:rStyle w:val="Hyperlink"/>
            <w:rFonts w:eastAsia="PMingLiU"/>
            <w:noProof/>
            <w:lang w:eastAsia="zh-TW"/>
          </w:rPr>
          <w:t>temperature and precipitation changes for 98 CMIP6 GCM projections under four emission scenarios (SSP126, SSP245, SSP370, and SSP585).</w:t>
        </w:r>
        <w:r w:rsidR="00D8288E">
          <w:rPr>
            <w:noProof/>
            <w:webHidden/>
          </w:rPr>
          <w:tab/>
        </w:r>
        <w:r w:rsidR="00D8288E">
          <w:rPr>
            <w:noProof/>
            <w:webHidden/>
          </w:rPr>
          <w:fldChar w:fldCharType="begin"/>
        </w:r>
        <w:r w:rsidR="00D8288E">
          <w:rPr>
            <w:noProof/>
            <w:webHidden/>
          </w:rPr>
          <w:instrText xml:space="preserve"> PAGEREF _Toc113380871 \h </w:instrText>
        </w:r>
        <w:r w:rsidR="00D8288E">
          <w:rPr>
            <w:noProof/>
            <w:webHidden/>
          </w:rPr>
        </w:r>
        <w:r w:rsidR="00D8288E">
          <w:rPr>
            <w:noProof/>
            <w:webHidden/>
          </w:rPr>
          <w:fldChar w:fldCharType="separate"/>
        </w:r>
        <w:r w:rsidR="00EE0BF5">
          <w:rPr>
            <w:noProof/>
            <w:webHidden/>
          </w:rPr>
          <w:t>20</w:t>
        </w:r>
        <w:r w:rsidR="00D8288E">
          <w:rPr>
            <w:noProof/>
            <w:webHidden/>
          </w:rPr>
          <w:fldChar w:fldCharType="end"/>
        </w:r>
      </w:hyperlink>
    </w:p>
    <w:p w14:paraId="6960B0EE" w14:textId="5CDB8E8D" w:rsidR="00D8288E" w:rsidRDefault="008043C8">
      <w:pPr>
        <w:pStyle w:val="TableofFigures"/>
        <w:rPr>
          <w:rFonts w:asciiTheme="minorHAnsi" w:eastAsiaTheme="minorEastAsia" w:hAnsiTheme="minorHAnsi" w:cstheme="minorBidi"/>
          <w:noProof/>
          <w:snapToGrid/>
          <w:szCs w:val="22"/>
        </w:rPr>
      </w:pPr>
      <w:hyperlink w:anchor="_Toc113380872" w:history="1">
        <w:r w:rsidR="00D8288E" w:rsidRPr="005A4C33">
          <w:rPr>
            <w:rStyle w:val="Hyperlink"/>
            <w:noProof/>
            <w:lang w:eastAsia="zh-TW"/>
          </w:rPr>
          <w:t>Figure 2.8. Domain and topography used for RCM simulations in this study.</w:t>
        </w:r>
        <w:r w:rsidR="00D8288E">
          <w:rPr>
            <w:noProof/>
            <w:webHidden/>
          </w:rPr>
          <w:tab/>
        </w:r>
        <w:r w:rsidR="00D8288E">
          <w:rPr>
            <w:noProof/>
            <w:webHidden/>
          </w:rPr>
          <w:fldChar w:fldCharType="begin"/>
        </w:r>
        <w:r w:rsidR="00D8288E">
          <w:rPr>
            <w:noProof/>
            <w:webHidden/>
          </w:rPr>
          <w:instrText xml:space="preserve"> PAGEREF _Toc113380872 \h </w:instrText>
        </w:r>
        <w:r w:rsidR="00D8288E">
          <w:rPr>
            <w:noProof/>
            <w:webHidden/>
          </w:rPr>
        </w:r>
        <w:r w:rsidR="00D8288E">
          <w:rPr>
            <w:noProof/>
            <w:webHidden/>
          </w:rPr>
          <w:fldChar w:fldCharType="separate"/>
        </w:r>
        <w:r w:rsidR="00EE0BF5">
          <w:rPr>
            <w:noProof/>
            <w:webHidden/>
          </w:rPr>
          <w:t>22</w:t>
        </w:r>
        <w:r w:rsidR="00D8288E">
          <w:rPr>
            <w:noProof/>
            <w:webHidden/>
          </w:rPr>
          <w:fldChar w:fldCharType="end"/>
        </w:r>
      </w:hyperlink>
    </w:p>
    <w:p w14:paraId="3D7082E9" w14:textId="746BDE46" w:rsidR="00D8288E" w:rsidRDefault="008043C8">
      <w:pPr>
        <w:pStyle w:val="TableofFigures"/>
        <w:rPr>
          <w:rFonts w:asciiTheme="minorHAnsi" w:eastAsiaTheme="minorEastAsia" w:hAnsiTheme="minorHAnsi" w:cstheme="minorBidi"/>
          <w:noProof/>
          <w:snapToGrid/>
          <w:szCs w:val="22"/>
        </w:rPr>
      </w:pPr>
      <w:hyperlink w:anchor="_Toc113380873" w:history="1">
        <w:r w:rsidR="00D8288E" w:rsidRPr="005A4C33">
          <w:rPr>
            <w:rStyle w:val="Hyperlink"/>
            <w:noProof/>
            <w:lang w:eastAsia="zh-TW"/>
          </w:rPr>
          <w:t xml:space="preserve">Figure 2.9. </w:t>
        </w:r>
        <w:r w:rsidR="00D8288E" w:rsidRPr="005A4C33">
          <w:rPr>
            <w:rStyle w:val="Hyperlink"/>
            <w:bCs/>
            <w:noProof/>
          </w:rPr>
          <w:t>Heat maps showing the pattern correlation for climate projections with respect to the corresponding observations.</w:t>
        </w:r>
        <w:r w:rsidR="00D8288E">
          <w:rPr>
            <w:noProof/>
            <w:webHidden/>
          </w:rPr>
          <w:tab/>
        </w:r>
        <w:r w:rsidR="00D8288E">
          <w:rPr>
            <w:noProof/>
            <w:webHidden/>
          </w:rPr>
          <w:fldChar w:fldCharType="begin"/>
        </w:r>
        <w:r w:rsidR="00D8288E">
          <w:rPr>
            <w:noProof/>
            <w:webHidden/>
          </w:rPr>
          <w:instrText xml:space="preserve"> PAGEREF _Toc113380873 \h </w:instrText>
        </w:r>
        <w:r w:rsidR="00D8288E">
          <w:rPr>
            <w:noProof/>
            <w:webHidden/>
          </w:rPr>
        </w:r>
        <w:r w:rsidR="00D8288E">
          <w:rPr>
            <w:noProof/>
            <w:webHidden/>
          </w:rPr>
          <w:fldChar w:fldCharType="separate"/>
        </w:r>
        <w:r w:rsidR="00EE0BF5">
          <w:rPr>
            <w:noProof/>
            <w:webHidden/>
          </w:rPr>
          <w:t>24</w:t>
        </w:r>
        <w:r w:rsidR="00D8288E">
          <w:rPr>
            <w:noProof/>
            <w:webHidden/>
          </w:rPr>
          <w:fldChar w:fldCharType="end"/>
        </w:r>
      </w:hyperlink>
    </w:p>
    <w:p w14:paraId="205B066E" w14:textId="1BE15A77" w:rsidR="00D8288E" w:rsidRDefault="008043C8">
      <w:pPr>
        <w:pStyle w:val="TableofFigures"/>
        <w:rPr>
          <w:rFonts w:asciiTheme="minorHAnsi" w:eastAsiaTheme="minorEastAsia" w:hAnsiTheme="minorHAnsi" w:cstheme="minorBidi"/>
          <w:noProof/>
          <w:snapToGrid/>
          <w:szCs w:val="22"/>
        </w:rPr>
      </w:pPr>
      <w:hyperlink w:anchor="_Toc113380874" w:history="1">
        <w:r w:rsidR="00D8288E" w:rsidRPr="005A4C33">
          <w:rPr>
            <w:rStyle w:val="Hyperlink"/>
            <w:noProof/>
            <w:lang w:eastAsia="zh-TW"/>
          </w:rPr>
          <w:t xml:space="preserve">Figure 2.10. </w:t>
        </w:r>
        <w:r w:rsidR="00D8288E" w:rsidRPr="005A4C33">
          <w:rPr>
            <w:rStyle w:val="Hyperlink"/>
            <w:bCs/>
            <w:noProof/>
          </w:rPr>
          <w:t>Heat maps showing the ratio of standard deviation for climate projections with respect to the corresponding observations.</w:t>
        </w:r>
        <w:r w:rsidR="00D8288E">
          <w:rPr>
            <w:noProof/>
            <w:webHidden/>
          </w:rPr>
          <w:tab/>
        </w:r>
        <w:r w:rsidR="00D8288E">
          <w:rPr>
            <w:noProof/>
            <w:webHidden/>
          </w:rPr>
          <w:fldChar w:fldCharType="begin"/>
        </w:r>
        <w:r w:rsidR="00D8288E">
          <w:rPr>
            <w:noProof/>
            <w:webHidden/>
          </w:rPr>
          <w:instrText xml:space="preserve"> PAGEREF _Toc113380874 \h </w:instrText>
        </w:r>
        <w:r w:rsidR="00D8288E">
          <w:rPr>
            <w:noProof/>
            <w:webHidden/>
          </w:rPr>
        </w:r>
        <w:r w:rsidR="00D8288E">
          <w:rPr>
            <w:noProof/>
            <w:webHidden/>
          </w:rPr>
          <w:fldChar w:fldCharType="separate"/>
        </w:r>
        <w:r w:rsidR="00EE0BF5">
          <w:rPr>
            <w:noProof/>
            <w:webHidden/>
          </w:rPr>
          <w:t>24</w:t>
        </w:r>
        <w:r w:rsidR="00D8288E">
          <w:rPr>
            <w:noProof/>
            <w:webHidden/>
          </w:rPr>
          <w:fldChar w:fldCharType="end"/>
        </w:r>
      </w:hyperlink>
    </w:p>
    <w:p w14:paraId="5F125F02" w14:textId="67ED969F" w:rsidR="00D8288E" w:rsidRDefault="008043C8">
      <w:pPr>
        <w:pStyle w:val="TableofFigures"/>
        <w:rPr>
          <w:rFonts w:asciiTheme="minorHAnsi" w:eastAsiaTheme="minorEastAsia" w:hAnsiTheme="minorHAnsi" w:cstheme="minorBidi"/>
          <w:noProof/>
          <w:snapToGrid/>
          <w:szCs w:val="22"/>
        </w:rPr>
      </w:pPr>
      <w:hyperlink w:anchor="_Toc113380875" w:history="1">
        <w:r w:rsidR="00D8288E" w:rsidRPr="005A4C33">
          <w:rPr>
            <w:rStyle w:val="Hyperlink"/>
            <w:noProof/>
            <w:lang w:eastAsia="zh-TW"/>
          </w:rPr>
          <w:t xml:space="preserve">Figure 2.11. </w:t>
        </w:r>
        <w:r w:rsidR="00D8288E" w:rsidRPr="005A4C33">
          <w:rPr>
            <w:rStyle w:val="Hyperlink"/>
            <w:noProof/>
          </w:rPr>
          <w:t>Heat maps showing the biases in the climate projections with respect to the corresponding observations.</w:t>
        </w:r>
        <w:r w:rsidR="00D8288E">
          <w:rPr>
            <w:noProof/>
            <w:webHidden/>
          </w:rPr>
          <w:tab/>
        </w:r>
        <w:r w:rsidR="00D8288E">
          <w:rPr>
            <w:noProof/>
            <w:webHidden/>
          </w:rPr>
          <w:fldChar w:fldCharType="begin"/>
        </w:r>
        <w:r w:rsidR="00D8288E">
          <w:rPr>
            <w:noProof/>
            <w:webHidden/>
          </w:rPr>
          <w:instrText xml:space="preserve"> PAGEREF _Toc113380875 \h </w:instrText>
        </w:r>
        <w:r w:rsidR="00D8288E">
          <w:rPr>
            <w:noProof/>
            <w:webHidden/>
          </w:rPr>
        </w:r>
        <w:r w:rsidR="00D8288E">
          <w:rPr>
            <w:noProof/>
            <w:webHidden/>
          </w:rPr>
          <w:fldChar w:fldCharType="separate"/>
        </w:r>
        <w:r w:rsidR="00EE0BF5">
          <w:rPr>
            <w:noProof/>
            <w:webHidden/>
          </w:rPr>
          <w:t>25</w:t>
        </w:r>
        <w:r w:rsidR="00D8288E">
          <w:rPr>
            <w:noProof/>
            <w:webHidden/>
          </w:rPr>
          <w:fldChar w:fldCharType="end"/>
        </w:r>
      </w:hyperlink>
    </w:p>
    <w:p w14:paraId="5ED3C0A4" w14:textId="5675CD35" w:rsidR="00D8288E" w:rsidRDefault="008043C8">
      <w:pPr>
        <w:pStyle w:val="TableofFigures"/>
        <w:rPr>
          <w:rFonts w:asciiTheme="minorHAnsi" w:eastAsiaTheme="minorEastAsia" w:hAnsiTheme="minorHAnsi" w:cstheme="minorBidi"/>
          <w:noProof/>
          <w:snapToGrid/>
          <w:szCs w:val="22"/>
        </w:rPr>
      </w:pPr>
      <w:hyperlink w:anchor="_Toc113380876" w:history="1">
        <w:r w:rsidR="00D8288E" w:rsidRPr="005A4C33">
          <w:rPr>
            <w:rStyle w:val="Hyperlink"/>
            <w:noProof/>
            <w:lang w:eastAsia="zh-TW"/>
          </w:rPr>
          <w:t>Figure 2.12. Performance of VIC at various HUC8s in the CONUS.</w:t>
        </w:r>
        <w:r w:rsidR="00D8288E">
          <w:rPr>
            <w:noProof/>
            <w:webHidden/>
          </w:rPr>
          <w:tab/>
        </w:r>
        <w:r w:rsidR="00D8288E">
          <w:rPr>
            <w:noProof/>
            <w:webHidden/>
          </w:rPr>
          <w:fldChar w:fldCharType="begin"/>
        </w:r>
        <w:r w:rsidR="00D8288E">
          <w:rPr>
            <w:noProof/>
            <w:webHidden/>
          </w:rPr>
          <w:instrText xml:space="preserve"> PAGEREF _Toc113380876 \h </w:instrText>
        </w:r>
        <w:r w:rsidR="00D8288E">
          <w:rPr>
            <w:noProof/>
            <w:webHidden/>
          </w:rPr>
        </w:r>
        <w:r w:rsidR="00D8288E">
          <w:rPr>
            <w:noProof/>
            <w:webHidden/>
          </w:rPr>
          <w:fldChar w:fldCharType="separate"/>
        </w:r>
        <w:r w:rsidR="00EE0BF5">
          <w:rPr>
            <w:noProof/>
            <w:webHidden/>
          </w:rPr>
          <w:t>30</w:t>
        </w:r>
        <w:r w:rsidR="00D8288E">
          <w:rPr>
            <w:noProof/>
            <w:webHidden/>
          </w:rPr>
          <w:fldChar w:fldCharType="end"/>
        </w:r>
      </w:hyperlink>
    </w:p>
    <w:p w14:paraId="7C924983" w14:textId="58B91A4F" w:rsidR="00D8288E" w:rsidRDefault="008043C8">
      <w:pPr>
        <w:pStyle w:val="TableofFigures"/>
        <w:rPr>
          <w:rFonts w:asciiTheme="minorHAnsi" w:eastAsiaTheme="minorEastAsia" w:hAnsiTheme="minorHAnsi" w:cstheme="minorBidi"/>
          <w:noProof/>
          <w:snapToGrid/>
          <w:szCs w:val="22"/>
        </w:rPr>
      </w:pPr>
      <w:hyperlink w:anchor="_Toc113380877" w:history="1">
        <w:r w:rsidR="00D8288E" w:rsidRPr="005A4C33">
          <w:rPr>
            <w:rStyle w:val="Hyperlink"/>
            <w:noProof/>
            <w:lang w:eastAsia="zh-TW"/>
          </w:rPr>
          <w:t>Figure 2.13. Performance of PRMS at various HUC8s in the CONUS.</w:t>
        </w:r>
        <w:r w:rsidR="00D8288E">
          <w:rPr>
            <w:noProof/>
            <w:webHidden/>
          </w:rPr>
          <w:tab/>
        </w:r>
        <w:r w:rsidR="00D8288E">
          <w:rPr>
            <w:noProof/>
            <w:webHidden/>
          </w:rPr>
          <w:fldChar w:fldCharType="begin"/>
        </w:r>
        <w:r w:rsidR="00D8288E">
          <w:rPr>
            <w:noProof/>
            <w:webHidden/>
          </w:rPr>
          <w:instrText xml:space="preserve"> PAGEREF _Toc113380877 \h </w:instrText>
        </w:r>
        <w:r w:rsidR="00D8288E">
          <w:rPr>
            <w:noProof/>
            <w:webHidden/>
          </w:rPr>
        </w:r>
        <w:r w:rsidR="00D8288E">
          <w:rPr>
            <w:noProof/>
            <w:webHidden/>
          </w:rPr>
          <w:fldChar w:fldCharType="separate"/>
        </w:r>
        <w:r w:rsidR="00EE0BF5">
          <w:rPr>
            <w:noProof/>
            <w:webHidden/>
          </w:rPr>
          <w:t>31</w:t>
        </w:r>
        <w:r w:rsidR="00D8288E">
          <w:rPr>
            <w:noProof/>
            <w:webHidden/>
          </w:rPr>
          <w:fldChar w:fldCharType="end"/>
        </w:r>
      </w:hyperlink>
    </w:p>
    <w:p w14:paraId="131B230C" w14:textId="54DAC707" w:rsidR="00D8288E" w:rsidRDefault="008043C8">
      <w:pPr>
        <w:pStyle w:val="TableofFigures"/>
        <w:rPr>
          <w:rFonts w:asciiTheme="minorHAnsi" w:eastAsiaTheme="minorEastAsia" w:hAnsiTheme="minorHAnsi" w:cstheme="minorBidi"/>
          <w:noProof/>
          <w:snapToGrid/>
          <w:szCs w:val="22"/>
        </w:rPr>
      </w:pPr>
      <w:hyperlink w:anchor="_Toc113380878" w:history="1">
        <w:r w:rsidR="00D8288E" w:rsidRPr="005A4C33">
          <w:rPr>
            <w:rStyle w:val="Hyperlink"/>
            <w:noProof/>
            <w:lang w:eastAsia="zh-TW"/>
          </w:rPr>
          <w:t>Figure 2.14. Performance of VIC and PRMS at various SNOTEL sites.</w:t>
        </w:r>
        <w:r w:rsidR="00D8288E">
          <w:rPr>
            <w:noProof/>
            <w:webHidden/>
          </w:rPr>
          <w:tab/>
        </w:r>
        <w:r w:rsidR="00D8288E">
          <w:rPr>
            <w:noProof/>
            <w:webHidden/>
          </w:rPr>
          <w:fldChar w:fldCharType="begin"/>
        </w:r>
        <w:r w:rsidR="00D8288E">
          <w:rPr>
            <w:noProof/>
            <w:webHidden/>
          </w:rPr>
          <w:instrText xml:space="preserve"> PAGEREF _Toc113380878 \h </w:instrText>
        </w:r>
        <w:r w:rsidR="00D8288E">
          <w:rPr>
            <w:noProof/>
            <w:webHidden/>
          </w:rPr>
        </w:r>
        <w:r w:rsidR="00D8288E">
          <w:rPr>
            <w:noProof/>
            <w:webHidden/>
          </w:rPr>
          <w:fldChar w:fldCharType="separate"/>
        </w:r>
        <w:r w:rsidR="00EE0BF5">
          <w:rPr>
            <w:noProof/>
            <w:webHidden/>
          </w:rPr>
          <w:t>32</w:t>
        </w:r>
        <w:r w:rsidR="00D8288E">
          <w:rPr>
            <w:noProof/>
            <w:webHidden/>
          </w:rPr>
          <w:fldChar w:fldCharType="end"/>
        </w:r>
      </w:hyperlink>
    </w:p>
    <w:p w14:paraId="131C51F6" w14:textId="1C64F521" w:rsidR="00D8288E" w:rsidRDefault="008043C8">
      <w:pPr>
        <w:pStyle w:val="TableofFigures"/>
        <w:rPr>
          <w:rFonts w:asciiTheme="minorHAnsi" w:eastAsiaTheme="minorEastAsia" w:hAnsiTheme="minorHAnsi" w:cstheme="minorBidi"/>
          <w:noProof/>
          <w:snapToGrid/>
          <w:szCs w:val="22"/>
        </w:rPr>
      </w:pPr>
      <w:hyperlink w:anchor="_Toc113380879" w:history="1">
        <w:r w:rsidR="00D8288E" w:rsidRPr="005A4C33">
          <w:rPr>
            <w:rStyle w:val="Hyperlink"/>
            <w:noProof/>
            <w:lang w:eastAsia="zh-TW"/>
          </w:rPr>
          <w:t>Figure 2.15. Schema of WRES</w:t>
        </w:r>
        <w:r w:rsidR="00D8288E" w:rsidRPr="005A4C33">
          <w:rPr>
            <w:rStyle w:val="Hyperlink"/>
            <w:bCs/>
            <w:noProof/>
          </w:rPr>
          <w:t>.</w:t>
        </w:r>
        <w:r w:rsidR="00D8288E">
          <w:rPr>
            <w:noProof/>
            <w:webHidden/>
          </w:rPr>
          <w:tab/>
        </w:r>
        <w:r w:rsidR="00D8288E">
          <w:rPr>
            <w:noProof/>
            <w:webHidden/>
          </w:rPr>
          <w:fldChar w:fldCharType="begin"/>
        </w:r>
        <w:r w:rsidR="00D8288E">
          <w:rPr>
            <w:noProof/>
            <w:webHidden/>
          </w:rPr>
          <w:instrText xml:space="preserve"> PAGEREF _Toc113380879 \h </w:instrText>
        </w:r>
        <w:r w:rsidR="00D8288E">
          <w:rPr>
            <w:noProof/>
            <w:webHidden/>
          </w:rPr>
        </w:r>
        <w:r w:rsidR="00D8288E">
          <w:rPr>
            <w:noProof/>
            <w:webHidden/>
          </w:rPr>
          <w:fldChar w:fldCharType="separate"/>
        </w:r>
        <w:r w:rsidR="00EE0BF5">
          <w:rPr>
            <w:noProof/>
            <w:webHidden/>
          </w:rPr>
          <w:t>35</w:t>
        </w:r>
        <w:r w:rsidR="00D8288E">
          <w:rPr>
            <w:noProof/>
            <w:webHidden/>
          </w:rPr>
          <w:fldChar w:fldCharType="end"/>
        </w:r>
      </w:hyperlink>
    </w:p>
    <w:p w14:paraId="40811299" w14:textId="321627C5" w:rsidR="00D8288E" w:rsidRDefault="008043C8">
      <w:pPr>
        <w:pStyle w:val="TableofFigures"/>
        <w:rPr>
          <w:rFonts w:asciiTheme="minorHAnsi" w:eastAsiaTheme="minorEastAsia" w:hAnsiTheme="minorHAnsi" w:cstheme="minorBidi"/>
          <w:noProof/>
          <w:snapToGrid/>
          <w:szCs w:val="22"/>
        </w:rPr>
      </w:pPr>
      <w:hyperlink w:anchor="_Toc113380880" w:history="1">
        <w:r w:rsidR="00D8288E" w:rsidRPr="005A4C33">
          <w:rPr>
            <w:rStyle w:val="Hyperlink"/>
            <w:noProof/>
            <w:lang w:eastAsia="zh-TW"/>
          </w:rPr>
          <w:t>Figure 2.16. Schema of WMP</w:t>
        </w:r>
        <w:r w:rsidR="00D8288E" w:rsidRPr="005A4C33">
          <w:rPr>
            <w:rStyle w:val="Hyperlink"/>
            <w:bCs/>
            <w:noProof/>
          </w:rPr>
          <w:t>.</w:t>
        </w:r>
        <w:r w:rsidR="00D8288E">
          <w:rPr>
            <w:noProof/>
            <w:webHidden/>
          </w:rPr>
          <w:tab/>
        </w:r>
        <w:r w:rsidR="00D8288E">
          <w:rPr>
            <w:noProof/>
            <w:webHidden/>
          </w:rPr>
          <w:fldChar w:fldCharType="begin"/>
        </w:r>
        <w:r w:rsidR="00D8288E">
          <w:rPr>
            <w:noProof/>
            <w:webHidden/>
          </w:rPr>
          <w:instrText xml:space="preserve"> PAGEREF _Toc113380880 \h </w:instrText>
        </w:r>
        <w:r w:rsidR="00D8288E">
          <w:rPr>
            <w:noProof/>
            <w:webHidden/>
          </w:rPr>
        </w:r>
        <w:r w:rsidR="00D8288E">
          <w:rPr>
            <w:noProof/>
            <w:webHidden/>
          </w:rPr>
          <w:fldChar w:fldCharType="separate"/>
        </w:r>
        <w:r w:rsidR="00EE0BF5">
          <w:rPr>
            <w:noProof/>
            <w:webHidden/>
          </w:rPr>
          <w:t>38</w:t>
        </w:r>
        <w:r w:rsidR="00D8288E">
          <w:rPr>
            <w:noProof/>
            <w:webHidden/>
          </w:rPr>
          <w:fldChar w:fldCharType="end"/>
        </w:r>
      </w:hyperlink>
    </w:p>
    <w:p w14:paraId="32B35552" w14:textId="07E7CAB2" w:rsidR="00D8288E" w:rsidRDefault="008043C8">
      <w:pPr>
        <w:pStyle w:val="TableofFigures"/>
        <w:rPr>
          <w:rFonts w:asciiTheme="minorHAnsi" w:eastAsiaTheme="minorEastAsia" w:hAnsiTheme="minorHAnsi" w:cstheme="minorBidi"/>
          <w:noProof/>
          <w:snapToGrid/>
          <w:szCs w:val="22"/>
        </w:rPr>
      </w:pPr>
      <w:hyperlink w:anchor="_Toc113380881" w:history="1">
        <w:r w:rsidR="00D8288E" w:rsidRPr="005A4C33">
          <w:rPr>
            <w:rStyle w:val="Hyperlink"/>
            <w:noProof/>
            <w:lang w:eastAsia="zh-TW"/>
          </w:rPr>
          <w:t xml:space="preserve">Figure 2.17. </w:t>
        </w:r>
        <w:r w:rsidR="00D8288E" w:rsidRPr="005A4C33">
          <w:rPr>
            <w:rStyle w:val="Hyperlink"/>
            <w:noProof/>
          </w:rPr>
          <w:t>Map of powered and nonpowered dams represented in MOSART-WM and WMP over the CONUS.</w:t>
        </w:r>
        <w:r w:rsidR="00D8288E">
          <w:rPr>
            <w:noProof/>
            <w:webHidden/>
          </w:rPr>
          <w:tab/>
        </w:r>
        <w:r w:rsidR="00D8288E">
          <w:rPr>
            <w:noProof/>
            <w:webHidden/>
          </w:rPr>
          <w:fldChar w:fldCharType="begin"/>
        </w:r>
        <w:r w:rsidR="00D8288E">
          <w:rPr>
            <w:noProof/>
            <w:webHidden/>
          </w:rPr>
          <w:instrText xml:space="preserve"> PAGEREF _Toc113380881 \h </w:instrText>
        </w:r>
        <w:r w:rsidR="00D8288E">
          <w:rPr>
            <w:noProof/>
            <w:webHidden/>
          </w:rPr>
        </w:r>
        <w:r w:rsidR="00D8288E">
          <w:rPr>
            <w:noProof/>
            <w:webHidden/>
          </w:rPr>
          <w:fldChar w:fldCharType="separate"/>
        </w:r>
        <w:r w:rsidR="00EE0BF5">
          <w:rPr>
            <w:noProof/>
            <w:webHidden/>
          </w:rPr>
          <w:t>39</w:t>
        </w:r>
        <w:r w:rsidR="00D8288E">
          <w:rPr>
            <w:noProof/>
            <w:webHidden/>
          </w:rPr>
          <w:fldChar w:fldCharType="end"/>
        </w:r>
      </w:hyperlink>
    </w:p>
    <w:p w14:paraId="24DCE72F" w14:textId="596CAB85" w:rsidR="00D8288E" w:rsidRDefault="008043C8">
      <w:pPr>
        <w:pStyle w:val="TableofFigures"/>
        <w:rPr>
          <w:rFonts w:asciiTheme="minorHAnsi" w:eastAsiaTheme="minorEastAsia" w:hAnsiTheme="minorHAnsi" w:cstheme="minorBidi"/>
          <w:noProof/>
          <w:snapToGrid/>
          <w:szCs w:val="22"/>
        </w:rPr>
      </w:pPr>
      <w:hyperlink w:anchor="_Toc113380882" w:history="1">
        <w:r w:rsidR="00D8288E" w:rsidRPr="005A4C33">
          <w:rPr>
            <w:rStyle w:val="Hyperlink"/>
            <w:noProof/>
            <w:lang w:eastAsia="zh-TW"/>
          </w:rPr>
          <w:t>Figure 2.18. Performance of WRES and WMP.</w:t>
        </w:r>
        <w:r w:rsidR="00D8288E">
          <w:rPr>
            <w:noProof/>
            <w:webHidden/>
          </w:rPr>
          <w:tab/>
        </w:r>
        <w:r w:rsidR="00D8288E">
          <w:rPr>
            <w:noProof/>
            <w:webHidden/>
          </w:rPr>
          <w:fldChar w:fldCharType="begin"/>
        </w:r>
        <w:r w:rsidR="00D8288E">
          <w:rPr>
            <w:noProof/>
            <w:webHidden/>
          </w:rPr>
          <w:instrText xml:space="preserve"> PAGEREF _Toc113380882 \h </w:instrText>
        </w:r>
        <w:r w:rsidR="00D8288E">
          <w:rPr>
            <w:noProof/>
            <w:webHidden/>
          </w:rPr>
        </w:r>
        <w:r w:rsidR="00D8288E">
          <w:rPr>
            <w:noProof/>
            <w:webHidden/>
          </w:rPr>
          <w:fldChar w:fldCharType="separate"/>
        </w:r>
        <w:r w:rsidR="00EE0BF5">
          <w:rPr>
            <w:noProof/>
            <w:webHidden/>
          </w:rPr>
          <w:t>41</w:t>
        </w:r>
        <w:r w:rsidR="00D8288E">
          <w:rPr>
            <w:noProof/>
            <w:webHidden/>
          </w:rPr>
          <w:fldChar w:fldCharType="end"/>
        </w:r>
      </w:hyperlink>
    </w:p>
    <w:p w14:paraId="499DB8FC" w14:textId="5A874C54" w:rsidR="00D8288E" w:rsidRDefault="008043C8">
      <w:pPr>
        <w:pStyle w:val="TableofFigures"/>
        <w:rPr>
          <w:rFonts w:asciiTheme="minorHAnsi" w:eastAsiaTheme="minorEastAsia" w:hAnsiTheme="minorHAnsi" w:cstheme="minorBidi"/>
          <w:noProof/>
          <w:snapToGrid/>
          <w:szCs w:val="22"/>
        </w:rPr>
      </w:pPr>
      <w:hyperlink w:anchor="_Toc113380883" w:history="1">
        <w:r w:rsidR="00D8288E" w:rsidRPr="005A4C33">
          <w:rPr>
            <w:rStyle w:val="Hyperlink"/>
            <w:noProof/>
            <w:lang w:eastAsia="zh-TW"/>
          </w:rPr>
          <w:t xml:space="preserve">Figure 2.19. </w:t>
        </w:r>
        <w:r w:rsidR="00D8288E" w:rsidRPr="005A4C33">
          <w:rPr>
            <w:rStyle w:val="Hyperlink"/>
            <w:bCs/>
            <w:noProof/>
          </w:rPr>
          <w:t>Flowchart for quantifying reservoir evaporation volumes.</w:t>
        </w:r>
        <w:r w:rsidR="00D8288E">
          <w:rPr>
            <w:noProof/>
            <w:webHidden/>
          </w:rPr>
          <w:tab/>
        </w:r>
        <w:r w:rsidR="00D8288E">
          <w:rPr>
            <w:noProof/>
            <w:webHidden/>
          </w:rPr>
          <w:fldChar w:fldCharType="begin"/>
        </w:r>
        <w:r w:rsidR="00D8288E">
          <w:rPr>
            <w:noProof/>
            <w:webHidden/>
          </w:rPr>
          <w:instrText xml:space="preserve"> PAGEREF _Toc113380883 \h </w:instrText>
        </w:r>
        <w:r w:rsidR="00D8288E">
          <w:rPr>
            <w:noProof/>
            <w:webHidden/>
          </w:rPr>
        </w:r>
        <w:r w:rsidR="00D8288E">
          <w:rPr>
            <w:noProof/>
            <w:webHidden/>
          </w:rPr>
          <w:fldChar w:fldCharType="separate"/>
        </w:r>
        <w:r w:rsidR="00EE0BF5">
          <w:rPr>
            <w:noProof/>
            <w:webHidden/>
          </w:rPr>
          <w:t>45</w:t>
        </w:r>
        <w:r w:rsidR="00D8288E">
          <w:rPr>
            <w:noProof/>
            <w:webHidden/>
          </w:rPr>
          <w:fldChar w:fldCharType="end"/>
        </w:r>
      </w:hyperlink>
    </w:p>
    <w:p w14:paraId="42CE7D41" w14:textId="68F506B3" w:rsidR="00D8288E" w:rsidRDefault="008043C8">
      <w:pPr>
        <w:pStyle w:val="TableofFigures"/>
        <w:rPr>
          <w:rFonts w:asciiTheme="minorHAnsi" w:eastAsiaTheme="minorEastAsia" w:hAnsiTheme="minorHAnsi" w:cstheme="minorBidi"/>
          <w:noProof/>
          <w:snapToGrid/>
          <w:szCs w:val="22"/>
        </w:rPr>
      </w:pPr>
      <w:hyperlink w:anchor="_Toc113380884" w:history="1">
        <w:r w:rsidR="00D8288E" w:rsidRPr="005A4C33">
          <w:rPr>
            <w:rStyle w:val="Hyperlink"/>
            <w:noProof/>
            <w:lang w:eastAsia="zh-TW"/>
          </w:rPr>
          <w:t xml:space="preserve">Figure 2.20. </w:t>
        </w:r>
        <w:r w:rsidR="00D8288E" w:rsidRPr="005A4C33">
          <w:rPr>
            <w:rStyle w:val="Hyperlink"/>
            <w:noProof/>
          </w:rPr>
          <w:t>Calculation of the reservoir fetch for a given wind direction.</w:t>
        </w:r>
        <w:r w:rsidR="00D8288E">
          <w:rPr>
            <w:noProof/>
            <w:webHidden/>
          </w:rPr>
          <w:tab/>
        </w:r>
        <w:r w:rsidR="00D8288E">
          <w:rPr>
            <w:noProof/>
            <w:webHidden/>
          </w:rPr>
          <w:fldChar w:fldCharType="begin"/>
        </w:r>
        <w:r w:rsidR="00D8288E">
          <w:rPr>
            <w:noProof/>
            <w:webHidden/>
          </w:rPr>
          <w:instrText xml:space="preserve"> PAGEREF _Toc113380884 \h </w:instrText>
        </w:r>
        <w:r w:rsidR="00D8288E">
          <w:rPr>
            <w:noProof/>
            <w:webHidden/>
          </w:rPr>
        </w:r>
        <w:r w:rsidR="00D8288E">
          <w:rPr>
            <w:noProof/>
            <w:webHidden/>
          </w:rPr>
          <w:fldChar w:fldCharType="separate"/>
        </w:r>
        <w:r w:rsidR="00EE0BF5">
          <w:rPr>
            <w:noProof/>
            <w:webHidden/>
          </w:rPr>
          <w:t>45</w:t>
        </w:r>
        <w:r w:rsidR="00D8288E">
          <w:rPr>
            <w:noProof/>
            <w:webHidden/>
          </w:rPr>
          <w:fldChar w:fldCharType="end"/>
        </w:r>
      </w:hyperlink>
    </w:p>
    <w:p w14:paraId="06A7FB10" w14:textId="245F6347" w:rsidR="00D8288E" w:rsidRDefault="008043C8">
      <w:pPr>
        <w:pStyle w:val="TableofFigures"/>
        <w:rPr>
          <w:rFonts w:asciiTheme="minorHAnsi" w:eastAsiaTheme="minorEastAsia" w:hAnsiTheme="minorHAnsi" w:cstheme="minorBidi"/>
          <w:noProof/>
          <w:snapToGrid/>
          <w:szCs w:val="22"/>
        </w:rPr>
      </w:pPr>
      <w:hyperlink w:anchor="_Toc113380885" w:history="1">
        <w:r w:rsidR="00D8288E" w:rsidRPr="005A4C33">
          <w:rPr>
            <w:rStyle w:val="Hyperlink"/>
            <w:noProof/>
            <w:lang w:eastAsia="zh-TW"/>
          </w:rPr>
          <w:t xml:space="preserve">Figure 2.21. </w:t>
        </w:r>
        <w:r w:rsidR="00D8288E" w:rsidRPr="005A4C33">
          <w:rPr>
            <w:rStyle w:val="Hyperlink"/>
            <w:noProof/>
            <w:lang w:eastAsia="zh-CN"/>
          </w:rPr>
          <w:t>Reservoir classifications according to storage variations</w:t>
        </w:r>
        <w:r w:rsidR="00D8288E" w:rsidRPr="005A4C33">
          <w:rPr>
            <w:rStyle w:val="Hyperlink"/>
            <w:bCs/>
            <w:noProof/>
          </w:rPr>
          <w:t>.</w:t>
        </w:r>
        <w:r w:rsidR="00D8288E">
          <w:rPr>
            <w:noProof/>
            <w:webHidden/>
          </w:rPr>
          <w:tab/>
        </w:r>
        <w:r w:rsidR="00D8288E">
          <w:rPr>
            <w:noProof/>
            <w:webHidden/>
          </w:rPr>
          <w:fldChar w:fldCharType="begin"/>
        </w:r>
        <w:r w:rsidR="00D8288E">
          <w:rPr>
            <w:noProof/>
            <w:webHidden/>
          </w:rPr>
          <w:instrText xml:space="preserve"> PAGEREF _Toc113380885 \h </w:instrText>
        </w:r>
        <w:r w:rsidR="00D8288E">
          <w:rPr>
            <w:noProof/>
            <w:webHidden/>
          </w:rPr>
        </w:r>
        <w:r w:rsidR="00D8288E">
          <w:rPr>
            <w:noProof/>
            <w:webHidden/>
          </w:rPr>
          <w:fldChar w:fldCharType="separate"/>
        </w:r>
        <w:r w:rsidR="00EE0BF5">
          <w:rPr>
            <w:noProof/>
            <w:webHidden/>
          </w:rPr>
          <w:t>46</w:t>
        </w:r>
        <w:r w:rsidR="00D8288E">
          <w:rPr>
            <w:noProof/>
            <w:webHidden/>
          </w:rPr>
          <w:fldChar w:fldCharType="end"/>
        </w:r>
      </w:hyperlink>
    </w:p>
    <w:p w14:paraId="75573D1F" w14:textId="460F29D8" w:rsidR="00D8288E" w:rsidRDefault="008043C8">
      <w:pPr>
        <w:pStyle w:val="TableofFigures"/>
        <w:rPr>
          <w:rFonts w:asciiTheme="minorHAnsi" w:eastAsiaTheme="minorEastAsia" w:hAnsiTheme="minorHAnsi" w:cstheme="minorBidi"/>
          <w:noProof/>
          <w:snapToGrid/>
          <w:szCs w:val="22"/>
        </w:rPr>
      </w:pPr>
      <w:hyperlink w:anchor="_Toc113380886" w:history="1">
        <w:r w:rsidR="00D8288E" w:rsidRPr="005A4C33">
          <w:rPr>
            <w:rStyle w:val="Hyperlink"/>
            <w:noProof/>
            <w:lang w:eastAsia="zh-TW"/>
          </w:rPr>
          <w:t xml:space="preserve">Figure 2.22. </w:t>
        </w:r>
        <w:r w:rsidR="00D8288E" w:rsidRPr="005A4C33">
          <w:rPr>
            <w:rStyle w:val="Hyperlink"/>
            <w:noProof/>
            <w:lang w:eastAsia="zh-CN"/>
          </w:rPr>
          <w:t>The process of</w:t>
        </w:r>
        <w:r w:rsidR="00D8288E" w:rsidRPr="005A4C33">
          <w:rPr>
            <w:rStyle w:val="Hyperlink"/>
            <w:noProof/>
          </w:rPr>
          <w:t xml:space="preserve"> reservoir storage projection based on inflow data: (</w:t>
        </w:r>
        <w:r w:rsidR="00D8288E" w:rsidRPr="005A4C33">
          <w:rPr>
            <w:rStyle w:val="Hyperlink"/>
            <w:noProof/>
            <w:lang w:eastAsia="zh-CN"/>
          </w:rPr>
          <w:t>a) observed storage decomposition, (b) inflow (control run) decomposition, (c) relationship between storage rolling average and inflow rolling average, (d) CMIP6 storage rolling average estimation, (e) CMIP6 storage estimation, and (f) relationship between observed storage and area (remotely sensed).</w:t>
        </w:r>
        <w:r w:rsidR="00D8288E">
          <w:rPr>
            <w:noProof/>
            <w:webHidden/>
          </w:rPr>
          <w:tab/>
        </w:r>
        <w:r w:rsidR="00D8288E">
          <w:rPr>
            <w:noProof/>
            <w:webHidden/>
          </w:rPr>
          <w:fldChar w:fldCharType="begin"/>
        </w:r>
        <w:r w:rsidR="00D8288E">
          <w:rPr>
            <w:noProof/>
            <w:webHidden/>
          </w:rPr>
          <w:instrText xml:space="preserve"> PAGEREF _Toc113380886 \h </w:instrText>
        </w:r>
        <w:r w:rsidR="00D8288E">
          <w:rPr>
            <w:noProof/>
            <w:webHidden/>
          </w:rPr>
        </w:r>
        <w:r w:rsidR="00D8288E">
          <w:rPr>
            <w:noProof/>
            <w:webHidden/>
          </w:rPr>
          <w:fldChar w:fldCharType="separate"/>
        </w:r>
        <w:r w:rsidR="00EE0BF5">
          <w:rPr>
            <w:noProof/>
            <w:webHidden/>
          </w:rPr>
          <w:t>47</w:t>
        </w:r>
        <w:r w:rsidR="00D8288E">
          <w:rPr>
            <w:noProof/>
            <w:webHidden/>
          </w:rPr>
          <w:fldChar w:fldCharType="end"/>
        </w:r>
      </w:hyperlink>
    </w:p>
    <w:p w14:paraId="2ED0C3D3" w14:textId="7B52ADBF" w:rsidR="00D8288E" w:rsidRDefault="008043C8">
      <w:pPr>
        <w:pStyle w:val="TableofFigures"/>
        <w:rPr>
          <w:rFonts w:asciiTheme="minorHAnsi" w:eastAsiaTheme="minorEastAsia" w:hAnsiTheme="minorHAnsi" w:cstheme="minorBidi"/>
          <w:noProof/>
          <w:snapToGrid/>
          <w:szCs w:val="22"/>
        </w:rPr>
      </w:pPr>
      <w:hyperlink w:anchor="_Toc113380887" w:history="1">
        <w:r w:rsidR="00D8288E" w:rsidRPr="005A4C33">
          <w:rPr>
            <w:rStyle w:val="Hyperlink"/>
            <w:noProof/>
            <w:lang w:eastAsia="zh-TW"/>
          </w:rPr>
          <w:t xml:space="preserve">Figure 2.23. </w:t>
        </w:r>
        <w:r w:rsidR="00D8288E" w:rsidRPr="005A4C33">
          <w:rPr>
            <w:rStyle w:val="Hyperlink"/>
            <w:noProof/>
          </w:rPr>
          <w:t>Validation of modeled and observed evaporation rate for (a) Lake Mead (Nevada/Arizona) with eddy covariance (EC) measurements, (b) White Bear Lake (Minnesota) with EC measurements, (c) Ross Barnett Reservoir (Mississippi) with EC measurements, (d) Lake Calm (Florida) with Bowen ratio energy budget (BREB) estimates, and (e) Lake Five-O (Florida) with BREB estimates.</w:t>
        </w:r>
        <w:r w:rsidR="00D8288E">
          <w:rPr>
            <w:noProof/>
            <w:webHidden/>
          </w:rPr>
          <w:tab/>
        </w:r>
        <w:r w:rsidR="00D8288E">
          <w:rPr>
            <w:noProof/>
            <w:webHidden/>
          </w:rPr>
          <w:fldChar w:fldCharType="begin"/>
        </w:r>
        <w:r w:rsidR="00D8288E">
          <w:rPr>
            <w:noProof/>
            <w:webHidden/>
          </w:rPr>
          <w:instrText xml:space="preserve"> PAGEREF _Toc113380887 \h </w:instrText>
        </w:r>
        <w:r w:rsidR="00D8288E">
          <w:rPr>
            <w:noProof/>
            <w:webHidden/>
          </w:rPr>
        </w:r>
        <w:r w:rsidR="00D8288E">
          <w:rPr>
            <w:noProof/>
            <w:webHidden/>
          </w:rPr>
          <w:fldChar w:fldCharType="separate"/>
        </w:r>
        <w:r w:rsidR="00EE0BF5">
          <w:rPr>
            <w:noProof/>
            <w:webHidden/>
          </w:rPr>
          <w:t>48</w:t>
        </w:r>
        <w:r w:rsidR="00D8288E">
          <w:rPr>
            <w:noProof/>
            <w:webHidden/>
          </w:rPr>
          <w:fldChar w:fldCharType="end"/>
        </w:r>
      </w:hyperlink>
    </w:p>
    <w:p w14:paraId="19F54F58" w14:textId="17624BE6" w:rsidR="00D8288E" w:rsidRDefault="008043C8">
      <w:pPr>
        <w:pStyle w:val="TableofFigures"/>
        <w:rPr>
          <w:rFonts w:asciiTheme="minorHAnsi" w:eastAsiaTheme="minorEastAsia" w:hAnsiTheme="minorHAnsi" w:cstheme="minorBidi"/>
          <w:noProof/>
          <w:snapToGrid/>
          <w:szCs w:val="22"/>
        </w:rPr>
      </w:pPr>
      <w:hyperlink w:anchor="_Toc113380888" w:history="1">
        <w:r w:rsidR="00D8288E" w:rsidRPr="005A4C33">
          <w:rPr>
            <w:rStyle w:val="Hyperlink"/>
            <w:noProof/>
            <w:lang w:eastAsia="zh-TW"/>
          </w:rPr>
          <w:t>Figure 2.24. Example ANOVA results for one selected variable (annual runoff) for SEPA-3.</w:t>
        </w:r>
        <w:r w:rsidR="00D8288E">
          <w:rPr>
            <w:noProof/>
            <w:webHidden/>
          </w:rPr>
          <w:tab/>
        </w:r>
        <w:r w:rsidR="00D8288E">
          <w:rPr>
            <w:noProof/>
            <w:webHidden/>
          </w:rPr>
          <w:fldChar w:fldCharType="begin"/>
        </w:r>
        <w:r w:rsidR="00D8288E">
          <w:rPr>
            <w:noProof/>
            <w:webHidden/>
          </w:rPr>
          <w:instrText xml:space="preserve"> PAGEREF _Toc113380888 \h </w:instrText>
        </w:r>
        <w:r w:rsidR="00D8288E">
          <w:rPr>
            <w:noProof/>
            <w:webHidden/>
          </w:rPr>
        </w:r>
        <w:r w:rsidR="00D8288E">
          <w:rPr>
            <w:noProof/>
            <w:webHidden/>
          </w:rPr>
          <w:fldChar w:fldCharType="separate"/>
        </w:r>
        <w:r w:rsidR="00EE0BF5">
          <w:rPr>
            <w:noProof/>
            <w:webHidden/>
          </w:rPr>
          <w:t>54</w:t>
        </w:r>
        <w:r w:rsidR="00D8288E">
          <w:rPr>
            <w:noProof/>
            <w:webHidden/>
          </w:rPr>
          <w:fldChar w:fldCharType="end"/>
        </w:r>
      </w:hyperlink>
    </w:p>
    <w:p w14:paraId="72F1A6B3" w14:textId="5F85D669" w:rsidR="00D8288E" w:rsidRDefault="008043C8">
      <w:pPr>
        <w:pStyle w:val="TableofFigures"/>
        <w:rPr>
          <w:rFonts w:asciiTheme="minorHAnsi" w:eastAsiaTheme="minorEastAsia" w:hAnsiTheme="minorHAnsi" w:cstheme="minorBidi"/>
          <w:noProof/>
          <w:snapToGrid/>
          <w:szCs w:val="22"/>
        </w:rPr>
      </w:pPr>
      <w:hyperlink w:anchor="_Toc113380889" w:history="1">
        <w:r w:rsidR="00D8288E" w:rsidRPr="005A4C33">
          <w:rPr>
            <w:rStyle w:val="Hyperlink"/>
            <w:noProof/>
            <w:lang w:eastAsia="zh-TW"/>
          </w:rPr>
          <w:t>Figure 3.1. Map of the federal hydropower plants and four study areas in the BPA region.</w:t>
        </w:r>
        <w:r w:rsidR="00D8288E">
          <w:rPr>
            <w:noProof/>
            <w:webHidden/>
          </w:rPr>
          <w:tab/>
        </w:r>
        <w:r w:rsidR="00D8288E">
          <w:rPr>
            <w:noProof/>
            <w:webHidden/>
          </w:rPr>
          <w:fldChar w:fldCharType="begin"/>
        </w:r>
        <w:r w:rsidR="00D8288E">
          <w:rPr>
            <w:noProof/>
            <w:webHidden/>
          </w:rPr>
          <w:instrText xml:space="preserve"> PAGEREF _Toc113380889 \h </w:instrText>
        </w:r>
        <w:r w:rsidR="00D8288E">
          <w:rPr>
            <w:noProof/>
            <w:webHidden/>
          </w:rPr>
        </w:r>
        <w:r w:rsidR="00D8288E">
          <w:rPr>
            <w:noProof/>
            <w:webHidden/>
          </w:rPr>
          <w:fldChar w:fldCharType="separate"/>
        </w:r>
        <w:r w:rsidR="00EE0BF5">
          <w:rPr>
            <w:noProof/>
            <w:webHidden/>
          </w:rPr>
          <w:t>56</w:t>
        </w:r>
        <w:r w:rsidR="00D8288E">
          <w:rPr>
            <w:noProof/>
            <w:webHidden/>
          </w:rPr>
          <w:fldChar w:fldCharType="end"/>
        </w:r>
      </w:hyperlink>
    </w:p>
    <w:p w14:paraId="3B952906" w14:textId="2EFEB71B" w:rsidR="00D8288E" w:rsidRDefault="008043C8">
      <w:pPr>
        <w:pStyle w:val="TableofFigures"/>
        <w:rPr>
          <w:rFonts w:asciiTheme="minorHAnsi" w:eastAsiaTheme="minorEastAsia" w:hAnsiTheme="minorHAnsi" w:cstheme="minorBidi"/>
          <w:noProof/>
          <w:snapToGrid/>
          <w:szCs w:val="22"/>
        </w:rPr>
      </w:pPr>
      <w:hyperlink w:anchor="_Toc113380890" w:history="1">
        <w:r w:rsidR="00D8288E" w:rsidRPr="005A4C33">
          <w:rPr>
            <w:rStyle w:val="Hyperlink"/>
            <w:noProof/>
            <w:lang w:eastAsia="zh-TW"/>
          </w:rPr>
          <w:t>Figure 3.2. Projected annual mean temperature in the BPA region.</w:t>
        </w:r>
        <w:r w:rsidR="00D8288E">
          <w:rPr>
            <w:noProof/>
            <w:webHidden/>
          </w:rPr>
          <w:tab/>
        </w:r>
        <w:r w:rsidR="00D8288E">
          <w:rPr>
            <w:noProof/>
            <w:webHidden/>
          </w:rPr>
          <w:fldChar w:fldCharType="begin"/>
        </w:r>
        <w:r w:rsidR="00D8288E">
          <w:rPr>
            <w:noProof/>
            <w:webHidden/>
          </w:rPr>
          <w:instrText xml:space="preserve"> PAGEREF _Toc113380890 \h </w:instrText>
        </w:r>
        <w:r w:rsidR="00D8288E">
          <w:rPr>
            <w:noProof/>
            <w:webHidden/>
          </w:rPr>
        </w:r>
        <w:r w:rsidR="00D8288E">
          <w:rPr>
            <w:noProof/>
            <w:webHidden/>
          </w:rPr>
          <w:fldChar w:fldCharType="separate"/>
        </w:r>
        <w:r w:rsidR="00EE0BF5">
          <w:rPr>
            <w:noProof/>
            <w:webHidden/>
          </w:rPr>
          <w:t>61</w:t>
        </w:r>
        <w:r w:rsidR="00D8288E">
          <w:rPr>
            <w:noProof/>
            <w:webHidden/>
          </w:rPr>
          <w:fldChar w:fldCharType="end"/>
        </w:r>
      </w:hyperlink>
    </w:p>
    <w:p w14:paraId="645398BB" w14:textId="6988A9B7" w:rsidR="00D8288E" w:rsidRDefault="008043C8">
      <w:pPr>
        <w:pStyle w:val="TableofFigures"/>
        <w:rPr>
          <w:rFonts w:asciiTheme="minorHAnsi" w:eastAsiaTheme="minorEastAsia" w:hAnsiTheme="minorHAnsi" w:cstheme="minorBidi"/>
          <w:noProof/>
          <w:snapToGrid/>
          <w:szCs w:val="22"/>
        </w:rPr>
      </w:pPr>
      <w:hyperlink w:anchor="_Toc113380891" w:history="1">
        <w:r w:rsidR="00D8288E" w:rsidRPr="005A4C33">
          <w:rPr>
            <w:rStyle w:val="Hyperlink"/>
            <w:noProof/>
            <w:lang w:eastAsia="zh-TW"/>
          </w:rPr>
          <w:t>Figure 3.3. Projected change of annual and seasonal mean temperature in the BPA region.</w:t>
        </w:r>
        <w:r w:rsidR="00D8288E">
          <w:rPr>
            <w:noProof/>
            <w:webHidden/>
          </w:rPr>
          <w:tab/>
        </w:r>
        <w:r w:rsidR="00D8288E">
          <w:rPr>
            <w:noProof/>
            <w:webHidden/>
          </w:rPr>
          <w:fldChar w:fldCharType="begin"/>
        </w:r>
        <w:r w:rsidR="00D8288E">
          <w:rPr>
            <w:noProof/>
            <w:webHidden/>
          </w:rPr>
          <w:instrText xml:space="preserve"> PAGEREF _Toc113380891 \h </w:instrText>
        </w:r>
        <w:r w:rsidR="00D8288E">
          <w:rPr>
            <w:noProof/>
            <w:webHidden/>
          </w:rPr>
        </w:r>
        <w:r w:rsidR="00D8288E">
          <w:rPr>
            <w:noProof/>
            <w:webHidden/>
          </w:rPr>
          <w:fldChar w:fldCharType="separate"/>
        </w:r>
        <w:r w:rsidR="00EE0BF5">
          <w:rPr>
            <w:noProof/>
            <w:webHidden/>
          </w:rPr>
          <w:t>62</w:t>
        </w:r>
        <w:r w:rsidR="00D8288E">
          <w:rPr>
            <w:noProof/>
            <w:webHidden/>
          </w:rPr>
          <w:fldChar w:fldCharType="end"/>
        </w:r>
      </w:hyperlink>
    </w:p>
    <w:p w14:paraId="761717B2" w14:textId="4CD9A752" w:rsidR="00D8288E" w:rsidRDefault="008043C8">
      <w:pPr>
        <w:pStyle w:val="TableofFigures"/>
        <w:rPr>
          <w:rFonts w:asciiTheme="minorHAnsi" w:eastAsiaTheme="minorEastAsia" w:hAnsiTheme="minorHAnsi" w:cstheme="minorBidi"/>
          <w:noProof/>
          <w:snapToGrid/>
          <w:szCs w:val="22"/>
        </w:rPr>
      </w:pPr>
      <w:hyperlink w:anchor="_Toc113380892" w:history="1">
        <w:r w:rsidR="00D8288E" w:rsidRPr="005A4C33">
          <w:rPr>
            <w:rStyle w:val="Hyperlink"/>
            <w:noProof/>
            <w:lang w:eastAsia="zh-TW"/>
          </w:rPr>
          <w:t>Figure 3.4. Projected annual total precipitation in the BPA region.</w:t>
        </w:r>
        <w:r w:rsidR="00D8288E">
          <w:rPr>
            <w:noProof/>
            <w:webHidden/>
          </w:rPr>
          <w:tab/>
        </w:r>
        <w:r w:rsidR="00D8288E">
          <w:rPr>
            <w:noProof/>
            <w:webHidden/>
          </w:rPr>
          <w:fldChar w:fldCharType="begin"/>
        </w:r>
        <w:r w:rsidR="00D8288E">
          <w:rPr>
            <w:noProof/>
            <w:webHidden/>
          </w:rPr>
          <w:instrText xml:space="preserve"> PAGEREF _Toc113380892 \h </w:instrText>
        </w:r>
        <w:r w:rsidR="00D8288E">
          <w:rPr>
            <w:noProof/>
            <w:webHidden/>
          </w:rPr>
        </w:r>
        <w:r w:rsidR="00D8288E">
          <w:rPr>
            <w:noProof/>
            <w:webHidden/>
          </w:rPr>
          <w:fldChar w:fldCharType="separate"/>
        </w:r>
        <w:r w:rsidR="00EE0BF5">
          <w:rPr>
            <w:noProof/>
            <w:webHidden/>
          </w:rPr>
          <w:t>63</w:t>
        </w:r>
        <w:r w:rsidR="00D8288E">
          <w:rPr>
            <w:noProof/>
            <w:webHidden/>
          </w:rPr>
          <w:fldChar w:fldCharType="end"/>
        </w:r>
      </w:hyperlink>
    </w:p>
    <w:p w14:paraId="6EF4F8BA" w14:textId="4F2C0236" w:rsidR="00D8288E" w:rsidRDefault="008043C8">
      <w:pPr>
        <w:pStyle w:val="TableofFigures"/>
        <w:rPr>
          <w:rFonts w:asciiTheme="minorHAnsi" w:eastAsiaTheme="minorEastAsia" w:hAnsiTheme="minorHAnsi" w:cstheme="minorBidi"/>
          <w:noProof/>
          <w:snapToGrid/>
          <w:szCs w:val="22"/>
        </w:rPr>
      </w:pPr>
      <w:hyperlink w:anchor="_Toc113380893" w:history="1">
        <w:r w:rsidR="00D8288E" w:rsidRPr="005A4C33">
          <w:rPr>
            <w:rStyle w:val="Hyperlink"/>
            <w:noProof/>
            <w:lang w:eastAsia="zh-TW"/>
          </w:rPr>
          <w:t>Figure 3.5. Projected change of annual and seasonal total precipitation in the BPA region.</w:t>
        </w:r>
        <w:r w:rsidR="00D8288E">
          <w:rPr>
            <w:noProof/>
            <w:webHidden/>
          </w:rPr>
          <w:tab/>
        </w:r>
        <w:r w:rsidR="00D8288E">
          <w:rPr>
            <w:noProof/>
            <w:webHidden/>
          </w:rPr>
          <w:fldChar w:fldCharType="begin"/>
        </w:r>
        <w:r w:rsidR="00D8288E">
          <w:rPr>
            <w:noProof/>
            <w:webHidden/>
          </w:rPr>
          <w:instrText xml:space="preserve"> PAGEREF _Toc113380893 \h </w:instrText>
        </w:r>
        <w:r w:rsidR="00D8288E">
          <w:rPr>
            <w:noProof/>
            <w:webHidden/>
          </w:rPr>
        </w:r>
        <w:r w:rsidR="00D8288E">
          <w:rPr>
            <w:noProof/>
            <w:webHidden/>
          </w:rPr>
          <w:fldChar w:fldCharType="separate"/>
        </w:r>
        <w:r w:rsidR="00EE0BF5">
          <w:rPr>
            <w:noProof/>
            <w:webHidden/>
          </w:rPr>
          <w:t>64</w:t>
        </w:r>
        <w:r w:rsidR="00D8288E">
          <w:rPr>
            <w:noProof/>
            <w:webHidden/>
          </w:rPr>
          <w:fldChar w:fldCharType="end"/>
        </w:r>
      </w:hyperlink>
    </w:p>
    <w:p w14:paraId="46F6FB85" w14:textId="32CC7613" w:rsidR="00D8288E" w:rsidRDefault="008043C8">
      <w:pPr>
        <w:pStyle w:val="TableofFigures"/>
        <w:rPr>
          <w:rFonts w:asciiTheme="minorHAnsi" w:eastAsiaTheme="minorEastAsia" w:hAnsiTheme="minorHAnsi" w:cstheme="minorBidi"/>
          <w:noProof/>
          <w:snapToGrid/>
          <w:szCs w:val="22"/>
        </w:rPr>
      </w:pPr>
      <w:hyperlink w:anchor="_Toc113380894" w:history="1">
        <w:r w:rsidR="00D8288E" w:rsidRPr="005A4C33">
          <w:rPr>
            <w:rStyle w:val="Hyperlink"/>
            <w:noProof/>
            <w:lang w:eastAsia="zh-TW"/>
          </w:rPr>
          <w:t>Figure 3.6. Projected annual total runoff in the BPA region.</w:t>
        </w:r>
        <w:r w:rsidR="00D8288E">
          <w:rPr>
            <w:noProof/>
            <w:webHidden/>
          </w:rPr>
          <w:tab/>
        </w:r>
        <w:r w:rsidR="00D8288E">
          <w:rPr>
            <w:noProof/>
            <w:webHidden/>
          </w:rPr>
          <w:fldChar w:fldCharType="begin"/>
        </w:r>
        <w:r w:rsidR="00D8288E">
          <w:rPr>
            <w:noProof/>
            <w:webHidden/>
          </w:rPr>
          <w:instrText xml:space="preserve"> PAGEREF _Toc113380894 \h </w:instrText>
        </w:r>
        <w:r w:rsidR="00D8288E">
          <w:rPr>
            <w:noProof/>
            <w:webHidden/>
          </w:rPr>
        </w:r>
        <w:r w:rsidR="00D8288E">
          <w:rPr>
            <w:noProof/>
            <w:webHidden/>
          </w:rPr>
          <w:fldChar w:fldCharType="separate"/>
        </w:r>
        <w:r w:rsidR="00EE0BF5">
          <w:rPr>
            <w:noProof/>
            <w:webHidden/>
          </w:rPr>
          <w:t>65</w:t>
        </w:r>
        <w:r w:rsidR="00D8288E">
          <w:rPr>
            <w:noProof/>
            <w:webHidden/>
          </w:rPr>
          <w:fldChar w:fldCharType="end"/>
        </w:r>
      </w:hyperlink>
    </w:p>
    <w:p w14:paraId="0C1BF237" w14:textId="208B81C1" w:rsidR="00D8288E" w:rsidRDefault="008043C8">
      <w:pPr>
        <w:pStyle w:val="TableofFigures"/>
        <w:rPr>
          <w:rFonts w:asciiTheme="minorHAnsi" w:eastAsiaTheme="minorEastAsia" w:hAnsiTheme="minorHAnsi" w:cstheme="minorBidi"/>
          <w:noProof/>
          <w:snapToGrid/>
          <w:szCs w:val="22"/>
        </w:rPr>
      </w:pPr>
      <w:hyperlink w:anchor="_Toc113380895" w:history="1">
        <w:r w:rsidR="00D8288E" w:rsidRPr="005A4C33">
          <w:rPr>
            <w:rStyle w:val="Hyperlink"/>
            <w:noProof/>
            <w:lang w:eastAsia="zh-TW"/>
          </w:rPr>
          <w:t>Figure 3.7. Projected change of annual and seasonal total runoff in the BPA region.</w:t>
        </w:r>
        <w:r w:rsidR="00D8288E">
          <w:rPr>
            <w:noProof/>
            <w:webHidden/>
          </w:rPr>
          <w:tab/>
        </w:r>
        <w:r w:rsidR="00D8288E">
          <w:rPr>
            <w:noProof/>
            <w:webHidden/>
          </w:rPr>
          <w:fldChar w:fldCharType="begin"/>
        </w:r>
        <w:r w:rsidR="00D8288E">
          <w:rPr>
            <w:noProof/>
            <w:webHidden/>
          </w:rPr>
          <w:instrText xml:space="preserve"> PAGEREF _Toc113380895 \h </w:instrText>
        </w:r>
        <w:r w:rsidR="00D8288E">
          <w:rPr>
            <w:noProof/>
            <w:webHidden/>
          </w:rPr>
        </w:r>
        <w:r w:rsidR="00D8288E">
          <w:rPr>
            <w:noProof/>
            <w:webHidden/>
          </w:rPr>
          <w:fldChar w:fldCharType="separate"/>
        </w:r>
        <w:r w:rsidR="00EE0BF5">
          <w:rPr>
            <w:noProof/>
            <w:webHidden/>
          </w:rPr>
          <w:t>66</w:t>
        </w:r>
        <w:r w:rsidR="00D8288E">
          <w:rPr>
            <w:noProof/>
            <w:webHidden/>
          </w:rPr>
          <w:fldChar w:fldCharType="end"/>
        </w:r>
      </w:hyperlink>
    </w:p>
    <w:p w14:paraId="2727D3BE" w14:textId="7419E213" w:rsidR="00D8288E" w:rsidRDefault="008043C8">
      <w:pPr>
        <w:pStyle w:val="TableofFigures"/>
        <w:rPr>
          <w:rFonts w:asciiTheme="minorHAnsi" w:eastAsiaTheme="minorEastAsia" w:hAnsiTheme="minorHAnsi" w:cstheme="minorBidi"/>
          <w:noProof/>
          <w:snapToGrid/>
          <w:szCs w:val="22"/>
        </w:rPr>
      </w:pPr>
      <w:hyperlink w:anchor="_Toc113380896" w:history="1">
        <w:r w:rsidR="00D8288E" w:rsidRPr="005A4C33">
          <w:rPr>
            <w:rStyle w:val="Hyperlink"/>
            <w:noProof/>
            <w:lang w:eastAsia="zh-TW"/>
          </w:rPr>
          <w:t>Figure 3.8. Projected change of April 1 SWE in the BPA region.</w:t>
        </w:r>
        <w:r w:rsidR="00D8288E">
          <w:rPr>
            <w:noProof/>
            <w:webHidden/>
          </w:rPr>
          <w:tab/>
        </w:r>
        <w:r w:rsidR="00D8288E">
          <w:rPr>
            <w:noProof/>
            <w:webHidden/>
          </w:rPr>
          <w:fldChar w:fldCharType="begin"/>
        </w:r>
        <w:r w:rsidR="00D8288E">
          <w:rPr>
            <w:noProof/>
            <w:webHidden/>
          </w:rPr>
          <w:instrText xml:space="preserve"> PAGEREF _Toc113380896 \h </w:instrText>
        </w:r>
        <w:r w:rsidR="00D8288E">
          <w:rPr>
            <w:noProof/>
            <w:webHidden/>
          </w:rPr>
        </w:r>
        <w:r w:rsidR="00D8288E">
          <w:rPr>
            <w:noProof/>
            <w:webHidden/>
          </w:rPr>
          <w:fldChar w:fldCharType="separate"/>
        </w:r>
        <w:r w:rsidR="00EE0BF5">
          <w:rPr>
            <w:noProof/>
            <w:webHidden/>
          </w:rPr>
          <w:t>67</w:t>
        </w:r>
        <w:r w:rsidR="00D8288E">
          <w:rPr>
            <w:noProof/>
            <w:webHidden/>
          </w:rPr>
          <w:fldChar w:fldCharType="end"/>
        </w:r>
      </w:hyperlink>
    </w:p>
    <w:p w14:paraId="3DF2D67F" w14:textId="28808F3C" w:rsidR="00D8288E" w:rsidRDefault="008043C8">
      <w:pPr>
        <w:pStyle w:val="TableofFigures"/>
        <w:rPr>
          <w:rFonts w:asciiTheme="minorHAnsi" w:eastAsiaTheme="minorEastAsia" w:hAnsiTheme="minorHAnsi" w:cstheme="minorBidi"/>
          <w:noProof/>
          <w:snapToGrid/>
          <w:szCs w:val="22"/>
        </w:rPr>
      </w:pPr>
      <w:hyperlink w:anchor="_Toc113380897" w:history="1">
        <w:r w:rsidR="00D8288E" w:rsidRPr="005A4C33">
          <w:rPr>
            <w:rStyle w:val="Hyperlink"/>
            <w:noProof/>
            <w:lang w:eastAsia="zh-TW"/>
          </w:rPr>
          <w:t>Figure 3.9. Projected change of high and low runoff in the BPA region.</w:t>
        </w:r>
        <w:r w:rsidR="00D8288E">
          <w:rPr>
            <w:noProof/>
            <w:webHidden/>
          </w:rPr>
          <w:tab/>
        </w:r>
        <w:r w:rsidR="00D8288E">
          <w:rPr>
            <w:noProof/>
            <w:webHidden/>
          </w:rPr>
          <w:fldChar w:fldCharType="begin"/>
        </w:r>
        <w:r w:rsidR="00D8288E">
          <w:rPr>
            <w:noProof/>
            <w:webHidden/>
          </w:rPr>
          <w:instrText xml:space="preserve"> PAGEREF _Toc113380897 \h </w:instrText>
        </w:r>
        <w:r w:rsidR="00D8288E">
          <w:rPr>
            <w:noProof/>
            <w:webHidden/>
          </w:rPr>
        </w:r>
        <w:r w:rsidR="00D8288E">
          <w:rPr>
            <w:noProof/>
            <w:webHidden/>
          </w:rPr>
          <w:fldChar w:fldCharType="separate"/>
        </w:r>
        <w:r w:rsidR="00EE0BF5">
          <w:rPr>
            <w:noProof/>
            <w:webHidden/>
          </w:rPr>
          <w:t>68</w:t>
        </w:r>
        <w:r w:rsidR="00D8288E">
          <w:rPr>
            <w:noProof/>
            <w:webHidden/>
          </w:rPr>
          <w:fldChar w:fldCharType="end"/>
        </w:r>
      </w:hyperlink>
    </w:p>
    <w:p w14:paraId="281BA200" w14:textId="15511A1C" w:rsidR="00D8288E" w:rsidRDefault="008043C8">
      <w:pPr>
        <w:pStyle w:val="TableofFigures"/>
        <w:rPr>
          <w:rFonts w:asciiTheme="minorHAnsi" w:eastAsiaTheme="minorEastAsia" w:hAnsiTheme="minorHAnsi" w:cstheme="minorBidi"/>
          <w:noProof/>
          <w:snapToGrid/>
          <w:szCs w:val="22"/>
        </w:rPr>
      </w:pPr>
      <w:hyperlink w:anchor="_Toc113380898" w:history="1">
        <w:r w:rsidR="00D8288E" w:rsidRPr="005A4C33">
          <w:rPr>
            <w:rStyle w:val="Hyperlink"/>
            <w:noProof/>
            <w:lang w:eastAsia="zh-TW"/>
          </w:rPr>
          <w:t>Figure 3.10. ANOVA of annual total runoff in the BPA region.</w:t>
        </w:r>
        <w:r w:rsidR="00D8288E">
          <w:rPr>
            <w:noProof/>
            <w:webHidden/>
          </w:rPr>
          <w:tab/>
        </w:r>
        <w:r w:rsidR="00D8288E">
          <w:rPr>
            <w:noProof/>
            <w:webHidden/>
          </w:rPr>
          <w:fldChar w:fldCharType="begin"/>
        </w:r>
        <w:r w:rsidR="00D8288E">
          <w:rPr>
            <w:noProof/>
            <w:webHidden/>
          </w:rPr>
          <w:instrText xml:space="preserve"> PAGEREF _Toc113380898 \h </w:instrText>
        </w:r>
        <w:r w:rsidR="00D8288E">
          <w:rPr>
            <w:noProof/>
            <w:webHidden/>
          </w:rPr>
        </w:r>
        <w:r w:rsidR="00D8288E">
          <w:rPr>
            <w:noProof/>
            <w:webHidden/>
          </w:rPr>
          <w:fldChar w:fldCharType="separate"/>
        </w:r>
        <w:r w:rsidR="00EE0BF5">
          <w:rPr>
            <w:noProof/>
            <w:webHidden/>
          </w:rPr>
          <w:t>69</w:t>
        </w:r>
        <w:r w:rsidR="00D8288E">
          <w:rPr>
            <w:noProof/>
            <w:webHidden/>
          </w:rPr>
          <w:fldChar w:fldCharType="end"/>
        </w:r>
      </w:hyperlink>
    </w:p>
    <w:p w14:paraId="4722A800" w14:textId="74C7713E" w:rsidR="00D8288E" w:rsidRDefault="008043C8">
      <w:pPr>
        <w:pStyle w:val="TableofFigures"/>
        <w:rPr>
          <w:rFonts w:asciiTheme="minorHAnsi" w:eastAsiaTheme="minorEastAsia" w:hAnsiTheme="minorHAnsi" w:cstheme="minorBidi"/>
          <w:noProof/>
          <w:snapToGrid/>
          <w:szCs w:val="22"/>
        </w:rPr>
      </w:pPr>
      <w:hyperlink w:anchor="_Toc113380899" w:history="1">
        <w:r w:rsidR="00D8288E" w:rsidRPr="005A4C33">
          <w:rPr>
            <w:rStyle w:val="Hyperlink"/>
            <w:noProof/>
            <w:lang w:eastAsia="zh-TW"/>
          </w:rPr>
          <w:t>Figure 3.11. Projected annual total reservoir evaporation in the BPA region.</w:t>
        </w:r>
        <w:r w:rsidR="00D8288E">
          <w:rPr>
            <w:noProof/>
            <w:webHidden/>
          </w:rPr>
          <w:tab/>
        </w:r>
        <w:r w:rsidR="00D8288E">
          <w:rPr>
            <w:noProof/>
            <w:webHidden/>
          </w:rPr>
          <w:fldChar w:fldCharType="begin"/>
        </w:r>
        <w:r w:rsidR="00D8288E">
          <w:rPr>
            <w:noProof/>
            <w:webHidden/>
          </w:rPr>
          <w:instrText xml:space="preserve"> PAGEREF _Toc113380899 \h </w:instrText>
        </w:r>
        <w:r w:rsidR="00D8288E">
          <w:rPr>
            <w:noProof/>
            <w:webHidden/>
          </w:rPr>
        </w:r>
        <w:r w:rsidR="00D8288E">
          <w:rPr>
            <w:noProof/>
            <w:webHidden/>
          </w:rPr>
          <w:fldChar w:fldCharType="separate"/>
        </w:r>
        <w:r w:rsidR="00EE0BF5">
          <w:rPr>
            <w:noProof/>
            <w:webHidden/>
          </w:rPr>
          <w:t>70</w:t>
        </w:r>
        <w:r w:rsidR="00D8288E">
          <w:rPr>
            <w:noProof/>
            <w:webHidden/>
          </w:rPr>
          <w:fldChar w:fldCharType="end"/>
        </w:r>
      </w:hyperlink>
    </w:p>
    <w:p w14:paraId="1793E537" w14:textId="7C934B26" w:rsidR="00D8288E" w:rsidRDefault="008043C8">
      <w:pPr>
        <w:pStyle w:val="TableofFigures"/>
        <w:rPr>
          <w:rFonts w:asciiTheme="minorHAnsi" w:eastAsiaTheme="minorEastAsia" w:hAnsiTheme="minorHAnsi" w:cstheme="minorBidi"/>
          <w:noProof/>
          <w:snapToGrid/>
          <w:szCs w:val="22"/>
        </w:rPr>
      </w:pPr>
      <w:hyperlink w:anchor="_Toc113380900" w:history="1">
        <w:r w:rsidR="00D8288E" w:rsidRPr="005A4C33">
          <w:rPr>
            <w:rStyle w:val="Hyperlink"/>
            <w:noProof/>
            <w:lang w:eastAsia="zh-TW"/>
          </w:rPr>
          <w:t>Figure 3.12. Projected change of annual and seasonal total reservoir evaporation in the BPA region.</w:t>
        </w:r>
        <w:r w:rsidR="00D8288E">
          <w:rPr>
            <w:noProof/>
            <w:webHidden/>
          </w:rPr>
          <w:tab/>
        </w:r>
        <w:r w:rsidR="00D8288E">
          <w:rPr>
            <w:noProof/>
            <w:webHidden/>
          </w:rPr>
          <w:fldChar w:fldCharType="begin"/>
        </w:r>
        <w:r w:rsidR="00D8288E">
          <w:rPr>
            <w:noProof/>
            <w:webHidden/>
          </w:rPr>
          <w:instrText xml:space="preserve"> PAGEREF _Toc113380900 \h </w:instrText>
        </w:r>
        <w:r w:rsidR="00D8288E">
          <w:rPr>
            <w:noProof/>
            <w:webHidden/>
          </w:rPr>
        </w:r>
        <w:r w:rsidR="00D8288E">
          <w:rPr>
            <w:noProof/>
            <w:webHidden/>
          </w:rPr>
          <w:fldChar w:fldCharType="separate"/>
        </w:r>
        <w:r w:rsidR="00EE0BF5">
          <w:rPr>
            <w:noProof/>
            <w:webHidden/>
          </w:rPr>
          <w:t>71</w:t>
        </w:r>
        <w:r w:rsidR="00D8288E">
          <w:rPr>
            <w:noProof/>
            <w:webHidden/>
          </w:rPr>
          <w:fldChar w:fldCharType="end"/>
        </w:r>
      </w:hyperlink>
    </w:p>
    <w:p w14:paraId="1FCD20F6" w14:textId="385761EC" w:rsidR="00D8288E" w:rsidRDefault="008043C8">
      <w:pPr>
        <w:pStyle w:val="TableofFigures"/>
        <w:rPr>
          <w:rFonts w:asciiTheme="minorHAnsi" w:eastAsiaTheme="minorEastAsia" w:hAnsiTheme="minorHAnsi" w:cstheme="minorBidi"/>
          <w:noProof/>
          <w:snapToGrid/>
          <w:szCs w:val="22"/>
        </w:rPr>
      </w:pPr>
      <w:hyperlink w:anchor="_Toc113380901" w:history="1">
        <w:r w:rsidR="00D8288E" w:rsidRPr="005A4C33">
          <w:rPr>
            <w:rStyle w:val="Hyperlink"/>
            <w:noProof/>
            <w:lang w:eastAsia="zh-TW"/>
          </w:rPr>
          <w:t>Figure 3.13. ANOVA of annual total reservoir evaporation in the BPA region.</w:t>
        </w:r>
        <w:r w:rsidR="00D8288E">
          <w:rPr>
            <w:noProof/>
            <w:webHidden/>
          </w:rPr>
          <w:tab/>
        </w:r>
        <w:r w:rsidR="00D8288E">
          <w:rPr>
            <w:noProof/>
            <w:webHidden/>
          </w:rPr>
          <w:fldChar w:fldCharType="begin"/>
        </w:r>
        <w:r w:rsidR="00D8288E">
          <w:rPr>
            <w:noProof/>
            <w:webHidden/>
          </w:rPr>
          <w:instrText xml:space="preserve"> PAGEREF _Toc113380901 \h </w:instrText>
        </w:r>
        <w:r w:rsidR="00D8288E">
          <w:rPr>
            <w:noProof/>
            <w:webHidden/>
          </w:rPr>
        </w:r>
        <w:r w:rsidR="00D8288E">
          <w:rPr>
            <w:noProof/>
            <w:webHidden/>
          </w:rPr>
          <w:fldChar w:fldCharType="separate"/>
        </w:r>
        <w:r w:rsidR="00EE0BF5">
          <w:rPr>
            <w:noProof/>
            <w:webHidden/>
          </w:rPr>
          <w:t>71</w:t>
        </w:r>
        <w:r w:rsidR="00D8288E">
          <w:rPr>
            <w:noProof/>
            <w:webHidden/>
          </w:rPr>
          <w:fldChar w:fldCharType="end"/>
        </w:r>
      </w:hyperlink>
    </w:p>
    <w:p w14:paraId="1B7636C4" w14:textId="41AA2158" w:rsidR="00D8288E" w:rsidRDefault="008043C8">
      <w:pPr>
        <w:pStyle w:val="TableofFigures"/>
        <w:rPr>
          <w:rFonts w:asciiTheme="minorHAnsi" w:eastAsiaTheme="minorEastAsia" w:hAnsiTheme="minorHAnsi" w:cstheme="minorBidi"/>
          <w:noProof/>
          <w:snapToGrid/>
          <w:szCs w:val="22"/>
        </w:rPr>
      </w:pPr>
      <w:hyperlink w:anchor="_Toc113380902" w:history="1">
        <w:r w:rsidR="00D8288E" w:rsidRPr="005A4C33">
          <w:rPr>
            <w:rStyle w:val="Hyperlink"/>
            <w:noProof/>
            <w:lang w:eastAsia="zh-TW"/>
          </w:rPr>
          <w:t>Figure 3.14. Projected annual total generation in the BPA region.</w:t>
        </w:r>
        <w:r w:rsidR="00D8288E">
          <w:rPr>
            <w:noProof/>
            <w:webHidden/>
          </w:rPr>
          <w:tab/>
        </w:r>
        <w:r w:rsidR="00D8288E">
          <w:rPr>
            <w:noProof/>
            <w:webHidden/>
          </w:rPr>
          <w:fldChar w:fldCharType="begin"/>
        </w:r>
        <w:r w:rsidR="00D8288E">
          <w:rPr>
            <w:noProof/>
            <w:webHidden/>
          </w:rPr>
          <w:instrText xml:space="preserve"> PAGEREF _Toc113380902 \h </w:instrText>
        </w:r>
        <w:r w:rsidR="00D8288E">
          <w:rPr>
            <w:noProof/>
            <w:webHidden/>
          </w:rPr>
        </w:r>
        <w:r w:rsidR="00D8288E">
          <w:rPr>
            <w:noProof/>
            <w:webHidden/>
          </w:rPr>
          <w:fldChar w:fldCharType="separate"/>
        </w:r>
        <w:r w:rsidR="00EE0BF5">
          <w:rPr>
            <w:noProof/>
            <w:webHidden/>
          </w:rPr>
          <w:t>73</w:t>
        </w:r>
        <w:r w:rsidR="00D8288E">
          <w:rPr>
            <w:noProof/>
            <w:webHidden/>
          </w:rPr>
          <w:fldChar w:fldCharType="end"/>
        </w:r>
      </w:hyperlink>
    </w:p>
    <w:p w14:paraId="211FB5ED" w14:textId="163903C8" w:rsidR="00D8288E" w:rsidRDefault="008043C8">
      <w:pPr>
        <w:pStyle w:val="TableofFigures"/>
        <w:rPr>
          <w:rFonts w:asciiTheme="minorHAnsi" w:eastAsiaTheme="minorEastAsia" w:hAnsiTheme="minorHAnsi" w:cstheme="minorBidi"/>
          <w:noProof/>
          <w:snapToGrid/>
          <w:szCs w:val="22"/>
        </w:rPr>
      </w:pPr>
      <w:hyperlink w:anchor="_Toc113380903" w:history="1">
        <w:r w:rsidR="00D8288E" w:rsidRPr="005A4C33">
          <w:rPr>
            <w:rStyle w:val="Hyperlink"/>
            <w:noProof/>
            <w:lang w:eastAsia="zh-TW"/>
          </w:rPr>
          <w:t>Figure 3.15. Projected change of annual and seasonal total generation in the BPA region.</w:t>
        </w:r>
        <w:r w:rsidR="00D8288E">
          <w:rPr>
            <w:noProof/>
            <w:webHidden/>
          </w:rPr>
          <w:tab/>
        </w:r>
        <w:r w:rsidR="00D8288E">
          <w:rPr>
            <w:noProof/>
            <w:webHidden/>
          </w:rPr>
          <w:fldChar w:fldCharType="begin"/>
        </w:r>
        <w:r w:rsidR="00D8288E">
          <w:rPr>
            <w:noProof/>
            <w:webHidden/>
          </w:rPr>
          <w:instrText xml:space="preserve"> PAGEREF _Toc113380903 \h </w:instrText>
        </w:r>
        <w:r w:rsidR="00D8288E">
          <w:rPr>
            <w:noProof/>
            <w:webHidden/>
          </w:rPr>
        </w:r>
        <w:r w:rsidR="00D8288E">
          <w:rPr>
            <w:noProof/>
            <w:webHidden/>
          </w:rPr>
          <w:fldChar w:fldCharType="separate"/>
        </w:r>
        <w:r w:rsidR="00EE0BF5">
          <w:rPr>
            <w:noProof/>
            <w:webHidden/>
          </w:rPr>
          <w:t>74</w:t>
        </w:r>
        <w:r w:rsidR="00D8288E">
          <w:rPr>
            <w:noProof/>
            <w:webHidden/>
          </w:rPr>
          <w:fldChar w:fldCharType="end"/>
        </w:r>
      </w:hyperlink>
    </w:p>
    <w:p w14:paraId="58930BD4" w14:textId="19E3352F" w:rsidR="00D8288E" w:rsidRDefault="008043C8">
      <w:pPr>
        <w:pStyle w:val="TableofFigures"/>
        <w:rPr>
          <w:rFonts w:asciiTheme="minorHAnsi" w:eastAsiaTheme="minorEastAsia" w:hAnsiTheme="minorHAnsi" w:cstheme="minorBidi"/>
          <w:noProof/>
          <w:snapToGrid/>
          <w:szCs w:val="22"/>
        </w:rPr>
      </w:pPr>
      <w:hyperlink w:anchor="_Toc113380904" w:history="1">
        <w:r w:rsidR="00D8288E" w:rsidRPr="005A4C33">
          <w:rPr>
            <w:rStyle w:val="Hyperlink"/>
            <w:noProof/>
            <w:lang w:eastAsia="zh-TW"/>
          </w:rPr>
          <w:t xml:space="preserve">Figure 3.16. </w:t>
        </w:r>
        <w:r w:rsidR="00D8288E" w:rsidRPr="005A4C33">
          <w:rPr>
            <w:rStyle w:val="Hyperlink"/>
            <w:noProof/>
          </w:rPr>
          <w:t>ANOVA of annual total generation in the BPA region.</w:t>
        </w:r>
        <w:r w:rsidR="00D8288E">
          <w:rPr>
            <w:noProof/>
            <w:webHidden/>
          </w:rPr>
          <w:tab/>
        </w:r>
        <w:r w:rsidR="00D8288E">
          <w:rPr>
            <w:noProof/>
            <w:webHidden/>
          </w:rPr>
          <w:fldChar w:fldCharType="begin"/>
        </w:r>
        <w:r w:rsidR="00D8288E">
          <w:rPr>
            <w:noProof/>
            <w:webHidden/>
          </w:rPr>
          <w:instrText xml:space="preserve"> PAGEREF _Toc113380904 \h </w:instrText>
        </w:r>
        <w:r w:rsidR="00D8288E">
          <w:rPr>
            <w:noProof/>
            <w:webHidden/>
          </w:rPr>
        </w:r>
        <w:r w:rsidR="00D8288E">
          <w:rPr>
            <w:noProof/>
            <w:webHidden/>
          </w:rPr>
          <w:fldChar w:fldCharType="separate"/>
        </w:r>
        <w:r w:rsidR="00EE0BF5">
          <w:rPr>
            <w:noProof/>
            <w:webHidden/>
          </w:rPr>
          <w:t>75</w:t>
        </w:r>
        <w:r w:rsidR="00D8288E">
          <w:rPr>
            <w:noProof/>
            <w:webHidden/>
          </w:rPr>
          <w:fldChar w:fldCharType="end"/>
        </w:r>
      </w:hyperlink>
    </w:p>
    <w:p w14:paraId="1C39AFD7" w14:textId="7F51D000" w:rsidR="00D8288E" w:rsidRDefault="008043C8">
      <w:pPr>
        <w:pStyle w:val="TableofFigures"/>
        <w:rPr>
          <w:rFonts w:asciiTheme="minorHAnsi" w:eastAsiaTheme="minorEastAsia" w:hAnsiTheme="minorHAnsi" w:cstheme="minorBidi"/>
          <w:noProof/>
          <w:snapToGrid/>
          <w:szCs w:val="22"/>
        </w:rPr>
      </w:pPr>
      <w:hyperlink w:anchor="_Toc113380905" w:history="1">
        <w:r w:rsidR="00D8288E" w:rsidRPr="005A4C33">
          <w:rPr>
            <w:rStyle w:val="Hyperlink"/>
            <w:noProof/>
            <w:lang w:eastAsia="zh-TW"/>
          </w:rPr>
          <w:t>Figure 3.17. Projected annual HDDs in the BPA region.</w:t>
        </w:r>
        <w:r w:rsidR="00D8288E">
          <w:rPr>
            <w:noProof/>
            <w:webHidden/>
          </w:rPr>
          <w:tab/>
        </w:r>
        <w:r w:rsidR="00D8288E">
          <w:rPr>
            <w:noProof/>
            <w:webHidden/>
          </w:rPr>
          <w:fldChar w:fldCharType="begin"/>
        </w:r>
        <w:r w:rsidR="00D8288E">
          <w:rPr>
            <w:noProof/>
            <w:webHidden/>
          </w:rPr>
          <w:instrText xml:space="preserve"> PAGEREF _Toc113380905 \h </w:instrText>
        </w:r>
        <w:r w:rsidR="00D8288E">
          <w:rPr>
            <w:noProof/>
            <w:webHidden/>
          </w:rPr>
        </w:r>
        <w:r w:rsidR="00D8288E">
          <w:rPr>
            <w:noProof/>
            <w:webHidden/>
          </w:rPr>
          <w:fldChar w:fldCharType="separate"/>
        </w:r>
        <w:r w:rsidR="00EE0BF5">
          <w:rPr>
            <w:noProof/>
            <w:webHidden/>
          </w:rPr>
          <w:t>78</w:t>
        </w:r>
        <w:r w:rsidR="00D8288E">
          <w:rPr>
            <w:noProof/>
            <w:webHidden/>
          </w:rPr>
          <w:fldChar w:fldCharType="end"/>
        </w:r>
      </w:hyperlink>
    </w:p>
    <w:p w14:paraId="6C1B8D31" w14:textId="67CE2CEA" w:rsidR="00D8288E" w:rsidRDefault="008043C8">
      <w:pPr>
        <w:pStyle w:val="TableofFigures"/>
        <w:rPr>
          <w:rFonts w:asciiTheme="minorHAnsi" w:eastAsiaTheme="minorEastAsia" w:hAnsiTheme="minorHAnsi" w:cstheme="minorBidi"/>
          <w:noProof/>
          <w:snapToGrid/>
          <w:szCs w:val="22"/>
        </w:rPr>
      </w:pPr>
      <w:hyperlink w:anchor="_Toc113380906" w:history="1">
        <w:r w:rsidR="00D8288E" w:rsidRPr="005A4C33">
          <w:rPr>
            <w:rStyle w:val="Hyperlink"/>
            <w:noProof/>
            <w:lang w:eastAsia="zh-TW"/>
          </w:rPr>
          <w:t>Figure 3.18. Projected annual CDDs in the BPA region.</w:t>
        </w:r>
        <w:r w:rsidR="00D8288E">
          <w:rPr>
            <w:noProof/>
            <w:webHidden/>
          </w:rPr>
          <w:tab/>
        </w:r>
        <w:r w:rsidR="00D8288E">
          <w:rPr>
            <w:noProof/>
            <w:webHidden/>
          </w:rPr>
          <w:fldChar w:fldCharType="begin"/>
        </w:r>
        <w:r w:rsidR="00D8288E">
          <w:rPr>
            <w:noProof/>
            <w:webHidden/>
          </w:rPr>
          <w:instrText xml:space="preserve"> PAGEREF _Toc113380906 \h </w:instrText>
        </w:r>
        <w:r w:rsidR="00D8288E">
          <w:rPr>
            <w:noProof/>
            <w:webHidden/>
          </w:rPr>
        </w:r>
        <w:r w:rsidR="00D8288E">
          <w:rPr>
            <w:noProof/>
            <w:webHidden/>
          </w:rPr>
          <w:fldChar w:fldCharType="separate"/>
        </w:r>
        <w:r w:rsidR="00EE0BF5">
          <w:rPr>
            <w:noProof/>
            <w:webHidden/>
          </w:rPr>
          <w:t>78</w:t>
        </w:r>
        <w:r w:rsidR="00D8288E">
          <w:rPr>
            <w:noProof/>
            <w:webHidden/>
          </w:rPr>
          <w:fldChar w:fldCharType="end"/>
        </w:r>
      </w:hyperlink>
    </w:p>
    <w:p w14:paraId="78047294" w14:textId="24408960" w:rsidR="00D8288E" w:rsidRDefault="008043C8">
      <w:pPr>
        <w:pStyle w:val="TableofFigures"/>
        <w:rPr>
          <w:rFonts w:asciiTheme="minorHAnsi" w:eastAsiaTheme="minorEastAsia" w:hAnsiTheme="minorHAnsi" w:cstheme="minorBidi"/>
          <w:noProof/>
          <w:snapToGrid/>
          <w:szCs w:val="22"/>
        </w:rPr>
      </w:pPr>
      <w:hyperlink w:anchor="_Toc113380907" w:history="1">
        <w:r w:rsidR="00D8288E" w:rsidRPr="005A4C33">
          <w:rPr>
            <w:rStyle w:val="Hyperlink"/>
            <w:noProof/>
            <w:lang w:eastAsia="zh-TW"/>
          </w:rPr>
          <w:t>Figure 3.19. Estimated changes in seasonal load relative to the baseline period due to projected changes in degree days for BPA preference customers with no large irrigation loads.</w:t>
        </w:r>
        <w:r w:rsidR="00D8288E">
          <w:rPr>
            <w:noProof/>
            <w:webHidden/>
          </w:rPr>
          <w:tab/>
        </w:r>
        <w:r w:rsidR="00D8288E">
          <w:rPr>
            <w:noProof/>
            <w:webHidden/>
          </w:rPr>
          <w:fldChar w:fldCharType="begin"/>
        </w:r>
        <w:r w:rsidR="00D8288E">
          <w:rPr>
            <w:noProof/>
            <w:webHidden/>
          </w:rPr>
          <w:instrText xml:space="preserve"> PAGEREF _Toc113380907 \h </w:instrText>
        </w:r>
        <w:r w:rsidR="00D8288E">
          <w:rPr>
            <w:noProof/>
            <w:webHidden/>
          </w:rPr>
        </w:r>
        <w:r w:rsidR="00D8288E">
          <w:rPr>
            <w:noProof/>
            <w:webHidden/>
          </w:rPr>
          <w:fldChar w:fldCharType="separate"/>
        </w:r>
        <w:r w:rsidR="00EE0BF5">
          <w:rPr>
            <w:noProof/>
            <w:webHidden/>
          </w:rPr>
          <w:t>79</w:t>
        </w:r>
        <w:r w:rsidR="00D8288E">
          <w:rPr>
            <w:noProof/>
            <w:webHidden/>
          </w:rPr>
          <w:fldChar w:fldCharType="end"/>
        </w:r>
      </w:hyperlink>
    </w:p>
    <w:p w14:paraId="5DAC999D" w14:textId="4DC64931" w:rsidR="00D8288E" w:rsidRDefault="008043C8">
      <w:pPr>
        <w:pStyle w:val="TableofFigures"/>
        <w:rPr>
          <w:rFonts w:asciiTheme="minorHAnsi" w:eastAsiaTheme="minorEastAsia" w:hAnsiTheme="minorHAnsi" w:cstheme="minorBidi"/>
          <w:noProof/>
          <w:snapToGrid/>
          <w:szCs w:val="22"/>
        </w:rPr>
      </w:pPr>
      <w:hyperlink w:anchor="_Toc113380908" w:history="1">
        <w:r w:rsidR="00D8288E" w:rsidRPr="005A4C33">
          <w:rPr>
            <w:rStyle w:val="Hyperlink"/>
            <w:noProof/>
            <w:lang w:eastAsia="zh-TW"/>
          </w:rPr>
          <w:t>Figure 4.1. Map of the federal hydropower plants and six study areas in the WAPA region.</w:t>
        </w:r>
        <w:r w:rsidR="00D8288E">
          <w:rPr>
            <w:noProof/>
            <w:webHidden/>
          </w:rPr>
          <w:tab/>
        </w:r>
        <w:r w:rsidR="00D8288E">
          <w:rPr>
            <w:noProof/>
            <w:webHidden/>
          </w:rPr>
          <w:fldChar w:fldCharType="begin"/>
        </w:r>
        <w:r w:rsidR="00D8288E">
          <w:rPr>
            <w:noProof/>
            <w:webHidden/>
          </w:rPr>
          <w:instrText xml:space="preserve"> PAGEREF _Toc113380908 \h </w:instrText>
        </w:r>
        <w:r w:rsidR="00D8288E">
          <w:rPr>
            <w:noProof/>
            <w:webHidden/>
          </w:rPr>
        </w:r>
        <w:r w:rsidR="00D8288E">
          <w:rPr>
            <w:noProof/>
            <w:webHidden/>
          </w:rPr>
          <w:fldChar w:fldCharType="separate"/>
        </w:r>
        <w:r w:rsidR="00EE0BF5">
          <w:rPr>
            <w:noProof/>
            <w:webHidden/>
          </w:rPr>
          <w:t>82</w:t>
        </w:r>
        <w:r w:rsidR="00D8288E">
          <w:rPr>
            <w:noProof/>
            <w:webHidden/>
          </w:rPr>
          <w:fldChar w:fldCharType="end"/>
        </w:r>
      </w:hyperlink>
    </w:p>
    <w:p w14:paraId="418E13FF" w14:textId="5DA8B3FD" w:rsidR="00D8288E" w:rsidRDefault="008043C8">
      <w:pPr>
        <w:pStyle w:val="TableofFigures"/>
        <w:rPr>
          <w:rFonts w:asciiTheme="minorHAnsi" w:eastAsiaTheme="minorEastAsia" w:hAnsiTheme="minorHAnsi" w:cstheme="minorBidi"/>
          <w:noProof/>
          <w:snapToGrid/>
          <w:szCs w:val="22"/>
        </w:rPr>
      </w:pPr>
      <w:hyperlink w:anchor="_Toc113380909" w:history="1">
        <w:r w:rsidR="00D8288E" w:rsidRPr="005A4C33">
          <w:rPr>
            <w:rStyle w:val="Hyperlink"/>
            <w:noProof/>
            <w:lang w:eastAsia="zh-TW"/>
          </w:rPr>
          <w:t>Figure 4.2. Projected annual mean temperature in the WAPA region.</w:t>
        </w:r>
        <w:r w:rsidR="00D8288E">
          <w:rPr>
            <w:noProof/>
            <w:webHidden/>
          </w:rPr>
          <w:tab/>
        </w:r>
        <w:r w:rsidR="00D8288E">
          <w:rPr>
            <w:noProof/>
            <w:webHidden/>
          </w:rPr>
          <w:fldChar w:fldCharType="begin"/>
        </w:r>
        <w:r w:rsidR="00D8288E">
          <w:rPr>
            <w:noProof/>
            <w:webHidden/>
          </w:rPr>
          <w:instrText xml:space="preserve"> PAGEREF _Toc113380909 \h </w:instrText>
        </w:r>
        <w:r w:rsidR="00D8288E">
          <w:rPr>
            <w:noProof/>
            <w:webHidden/>
          </w:rPr>
        </w:r>
        <w:r w:rsidR="00D8288E">
          <w:rPr>
            <w:noProof/>
            <w:webHidden/>
          </w:rPr>
          <w:fldChar w:fldCharType="separate"/>
        </w:r>
        <w:r w:rsidR="00EE0BF5">
          <w:rPr>
            <w:noProof/>
            <w:webHidden/>
          </w:rPr>
          <w:t>88</w:t>
        </w:r>
        <w:r w:rsidR="00D8288E">
          <w:rPr>
            <w:noProof/>
            <w:webHidden/>
          </w:rPr>
          <w:fldChar w:fldCharType="end"/>
        </w:r>
      </w:hyperlink>
    </w:p>
    <w:p w14:paraId="02A1F010" w14:textId="29F3E4BB" w:rsidR="00D8288E" w:rsidRDefault="008043C8">
      <w:pPr>
        <w:pStyle w:val="TableofFigures"/>
        <w:rPr>
          <w:rFonts w:asciiTheme="minorHAnsi" w:eastAsiaTheme="minorEastAsia" w:hAnsiTheme="minorHAnsi" w:cstheme="minorBidi"/>
          <w:noProof/>
          <w:snapToGrid/>
          <w:szCs w:val="22"/>
        </w:rPr>
      </w:pPr>
      <w:hyperlink w:anchor="_Toc113380910" w:history="1">
        <w:r w:rsidR="00D8288E" w:rsidRPr="005A4C33">
          <w:rPr>
            <w:rStyle w:val="Hyperlink"/>
            <w:noProof/>
            <w:lang w:eastAsia="zh-TW"/>
          </w:rPr>
          <w:t>Figure 4.3. Projected change of annual and seasonal mean temperature in the WAPA region.</w:t>
        </w:r>
        <w:r w:rsidR="00D8288E">
          <w:rPr>
            <w:noProof/>
            <w:webHidden/>
          </w:rPr>
          <w:tab/>
        </w:r>
        <w:r w:rsidR="00D8288E">
          <w:rPr>
            <w:noProof/>
            <w:webHidden/>
          </w:rPr>
          <w:fldChar w:fldCharType="begin"/>
        </w:r>
        <w:r w:rsidR="00D8288E">
          <w:rPr>
            <w:noProof/>
            <w:webHidden/>
          </w:rPr>
          <w:instrText xml:space="preserve"> PAGEREF _Toc113380910 \h </w:instrText>
        </w:r>
        <w:r w:rsidR="00D8288E">
          <w:rPr>
            <w:noProof/>
            <w:webHidden/>
          </w:rPr>
        </w:r>
        <w:r w:rsidR="00D8288E">
          <w:rPr>
            <w:noProof/>
            <w:webHidden/>
          </w:rPr>
          <w:fldChar w:fldCharType="separate"/>
        </w:r>
        <w:r w:rsidR="00EE0BF5">
          <w:rPr>
            <w:noProof/>
            <w:webHidden/>
          </w:rPr>
          <w:t>89</w:t>
        </w:r>
        <w:r w:rsidR="00D8288E">
          <w:rPr>
            <w:noProof/>
            <w:webHidden/>
          </w:rPr>
          <w:fldChar w:fldCharType="end"/>
        </w:r>
      </w:hyperlink>
    </w:p>
    <w:p w14:paraId="198341CC" w14:textId="24CA51CB" w:rsidR="00D8288E" w:rsidRDefault="008043C8">
      <w:pPr>
        <w:pStyle w:val="TableofFigures"/>
        <w:rPr>
          <w:rFonts w:asciiTheme="minorHAnsi" w:eastAsiaTheme="minorEastAsia" w:hAnsiTheme="minorHAnsi" w:cstheme="minorBidi"/>
          <w:noProof/>
          <w:snapToGrid/>
          <w:szCs w:val="22"/>
        </w:rPr>
      </w:pPr>
      <w:hyperlink w:anchor="_Toc113380911" w:history="1">
        <w:r w:rsidR="00D8288E" w:rsidRPr="005A4C33">
          <w:rPr>
            <w:rStyle w:val="Hyperlink"/>
            <w:noProof/>
            <w:lang w:eastAsia="zh-TW"/>
          </w:rPr>
          <w:t>Figure 4.4. Projected annual total precipitation in the WAPA region.</w:t>
        </w:r>
        <w:r w:rsidR="00D8288E">
          <w:rPr>
            <w:noProof/>
            <w:webHidden/>
          </w:rPr>
          <w:tab/>
        </w:r>
        <w:r w:rsidR="00D8288E">
          <w:rPr>
            <w:noProof/>
            <w:webHidden/>
          </w:rPr>
          <w:fldChar w:fldCharType="begin"/>
        </w:r>
        <w:r w:rsidR="00D8288E">
          <w:rPr>
            <w:noProof/>
            <w:webHidden/>
          </w:rPr>
          <w:instrText xml:space="preserve"> PAGEREF _Toc113380911 \h </w:instrText>
        </w:r>
        <w:r w:rsidR="00D8288E">
          <w:rPr>
            <w:noProof/>
            <w:webHidden/>
          </w:rPr>
        </w:r>
        <w:r w:rsidR="00D8288E">
          <w:rPr>
            <w:noProof/>
            <w:webHidden/>
          </w:rPr>
          <w:fldChar w:fldCharType="separate"/>
        </w:r>
        <w:r w:rsidR="00EE0BF5">
          <w:rPr>
            <w:noProof/>
            <w:webHidden/>
          </w:rPr>
          <w:t>91</w:t>
        </w:r>
        <w:r w:rsidR="00D8288E">
          <w:rPr>
            <w:noProof/>
            <w:webHidden/>
          </w:rPr>
          <w:fldChar w:fldCharType="end"/>
        </w:r>
      </w:hyperlink>
    </w:p>
    <w:p w14:paraId="5B7FFA7D" w14:textId="156F79CA" w:rsidR="00D8288E" w:rsidRDefault="008043C8">
      <w:pPr>
        <w:pStyle w:val="TableofFigures"/>
        <w:rPr>
          <w:rFonts w:asciiTheme="minorHAnsi" w:eastAsiaTheme="minorEastAsia" w:hAnsiTheme="minorHAnsi" w:cstheme="minorBidi"/>
          <w:noProof/>
          <w:snapToGrid/>
          <w:szCs w:val="22"/>
        </w:rPr>
      </w:pPr>
      <w:hyperlink w:anchor="_Toc113380912" w:history="1">
        <w:r w:rsidR="00D8288E" w:rsidRPr="005A4C33">
          <w:rPr>
            <w:rStyle w:val="Hyperlink"/>
            <w:noProof/>
            <w:lang w:eastAsia="zh-TW"/>
          </w:rPr>
          <w:t>Figure 4.5. Projected change of annual and seasonal total precipitation in the WAPA region.</w:t>
        </w:r>
        <w:r w:rsidR="00D8288E">
          <w:rPr>
            <w:noProof/>
            <w:webHidden/>
          </w:rPr>
          <w:tab/>
        </w:r>
        <w:r w:rsidR="00D8288E">
          <w:rPr>
            <w:noProof/>
            <w:webHidden/>
          </w:rPr>
          <w:fldChar w:fldCharType="begin"/>
        </w:r>
        <w:r w:rsidR="00D8288E">
          <w:rPr>
            <w:noProof/>
            <w:webHidden/>
          </w:rPr>
          <w:instrText xml:space="preserve"> PAGEREF _Toc113380912 \h </w:instrText>
        </w:r>
        <w:r w:rsidR="00D8288E">
          <w:rPr>
            <w:noProof/>
            <w:webHidden/>
          </w:rPr>
        </w:r>
        <w:r w:rsidR="00D8288E">
          <w:rPr>
            <w:noProof/>
            <w:webHidden/>
          </w:rPr>
          <w:fldChar w:fldCharType="separate"/>
        </w:r>
        <w:r w:rsidR="00EE0BF5">
          <w:rPr>
            <w:noProof/>
            <w:webHidden/>
          </w:rPr>
          <w:t>92</w:t>
        </w:r>
        <w:r w:rsidR="00D8288E">
          <w:rPr>
            <w:noProof/>
            <w:webHidden/>
          </w:rPr>
          <w:fldChar w:fldCharType="end"/>
        </w:r>
      </w:hyperlink>
    </w:p>
    <w:p w14:paraId="57B973E9" w14:textId="426F2E5B" w:rsidR="00D8288E" w:rsidRDefault="008043C8">
      <w:pPr>
        <w:pStyle w:val="TableofFigures"/>
        <w:rPr>
          <w:rFonts w:asciiTheme="minorHAnsi" w:eastAsiaTheme="minorEastAsia" w:hAnsiTheme="minorHAnsi" w:cstheme="minorBidi"/>
          <w:noProof/>
          <w:snapToGrid/>
          <w:szCs w:val="22"/>
        </w:rPr>
      </w:pPr>
      <w:hyperlink w:anchor="_Toc113380913" w:history="1">
        <w:r w:rsidR="00D8288E" w:rsidRPr="005A4C33">
          <w:rPr>
            <w:rStyle w:val="Hyperlink"/>
            <w:noProof/>
            <w:lang w:eastAsia="zh-TW"/>
          </w:rPr>
          <w:t>Figure 4.6. Projected annual total runoff in the WAPA region.</w:t>
        </w:r>
        <w:r w:rsidR="00D8288E">
          <w:rPr>
            <w:noProof/>
            <w:webHidden/>
          </w:rPr>
          <w:tab/>
        </w:r>
        <w:r w:rsidR="00D8288E">
          <w:rPr>
            <w:noProof/>
            <w:webHidden/>
          </w:rPr>
          <w:fldChar w:fldCharType="begin"/>
        </w:r>
        <w:r w:rsidR="00D8288E">
          <w:rPr>
            <w:noProof/>
            <w:webHidden/>
          </w:rPr>
          <w:instrText xml:space="preserve"> PAGEREF _Toc113380913 \h </w:instrText>
        </w:r>
        <w:r w:rsidR="00D8288E">
          <w:rPr>
            <w:noProof/>
            <w:webHidden/>
          </w:rPr>
        </w:r>
        <w:r w:rsidR="00D8288E">
          <w:rPr>
            <w:noProof/>
            <w:webHidden/>
          </w:rPr>
          <w:fldChar w:fldCharType="separate"/>
        </w:r>
        <w:r w:rsidR="00EE0BF5">
          <w:rPr>
            <w:noProof/>
            <w:webHidden/>
          </w:rPr>
          <w:t>94</w:t>
        </w:r>
        <w:r w:rsidR="00D8288E">
          <w:rPr>
            <w:noProof/>
            <w:webHidden/>
          </w:rPr>
          <w:fldChar w:fldCharType="end"/>
        </w:r>
      </w:hyperlink>
    </w:p>
    <w:p w14:paraId="00A09E12" w14:textId="70160EA4" w:rsidR="00D8288E" w:rsidRDefault="008043C8">
      <w:pPr>
        <w:pStyle w:val="TableofFigures"/>
        <w:rPr>
          <w:rFonts w:asciiTheme="minorHAnsi" w:eastAsiaTheme="minorEastAsia" w:hAnsiTheme="minorHAnsi" w:cstheme="minorBidi"/>
          <w:noProof/>
          <w:snapToGrid/>
          <w:szCs w:val="22"/>
        </w:rPr>
      </w:pPr>
      <w:hyperlink w:anchor="_Toc113380914" w:history="1">
        <w:r w:rsidR="00D8288E" w:rsidRPr="005A4C33">
          <w:rPr>
            <w:rStyle w:val="Hyperlink"/>
            <w:noProof/>
            <w:lang w:eastAsia="zh-TW"/>
          </w:rPr>
          <w:t>Figure 4.7. Projected change of annual and seasonal total runoff in the WAPA region.</w:t>
        </w:r>
        <w:r w:rsidR="00D8288E">
          <w:rPr>
            <w:noProof/>
            <w:webHidden/>
          </w:rPr>
          <w:tab/>
        </w:r>
        <w:r w:rsidR="00D8288E">
          <w:rPr>
            <w:noProof/>
            <w:webHidden/>
          </w:rPr>
          <w:fldChar w:fldCharType="begin"/>
        </w:r>
        <w:r w:rsidR="00D8288E">
          <w:rPr>
            <w:noProof/>
            <w:webHidden/>
          </w:rPr>
          <w:instrText xml:space="preserve"> PAGEREF _Toc113380914 \h </w:instrText>
        </w:r>
        <w:r w:rsidR="00D8288E">
          <w:rPr>
            <w:noProof/>
            <w:webHidden/>
          </w:rPr>
        </w:r>
        <w:r w:rsidR="00D8288E">
          <w:rPr>
            <w:noProof/>
            <w:webHidden/>
          </w:rPr>
          <w:fldChar w:fldCharType="separate"/>
        </w:r>
        <w:r w:rsidR="00EE0BF5">
          <w:rPr>
            <w:noProof/>
            <w:webHidden/>
          </w:rPr>
          <w:t>95</w:t>
        </w:r>
        <w:r w:rsidR="00D8288E">
          <w:rPr>
            <w:noProof/>
            <w:webHidden/>
          </w:rPr>
          <w:fldChar w:fldCharType="end"/>
        </w:r>
      </w:hyperlink>
    </w:p>
    <w:p w14:paraId="2CDCC5A6" w14:textId="45EB7F2E" w:rsidR="00D8288E" w:rsidRDefault="008043C8">
      <w:pPr>
        <w:pStyle w:val="TableofFigures"/>
        <w:rPr>
          <w:rFonts w:asciiTheme="minorHAnsi" w:eastAsiaTheme="minorEastAsia" w:hAnsiTheme="minorHAnsi" w:cstheme="minorBidi"/>
          <w:noProof/>
          <w:snapToGrid/>
          <w:szCs w:val="22"/>
        </w:rPr>
      </w:pPr>
      <w:hyperlink w:anchor="_Toc113380915" w:history="1">
        <w:r w:rsidR="00D8288E" w:rsidRPr="005A4C33">
          <w:rPr>
            <w:rStyle w:val="Hyperlink"/>
            <w:noProof/>
            <w:lang w:eastAsia="zh-TW"/>
          </w:rPr>
          <w:t>Figure 4.8. Projected change of April 1 SWE in the WAPA region.</w:t>
        </w:r>
        <w:r w:rsidR="00D8288E">
          <w:rPr>
            <w:noProof/>
            <w:webHidden/>
          </w:rPr>
          <w:tab/>
        </w:r>
        <w:r w:rsidR="00D8288E">
          <w:rPr>
            <w:noProof/>
            <w:webHidden/>
          </w:rPr>
          <w:fldChar w:fldCharType="begin"/>
        </w:r>
        <w:r w:rsidR="00D8288E">
          <w:rPr>
            <w:noProof/>
            <w:webHidden/>
          </w:rPr>
          <w:instrText xml:space="preserve"> PAGEREF _Toc113380915 \h </w:instrText>
        </w:r>
        <w:r w:rsidR="00D8288E">
          <w:rPr>
            <w:noProof/>
            <w:webHidden/>
          </w:rPr>
        </w:r>
        <w:r w:rsidR="00D8288E">
          <w:rPr>
            <w:noProof/>
            <w:webHidden/>
          </w:rPr>
          <w:fldChar w:fldCharType="separate"/>
        </w:r>
        <w:r w:rsidR="00EE0BF5">
          <w:rPr>
            <w:noProof/>
            <w:webHidden/>
          </w:rPr>
          <w:t>97</w:t>
        </w:r>
        <w:r w:rsidR="00D8288E">
          <w:rPr>
            <w:noProof/>
            <w:webHidden/>
          </w:rPr>
          <w:fldChar w:fldCharType="end"/>
        </w:r>
      </w:hyperlink>
    </w:p>
    <w:p w14:paraId="2C97321F" w14:textId="64C0FDA8" w:rsidR="00D8288E" w:rsidRDefault="008043C8">
      <w:pPr>
        <w:pStyle w:val="TableofFigures"/>
        <w:rPr>
          <w:rFonts w:asciiTheme="minorHAnsi" w:eastAsiaTheme="minorEastAsia" w:hAnsiTheme="minorHAnsi" w:cstheme="minorBidi"/>
          <w:noProof/>
          <w:snapToGrid/>
          <w:szCs w:val="22"/>
        </w:rPr>
      </w:pPr>
      <w:hyperlink w:anchor="_Toc113380916" w:history="1">
        <w:r w:rsidR="00D8288E" w:rsidRPr="005A4C33">
          <w:rPr>
            <w:rStyle w:val="Hyperlink"/>
            <w:noProof/>
            <w:lang w:eastAsia="zh-TW"/>
          </w:rPr>
          <w:t>Figure 4.9. Projected change of high and low runoff in the WAPA region.</w:t>
        </w:r>
        <w:r w:rsidR="00D8288E">
          <w:rPr>
            <w:noProof/>
            <w:webHidden/>
          </w:rPr>
          <w:tab/>
        </w:r>
        <w:r w:rsidR="00D8288E">
          <w:rPr>
            <w:noProof/>
            <w:webHidden/>
          </w:rPr>
          <w:fldChar w:fldCharType="begin"/>
        </w:r>
        <w:r w:rsidR="00D8288E">
          <w:rPr>
            <w:noProof/>
            <w:webHidden/>
          </w:rPr>
          <w:instrText xml:space="preserve"> PAGEREF _Toc113380916 \h </w:instrText>
        </w:r>
        <w:r w:rsidR="00D8288E">
          <w:rPr>
            <w:noProof/>
            <w:webHidden/>
          </w:rPr>
        </w:r>
        <w:r w:rsidR="00D8288E">
          <w:rPr>
            <w:noProof/>
            <w:webHidden/>
          </w:rPr>
          <w:fldChar w:fldCharType="separate"/>
        </w:r>
        <w:r w:rsidR="00EE0BF5">
          <w:rPr>
            <w:noProof/>
            <w:webHidden/>
          </w:rPr>
          <w:t>98</w:t>
        </w:r>
        <w:r w:rsidR="00D8288E">
          <w:rPr>
            <w:noProof/>
            <w:webHidden/>
          </w:rPr>
          <w:fldChar w:fldCharType="end"/>
        </w:r>
      </w:hyperlink>
    </w:p>
    <w:p w14:paraId="3F6A92CF" w14:textId="7B0BD7D0" w:rsidR="00D8288E" w:rsidRDefault="008043C8">
      <w:pPr>
        <w:pStyle w:val="TableofFigures"/>
        <w:rPr>
          <w:rFonts w:asciiTheme="minorHAnsi" w:eastAsiaTheme="minorEastAsia" w:hAnsiTheme="minorHAnsi" w:cstheme="minorBidi"/>
          <w:noProof/>
          <w:snapToGrid/>
          <w:szCs w:val="22"/>
        </w:rPr>
      </w:pPr>
      <w:hyperlink w:anchor="_Toc113380917" w:history="1">
        <w:r w:rsidR="00D8288E" w:rsidRPr="005A4C33">
          <w:rPr>
            <w:rStyle w:val="Hyperlink"/>
            <w:noProof/>
            <w:lang w:eastAsia="zh-TW"/>
          </w:rPr>
          <w:t>Figure 4.10. ANOVA of annual total runoff in the WAPA region.</w:t>
        </w:r>
        <w:r w:rsidR="00D8288E">
          <w:rPr>
            <w:noProof/>
            <w:webHidden/>
          </w:rPr>
          <w:tab/>
        </w:r>
        <w:r w:rsidR="00D8288E">
          <w:rPr>
            <w:noProof/>
            <w:webHidden/>
          </w:rPr>
          <w:fldChar w:fldCharType="begin"/>
        </w:r>
        <w:r w:rsidR="00D8288E">
          <w:rPr>
            <w:noProof/>
            <w:webHidden/>
          </w:rPr>
          <w:instrText xml:space="preserve"> PAGEREF _Toc113380917 \h </w:instrText>
        </w:r>
        <w:r w:rsidR="00D8288E">
          <w:rPr>
            <w:noProof/>
            <w:webHidden/>
          </w:rPr>
        </w:r>
        <w:r w:rsidR="00D8288E">
          <w:rPr>
            <w:noProof/>
            <w:webHidden/>
          </w:rPr>
          <w:fldChar w:fldCharType="separate"/>
        </w:r>
        <w:r w:rsidR="00EE0BF5">
          <w:rPr>
            <w:noProof/>
            <w:webHidden/>
          </w:rPr>
          <w:t>99</w:t>
        </w:r>
        <w:r w:rsidR="00D8288E">
          <w:rPr>
            <w:noProof/>
            <w:webHidden/>
          </w:rPr>
          <w:fldChar w:fldCharType="end"/>
        </w:r>
      </w:hyperlink>
    </w:p>
    <w:p w14:paraId="768EF297" w14:textId="49377AA0" w:rsidR="00D8288E" w:rsidRDefault="008043C8">
      <w:pPr>
        <w:pStyle w:val="TableofFigures"/>
        <w:rPr>
          <w:rFonts w:asciiTheme="minorHAnsi" w:eastAsiaTheme="minorEastAsia" w:hAnsiTheme="minorHAnsi" w:cstheme="minorBidi"/>
          <w:noProof/>
          <w:snapToGrid/>
          <w:szCs w:val="22"/>
        </w:rPr>
      </w:pPr>
      <w:hyperlink w:anchor="_Toc113380918" w:history="1">
        <w:r w:rsidR="00D8288E" w:rsidRPr="005A4C33">
          <w:rPr>
            <w:rStyle w:val="Hyperlink"/>
            <w:noProof/>
            <w:lang w:eastAsia="zh-TW"/>
          </w:rPr>
          <w:t>Figure 4.11. Projected annual total reservoir evaporation in the WAPA region.</w:t>
        </w:r>
        <w:r w:rsidR="00D8288E">
          <w:rPr>
            <w:noProof/>
            <w:webHidden/>
          </w:rPr>
          <w:tab/>
        </w:r>
        <w:r w:rsidR="00D8288E">
          <w:rPr>
            <w:noProof/>
            <w:webHidden/>
          </w:rPr>
          <w:fldChar w:fldCharType="begin"/>
        </w:r>
        <w:r w:rsidR="00D8288E">
          <w:rPr>
            <w:noProof/>
            <w:webHidden/>
          </w:rPr>
          <w:instrText xml:space="preserve"> PAGEREF _Toc113380918 \h </w:instrText>
        </w:r>
        <w:r w:rsidR="00D8288E">
          <w:rPr>
            <w:noProof/>
            <w:webHidden/>
          </w:rPr>
        </w:r>
        <w:r w:rsidR="00D8288E">
          <w:rPr>
            <w:noProof/>
            <w:webHidden/>
          </w:rPr>
          <w:fldChar w:fldCharType="separate"/>
        </w:r>
        <w:r w:rsidR="00EE0BF5">
          <w:rPr>
            <w:noProof/>
            <w:webHidden/>
          </w:rPr>
          <w:t>100</w:t>
        </w:r>
        <w:r w:rsidR="00D8288E">
          <w:rPr>
            <w:noProof/>
            <w:webHidden/>
          </w:rPr>
          <w:fldChar w:fldCharType="end"/>
        </w:r>
      </w:hyperlink>
    </w:p>
    <w:p w14:paraId="64FD75DA" w14:textId="676E1BED" w:rsidR="00D8288E" w:rsidRDefault="008043C8">
      <w:pPr>
        <w:pStyle w:val="TableofFigures"/>
        <w:rPr>
          <w:rFonts w:asciiTheme="minorHAnsi" w:eastAsiaTheme="minorEastAsia" w:hAnsiTheme="minorHAnsi" w:cstheme="minorBidi"/>
          <w:noProof/>
          <w:snapToGrid/>
          <w:szCs w:val="22"/>
        </w:rPr>
      </w:pPr>
      <w:hyperlink w:anchor="_Toc113380919" w:history="1">
        <w:r w:rsidR="00D8288E" w:rsidRPr="005A4C33">
          <w:rPr>
            <w:rStyle w:val="Hyperlink"/>
            <w:noProof/>
            <w:lang w:eastAsia="zh-TW"/>
          </w:rPr>
          <w:t>Figure 4.12. Projected change of annual and seasonal total reservoir evaporation in the WAPA region.</w:t>
        </w:r>
        <w:r w:rsidR="00D8288E">
          <w:rPr>
            <w:noProof/>
            <w:webHidden/>
          </w:rPr>
          <w:tab/>
        </w:r>
        <w:r w:rsidR="00D8288E">
          <w:rPr>
            <w:noProof/>
            <w:webHidden/>
          </w:rPr>
          <w:fldChar w:fldCharType="begin"/>
        </w:r>
        <w:r w:rsidR="00D8288E">
          <w:rPr>
            <w:noProof/>
            <w:webHidden/>
          </w:rPr>
          <w:instrText xml:space="preserve"> PAGEREF _Toc113380919 \h </w:instrText>
        </w:r>
        <w:r w:rsidR="00D8288E">
          <w:rPr>
            <w:noProof/>
            <w:webHidden/>
          </w:rPr>
        </w:r>
        <w:r w:rsidR="00D8288E">
          <w:rPr>
            <w:noProof/>
            <w:webHidden/>
          </w:rPr>
          <w:fldChar w:fldCharType="separate"/>
        </w:r>
        <w:r w:rsidR="00EE0BF5">
          <w:rPr>
            <w:noProof/>
            <w:webHidden/>
          </w:rPr>
          <w:t>101</w:t>
        </w:r>
        <w:r w:rsidR="00D8288E">
          <w:rPr>
            <w:noProof/>
            <w:webHidden/>
          </w:rPr>
          <w:fldChar w:fldCharType="end"/>
        </w:r>
      </w:hyperlink>
    </w:p>
    <w:p w14:paraId="6A9F14B8" w14:textId="4F9C31B8" w:rsidR="00D8288E" w:rsidRDefault="008043C8">
      <w:pPr>
        <w:pStyle w:val="TableofFigures"/>
        <w:rPr>
          <w:rFonts w:asciiTheme="minorHAnsi" w:eastAsiaTheme="minorEastAsia" w:hAnsiTheme="minorHAnsi" w:cstheme="minorBidi"/>
          <w:noProof/>
          <w:snapToGrid/>
          <w:szCs w:val="22"/>
        </w:rPr>
      </w:pPr>
      <w:hyperlink w:anchor="_Toc113380920" w:history="1">
        <w:r w:rsidR="00D8288E" w:rsidRPr="005A4C33">
          <w:rPr>
            <w:rStyle w:val="Hyperlink"/>
            <w:noProof/>
            <w:lang w:eastAsia="zh-TW"/>
          </w:rPr>
          <w:t>Figure 4.13. ANOVA of annual total reservoir evaporation in the WAPA region.</w:t>
        </w:r>
        <w:r w:rsidR="00D8288E">
          <w:rPr>
            <w:noProof/>
            <w:webHidden/>
          </w:rPr>
          <w:tab/>
        </w:r>
        <w:r w:rsidR="00D8288E">
          <w:rPr>
            <w:noProof/>
            <w:webHidden/>
          </w:rPr>
          <w:fldChar w:fldCharType="begin"/>
        </w:r>
        <w:r w:rsidR="00D8288E">
          <w:rPr>
            <w:noProof/>
            <w:webHidden/>
          </w:rPr>
          <w:instrText xml:space="preserve"> PAGEREF _Toc113380920 \h </w:instrText>
        </w:r>
        <w:r w:rsidR="00D8288E">
          <w:rPr>
            <w:noProof/>
            <w:webHidden/>
          </w:rPr>
        </w:r>
        <w:r w:rsidR="00D8288E">
          <w:rPr>
            <w:noProof/>
            <w:webHidden/>
          </w:rPr>
          <w:fldChar w:fldCharType="separate"/>
        </w:r>
        <w:r w:rsidR="00EE0BF5">
          <w:rPr>
            <w:noProof/>
            <w:webHidden/>
          </w:rPr>
          <w:t>101</w:t>
        </w:r>
        <w:r w:rsidR="00D8288E">
          <w:rPr>
            <w:noProof/>
            <w:webHidden/>
          </w:rPr>
          <w:fldChar w:fldCharType="end"/>
        </w:r>
      </w:hyperlink>
    </w:p>
    <w:p w14:paraId="73EABF97" w14:textId="5A31FA4C" w:rsidR="00D8288E" w:rsidRDefault="008043C8">
      <w:pPr>
        <w:pStyle w:val="TableofFigures"/>
        <w:rPr>
          <w:rFonts w:asciiTheme="minorHAnsi" w:eastAsiaTheme="minorEastAsia" w:hAnsiTheme="minorHAnsi" w:cstheme="minorBidi"/>
          <w:noProof/>
          <w:snapToGrid/>
          <w:szCs w:val="22"/>
        </w:rPr>
      </w:pPr>
      <w:hyperlink w:anchor="_Toc113380921" w:history="1">
        <w:r w:rsidR="00D8288E" w:rsidRPr="005A4C33">
          <w:rPr>
            <w:rStyle w:val="Hyperlink"/>
            <w:noProof/>
            <w:lang w:eastAsia="zh-TW"/>
          </w:rPr>
          <w:t>Figure 4.14. Projected annual total generation in the WAPA region.</w:t>
        </w:r>
        <w:r w:rsidR="00D8288E">
          <w:rPr>
            <w:noProof/>
            <w:webHidden/>
          </w:rPr>
          <w:tab/>
        </w:r>
        <w:r w:rsidR="00D8288E">
          <w:rPr>
            <w:noProof/>
            <w:webHidden/>
          </w:rPr>
          <w:fldChar w:fldCharType="begin"/>
        </w:r>
        <w:r w:rsidR="00D8288E">
          <w:rPr>
            <w:noProof/>
            <w:webHidden/>
          </w:rPr>
          <w:instrText xml:space="preserve"> PAGEREF _Toc113380921 \h </w:instrText>
        </w:r>
        <w:r w:rsidR="00D8288E">
          <w:rPr>
            <w:noProof/>
            <w:webHidden/>
          </w:rPr>
        </w:r>
        <w:r w:rsidR="00D8288E">
          <w:rPr>
            <w:noProof/>
            <w:webHidden/>
          </w:rPr>
          <w:fldChar w:fldCharType="separate"/>
        </w:r>
        <w:r w:rsidR="00EE0BF5">
          <w:rPr>
            <w:noProof/>
            <w:webHidden/>
          </w:rPr>
          <w:t>104</w:t>
        </w:r>
        <w:r w:rsidR="00D8288E">
          <w:rPr>
            <w:noProof/>
            <w:webHidden/>
          </w:rPr>
          <w:fldChar w:fldCharType="end"/>
        </w:r>
      </w:hyperlink>
    </w:p>
    <w:p w14:paraId="0FC50183" w14:textId="490E7D58" w:rsidR="00D8288E" w:rsidRDefault="008043C8">
      <w:pPr>
        <w:pStyle w:val="TableofFigures"/>
        <w:rPr>
          <w:rFonts w:asciiTheme="minorHAnsi" w:eastAsiaTheme="minorEastAsia" w:hAnsiTheme="minorHAnsi" w:cstheme="minorBidi"/>
          <w:noProof/>
          <w:snapToGrid/>
          <w:szCs w:val="22"/>
        </w:rPr>
      </w:pPr>
      <w:hyperlink w:anchor="_Toc113380922" w:history="1">
        <w:r w:rsidR="00D8288E" w:rsidRPr="005A4C33">
          <w:rPr>
            <w:rStyle w:val="Hyperlink"/>
            <w:noProof/>
            <w:lang w:eastAsia="zh-TW"/>
          </w:rPr>
          <w:t>Figure 4.15. Projected change of annual and seasonal total generation in the WAPA region.</w:t>
        </w:r>
        <w:r w:rsidR="00D8288E">
          <w:rPr>
            <w:noProof/>
            <w:webHidden/>
          </w:rPr>
          <w:tab/>
        </w:r>
        <w:r w:rsidR="00D8288E">
          <w:rPr>
            <w:noProof/>
            <w:webHidden/>
          </w:rPr>
          <w:fldChar w:fldCharType="begin"/>
        </w:r>
        <w:r w:rsidR="00D8288E">
          <w:rPr>
            <w:noProof/>
            <w:webHidden/>
          </w:rPr>
          <w:instrText xml:space="preserve"> PAGEREF _Toc113380922 \h </w:instrText>
        </w:r>
        <w:r w:rsidR="00D8288E">
          <w:rPr>
            <w:noProof/>
            <w:webHidden/>
          </w:rPr>
        </w:r>
        <w:r w:rsidR="00D8288E">
          <w:rPr>
            <w:noProof/>
            <w:webHidden/>
          </w:rPr>
          <w:fldChar w:fldCharType="separate"/>
        </w:r>
        <w:r w:rsidR="00EE0BF5">
          <w:rPr>
            <w:noProof/>
            <w:webHidden/>
          </w:rPr>
          <w:t>105</w:t>
        </w:r>
        <w:r w:rsidR="00D8288E">
          <w:rPr>
            <w:noProof/>
            <w:webHidden/>
          </w:rPr>
          <w:fldChar w:fldCharType="end"/>
        </w:r>
      </w:hyperlink>
    </w:p>
    <w:p w14:paraId="13D7C999" w14:textId="24FBE5B7" w:rsidR="00D8288E" w:rsidRDefault="008043C8">
      <w:pPr>
        <w:pStyle w:val="TableofFigures"/>
        <w:rPr>
          <w:rFonts w:asciiTheme="minorHAnsi" w:eastAsiaTheme="minorEastAsia" w:hAnsiTheme="minorHAnsi" w:cstheme="minorBidi"/>
          <w:noProof/>
          <w:snapToGrid/>
          <w:szCs w:val="22"/>
        </w:rPr>
      </w:pPr>
      <w:hyperlink w:anchor="_Toc113380923" w:history="1">
        <w:r w:rsidR="00D8288E" w:rsidRPr="005A4C33">
          <w:rPr>
            <w:rStyle w:val="Hyperlink"/>
            <w:noProof/>
            <w:lang w:eastAsia="zh-TW"/>
          </w:rPr>
          <w:t>Figure 4.16. ANOVA of annual total generation in the WAPA region.</w:t>
        </w:r>
        <w:r w:rsidR="00D8288E">
          <w:rPr>
            <w:noProof/>
            <w:webHidden/>
          </w:rPr>
          <w:tab/>
        </w:r>
        <w:r w:rsidR="00D8288E">
          <w:rPr>
            <w:noProof/>
            <w:webHidden/>
          </w:rPr>
          <w:fldChar w:fldCharType="begin"/>
        </w:r>
        <w:r w:rsidR="00D8288E">
          <w:rPr>
            <w:noProof/>
            <w:webHidden/>
          </w:rPr>
          <w:instrText xml:space="preserve"> PAGEREF _Toc113380923 \h </w:instrText>
        </w:r>
        <w:r w:rsidR="00D8288E">
          <w:rPr>
            <w:noProof/>
            <w:webHidden/>
          </w:rPr>
        </w:r>
        <w:r w:rsidR="00D8288E">
          <w:rPr>
            <w:noProof/>
            <w:webHidden/>
          </w:rPr>
          <w:fldChar w:fldCharType="separate"/>
        </w:r>
        <w:r w:rsidR="00EE0BF5">
          <w:rPr>
            <w:noProof/>
            <w:webHidden/>
          </w:rPr>
          <w:t>107</w:t>
        </w:r>
        <w:r w:rsidR="00D8288E">
          <w:rPr>
            <w:noProof/>
            <w:webHidden/>
          </w:rPr>
          <w:fldChar w:fldCharType="end"/>
        </w:r>
      </w:hyperlink>
    </w:p>
    <w:p w14:paraId="585D9F3D" w14:textId="4CAEFC39" w:rsidR="00D8288E" w:rsidRDefault="008043C8">
      <w:pPr>
        <w:pStyle w:val="TableofFigures"/>
        <w:rPr>
          <w:rFonts w:asciiTheme="minorHAnsi" w:eastAsiaTheme="minorEastAsia" w:hAnsiTheme="minorHAnsi" w:cstheme="minorBidi"/>
          <w:noProof/>
          <w:snapToGrid/>
          <w:szCs w:val="22"/>
        </w:rPr>
      </w:pPr>
      <w:hyperlink w:anchor="_Toc113380924" w:history="1">
        <w:r w:rsidR="00D8288E" w:rsidRPr="005A4C33">
          <w:rPr>
            <w:rStyle w:val="Hyperlink"/>
            <w:noProof/>
            <w:lang w:eastAsia="zh-TW"/>
          </w:rPr>
          <w:t>Figure 4.17. Projected annual HDDs in the WAPA region.</w:t>
        </w:r>
        <w:r w:rsidR="00D8288E">
          <w:rPr>
            <w:noProof/>
            <w:webHidden/>
          </w:rPr>
          <w:tab/>
        </w:r>
        <w:r w:rsidR="00D8288E">
          <w:rPr>
            <w:noProof/>
            <w:webHidden/>
          </w:rPr>
          <w:fldChar w:fldCharType="begin"/>
        </w:r>
        <w:r w:rsidR="00D8288E">
          <w:rPr>
            <w:noProof/>
            <w:webHidden/>
          </w:rPr>
          <w:instrText xml:space="preserve"> PAGEREF _Toc113380924 \h </w:instrText>
        </w:r>
        <w:r w:rsidR="00D8288E">
          <w:rPr>
            <w:noProof/>
            <w:webHidden/>
          </w:rPr>
        </w:r>
        <w:r w:rsidR="00D8288E">
          <w:rPr>
            <w:noProof/>
            <w:webHidden/>
          </w:rPr>
          <w:fldChar w:fldCharType="separate"/>
        </w:r>
        <w:r w:rsidR="00EE0BF5">
          <w:rPr>
            <w:noProof/>
            <w:webHidden/>
          </w:rPr>
          <w:t>110</w:t>
        </w:r>
        <w:r w:rsidR="00D8288E">
          <w:rPr>
            <w:noProof/>
            <w:webHidden/>
          </w:rPr>
          <w:fldChar w:fldCharType="end"/>
        </w:r>
      </w:hyperlink>
    </w:p>
    <w:p w14:paraId="1AB2CAE4" w14:textId="0A3FE4BD" w:rsidR="00D8288E" w:rsidRDefault="008043C8">
      <w:pPr>
        <w:pStyle w:val="TableofFigures"/>
        <w:rPr>
          <w:rFonts w:asciiTheme="minorHAnsi" w:eastAsiaTheme="minorEastAsia" w:hAnsiTheme="minorHAnsi" w:cstheme="minorBidi"/>
          <w:noProof/>
          <w:snapToGrid/>
          <w:szCs w:val="22"/>
        </w:rPr>
      </w:pPr>
      <w:hyperlink w:anchor="_Toc113380925" w:history="1">
        <w:r w:rsidR="00D8288E" w:rsidRPr="005A4C33">
          <w:rPr>
            <w:rStyle w:val="Hyperlink"/>
            <w:noProof/>
            <w:lang w:eastAsia="zh-TW"/>
          </w:rPr>
          <w:t>Figure 4.18. Projected annual CDDs in the WAPA region.</w:t>
        </w:r>
        <w:r w:rsidR="00D8288E">
          <w:rPr>
            <w:noProof/>
            <w:webHidden/>
          </w:rPr>
          <w:tab/>
        </w:r>
        <w:r w:rsidR="00D8288E">
          <w:rPr>
            <w:noProof/>
            <w:webHidden/>
          </w:rPr>
          <w:fldChar w:fldCharType="begin"/>
        </w:r>
        <w:r w:rsidR="00D8288E">
          <w:rPr>
            <w:noProof/>
            <w:webHidden/>
          </w:rPr>
          <w:instrText xml:space="preserve"> PAGEREF _Toc113380925 \h </w:instrText>
        </w:r>
        <w:r w:rsidR="00D8288E">
          <w:rPr>
            <w:noProof/>
            <w:webHidden/>
          </w:rPr>
        </w:r>
        <w:r w:rsidR="00D8288E">
          <w:rPr>
            <w:noProof/>
            <w:webHidden/>
          </w:rPr>
          <w:fldChar w:fldCharType="separate"/>
        </w:r>
        <w:r w:rsidR="00EE0BF5">
          <w:rPr>
            <w:noProof/>
            <w:webHidden/>
          </w:rPr>
          <w:t>111</w:t>
        </w:r>
        <w:r w:rsidR="00D8288E">
          <w:rPr>
            <w:noProof/>
            <w:webHidden/>
          </w:rPr>
          <w:fldChar w:fldCharType="end"/>
        </w:r>
      </w:hyperlink>
    </w:p>
    <w:p w14:paraId="581E5D9A" w14:textId="64A8B362" w:rsidR="00D8288E" w:rsidRDefault="008043C8">
      <w:pPr>
        <w:pStyle w:val="TableofFigures"/>
        <w:rPr>
          <w:rFonts w:asciiTheme="minorHAnsi" w:eastAsiaTheme="minorEastAsia" w:hAnsiTheme="minorHAnsi" w:cstheme="minorBidi"/>
          <w:noProof/>
          <w:snapToGrid/>
          <w:szCs w:val="22"/>
        </w:rPr>
      </w:pPr>
      <w:hyperlink w:anchor="_Toc113380926" w:history="1">
        <w:r w:rsidR="00D8288E" w:rsidRPr="005A4C33">
          <w:rPr>
            <w:rStyle w:val="Hyperlink"/>
            <w:noProof/>
            <w:lang w:eastAsia="zh-TW"/>
          </w:rPr>
          <w:t>Figure 4.19. Estimated changes in WAPA preference customer electricity sales relative to the baseline period due to projected changes in degree days.</w:t>
        </w:r>
        <w:r w:rsidR="00D8288E">
          <w:rPr>
            <w:noProof/>
            <w:webHidden/>
          </w:rPr>
          <w:tab/>
        </w:r>
        <w:r w:rsidR="00D8288E">
          <w:rPr>
            <w:noProof/>
            <w:webHidden/>
          </w:rPr>
          <w:fldChar w:fldCharType="begin"/>
        </w:r>
        <w:r w:rsidR="00D8288E">
          <w:rPr>
            <w:noProof/>
            <w:webHidden/>
          </w:rPr>
          <w:instrText xml:space="preserve"> PAGEREF _Toc113380926 \h </w:instrText>
        </w:r>
        <w:r w:rsidR="00D8288E">
          <w:rPr>
            <w:noProof/>
            <w:webHidden/>
          </w:rPr>
        </w:r>
        <w:r w:rsidR="00D8288E">
          <w:rPr>
            <w:noProof/>
            <w:webHidden/>
          </w:rPr>
          <w:fldChar w:fldCharType="separate"/>
        </w:r>
        <w:r w:rsidR="00EE0BF5">
          <w:rPr>
            <w:noProof/>
            <w:webHidden/>
          </w:rPr>
          <w:t>112</w:t>
        </w:r>
        <w:r w:rsidR="00D8288E">
          <w:rPr>
            <w:noProof/>
            <w:webHidden/>
          </w:rPr>
          <w:fldChar w:fldCharType="end"/>
        </w:r>
      </w:hyperlink>
    </w:p>
    <w:p w14:paraId="1FF9AF72" w14:textId="2F182DCE" w:rsidR="00D8288E" w:rsidRDefault="008043C8">
      <w:pPr>
        <w:pStyle w:val="TableofFigures"/>
        <w:rPr>
          <w:rFonts w:asciiTheme="minorHAnsi" w:eastAsiaTheme="minorEastAsia" w:hAnsiTheme="minorHAnsi" w:cstheme="minorBidi"/>
          <w:noProof/>
          <w:snapToGrid/>
          <w:szCs w:val="22"/>
        </w:rPr>
      </w:pPr>
      <w:hyperlink w:anchor="_Toc113380927" w:history="1">
        <w:r w:rsidR="00D8288E" w:rsidRPr="005A4C33">
          <w:rPr>
            <w:rStyle w:val="Hyperlink"/>
            <w:noProof/>
            <w:lang w:eastAsia="zh-TW"/>
          </w:rPr>
          <w:t>Figure 5.1. Map of the federal hydropower plants and four study areas in the SWPA region.</w:t>
        </w:r>
        <w:r w:rsidR="00D8288E">
          <w:rPr>
            <w:noProof/>
            <w:webHidden/>
          </w:rPr>
          <w:tab/>
        </w:r>
        <w:r w:rsidR="00D8288E">
          <w:rPr>
            <w:noProof/>
            <w:webHidden/>
          </w:rPr>
          <w:fldChar w:fldCharType="begin"/>
        </w:r>
        <w:r w:rsidR="00D8288E">
          <w:rPr>
            <w:noProof/>
            <w:webHidden/>
          </w:rPr>
          <w:instrText xml:space="preserve"> PAGEREF _Toc113380927 \h </w:instrText>
        </w:r>
        <w:r w:rsidR="00D8288E">
          <w:rPr>
            <w:noProof/>
            <w:webHidden/>
          </w:rPr>
        </w:r>
        <w:r w:rsidR="00D8288E">
          <w:rPr>
            <w:noProof/>
            <w:webHidden/>
          </w:rPr>
          <w:fldChar w:fldCharType="separate"/>
        </w:r>
        <w:r w:rsidR="00EE0BF5">
          <w:rPr>
            <w:noProof/>
            <w:webHidden/>
          </w:rPr>
          <w:t>116</w:t>
        </w:r>
        <w:r w:rsidR="00D8288E">
          <w:rPr>
            <w:noProof/>
            <w:webHidden/>
          </w:rPr>
          <w:fldChar w:fldCharType="end"/>
        </w:r>
      </w:hyperlink>
    </w:p>
    <w:p w14:paraId="48CC5B5D" w14:textId="5D75EC8D" w:rsidR="00D8288E" w:rsidRDefault="008043C8">
      <w:pPr>
        <w:pStyle w:val="TableofFigures"/>
        <w:rPr>
          <w:rFonts w:asciiTheme="minorHAnsi" w:eastAsiaTheme="minorEastAsia" w:hAnsiTheme="minorHAnsi" w:cstheme="minorBidi"/>
          <w:noProof/>
          <w:snapToGrid/>
          <w:szCs w:val="22"/>
        </w:rPr>
      </w:pPr>
      <w:hyperlink w:anchor="_Toc113380928" w:history="1">
        <w:r w:rsidR="00D8288E" w:rsidRPr="005A4C33">
          <w:rPr>
            <w:rStyle w:val="Hyperlink"/>
            <w:noProof/>
            <w:lang w:eastAsia="zh-TW"/>
          </w:rPr>
          <w:t>Figure 5.2. Projected annual mean temperature in the SWPA region.</w:t>
        </w:r>
        <w:r w:rsidR="00D8288E">
          <w:rPr>
            <w:noProof/>
            <w:webHidden/>
          </w:rPr>
          <w:tab/>
        </w:r>
        <w:r w:rsidR="00D8288E">
          <w:rPr>
            <w:noProof/>
            <w:webHidden/>
          </w:rPr>
          <w:fldChar w:fldCharType="begin"/>
        </w:r>
        <w:r w:rsidR="00D8288E">
          <w:rPr>
            <w:noProof/>
            <w:webHidden/>
          </w:rPr>
          <w:instrText xml:space="preserve"> PAGEREF _Toc113380928 \h </w:instrText>
        </w:r>
        <w:r w:rsidR="00D8288E">
          <w:rPr>
            <w:noProof/>
            <w:webHidden/>
          </w:rPr>
        </w:r>
        <w:r w:rsidR="00D8288E">
          <w:rPr>
            <w:noProof/>
            <w:webHidden/>
          </w:rPr>
          <w:fldChar w:fldCharType="separate"/>
        </w:r>
        <w:r w:rsidR="00EE0BF5">
          <w:rPr>
            <w:noProof/>
            <w:webHidden/>
          </w:rPr>
          <w:t>119</w:t>
        </w:r>
        <w:r w:rsidR="00D8288E">
          <w:rPr>
            <w:noProof/>
            <w:webHidden/>
          </w:rPr>
          <w:fldChar w:fldCharType="end"/>
        </w:r>
      </w:hyperlink>
    </w:p>
    <w:p w14:paraId="62D9EC67" w14:textId="0B5B3A5C" w:rsidR="00D8288E" w:rsidRDefault="008043C8">
      <w:pPr>
        <w:pStyle w:val="TableofFigures"/>
        <w:rPr>
          <w:rFonts w:asciiTheme="minorHAnsi" w:eastAsiaTheme="minorEastAsia" w:hAnsiTheme="minorHAnsi" w:cstheme="minorBidi"/>
          <w:noProof/>
          <w:snapToGrid/>
          <w:szCs w:val="22"/>
        </w:rPr>
      </w:pPr>
      <w:hyperlink w:anchor="_Toc113380929" w:history="1">
        <w:r w:rsidR="00D8288E" w:rsidRPr="005A4C33">
          <w:rPr>
            <w:rStyle w:val="Hyperlink"/>
            <w:noProof/>
            <w:lang w:eastAsia="zh-TW"/>
          </w:rPr>
          <w:t>Figure 5.3. Projected change of annual and seasonal mean temperature in the SWPA region.</w:t>
        </w:r>
        <w:r w:rsidR="00D8288E">
          <w:rPr>
            <w:noProof/>
            <w:webHidden/>
          </w:rPr>
          <w:tab/>
        </w:r>
        <w:r w:rsidR="00D8288E">
          <w:rPr>
            <w:noProof/>
            <w:webHidden/>
          </w:rPr>
          <w:fldChar w:fldCharType="begin"/>
        </w:r>
        <w:r w:rsidR="00D8288E">
          <w:rPr>
            <w:noProof/>
            <w:webHidden/>
          </w:rPr>
          <w:instrText xml:space="preserve"> PAGEREF _Toc113380929 \h </w:instrText>
        </w:r>
        <w:r w:rsidR="00D8288E">
          <w:rPr>
            <w:noProof/>
            <w:webHidden/>
          </w:rPr>
        </w:r>
        <w:r w:rsidR="00D8288E">
          <w:rPr>
            <w:noProof/>
            <w:webHidden/>
          </w:rPr>
          <w:fldChar w:fldCharType="separate"/>
        </w:r>
        <w:r w:rsidR="00EE0BF5">
          <w:rPr>
            <w:noProof/>
            <w:webHidden/>
          </w:rPr>
          <w:t>120</w:t>
        </w:r>
        <w:r w:rsidR="00D8288E">
          <w:rPr>
            <w:noProof/>
            <w:webHidden/>
          </w:rPr>
          <w:fldChar w:fldCharType="end"/>
        </w:r>
      </w:hyperlink>
    </w:p>
    <w:p w14:paraId="5D4F21A7" w14:textId="6EC546E9" w:rsidR="00D8288E" w:rsidRDefault="008043C8">
      <w:pPr>
        <w:pStyle w:val="TableofFigures"/>
        <w:rPr>
          <w:rFonts w:asciiTheme="minorHAnsi" w:eastAsiaTheme="minorEastAsia" w:hAnsiTheme="minorHAnsi" w:cstheme="minorBidi"/>
          <w:noProof/>
          <w:snapToGrid/>
          <w:szCs w:val="22"/>
        </w:rPr>
      </w:pPr>
      <w:hyperlink w:anchor="_Toc113380930" w:history="1">
        <w:r w:rsidR="00D8288E" w:rsidRPr="005A4C33">
          <w:rPr>
            <w:rStyle w:val="Hyperlink"/>
            <w:noProof/>
            <w:lang w:eastAsia="zh-TW"/>
          </w:rPr>
          <w:t>Figure 5.4. Projected annual total precipitation in the SWPA region.</w:t>
        </w:r>
        <w:r w:rsidR="00D8288E">
          <w:rPr>
            <w:noProof/>
            <w:webHidden/>
          </w:rPr>
          <w:tab/>
        </w:r>
        <w:r w:rsidR="00D8288E">
          <w:rPr>
            <w:noProof/>
            <w:webHidden/>
          </w:rPr>
          <w:fldChar w:fldCharType="begin"/>
        </w:r>
        <w:r w:rsidR="00D8288E">
          <w:rPr>
            <w:noProof/>
            <w:webHidden/>
          </w:rPr>
          <w:instrText xml:space="preserve"> PAGEREF _Toc113380930 \h </w:instrText>
        </w:r>
        <w:r w:rsidR="00D8288E">
          <w:rPr>
            <w:noProof/>
            <w:webHidden/>
          </w:rPr>
        </w:r>
        <w:r w:rsidR="00D8288E">
          <w:rPr>
            <w:noProof/>
            <w:webHidden/>
          </w:rPr>
          <w:fldChar w:fldCharType="separate"/>
        </w:r>
        <w:r w:rsidR="00EE0BF5">
          <w:rPr>
            <w:noProof/>
            <w:webHidden/>
          </w:rPr>
          <w:t>121</w:t>
        </w:r>
        <w:r w:rsidR="00D8288E">
          <w:rPr>
            <w:noProof/>
            <w:webHidden/>
          </w:rPr>
          <w:fldChar w:fldCharType="end"/>
        </w:r>
      </w:hyperlink>
    </w:p>
    <w:p w14:paraId="3FCAF5A2" w14:textId="6EB29C49" w:rsidR="00D8288E" w:rsidRDefault="008043C8">
      <w:pPr>
        <w:pStyle w:val="TableofFigures"/>
        <w:rPr>
          <w:rFonts w:asciiTheme="minorHAnsi" w:eastAsiaTheme="minorEastAsia" w:hAnsiTheme="minorHAnsi" w:cstheme="minorBidi"/>
          <w:noProof/>
          <w:snapToGrid/>
          <w:szCs w:val="22"/>
        </w:rPr>
      </w:pPr>
      <w:hyperlink w:anchor="_Toc113380931" w:history="1">
        <w:r w:rsidR="00D8288E" w:rsidRPr="005A4C33">
          <w:rPr>
            <w:rStyle w:val="Hyperlink"/>
            <w:noProof/>
            <w:lang w:eastAsia="zh-TW"/>
          </w:rPr>
          <w:t>Figure 5.5. Projected change of annual and seasonal total precipitation in the SWPA region.</w:t>
        </w:r>
        <w:r w:rsidR="00D8288E">
          <w:rPr>
            <w:noProof/>
            <w:webHidden/>
          </w:rPr>
          <w:tab/>
        </w:r>
        <w:r w:rsidR="00D8288E">
          <w:rPr>
            <w:noProof/>
            <w:webHidden/>
          </w:rPr>
          <w:fldChar w:fldCharType="begin"/>
        </w:r>
        <w:r w:rsidR="00D8288E">
          <w:rPr>
            <w:noProof/>
            <w:webHidden/>
          </w:rPr>
          <w:instrText xml:space="preserve"> PAGEREF _Toc113380931 \h </w:instrText>
        </w:r>
        <w:r w:rsidR="00D8288E">
          <w:rPr>
            <w:noProof/>
            <w:webHidden/>
          </w:rPr>
        </w:r>
        <w:r w:rsidR="00D8288E">
          <w:rPr>
            <w:noProof/>
            <w:webHidden/>
          </w:rPr>
          <w:fldChar w:fldCharType="separate"/>
        </w:r>
        <w:r w:rsidR="00EE0BF5">
          <w:rPr>
            <w:noProof/>
            <w:webHidden/>
          </w:rPr>
          <w:t>122</w:t>
        </w:r>
        <w:r w:rsidR="00D8288E">
          <w:rPr>
            <w:noProof/>
            <w:webHidden/>
          </w:rPr>
          <w:fldChar w:fldCharType="end"/>
        </w:r>
      </w:hyperlink>
    </w:p>
    <w:p w14:paraId="683E2C41" w14:textId="2956B43D" w:rsidR="00D8288E" w:rsidRDefault="008043C8">
      <w:pPr>
        <w:pStyle w:val="TableofFigures"/>
        <w:rPr>
          <w:rFonts w:asciiTheme="minorHAnsi" w:eastAsiaTheme="minorEastAsia" w:hAnsiTheme="minorHAnsi" w:cstheme="minorBidi"/>
          <w:noProof/>
          <w:snapToGrid/>
          <w:szCs w:val="22"/>
        </w:rPr>
      </w:pPr>
      <w:hyperlink w:anchor="_Toc113380932" w:history="1">
        <w:r w:rsidR="00D8288E" w:rsidRPr="005A4C33">
          <w:rPr>
            <w:rStyle w:val="Hyperlink"/>
            <w:noProof/>
            <w:lang w:eastAsia="zh-TW"/>
          </w:rPr>
          <w:t>Figure 5.6. Projected annual total runoff in the SWPA region.</w:t>
        </w:r>
        <w:r w:rsidR="00D8288E">
          <w:rPr>
            <w:noProof/>
            <w:webHidden/>
          </w:rPr>
          <w:tab/>
        </w:r>
        <w:r w:rsidR="00D8288E">
          <w:rPr>
            <w:noProof/>
            <w:webHidden/>
          </w:rPr>
          <w:fldChar w:fldCharType="begin"/>
        </w:r>
        <w:r w:rsidR="00D8288E">
          <w:rPr>
            <w:noProof/>
            <w:webHidden/>
          </w:rPr>
          <w:instrText xml:space="preserve"> PAGEREF _Toc113380932 \h </w:instrText>
        </w:r>
        <w:r w:rsidR="00D8288E">
          <w:rPr>
            <w:noProof/>
            <w:webHidden/>
          </w:rPr>
        </w:r>
        <w:r w:rsidR="00D8288E">
          <w:rPr>
            <w:noProof/>
            <w:webHidden/>
          </w:rPr>
          <w:fldChar w:fldCharType="separate"/>
        </w:r>
        <w:r w:rsidR="00EE0BF5">
          <w:rPr>
            <w:noProof/>
            <w:webHidden/>
          </w:rPr>
          <w:t>123</w:t>
        </w:r>
        <w:r w:rsidR="00D8288E">
          <w:rPr>
            <w:noProof/>
            <w:webHidden/>
          </w:rPr>
          <w:fldChar w:fldCharType="end"/>
        </w:r>
      </w:hyperlink>
    </w:p>
    <w:p w14:paraId="3434A2BD" w14:textId="761AB52F" w:rsidR="00D8288E" w:rsidRDefault="008043C8">
      <w:pPr>
        <w:pStyle w:val="TableofFigures"/>
        <w:rPr>
          <w:rFonts w:asciiTheme="minorHAnsi" w:eastAsiaTheme="minorEastAsia" w:hAnsiTheme="minorHAnsi" w:cstheme="minorBidi"/>
          <w:noProof/>
          <w:snapToGrid/>
          <w:szCs w:val="22"/>
        </w:rPr>
      </w:pPr>
      <w:hyperlink w:anchor="_Toc113380933" w:history="1">
        <w:r w:rsidR="00D8288E" w:rsidRPr="005A4C33">
          <w:rPr>
            <w:rStyle w:val="Hyperlink"/>
            <w:noProof/>
            <w:lang w:eastAsia="zh-TW"/>
          </w:rPr>
          <w:t>Figure 5.7. Projected change of annual and seasonal total runoff in the SWPA region.</w:t>
        </w:r>
        <w:r w:rsidR="00D8288E">
          <w:rPr>
            <w:noProof/>
            <w:webHidden/>
          </w:rPr>
          <w:tab/>
        </w:r>
        <w:r w:rsidR="00D8288E">
          <w:rPr>
            <w:noProof/>
            <w:webHidden/>
          </w:rPr>
          <w:fldChar w:fldCharType="begin"/>
        </w:r>
        <w:r w:rsidR="00D8288E">
          <w:rPr>
            <w:noProof/>
            <w:webHidden/>
          </w:rPr>
          <w:instrText xml:space="preserve"> PAGEREF _Toc113380933 \h </w:instrText>
        </w:r>
        <w:r w:rsidR="00D8288E">
          <w:rPr>
            <w:noProof/>
            <w:webHidden/>
          </w:rPr>
        </w:r>
        <w:r w:rsidR="00D8288E">
          <w:rPr>
            <w:noProof/>
            <w:webHidden/>
          </w:rPr>
          <w:fldChar w:fldCharType="separate"/>
        </w:r>
        <w:r w:rsidR="00EE0BF5">
          <w:rPr>
            <w:noProof/>
            <w:webHidden/>
          </w:rPr>
          <w:t>124</w:t>
        </w:r>
        <w:r w:rsidR="00D8288E">
          <w:rPr>
            <w:noProof/>
            <w:webHidden/>
          </w:rPr>
          <w:fldChar w:fldCharType="end"/>
        </w:r>
      </w:hyperlink>
    </w:p>
    <w:p w14:paraId="6254006E" w14:textId="65927475" w:rsidR="00D8288E" w:rsidRDefault="008043C8">
      <w:pPr>
        <w:pStyle w:val="TableofFigures"/>
        <w:rPr>
          <w:rFonts w:asciiTheme="minorHAnsi" w:eastAsiaTheme="minorEastAsia" w:hAnsiTheme="minorHAnsi" w:cstheme="minorBidi"/>
          <w:noProof/>
          <w:snapToGrid/>
          <w:szCs w:val="22"/>
        </w:rPr>
      </w:pPr>
      <w:hyperlink w:anchor="_Toc113380934" w:history="1">
        <w:r w:rsidR="00D8288E" w:rsidRPr="005A4C33">
          <w:rPr>
            <w:rStyle w:val="Hyperlink"/>
            <w:noProof/>
            <w:lang w:eastAsia="zh-TW"/>
          </w:rPr>
          <w:t>Figure 5.8. Projected change of high and low runoff in the SWPA region.</w:t>
        </w:r>
        <w:r w:rsidR="00D8288E">
          <w:rPr>
            <w:noProof/>
            <w:webHidden/>
          </w:rPr>
          <w:tab/>
        </w:r>
        <w:r w:rsidR="00D8288E">
          <w:rPr>
            <w:noProof/>
            <w:webHidden/>
          </w:rPr>
          <w:fldChar w:fldCharType="begin"/>
        </w:r>
        <w:r w:rsidR="00D8288E">
          <w:rPr>
            <w:noProof/>
            <w:webHidden/>
          </w:rPr>
          <w:instrText xml:space="preserve"> PAGEREF _Toc113380934 \h </w:instrText>
        </w:r>
        <w:r w:rsidR="00D8288E">
          <w:rPr>
            <w:noProof/>
            <w:webHidden/>
          </w:rPr>
        </w:r>
        <w:r w:rsidR="00D8288E">
          <w:rPr>
            <w:noProof/>
            <w:webHidden/>
          </w:rPr>
          <w:fldChar w:fldCharType="separate"/>
        </w:r>
        <w:r w:rsidR="00EE0BF5">
          <w:rPr>
            <w:noProof/>
            <w:webHidden/>
          </w:rPr>
          <w:t>125</w:t>
        </w:r>
        <w:r w:rsidR="00D8288E">
          <w:rPr>
            <w:noProof/>
            <w:webHidden/>
          </w:rPr>
          <w:fldChar w:fldCharType="end"/>
        </w:r>
      </w:hyperlink>
    </w:p>
    <w:p w14:paraId="4BA158A6" w14:textId="64536400" w:rsidR="00D8288E" w:rsidRDefault="008043C8">
      <w:pPr>
        <w:pStyle w:val="TableofFigures"/>
        <w:rPr>
          <w:rFonts w:asciiTheme="minorHAnsi" w:eastAsiaTheme="minorEastAsia" w:hAnsiTheme="minorHAnsi" w:cstheme="minorBidi"/>
          <w:noProof/>
          <w:snapToGrid/>
          <w:szCs w:val="22"/>
        </w:rPr>
      </w:pPr>
      <w:hyperlink w:anchor="_Toc113380935" w:history="1">
        <w:r w:rsidR="00D8288E" w:rsidRPr="005A4C33">
          <w:rPr>
            <w:rStyle w:val="Hyperlink"/>
            <w:noProof/>
            <w:lang w:eastAsia="zh-TW"/>
          </w:rPr>
          <w:t>Figure 5.9. ANOVA of annual total runoff in the SWPA region.</w:t>
        </w:r>
        <w:r w:rsidR="00D8288E">
          <w:rPr>
            <w:noProof/>
            <w:webHidden/>
          </w:rPr>
          <w:tab/>
        </w:r>
        <w:r w:rsidR="00D8288E">
          <w:rPr>
            <w:noProof/>
            <w:webHidden/>
          </w:rPr>
          <w:fldChar w:fldCharType="begin"/>
        </w:r>
        <w:r w:rsidR="00D8288E">
          <w:rPr>
            <w:noProof/>
            <w:webHidden/>
          </w:rPr>
          <w:instrText xml:space="preserve"> PAGEREF _Toc113380935 \h </w:instrText>
        </w:r>
        <w:r w:rsidR="00D8288E">
          <w:rPr>
            <w:noProof/>
            <w:webHidden/>
          </w:rPr>
        </w:r>
        <w:r w:rsidR="00D8288E">
          <w:rPr>
            <w:noProof/>
            <w:webHidden/>
          </w:rPr>
          <w:fldChar w:fldCharType="separate"/>
        </w:r>
        <w:r w:rsidR="00EE0BF5">
          <w:rPr>
            <w:noProof/>
            <w:webHidden/>
          </w:rPr>
          <w:t>126</w:t>
        </w:r>
        <w:r w:rsidR="00D8288E">
          <w:rPr>
            <w:noProof/>
            <w:webHidden/>
          </w:rPr>
          <w:fldChar w:fldCharType="end"/>
        </w:r>
      </w:hyperlink>
    </w:p>
    <w:p w14:paraId="07D2A63C" w14:textId="4B32CD91" w:rsidR="00D8288E" w:rsidRDefault="008043C8">
      <w:pPr>
        <w:pStyle w:val="TableofFigures"/>
        <w:rPr>
          <w:rFonts w:asciiTheme="minorHAnsi" w:eastAsiaTheme="minorEastAsia" w:hAnsiTheme="minorHAnsi" w:cstheme="minorBidi"/>
          <w:noProof/>
          <w:snapToGrid/>
          <w:szCs w:val="22"/>
        </w:rPr>
      </w:pPr>
      <w:hyperlink w:anchor="_Toc113380936" w:history="1">
        <w:r w:rsidR="00D8288E" w:rsidRPr="005A4C33">
          <w:rPr>
            <w:rStyle w:val="Hyperlink"/>
            <w:noProof/>
            <w:lang w:eastAsia="zh-TW"/>
          </w:rPr>
          <w:t>Figure 5.10. Projected annual total reservoir evaporation in the SWPA region.</w:t>
        </w:r>
        <w:r w:rsidR="00D8288E">
          <w:rPr>
            <w:noProof/>
            <w:webHidden/>
          </w:rPr>
          <w:tab/>
        </w:r>
        <w:r w:rsidR="00D8288E">
          <w:rPr>
            <w:noProof/>
            <w:webHidden/>
          </w:rPr>
          <w:fldChar w:fldCharType="begin"/>
        </w:r>
        <w:r w:rsidR="00D8288E">
          <w:rPr>
            <w:noProof/>
            <w:webHidden/>
          </w:rPr>
          <w:instrText xml:space="preserve"> PAGEREF _Toc113380936 \h </w:instrText>
        </w:r>
        <w:r w:rsidR="00D8288E">
          <w:rPr>
            <w:noProof/>
            <w:webHidden/>
          </w:rPr>
        </w:r>
        <w:r w:rsidR="00D8288E">
          <w:rPr>
            <w:noProof/>
            <w:webHidden/>
          </w:rPr>
          <w:fldChar w:fldCharType="separate"/>
        </w:r>
        <w:r w:rsidR="00EE0BF5">
          <w:rPr>
            <w:noProof/>
            <w:webHidden/>
          </w:rPr>
          <w:t>127</w:t>
        </w:r>
        <w:r w:rsidR="00D8288E">
          <w:rPr>
            <w:noProof/>
            <w:webHidden/>
          </w:rPr>
          <w:fldChar w:fldCharType="end"/>
        </w:r>
      </w:hyperlink>
    </w:p>
    <w:p w14:paraId="373FFBAD" w14:textId="1A0C39CC" w:rsidR="00D8288E" w:rsidRDefault="008043C8">
      <w:pPr>
        <w:pStyle w:val="TableofFigures"/>
        <w:rPr>
          <w:rFonts w:asciiTheme="minorHAnsi" w:eastAsiaTheme="minorEastAsia" w:hAnsiTheme="minorHAnsi" w:cstheme="minorBidi"/>
          <w:noProof/>
          <w:snapToGrid/>
          <w:szCs w:val="22"/>
        </w:rPr>
      </w:pPr>
      <w:hyperlink w:anchor="_Toc113380937" w:history="1">
        <w:r w:rsidR="00D8288E" w:rsidRPr="005A4C33">
          <w:rPr>
            <w:rStyle w:val="Hyperlink"/>
            <w:noProof/>
            <w:lang w:eastAsia="zh-TW"/>
          </w:rPr>
          <w:t>Figure 5.11. Projected change of annual and seasonal total reservoir evaporation in the SWPA region.</w:t>
        </w:r>
        <w:r w:rsidR="00D8288E">
          <w:rPr>
            <w:noProof/>
            <w:webHidden/>
          </w:rPr>
          <w:tab/>
        </w:r>
        <w:r w:rsidR="00D8288E">
          <w:rPr>
            <w:noProof/>
            <w:webHidden/>
          </w:rPr>
          <w:fldChar w:fldCharType="begin"/>
        </w:r>
        <w:r w:rsidR="00D8288E">
          <w:rPr>
            <w:noProof/>
            <w:webHidden/>
          </w:rPr>
          <w:instrText xml:space="preserve"> PAGEREF _Toc113380937 \h </w:instrText>
        </w:r>
        <w:r w:rsidR="00D8288E">
          <w:rPr>
            <w:noProof/>
            <w:webHidden/>
          </w:rPr>
        </w:r>
        <w:r w:rsidR="00D8288E">
          <w:rPr>
            <w:noProof/>
            <w:webHidden/>
          </w:rPr>
          <w:fldChar w:fldCharType="separate"/>
        </w:r>
        <w:r w:rsidR="00EE0BF5">
          <w:rPr>
            <w:noProof/>
            <w:webHidden/>
          </w:rPr>
          <w:t>128</w:t>
        </w:r>
        <w:r w:rsidR="00D8288E">
          <w:rPr>
            <w:noProof/>
            <w:webHidden/>
          </w:rPr>
          <w:fldChar w:fldCharType="end"/>
        </w:r>
      </w:hyperlink>
    </w:p>
    <w:p w14:paraId="2CA6F850" w14:textId="68E385D9" w:rsidR="00D8288E" w:rsidRDefault="008043C8">
      <w:pPr>
        <w:pStyle w:val="TableofFigures"/>
        <w:rPr>
          <w:rFonts w:asciiTheme="minorHAnsi" w:eastAsiaTheme="minorEastAsia" w:hAnsiTheme="minorHAnsi" w:cstheme="minorBidi"/>
          <w:noProof/>
          <w:snapToGrid/>
          <w:szCs w:val="22"/>
        </w:rPr>
      </w:pPr>
      <w:hyperlink w:anchor="_Toc113380938" w:history="1">
        <w:r w:rsidR="00D8288E" w:rsidRPr="005A4C33">
          <w:rPr>
            <w:rStyle w:val="Hyperlink"/>
            <w:noProof/>
            <w:lang w:eastAsia="zh-TW"/>
          </w:rPr>
          <w:t>Figure 5.12. ANOVA of annual total reservoir evaporation in the SWPA region.</w:t>
        </w:r>
        <w:r w:rsidR="00D8288E">
          <w:rPr>
            <w:noProof/>
            <w:webHidden/>
          </w:rPr>
          <w:tab/>
        </w:r>
        <w:r w:rsidR="00D8288E">
          <w:rPr>
            <w:noProof/>
            <w:webHidden/>
          </w:rPr>
          <w:fldChar w:fldCharType="begin"/>
        </w:r>
        <w:r w:rsidR="00D8288E">
          <w:rPr>
            <w:noProof/>
            <w:webHidden/>
          </w:rPr>
          <w:instrText xml:space="preserve"> PAGEREF _Toc113380938 \h </w:instrText>
        </w:r>
        <w:r w:rsidR="00D8288E">
          <w:rPr>
            <w:noProof/>
            <w:webHidden/>
          </w:rPr>
        </w:r>
        <w:r w:rsidR="00D8288E">
          <w:rPr>
            <w:noProof/>
            <w:webHidden/>
          </w:rPr>
          <w:fldChar w:fldCharType="separate"/>
        </w:r>
        <w:r w:rsidR="00EE0BF5">
          <w:rPr>
            <w:noProof/>
            <w:webHidden/>
          </w:rPr>
          <w:t>128</w:t>
        </w:r>
        <w:r w:rsidR="00D8288E">
          <w:rPr>
            <w:noProof/>
            <w:webHidden/>
          </w:rPr>
          <w:fldChar w:fldCharType="end"/>
        </w:r>
      </w:hyperlink>
    </w:p>
    <w:p w14:paraId="1C90CE16" w14:textId="49F936A6" w:rsidR="00D8288E" w:rsidRDefault="008043C8">
      <w:pPr>
        <w:pStyle w:val="TableofFigures"/>
        <w:rPr>
          <w:rFonts w:asciiTheme="minorHAnsi" w:eastAsiaTheme="minorEastAsia" w:hAnsiTheme="minorHAnsi" w:cstheme="minorBidi"/>
          <w:noProof/>
          <w:snapToGrid/>
          <w:szCs w:val="22"/>
        </w:rPr>
      </w:pPr>
      <w:hyperlink w:anchor="_Toc113380939" w:history="1">
        <w:r w:rsidR="00D8288E" w:rsidRPr="005A4C33">
          <w:rPr>
            <w:rStyle w:val="Hyperlink"/>
            <w:noProof/>
            <w:lang w:eastAsia="zh-TW"/>
          </w:rPr>
          <w:t>Figure 5.13. Projected annual total generation in the SWPA region.</w:t>
        </w:r>
        <w:r w:rsidR="00D8288E">
          <w:rPr>
            <w:noProof/>
            <w:webHidden/>
          </w:rPr>
          <w:tab/>
        </w:r>
        <w:r w:rsidR="00D8288E">
          <w:rPr>
            <w:noProof/>
            <w:webHidden/>
          </w:rPr>
          <w:fldChar w:fldCharType="begin"/>
        </w:r>
        <w:r w:rsidR="00D8288E">
          <w:rPr>
            <w:noProof/>
            <w:webHidden/>
          </w:rPr>
          <w:instrText xml:space="preserve"> PAGEREF _Toc113380939 \h </w:instrText>
        </w:r>
        <w:r w:rsidR="00D8288E">
          <w:rPr>
            <w:noProof/>
            <w:webHidden/>
          </w:rPr>
        </w:r>
        <w:r w:rsidR="00D8288E">
          <w:rPr>
            <w:noProof/>
            <w:webHidden/>
          </w:rPr>
          <w:fldChar w:fldCharType="separate"/>
        </w:r>
        <w:r w:rsidR="00EE0BF5">
          <w:rPr>
            <w:noProof/>
            <w:webHidden/>
          </w:rPr>
          <w:t>130</w:t>
        </w:r>
        <w:r w:rsidR="00D8288E">
          <w:rPr>
            <w:noProof/>
            <w:webHidden/>
          </w:rPr>
          <w:fldChar w:fldCharType="end"/>
        </w:r>
      </w:hyperlink>
    </w:p>
    <w:p w14:paraId="7A3EDE3B" w14:textId="6F143C48" w:rsidR="00D8288E" w:rsidRDefault="008043C8">
      <w:pPr>
        <w:pStyle w:val="TableofFigures"/>
        <w:rPr>
          <w:rFonts w:asciiTheme="minorHAnsi" w:eastAsiaTheme="minorEastAsia" w:hAnsiTheme="minorHAnsi" w:cstheme="minorBidi"/>
          <w:noProof/>
          <w:snapToGrid/>
          <w:szCs w:val="22"/>
        </w:rPr>
      </w:pPr>
      <w:hyperlink w:anchor="_Toc113380940" w:history="1">
        <w:r w:rsidR="00D8288E" w:rsidRPr="005A4C33">
          <w:rPr>
            <w:rStyle w:val="Hyperlink"/>
            <w:noProof/>
            <w:lang w:eastAsia="zh-TW"/>
          </w:rPr>
          <w:t>Figure 5.14. Projected change of annual and seasonal total generation in the SWPA region.</w:t>
        </w:r>
        <w:r w:rsidR="00D8288E">
          <w:rPr>
            <w:noProof/>
            <w:webHidden/>
          </w:rPr>
          <w:tab/>
        </w:r>
        <w:r w:rsidR="00D8288E">
          <w:rPr>
            <w:noProof/>
            <w:webHidden/>
          </w:rPr>
          <w:fldChar w:fldCharType="begin"/>
        </w:r>
        <w:r w:rsidR="00D8288E">
          <w:rPr>
            <w:noProof/>
            <w:webHidden/>
          </w:rPr>
          <w:instrText xml:space="preserve"> PAGEREF _Toc113380940 \h </w:instrText>
        </w:r>
        <w:r w:rsidR="00D8288E">
          <w:rPr>
            <w:noProof/>
            <w:webHidden/>
          </w:rPr>
        </w:r>
        <w:r w:rsidR="00D8288E">
          <w:rPr>
            <w:noProof/>
            <w:webHidden/>
          </w:rPr>
          <w:fldChar w:fldCharType="separate"/>
        </w:r>
        <w:r w:rsidR="00EE0BF5">
          <w:rPr>
            <w:noProof/>
            <w:webHidden/>
          </w:rPr>
          <w:t>131</w:t>
        </w:r>
        <w:r w:rsidR="00D8288E">
          <w:rPr>
            <w:noProof/>
            <w:webHidden/>
          </w:rPr>
          <w:fldChar w:fldCharType="end"/>
        </w:r>
      </w:hyperlink>
    </w:p>
    <w:p w14:paraId="58E07F22" w14:textId="6246C312" w:rsidR="00D8288E" w:rsidRDefault="008043C8">
      <w:pPr>
        <w:pStyle w:val="TableofFigures"/>
        <w:rPr>
          <w:rFonts w:asciiTheme="minorHAnsi" w:eastAsiaTheme="minorEastAsia" w:hAnsiTheme="minorHAnsi" w:cstheme="minorBidi"/>
          <w:noProof/>
          <w:snapToGrid/>
          <w:szCs w:val="22"/>
        </w:rPr>
      </w:pPr>
      <w:hyperlink w:anchor="_Toc113380941" w:history="1">
        <w:r w:rsidR="00D8288E" w:rsidRPr="005A4C33">
          <w:rPr>
            <w:rStyle w:val="Hyperlink"/>
            <w:noProof/>
            <w:lang w:eastAsia="zh-TW"/>
          </w:rPr>
          <w:t>Figure 5.15. ANOVA of annual total generation in the SWPA region.</w:t>
        </w:r>
        <w:r w:rsidR="00D8288E">
          <w:rPr>
            <w:noProof/>
            <w:webHidden/>
          </w:rPr>
          <w:tab/>
        </w:r>
        <w:r w:rsidR="00D8288E">
          <w:rPr>
            <w:noProof/>
            <w:webHidden/>
          </w:rPr>
          <w:fldChar w:fldCharType="begin"/>
        </w:r>
        <w:r w:rsidR="00D8288E">
          <w:rPr>
            <w:noProof/>
            <w:webHidden/>
          </w:rPr>
          <w:instrText xml:space="preserve"> PAGEREF _Toc113380941 \h </w:instrText>
        </w:r>
        <w:r w:rsidR="00D8288E">
          <w:rPr>
            <w:noProof/>
            <w:webHidden/>
          </w:rPr>
        </w:r>
        <w:r w:rsidR="00D8288E">
          <w:rPr>
            <w:noProof/>
            <w:webHidden/>
          </w:rPr>
          <w:fldChar w:fldCharType="separate"/>
        </w:r>
        <w:r w:rsidR="00EE0BF5">
          <w:rPr>
            <w:noProof/>
            <w:webHidden/>
          </w:rPr>
          <w:t>132</w:t>
        </w:r>
        <w:r w:rsidR="00D8288E">
          <w:rPr>
            <w:noProof/>
            <w:webHidden/>
          </w:rPr>
          <w:fldChar w:fldCharType="end"/>
        </w:r>
      </w:hyperlink>
    </w:p>
    <w:p w14:paraId="377A2560" w14:textId="22ECD377" w:rsidR="00D8288E" w:rsidRDefault="008043C8">
      <w:pPr>
        <w:pStyle w:val="TableofFigures"/>
        <w:rPr>
          <w:rFonts w:asciiTheme="minorHAnsi" w:eastAsiaTheme="minorEastAsia" w:hAnsiTheme="minorHAnsi" w:cstheme="minorBidi"/>
          <w:noProof/>
          <w:snapToGrid/>
          <w:szCs w:val="22"/>
        </w:rPr>
      </w:pPr>
      <w:hyperlink w:anchor="_Toc113380942" w:history="1">
        <w:r w:rsidR="00D8288E" w:rsidRPr="005A4C33">
          <w:rPr>
            <w:rStyle w:val="Hyperlink"/>
            <w:noProof/>
            <w:lang w:eastAsia="zh-TW"/>
          </w:rPr>
          <w:t>Figure 5.16. Projected annual HDDs in the SWPA region.</w:t>
        </w:r>
        <w:r w:rsidR="00D8288E">
          <w:rPr>
            <w:noProof/>
            <w:webHidden/>
          </w:rPr>
          <w:tab/>
        </w:r>
        <w:r w:rsidR="00D8288E">
          <w:rPr>
            <w:noProof/>
            <w:webHidden/>
          </w:rPr>
          <w:fldChar w:fldCharType="begin"/>
        </w:r>
        <w:r w:rsidR="00D8288E">
          <w:rPr>
            <w:noProof/>
            <w:webHidden/>
          </w:rPr>
          <w:instrText xml:space="preserve"> PAGEREF _Toc113380942 \h </w:instrText>
        </w:r>
        <w:r w:rsidR="00D8288E">
          <w:rPr>
            <w:noProof/>
            <w:webHidden/>
          </w:rPr>
        </w:r>
        <w:r w:rsidR="00D8288E">
          <w:rPr>
            <w:noProof/>
            <w:webHidden/>
          </w:rPr>
          <w:fldChar w:fldCharType="separate"/>
        </w:r>
        <w:r w:rsidR="00EE0BF5">
          <w:rPr>
            <w:noProof/>
            <w:webHidden/>
          </w:rPr>
          <w:t>134</w:t>
        </w:r>
        <w:r w:rsidR="00D8288E">
          <w:rPr>
            <w:noProof/>
            <w:webHidden/>
          </w:rPr>
          <w:fldChar w:fldCharType="end"/>
        </w:r>
      </w:hyperlink>
    </w:p>
    <w:p w14:paraId="63F8AE89" w14:textId="2FC03210" w:rsidR="00D8288E" w:rsidRDefault="008043C8">
      <w:pPr>
        <w:pStyle w:val="TableofFigures"/>
        <w:rPr>
          <w:rFonts w:asciiTheme="minorHAnsi" w:eastAsiaTheme="minorEastAsia" w:hAnsiTheme="minorHAnsi" w:cstheme="minorBidi"/>
          <w:noProof/>
          <w:snapToGrid/>
          <w:szCs w:val="22"/>
        </w:rPr>
      </w:pPr>
      <w:hyperlink w:anchor="_Toc113380943" w:history="1">
        <w:r w:rsidR="00D8288E" w:rsidRPr="005A4C33">
          <w:rPr>
            <w:rStyle w:val="Hyperlink"/>
            <w:noProof/>
            <w:lang w:eastAsia="zh-TW"/>
          </w:rPr>
          <w:t>Figure 5.17. Projected annual CDDs in the SWPA region.</w:t>
        </w:r>
        <w:r w:rsidR="00D8288E">
          <w:rPr>
            <w:noProof/>
            <w:webHidden/>
          </w:rPr>
          <w:tab/>
        </w:r>
        <w:r w:rsidR="00D8288E">
          <w:rPr>
            <w:noProof/>
            <w:webHidden/>
          </w:rPr>
          <w:fldChar w:fldCharType="begin"/>
        </w:r>
        <w:r w:rsidR="00D8288E">
          <w:rPr>
            <w:noProof/>
            <w:webHidden/>
          </w:rPr>
          <w:instrText xml:space="preserve"> PAGEREF _Toc113380943 \h </w:instrText>
        </w:r>
        <w:r w:rsidR="00D8288E">
          <w:rPr>
            <w:noProof/>
            <w:webHidden/>
          </w:rPr>
        </w:r>
        <w:r w:rsidR="00D8288E">
          <w:rPr>
            <w:noProof/>
            <w:webHidden/>
          </w:rPr>
          <w:fldChar w:fldCharType="separate"/>
        </w:r>
        <w:r w:rsidR="00EE0BF5">
          <w:rPr>
            <w:noProof/>
            <w:webHidden/>
          </w:rPr>
          <w:t>134</w:t>
        </w:r>
        <w:r w:rsidR="00D8288E">
          <w:rPr>
            <w:noProof/>
            <w:webHidden/>
          </w:rPr>
          <w:fldChar w:fldCharType="end"/>
        </w:r>
      </w:hyperlink>
    </w:p>
    <w:p w14:paraId="564CB5BB" w14:textId="62540EED" w:rsidR="00D8288E" w:rsidRDefault="008043C8">
      <w:pPr>
        <w:pStyle w:val="TableofFigures"/>
        <w:rPr>
          <w:rFonts w:asciiTheme="minorHAnsi" w:eastAsiaTheme="minorEastAsia" w:hAnsiTheme="minorHAnsi" w:cstheme="minorBidi"/>
          <w:noProof/>
          <w:snapToGrid/>
          <w:szCs w:val="22"/>
        </w:rPr>
      </w:pPr>
      <w:hyperlink w:anchor="_Toc113380944" w:history="1">
        <w:r w:rsidR="00D8288E" w:rsidRPr="005A4C33">
          <w:rPr>
            <w:rStyle w:val="Hyperlink"/>
            <w:noProof/>
            <w:lang w:eastAsia="zh-TW"/>
          </w:rPr>
          <w:t>Figure 5.18. Estimated changes in SWPA preference customer electricity sales relative to the baseline period due to projected changes in degree days.</w:t>
        </w:r>
        <w:r w:rsidR="00D8288E">
          <w:rPr>
            <w:noProof/>
            <w:webHidden/>
          </w:rPr>
          <w:tab/>
        </w:r>
        <w:r w:rsidR="00D8288E">
          <w:rPr>
            <w:noProof/>
            <w:webHidden/>
          </w:rPr>
          <w:fldChar w:fldCharType="begin"/>
        </w:r>
        <w:r w:rsidR="00D8288E">
          <w:rPr>
            <w:noProof/>
            <w:webHidden/>
          </w:rPr>
          <w:instrText xml:space="preserve"> PAGEREF _Toc113380944 \h </w:instrText>
        </w:r>
        <w:r w:rsidR="00D8288E">
          <w:rPr>
            <w:noProof/>
            <w:webHidden/>
          </w:rPr>
        </w:r>
        <w:r w:rsidR="00D8288E">
          <w:rPr>
            <w:noProof/>
            <w:webHidden/>
          </w:rPr>
          <w:fldChar w:fldCharType="separate"/>
        </w:r>
        <w:r w:rsidR="00EE0BF5">
          <w:rPr>
            <w:noProof/>
            <w:webHidden/>
          </w:rPr>
          <w:t>134</w:t>
        </w:r>
        <w:r w:rsidR="00D8288E">
          <w:rPr>
            <w:noProof/>
            <w:webHidden/>
          </w:rPr>
          <w:fldChar w:fldCharType="end"/>
        </w:r>
      </w:hyperlink>
    </w:p>
    <w:p w14:paraId="57E4995B" w14:textId="615AE806" w:rsidR="00D8288E" w:rsidRDefault="008043C8">
      <w:pPr>
        <w:pStyle w:val="TableofFigures"/>
        <w:rPr>
          <w:rFonts w:asciiTheme="minorHAnsi" w:eastAsiaTheme="minorEastAsia" w:hAnsiTheme="minorHAnsi" w:cstheme="minorBidi"/>
          <w:noProof/>
          <w:snapToGrid/>
          <w:szCs w:val="22"/>
        </w:rPr>
      </w:pPr>
      <w:hyperlink w:anchor="_Toc113380945" w:history="1">
        <w:r w:rsidR="00D8288E" w:rsidRPr="005A4C33">
          <w:rPr>
            <w:rStyle w:val="Hyperlink"/>
            <w:noProof/>
            <w:lang w:eastAsia="zh-TW"/>
          </w:rPr>
          <w:t>Figure 6.1. Map of the federal hydropower plants and four study areas in the SEPA region.</w:t>
        </w:r>
        <w:r w:rsidR="00D8288E">
          <w:rPr>
            <w:noProof/>
            <w:webHidden/>
          </w:rPr>
          <w:tab/>
        </w:r>
        <w:r w:rsidR="00D8288E">
          <w:rPr>
            <w:noProof/>
            <w:webHidden/>
          </w:rPr>
          <w:fldChar w:fldCharType="begin"/>
        </w:r>
        <w:r w:rsidR="00D8288E">
          <w:rPr>
            <w:noProof/>
            <w:webHidden/>
          </w:rPr>
          <w:instrText xml:space="preserve"> PAGEREF _Toc113380945 \h </w:instrText>
        </w:r>
        <w:r w:rsidR="00D8288E">
          <w:rPr>
            <w:noProof/>
            <w:webHidden/>
          </w:rPr>
        </w:r>
        <w:r w:rsidR="00D8288E">
          <w:rPr>
            <w:noProof/>
            <w:webHidden/>
          </w:rPr>
          <w:fldChar w:fldCharType="separate"/>
        </w:r>
        <w:r w:rsidR="00EE0BF5">
          <w:rPr>
            <w:noProof/>
            <w:webHidden/>
          </w:rPr>
          <w:t>138</w:t>
        </w:r>
        <w:r w:rsidR="00D8288E">
          <w:rPr>
            <w:noProof/>
            <w:webHidden/>
          </w:rPr>
          <w:fldChar w:fldCharType="end"/>
        </w:r>
      </w:hyperlink>
    </w:p>
    <w:p w14:paraId="77DC0A67" w14:textId="24647DBE" w:rsidR="00D8288E" w:rsidRDefault="008043C8">
      <w:pPr>
        <w:pStyle w:val="TableofFigures"/>
        <w:rPr>
          <w:rFonts w:asciiTheme="minorHAnsi" w:eastAsiaTheme="minorEastAsia" w:hAnsiTheme="minorHAnsi" w:cstheme="minorBidi"/>
          <w:noProof/>
          <w:snapToGrid/>
          <w:szCs w:val="22"/>
        </w:rPr>
      </w:pPr>
      <w:hyperlink w:anchor="_Toc113380946" w:history="1">
        <w:r w:rsidR="00D8288E" w:rsidRPr="005A4C33">
          <w:rPr>
            <w:rStyle w:val="Hyperlink"/>
            <w:noProof/>
            <w:lang w:eastAsia="zh-TW"/>
          </w:rPr>
          <w:t>Figure 6.2. Projected annual mean temperature in the SEPA region.</w:t>
        </w:r>
        <w:r w:rsidR="00D8288E">
          <w:rPr>
            <w:noProof/>
            <w:webHidden/>
          </w:rPr>
          <w:tab/>
        </w:r>
        <w:r w:rsidR="00D8288E">
          <w:rPr>
            <w:noProof/>
            <w:webHidden/>
          </w:rPr>
          <w:fldChar w:fldCharType="begin"/>
        </w:r>
        <w:r w:rsidR="00D8288E">
          <w:rPr>
            <w:noProof/>
            <w:webHidden/>
          </w:rPr>
          <w:instrText xml:space="preserve"> PAGEREF _Toc113380946 \h </w:instrText>
        </w:r>
        <w:r w:rsidR="00D8288E">
          <w:rPr>
            <w:noProof/>
            <w:webHidden/>
          </w:rPr>
        </w:r>
        <w:r w:rsidR="00D8288E">
          <w:rPr>
            <w:noProof/>
            <w:webHidden/>
          </w:rPr>
          <w:fldChar w:fldCharType="separate"/>
        </w:r>
        <w:r w:rsidR="00EE0BF5">
          <w:rPr>
            <w:noProof/>
            <w:webHidden/>
          </w:rPr>
          <w:t>142</w:t>
        </w:r>
        <w:r w:rsidR="00D8288E">
          <w:rPr>
            <w:noProof/>
            <w:webHidden/>
          </w:rPr>
          <w:fldChar w:fldCharType="end"/>
        </w:r>
      </w:hyperlink>
    </w:p>
    <w:p w14:paraId="4F880329" w14:textId="1DDD0961" w:rsidR="00D8288E" w:rsidRDefault="008043C8">
      <w:pPr>
        <w:pStyle w:val="TableofFigures"/>
        <w:rPr>
          <w:rFonts w:asciiTheme="minorHAnsi" w:eastAsiaTheme="minorEastAsia" w:hAnsiTheme="minorHAnsi" w:cstheme="minorBidi"/>
          <w:noProof/>
          <w:snapToGrid/>
          <w:szCs w:val="22"/>
        </w:rPr>
      </w:pPr>
      <w:hyperlink w:anchor="_Toc113380947" w:history="1">
        <w:r w:rsidR="00D8288E" w:rsidRPr="005A4C33">
          <w:rPr>
            <w:rStyle w:val="Hyperlink"/>
            <w:noProof/>
            <w:lang w:eastAsia="zh-TW"/>
          </w:rPr>
          <w:t>Figure 6.3. Projected change of annual and seasonal mean temperature in the SEPA region.</w:t>
        </w:r>
        <w:r w:rsidR="00D8288E">
          <w:rPr>
            <w:noProof/>
            <w:webHidden/>
          </w:rPr>
          <w:tab/>
        </w:r>
        <w:r w:rsidR="00D8288E">
          <w:rPr>
            <w:noProof/>
            <w:webHidden/>
          </w:rPr>
          <w:fldChar w:fldCharType="begin"/>
        </w:r>
        <w:r w:rsidR="00D8288E">
          <w:rPr>
            <w:noProof/>
            <w:webHidden/>
          </w:rPr>
          <w:instrText xml:space="preserve"> PAGEREF _Toc113380947 \h </w:instrText>
        </w:r>
        <w:r w:rsidR="00D8288E">
          <w:rPr>
            <w:noProof/>
            <w:webHidden/>
          </w:rPr>
        </w:r>
        <w:r w:rsidR="00D8288E">
          <w:rPr>
            <w:noProof/>
            <w:webHidden/>
          </w:rPr>
          <w:fldChar w:fldCharType="separate"/>
        </w:r>
        <w:r w:rsidR="00EE0BF5">
          <w:rPr>
            <w:noProof/>
            <w:webHidden/>
          </w:rPr>
          <w:t>143</w:t>
        </w:r>
        <w:r w:rsidR="00D8288E">
          <w:rPr>
            <w:noProof/>
            <w:webHidden/>
          </w:rPr>
          <w:fldChar w:fldCharType="end"/>
        </w:r>
      </w:hyperlink>
    </w:p>
    <w:p w14:paraId="2FEE0B8B" w14:textId="596DCC68" w:rsidR="00D8288E" w:rsidRDefault="008043C8">
      <w:pPr>
        <w:pStyle w:val="TableofFigures"/>
        <w:rPr>
          <w:rFonts w:asciiTheme="minorHAnsi" w:eastAsiaTheme="minorEastAsia" w:hAnsiTheme="minorHAnsi" w:cstheme="minorBidi"/>
          <w:noProof/>
          <w:snapToGrid/>
          <w:szCs w:val="22"/>
        </w:rPr>
      </w:pPr>
      <w:hyperlink w:anchor="_Toc113380948" w:history="1">
        <w:r w:rsidR="00D8288E" w:rsidRPr="005A4C33">
          <w:rPr>
            <w:rStyle w:val="Hyperlink"/>
            <w:noProof/>
            <w:lang w:eastAsia="zh-TW"/>
          </w:rPr>
          <w:t>Figure 6.4. Projected annual total precipitation in the SEPA region.</w:t>
        </w:r>
        <w:r w:rsidR="00D8288E">
          <w:rPr>
            <w:noProof/>
            <w:webHidden/>
          </w:rPr>
          <w:tab/>
        </w:r>
        <w:r w:rsidR="00D8288E">
          <w:rPr>
            <w:noProof/>
            <w:webHidden/>
          </w:rPr>
          <w:fldChar w:fldCharType="begin"/>
        </w:r>
        <w:r w:rsidR="00D8288E">
          <w:rPr>
            <w:noProof/>
            <w:webHidden/>
          </w:rPr>
          <w:instrText xml:space="preserve"> PAGEREF _Toc113380948 \h </w:instrText>
        </w:r>
        <w:r w:rsidR="00D8288E">
          <w:rPr>
            <w:noProof/>
            <w:webHidden/>
          </w:rPr>
        </w:r>
        <w:r w:rsidR="00D8288E">
          <w:rPr>
            <w:noProof/>
            <w:webHidden/>
          </w:rPr>
          <w:fldChar w:fldCharType="separate"/>
        </w:r>
        <w:r w:rsidR="00EE0BF5">
          <w:rPr>
            <w:noProof/>
            <w:webHidden/>
          </w:rPr>
          <w:t>144</w:t>
        </w:r>
        <w:r w:rsidR="00D8288E">
          <w:rPr>
            <w:noProof/>
            <w:webHidden/>
          </w:rPr>
          <w:fldChar w:fldCharType="end"/>
        </w:r>
      </w:hyperlink>
    </w:p>
    <w:p w14:paraId="5A3DB08E" w14:textId="2C08734B" w:rsidR="00D8288E" w:rsidRDefault="008043C8">
      <w:pPr>
        <w:pStyle w:val="TableofFigures"/>
        <w:rPr>
          <w:rFonts w:asciiTheme="minorHAnsi" w:eastAsiaTheme="minorEastAsia" w:hAnsiTheme="minorHAnsi" w:cstheme="minorBidi"/>
          <w:noProof/>
          <w:snapToGrid/>
          <w:szCs w:val="22"/>
        </w:rPr>
      </w:pPr>
      <w:hyperlink w:anchor="_Toc113380949" w:history="1">
        <w:r w:rsidR="00D8288E" w:rsidRPr="005A4C33">
          <w:rPr>
            <w:rStyle w:val="Hyperlink"/>
            <w:noProof/>
            <w:lang w:eastAsia="zh-TW"/>
          </w:rPr>
          <w:t>Figure 6.5. Projected change of annual and seasonal total precipitation in the SEPA region.</w:t>
        </w:r>
        <w:r w:rsidR="00D8288E">
          <w:rPr>
            <w:noProof/>
            <w:webHidden/>
          </w:rPr>
          <w:tab/>
        </w:r>
        <w:r w:rsidR="00D8288E">
          <w:rPr>
            <w:noProof/>
            <w:webHidden/>
          </w:rPr>
          <w:fldChar w:fldCharType="begin"/>
        </w:r>
        <w:r w:rsidR="00D8288E">
          <w:rPr>
            <w:noProof/>
            <w:webHidden/>
          </w:rPr>
          <w:instrText xml:space="preserve"> PAGEREF _Toc113380949 \h </w:instrText>
        </w:r>
        <w:r w:rsidR="00D8288E">
          <w:rPr>
            <w:noProof/>
            <w:webHidden/>
          </w:rPr>
        </w:r>
        <w:r w:rsidR="00D8288E">
          <w:rPr>
            <w:noProof/>
            <w:webHidden/>
          </w:rPr>
          <w:fldChar w:fldCharType="separate"/>
        </w:r>
        <w:r w:rsidR="00EE0BF5">
          <w:rPr>
            <w:noProof/>
            <w:webHidden/>
          </w:rPr>
          <w:t>145</w:t>
        </w:r>
        <w:r w:rsidR="00D8288E">
          <w:rPr>
            <w:noProof/>
            <w:webHidden/>
          </w:rPr>
          <w:fldChar w:fldCharType="end"/>
        </w:r>
      </w:hyperlink>
    </w:p>
    <w:p w14:paraId="0BAB285B" w14:textId="1DFB3AC2" w:rsidR="00D8288E" w:rsidRDefault="008043C8">
      <w:pPr>
        <w:pStyle w:val="TableofFigures"/>
        <w:rPr>
          <w:rFonts w:asciiTheme="minorHAnsi" w:eastAsiaTheme="minorEastAsia" w:hAnsiTheme="minorHAnsi" w:cstheme="minorBidi"/>
          <w:noProof/>
          <w:snapToGrid/>
          <w:szCs w:val="22"/>
        </w:rPr>
      </w:pPr>
      <w:hyperlink w:anchor="_Toc113380950" w:history="1">
        <w:r w:rsidR="00D8288E" w:rsidRPr="005A4C33">
          <w:rPr>
            <w:rStyle w:val="Hyperlink"/>
            <w:noProof/>
            <w:lang w:eastAsia="zh-TW"/>
          </w:rPr>
          <w:t>Figure 6.6. Projected annual total runoff in the SEPA region.</w:t>
        </w:r>
        <w:r w:rsidR="00D8288E">
          <w:rPr>
            <w:noProof/>
            <w:webHidden/>
          </w:rPr>
          <w:tab/>
        </w:r>
        <w:r w:rsidR="00D8288E">
          <w:rPr>
            <w:noProof/>
            <w:webHidden/>
          </w:rPr>
          <w:fldChar w:fldCharType="begin"/>
        </w:r>
        <w:r w:rsidR="00D8288E">
          <w:rPr>
            <w:noProof/>
            <w:webHidden/>
          </w:rPr>
          <w:instrText xml:space="preserve"> PAGEREF _Toc113380950 \h </w:instrText>
        </w:r>
        <w:r w:rsidR="00D8288E">
          <w:rPr>
            <w:noProof/>
            <w:webHidden/>
          </w:rPr>
        </w:r>
        <w:r w:rsidR="00D8288E">
          <w:rPr>
            <w:noProof/>
            <w:webHidden/>
          </w:rPr>
          <w:fldChar w:fldCharType="separate"/>
        </w:r>
        <w:r w:rsidR="00EE0BF5">
          <w:rPr>
            <w:noProof/>
            <w:webHidden/>
          </w:rPr>
          <w:t>146</w:t>
        </w:r>
        <w:r w:rsidR="00D8288E">
          <w:rPr>
            <w:noProof/>
            <w:webHidden/>
          </w:rPr>
          <w:fldChar w:fldCharType="end"/>
        </w:r>
      </w:hyperlink>
    </w:p>
    <w:p w14:paraId="4037ECB2" w14:textId="7AFE4BA6" w:rsidR="00D8288E" w:rsidRDefault="008043C8">
      <w:pPr>
        <w:pStyle w:val="TableofFigures"/>
        <w:rPr>
          <w:rFonts w:asciiTheme="minorHAnsi" w:eastAsiaTheme="minorEastAsia" w:hAnsiTheme="minorHAnsi" w:cstheme="minorBidi"/>
          <w:noProof/>
          <w:snapToGrid/>
          <w:szCs w:val="22"/>
        </w:rPr>
      </w:pPr>
      <w:hyperlink w:anchor="_Toc113380951" w:history="1">
        <w:r w:rsidR="00D8288E" w:rsidRPr="005A4C33">
          <w:rPr>
            <w:rStyle w:val="Hyperlink"/>
            <w:noProof/>
            <w:lang w:eastAsia="zh-TW"/>
          </w:rPr>
          <w:t>Figure 6.7. Projected change of annual and seasonal total runoff in the SEPA region.</w:t>
        </w:r>
        <w:r w:rsidR="00D8288E">
          <w:rPr>
            <w:noProof/>
            <w:webHidden/>
          </w:rPr>
          <w:tab/>
        </w:r>
        <w:r w:rsidR="00D8288E">
          <w:rPr>
            <w:noProof/>
            <w:webHidden/>
          </w:rPr>
          <w:fldChar w:fldCharType="begin"/>
        </w:r>
        <w:r w:rsidR="00D8288E">
          <w:rPr>
            <w:noProof/>
            <w:webHidden/>
          </w:rPr>
          <w:instrText xml:space="preserve"> PAGEREF _Toc113380951 \h </w:instrText>
        </w:r>
        <w:r w:rsidR="00D8288E">
          <w:rPr>
            <w:noProof/>
            <w:webHidden/>
          </w:rPr>
        </w:r>
        <w:r w:rsidR="00D8288E">
          <w:rPr>
            <w:noProof/>
            <w:webHidden/>
          </w:rPr>
          <w:fldChar w:fldCharType="separate"/>
        </w:r>
        <w:r w:rsidR="00EE0BF5">
          <w:rPr>
            <w:noProof/>
            <w:webHidden/>
          </w:rPr>
          <w:t>147</w:t>
        </w:r>
        <w:r w:rsidR="00D8288E">
          <w:rPr>
            <w:noProof/>
            <w:webHidden/>
          </w:rPr>
          <w:fldChar w:fldCharType="end"/>
        </w:r>
      </w:hyperlink>
    </w:p>
    <w:p w14:paraId="3C804700" w14:textId="59A9614D" w:rsidR="00D8288E" w:rsidRDefault="008043C8">
      <w:pPr>
        <w:pStyle w:val="TableofFigures"/>
        <w:rPr>
          <w:rFonts w:asciiTheme="minorHAnsi" w:eastAsiaTheme="minorEastAsia" w:hAnsiTheme="minorHAnsi" w:cstheme="minorBidi"/>
          <w:noProof/>
          <w:snapToGrid/>
          <w:szCs w:val="22"/>
        </w:rPr>
      </w:pPr>
      <w:hyperlink w:anchor="_Toc113380952" w:history="1">
        <w:r w:rsidR="00D8288E" w:rsidRPr="005A4C33">
          <w:rPr>
            <w:rStyle w:val="Hyperlink"/>
            <w:noProof/>
            <w:lang w:eastAsia="zh-TW"/>
          </w:rPr>
          <w:t>Figure 6.8. Projected change of high and low runoff in the SEPA region.</w:t>
        </w:r>
        <w:r w:rsidR="00D8288E">
          <w:rPr>
            <w:noProof/>
            <w:webHidden/>
          </w:rPr>
          <w:tab/>
        </w:r>
        <w:r w:rsidR="00D8288E">
          <w:rPr>
            <w:noProof/>
            <w:webHidden/>
          </w:rPr>
          <w:fldChar w:fldCharType="begin"/>
        </w:r>
        <w:r w:rsidR="00D8288E">
          <w:rPr>
            <w:noProof/>
            <w:webHidden/>
          </w:rPr>
          <w:instrText xml:space="preserve"> PAGEREF _Toc113380952 \h </w:instrText>
        </w:r>
        <w:r w:rsidR="00D8288E">
          <w:rPr>
            <w:noProof/>
            <w:webHidden/>
          </w:rPr>
        </w:r>
        <w:r w:rsidR="00D8288E">
          <w:rPr>
            <w:noProof/>
            <w:webHidden/>
          </w:rPr>
          <w:fldChar w:fldCharType="separate"/>
        </w:r>
        <w:r w:rsidR="00EE0BF5">
          <w:rPr>
            <w:noProof/>
            <w:webHidden/>
          </w:rPr>
          <w:t>148</w:t>
        </w:r>
        <w:r w:rsidR="00D8288E">
          <w:rPr>
            <w:noProof/>
            <w:webHidden/>
          </w:rPr>
          <w:fldChar w:fldCharType="end"/>
        </w:r>
      </w:hyperlink>
    </w:p>
    <w:p w14:paraId="203098C7" w14:textId="6692D7DB" w:rsidR="00D8288E" w:rsidRDefault="008043C8">
      <w:pPr>
        <w:pStyle w:val="TableofFigures"/>
        <w:rPr>
          <w:rFonts w:asciiTheme="minorHAnsi" w:eastAsiaTheme="minorEastAsia" w:hAnsiTheme="minorHAnsi" w:cstheme="minorBidi"/>
          <w:noProof/>
          <w:snapToGrid/>
          <w:szCs w:val="22"/>
        </w:rPr>
      </w:pPr>
      <w:hyperlink w:anchor="_Toc113380953" w:history="1">
        <w:r w:rsidR="00D8288E" w:rsidRPr="005A4C33">
          <w:rPr>
            <w:rStyle w:val="Hyperlink"/>
            <w:noProof/>
            <w:lang w:eastAsia="zh-TW"/>
          </w:rPr>
          <w:t>Figure 6.9. ANOVA of annual total runoff in the SEPA region.</w:t>
        </w:r>
        <w:r w:rsidR="00D8288E">
          <w:rPr>
            <w:noProof/>
            <w:webHidden/>
          </w:rPr>
          <w:tab/>
        </w:r>
        <w:r w:rsidR="00D8288E">
          <w:rPr>
            <w:noProof/>
            <w:webHidden/>
          </w:rPr>
          <w:fldChar w:fldCharType="begin"/>
        </w:r>
        <w:r w:rsidR="00D8288E">
          <w:rPr>
            <w:noProof/>
            <w:webHidden/>
          </w:rPr>
          <w:instrText xml:space="preserve"> PAGEREF _Toc113380953 \h </w:instrText>
        </w:r>
        <w:r w:rsidR="00D8288E">
          <w:rPr>
            <w:noProof/>
            <w:webHidden/>
          </w:rPr>
        </w:r>
        <w:r w:rsidR="00D8288E">
          <w:rPr>
            <w:noProof/>
            <w:webHidden/>
          </w:rPr>
          <w:fldChar w:fldCharType="separate"/>
        </w:r>
        <w:r w:rsidR="00EE0BF5">
          <w:rPr>
            <w:noProof/>
            <w:webHidden/>
          </w:rPr>
          <w:t>149</w:t>
        </w:r>
        <w:r w:rsidR="00D8288E">
          <w:rPr>
            <w:noProof/>
            <w:webHidden/>
          </w:rPr>
          <w:fldChar w:fldCharType="end"/>
        </w:r>
      </w:hyperlink>
    </w:p>
    <w:p w14:paraId="0361D29A" w14:textId="22876A44" w:rsidR="00D8288E" w:rsidRDefault="008043C8">
      <w:pPr>
        <w:pStyle w:val="TableofFigures"/>
        <w:rPr>
          <w:rFonts w:asciiTheme="minorHAnsi" w:eastAsiaTheme="minorEastAsia" w:hAnsiTheme="minorHAnsi" w:cstheme="minorBidi"/>
          <w:noProof/>
          <w:snapToGrid/>
          <w:szCs w:val="22"/>
        </w:rPr>
      </w:pPr>
      <w:hyperlink w:anchor="_Toc113380954" w:history="1">
        <w:r w:rsidR="00D8288E" w:rsidRPr="005A4C33">
          <w:rPr>
            <w:rStyle w:val="Hyperlink"/>
            <w:noProof/>
            <w:lang w:eastAsia="zh-TW"/>
          </w:rPr>
          <w:t>Figure 6.10. Projected annual total reservoir evaporation in the SEPA region.</w:t>
        </w:r>
        <w:r w:rsidR="00D8288E">
          <w:rPr>
            <w:noProof/>
            <w:webHidden/>
          </w:rPr>
          <w:tab/>
        </w:r>
        <w:r w:rsidR="00D8288E">
          <w:rPr>
            <w:noProof/>
            <w:webHidden/>
          </w:rPr>
          <w:fldChar w:fldCharType="begin"/>
        </w:r>
        <w:r w:rsidR="00D8288E">
          <w:rPr>
            <w:noProof/>
            <w:webHidden/>
          </w:rPr>
          <w:instrText xml:space="preserve"> PAGEREF _Toc113380954 \h </w:instrText>
        </w:r>
        <w:r w:rsidR="00D8288E">
          <w:rPr>
            <w:noProof/>
            <w:webHidden/>
          </w:rPr>
        </w:r>
        <w:r w:rsidR="00D8288E">
          <w:rPr>
            <w:noProof/>
            <w:webHidden/>
          </w:rPr>
          <w:fldChar w:fldCharType="separate"/>
        </w:r>
        <w:r w:rsidR="00EE0BF5">
          <w:rPr>
            <w:noProof/>
            <w:webHidden/>
          </w:rPr>
          <w:t>150</w:t>
        </w:r>
        <w:r w:rsidR="00D8288E">
          <w:rPr>
            <w:noProof/>
            <w:webHidden/>
          </w:rPr>
          <w:fldChar w:fldCharType="end"/>
        </w:r>
      </w:hyperlink>
    </w:p>
    <w:p w14:paraId="5AD91C49" w14:textId="04691D88" w:rsidR="00D8288E" w:rsidRDefault="008043C8">
      <w:pPr>
        <w:pStyle w:val="TableofFigures"/>
        <w:rPr>
          <w:rFonts w:asciiTheme="minorHAnsi" w:eastAsiaTheme="minorEastAsia" w:hAnsiTheme="minorHAnsi" w:cstheme="minorBidi"/>
          <w:noProof/>
          <w:snapToGrid/>
          <w:szCs w:val="22"/>
        </w:rPr>
      </w:pPr>
      <w:hyperlink w:anchor="_Toc113380955" w:history="1">
        <w:r w:rsidR="00D8288E" w:rsidRPr="005A4C33">
          <w:rPr>
            <w:rStyle w:val="Hyperlink"/>
            <w:noProof/>
            <w:lang w:eastAsia="zh-TW"/>
          </w:rPr>
          <w:t>Figure 6.11. Projected change of annual and seasonal total reservoir evaporation in the SEPA region.</w:t>
        </w:r>
        <w:r w:rsidR="00D8288E">
          <w:rPr>
            <w:noProof/>
            <w:webHidden/>
          </w:rPr>
          <w:tab/>
        </w:r>
        <w:r w:rsidR="00D8288E">
          <w:rPr>
            <w:noProof/>
            <w:webHidden/>
          </w:rPr>
          <w:fldChar w:fldCharType="begin"/>
        </w:r>
        <w:r w:rsidR="00D8288E">
          <w:rPr>
            <w:noProof/>
            <w:webHidden/>
          </w:rPr>
          <w:instrText xml:space="preserve"> PAGEREF _Toc113380955 \h </w:instrText>
        </w:r>
        <w:r w:rsidR="00D8288E">
          <w:rPr>
            <w:noProof/>
            <w:webHidden/>
          </w:rPr>
        </w:r>
        <w:r w:rsidR="00D8288E">
          <w:rPr>
            <w:noProof/>
            <w:webHidden/>
          </w:rPr>
          <w:fldChar w:fldCharType="separate"/>
        </w:r>
        <w:r w:rsidR="00EE0BF5">
          <w:rPr>
            <w:noProof/>
            <w:webHidden/>
          </w:rPr>
          <w:t>151</w:t>
        </w:r>
        <w:r w:rsidR="00D8288E">
          <w:rPr>
            <w:noProof/>
            <w:webHidden/>
          </w:rPr>
          <w:fldChar w:fldCharType="end"/>
        </w:r>
      </w:hyperlink>
    </w:p>
    <w:p w14:paraId="561EFB27" w14:textId="14CDC540" w:rsidR="00D8288E" w:rsidRDefault="008043C8">
      <w:pPr>
        <w:pStyle w:val="TableofFigures"/>
        <w:rPr>
          <w:rFonts w:asciiTheme="minorHAnsi" w:eastAsiaTheme="minorEastAsia" w:hAnsiTheme="minorHAnsi" w:cstheme="minorBidi"/>
          <w:noProof/>
          <w:snapToGrid/>
          <w:szCs w:val="22"/>
        </w:rPr>
      </w:pPr>
      <w:hyperlink w:anchor="_Toc113380956" w:history="1">
        <w:r w:rsidR="00D8288E" w:rsidRPr="005A4C33">
          <w:rPr>
            <w:rStyle w:val="Hyperlink"/>
            <w:noProof/>
            <w:lang w:eastAsia="zh-TW"/>
          </w:rPr>
          <w:t>Figure 6.12. ANOVA of annual total reservoir evaporation in the SEPA region.</w:t>
        </w:r>
        <w:r w:rsidR="00D8288E">
          <w:rPr>
            <w:noProof/>
            <w:webHidden/>
          </w:rPr>
          <w:tab/>
        </w:r>
        <w:r w:rsidR="00D8288E">
          <w:rPr>
            <w:noProof/>
            <w:webHidden/>
          </w:rPr>
          <w:fldChar w:fldCharType="begin"/>
        </w:r>
        <w:r w:rsidR="00D8288E">
          <w:rPr>
            <w:noProof/>
            <w:webHidden/>
          </w:rPr>
          <w:instrText xml:space="preserve"> PAGEREF _Toc113380956 \h </w:instrText>
        </w:r>
        <w:r w:rsidR="00D8288E">
          <w:rPr>
            <w:noProof/>
            <w:webHidden/>
          </w:rPr>
        </w:r>
        <w:r w:rsidR="00D8288E">
          <w:rPr>
            <w:noProof/>
            <w:webHidden/>
          </w:rPr>
          <w:fldChar w:fldCharType="separate"/>
        </w:r>
        <w:r w:rsidR="00EE0BF5">
          <w:rPr>
            <w:noProof/>
            <w:webHidden/>
          </w:rPr>
          <w:t>151</w:t>
        </w:r>
        <w:r w:rsidR="00D8288E">
          <w:rPr>
            <w:noProof/>
            <w:webHidden/>
          </w:rPr>
          <w:fldChar w:fldCharType="end"/>
        </w:r>
      </w:hyperlink>
    </w:p>
    <w:p w14:paraId="7D95F0D0" w14:textId="7AE82FA1" w:rsidR="00D8288E" w:rsidRDefault="008043C8">
      <w:pPr>
        <w:pStyle w:val="TableofFigures"/>
        <w:rPr>
          <w:rFonts w:asciiTheme="minorHAnsi" w:eastAsiaTheme="minorEastAsia" w:hAnsiTheme="minorHAnsi" w:cstheme="minorBidi"/>
          <w:noProof/>
          <w:snapToGrid/>
          <w:szCs w:val="22"/>
        </w:rPr>
      </w:pPr>
      <w:hyperlink w:anchor="_Toc113380957" w:history="1">
        <w:r w:rsidR="00D8288E" w:rsidRPr="005A4C33">
          <w:rPr>
            <w:rStyle w:val="Hyperlink"/>
            <w:noProof/>
            <w:lang w:eastAsia="zh-TW"/>
          </w:rPr>
          <w:t>Figure 6.13. Projected annual total generation in the SEPA region.</w:t>
        </w:r>
        <w:r w:rsidR="00D8288E">
          <w:rPr>
            <w:noProof/>
            <w:webHidden/>
          </w:rPr>
          <w:tab/>
        </w:r>
        <w:r w:rsidR="00D8288E">
          <w:rPr>
            <w:noProof/>
            <w:webHidden/>
          </w:rPr>
          <w:fldChar w:fldCharType="begin"/>
        </w:r>
        <w:r w:rsidR="00D8288E">
          <w:rPr>
            <w:noProof/>
            <w:webHidden/>
          </w:rPr>
          <w:instrText xml:space="preserve"> PAGEREF _Toc113380957 \h </w:instrText>
        </w:r>
        <w:r w:rsidR="00D8288E">
          <w:rPr>
            <w:noProof/>
            <w:webHidden/>
          </w:rPr>
        </w:r>
        <w:r w:rsidR="00D8288E">
          <w:rPr>
            <w:noProof/>
            <w:webHidden/>
          </w:rPr>
          <w:fldChar w:fldCharType="separate"/>
        </w:r>
        <w:r w:rsidR="00EE0BF5">
          <w:rPr>
            <w:noProof/>
            <w:webHidden/>
          </w:rPr>
          <w:t>153</w:t>
        </w:r>
        <w:r w:rsidR="00D8288E">
          <w:rPr>
            <w:noProof/>
            <w:webHidden/>
          </w:rPr>
          <w:fldChar w:fldCharType="end"/>
        </w:r>
      </w:hyperlink>
    </w:p>
    <w:p w14:paraId="7C44601B" w14:textId="75138E40" w:rsidR="00D8288E" w:rsidRDefault="008043C8">
      <w:pPr>
        <w:pStyle w:val="TableofFigures"/>
        <w:rPr>
          <w:rFonts w:asciiTheme="minorHAnsi" w:eastAsiaTheme="minorEastAsia" w:hAnsiTheme="minorHAnsi" w:cstheme="minorBidi"/>
          <w:noProof/>
          <w:snapToGrid/>
          <w:szCs w:val="22"/>
        </w:rPr>
      </w:pPr>
      <w:hyperlink w:anchor="_Toc113380958" w:history="1">
        <w:r w:rsidR="00D8288E" w:rsidRPr="005A4C33">
          <w:rPr>
            <w:rStyle w:val="Hyperlink"/>
            <w:noProof/>
            <w:lang w:eastAsia="zh-TW"/>
          </w:rPr>
          <w:t>Figure 6.14. Projected change of annual and seasonal total generation in the SEPA region.</w:t>
        </w:r>
        <w:r w:rsidR="00D8288E">
          <w:rPr>
            <w:noProof/>
            <w:webHidden/>
          </w:rPr>
          <w:tab/>
        </w:r>
        <w:r w:rsidR="00D8288E">
          <w:rPr>
            <w:noProof/>
            <w:webHidden/>
          </w:rPr>
          <w:fldChar w:fldCharType="begin"/>
        </w:r>
        <w:r w:rsidR="00D8288E">
          <w:rPr>
            <w:noProof/>
            <w:webHidden/>
          </w:rPr>
          <w:instrText xml:space="preserve"> PAGEREF _Toc113380958 \h </w:instrText>
        </w:r>
        <w:r w:rsidR="00D8288E">
          <w:rPr>
            <w:noProof/>
            <w:webHidden/>
          </w:rPr>
        </w:r>
        <w:r w:rsidR="00D8288E">
          <w:rPr>
            <w:noProof/>
            <w:webHidden/>
          </w:rPr>
          <w:fldChar w:fldCharType="separate"/>
        </w:r>
        <w:r w:rsidR="00EE0BF5">
          <w:rPr>
            <w:noProof/>
            <w:webHidden/>
          </w:rPr>
          <w:t>154</w:t>
        </w:r>
        <w:r w:rsidR="00D8288E">
          <w:rPr>
            <w:noProof/>
            <w:webHidden/>
          </w:rPr>
          <w:fldChar w:fldCharType="end"/>
        </w:r>
      </w:hyperlink>
    </w:p>
    <w:p w14:paraId="6627F872" w14:textId="1A77B244" w:rsidR="00D8288E" w:rsidRDefault="008043C8">
      <w:pPr>
        <w:pStyle w:val="TableofFigures"/>
        <w:rPr>
          <w:rFonts w:asciiTheme="minorHAnsi" w:eastAsiaTheme="minorEastAsia" w:hAnsiTheme="minorHAnsi" w:cstheme="minorBidi"/>
          <w:noProof/>
          <w:snapToGrid/>
          <w:szCs w:val="22"/>
        </w:rPr>
      </w:pPr>
      <w:hyperlink w:anchor="_Toc113380959" w:history="1">
        <w:r w:rsidR="00D8288E" w:rsidRPr="005A4C33">
          <w:rPr>
            <w:rStyle w:val="Hyperlink"/>
            <w:noProof/>
            <w:lang w:eastAsia="zh-TW"/>
          </w:rPr>
          <w:t>Figure 6.15. ANOVA of annual total generation in the SEPA region.</w:t>
        </w:r>
        <w:r w:rsidR="00D8288E">
          <w:rPr>
            <w:noProof/>
            <w:webHidden/>
          </w:rPr>
          <w:tab/>
        </w:r>
        <w:r w:rsidR="00D8288E">
          <w:rPr>
            <w:noProof/>
            <w:webHidden/>
          </w:rPr>
          <w:fldChar w:fldCharType="begin"/>
        </w:r>
        <w:r w:rsidR="00D8288E">
          <w:rPr>
            <w:noProof/>
            <w:webHidden/>
          </w:rPr>
          <w:instrText xml:space="preserve"> PAGEREF _Toc113380959 \h </w:instrText>
        </w:r>
        <w:r w:rsidR="00D8288E">
          <w:rPr>
            <w:noProof/>
            <w:webHidden/>
          </w:rPr>
        </w:r>
        <w:r w:rsidR="00D8288E">
          <w:rPr>
            <w:noProof/>
            <w:webHidden/>
          </w:rPr>
          <w:fldChar w:fldCharType="separate"/>
        </w:r>
        <w:r w:rsidR="00EE0BF5">
          <w:rPr>
            <w:noProof/>
            <w:webHidden/>
          </w:rPr>
          <w:t>155</w:t>
        </w:r>
        <w:r w:rsidR="00D8288E">
          <w:rPr>
            <w:noProof/>
            <w:webHidden/>
          </w:rPr>
          <w:fldChar w:fldCharType="end"/>
        </w:r>
      </w:hyperlink>
    </w:p>
    <w:p w14:paraId="26732B5F" w14:textId="50F9BA55" w:rsidR="00D8288E" w:rsidRDefault="008043C8">
      <w:pPr>
        <w:pStyle w:val="TableofFigures"/>
        <w:rPr>
          <w:rFonts w:asciiTheme="minorHAnsi" w:eastAsiaTheme="minorEastAsia" w:hAnsiTheme="minorHAnsi" w:cstheme="minorBidi"/>
          <w:noProof/>
          <w:snapToGrid/>
          <w:szCs w:val="22"/>
        </w:rPr>
      </w:pPr>
      <w:hyperlink w:anchor="_Toc113380960" w:history="1">
        <w:r w:rsidR="00D8288E" w:rsidRPr="005A4C33">
          <w:rPr>
            <w:rStyle w:val="Hyperlink"/>
            <w:noProof/>
            <w:lang w:eastAsia="zh-TW"/>
          </w:rPr>
          <w:t>Figure 6.16. Projected annual HDDs in the SEPA region.</w:t>
        </w:r>
        <w:r w:rsidR="00D8288E">
          <w:rPr>
            <w:noProof/>
            <w:webHidden/>
          </w:rPr>
          <w:tab/>
        </w:r>
        <w:r w:rsidR="00D8288E">
          <w:rPr>
            <w:noProof/>
            <w:webHidden/>
          </w:rPr>
          <w:fldChar w:fldCharType="begin"/>
        </w:r>
        <w:r w:rsidR="00D8288E">
          <w:rPr>
            <w:noProof/>
            <w:webHidden/>
          </w:rPr>
          <w:instrText xml:space="preserve"> PAGEREF _Toc113380960 \h </w:instrText>
        </w:r>
        <w:r w:rsidR="00D8288E">
          <w:rPr>
            <w:noProof/>
            <w:webHidden/>
          </w:rPr>
        </w:r>
        <w:r w:rsidR="00D8288E">
          <w:rPr>
            <w:noProof/>
            <w:webHidden/>
          </w:rPr>
          <w:fldChar w:fldCharType="separate"/>
        </w:r>
        <w:r w:rsidR="00EE0BF5">
          <w:rPr>
            <w:noProof/>
            <w:webHidden/>
          </w:rPr>
          <w:t>158</w:t>
        </w:r>
        <w:r w:rsidR="00D8288E">
          <w:rPr>
            <w:noProof/>
            <w:webHidden/>
          </w:rPr>
          <w:fldChar w:fldCharType="end"/>
        </w:r>
      </w:hyperlink>
    </w:p>
    <w:p w14:paraId="2B539BF4" w14:textId="7A8410D6" w:rsidR="00D8288E" w:rsidRDefault="008043C8">
      <w:pPr>
        <w:pStyle w:val="TableofFigures"/>
        <w:rPr>
          <w:rFonts w:asciiTheme="minorHAnsi" w:eastAsiaTheme="minorEastAsia" w:hAnsiTheme="minorHAnsi" w:cstheme="minorBidi"/>
          <w:noProof/>
          <w:snapToGrid/>
          <w:szCs w:val="22"/>
        </w:rPr>
      </w:pPr>
      <w:hyperlink w:anchor="_Toc113380961" w:history="1">
        <w:r w:rsidR="00D8288E" w:rsidRPr="005A4C33">
          <w:rPr>
            <w:rStyle w:val="Hyperlink"/>
            <w:noProof/>
            <w:lang w:eastAsia="zh-TW"/>
          </w:rPr>
          <w:t>Figure 6.17. Projected annual CDDs in the SEPA region.</w:t>
        </w:r>
        <w:r w:rsidR="00D8288E">
          <w:rPr>
            <w:noProof/>
            <w:webHidden/>
          </w:rPr>
          <w:tab/>
        </w:r>
        <w:r w:rsidR="00D8288E">
          <w:rPr>
            <w:noProof/>
            <w:webHidden/>
          </w:rPr>
          <w:fldChar w:fldCharType="begin"/>
        </w:r>
        <w:r w:rsidR="00D8288E">
          <w:rPr>
            <w:noProof/>
            <w:webHidden/>
          </w:rPr>
          <w:instrText xml:space="preserve"> PAGEREF _Toc113380961 \h </w:instrText>
        </w:r>
        <w:r w:rsidR="00D8288E">
          <w:rPr>
            <w:noProof/>
            <w:webHidden/>
          </w:rPr>
        </w:r>
        <w:r w:rsidR="00D8288E">
          <w:rPr>
            <w:noProof/>
            <w:webHidden/>
          </w:rPr>
          <w:fldChar w:fldCharType="separate"/>
        </w:r>
        <w:r w:rsidR="00EE0BF5">
          <w:rPr>
            <w:noProof/>
            <w:webHidden/>
          </w:rPr>
          <w:t>159</w:t>
        </w:r>
        <w:r w:rsidR="00D8288E">
          <w:rPr>
            <w:noProof/>
            <w:webHidden/>
          </w:rPr>
          <w:fldChar w:fldCharType="end"/>
        </w:r>
      </w:hyperlink>
    </w:p>
    <w:p w14:paraId="41929B35" w14:textId="4C96D2A9" w:rsidR="00D8288E" w:rsidRDefault="008043C8">
      <w:pPr>
        <w:pStyle w:val="TableofFigures"/>
        <w:rPr>
          <w:rFonts w:asciiTheme="minorHAnsi" w:eastAsiaTheme="minorEastAsia" w:hAnsiTheme="minorHAnsi" w:cstheme="minorBidi"/>
          <w:noProof/>
          <w:snapToGrid/>
          <w:szCs w:val="22"/>
        </w:rPr>
      </w:pPr>
      <w:hyperlink w:anchor="_Toc113380962" w:history="1">
        <w:r w:rsidR="00D8288E" w:rsidRPr="005A4C33">
          <w:rPr>
            <w:rStyle w:val="Hyperlink"/>
            <w:noProof/>
            <w:lang w:eastAsia="zh-TW"/>
          </w:rPr>
          <w:t>Figure 6.18. Estimated changes in SEPA preference customer electricity sales relative to the baseline period due to projected changes in degree days.</w:t>
        </w:r>
        <w:r w:rsidR="00D8288E">
          <w:rPr>
            <w:noProof/>
            <w:webHidden/>
          </w:rPr>
          <w:tab/>
        </w:r>
        <w:r w:rsidR="00D8288E">
          <w:rPr>
            <w:noProof/>
            <w:webHidden/>
          </w:rPr>
          <w:fldChar w:fldCharType="begin"/>
        </w:r>
        <w:r w:rsidR="00D8288E">
          <w:rPr>
            <w:noProof/>
            <w:webHidden/>
          </w:rPr>
          <w:instrText xml:space="preserve"> PAGEREF _Toc113380962 \h </w:instrText>
        </w:r>
        <w:r w:rsidR="00D8288E">
          <w:rPr>
            <w:noProof/>
            <w:webHidden/>
          </w:rPr>
        </w:r>
        <w:r w:rsidR="00D8288E">
          <w:rPr>
            <w:noProof/>
            <w:webHidden/>
          </w:rPr>
          <w:fldChar w:fldCharType="separate"/>
        </w:r>
        <w:r w:rsidR="00EE0BF5">
          <w:rPr>
            <w:noProof/>
            <w:webHidden/>
          </w:rPr>
          <w:t>160</w:t>
        </w:r>
        <w:r w:rsidR="00D8288E">
          <w:rPr>
            <w:noProof/>
            <w:webHidden/>
          </w:rPr>
          <w:fldChar w:fldCharType="end"/>
        </w:r>
      </w:hyperlink>
    </w:p>
    <w:p w14:paraId="3059299B" w14:textId="4D111F38" w:rsidR="00D8288E" w:rsidRDefault="008043C8">
      <w:pPr>
        <w:pStyle w:val="TableofFigures"/>
        <w:rPr>
          <w:rFonts w:asciiTheme="minorHAnsi" w:eastAsiaTheme="minorEastAsia" w:hAnsiTheme="minorHAnsi" w:cstheme="minorBidi"/>
          <w:noProof/>
          <w:snapToGrid/>
          <w:szCs w:val="22"/>
        </w:rPr>
      </w:pPr>
      <w:hyperlink w:anchor="_Toc113380963" w:history="1">
        <w:r w:rsidR="00D8288E" w:rsidRPr="005A4C33">
          <w:rPr>
            <w:rStyle w:val="Hyperlink"/>
            <w:noProof/>
            <w:lang w:eastAsia="zh-TW"/>
          </w:rPr>
          <w:t>Figure 7.1. Projected changes in climate variables across the nine NCEI regions.</w:t>
        </w:r>
        <w:r w:rsidR="00D8288E">
          <w:rPr>
            <w:noProof/>
            <w:webHidden/>
          </w:rPr>
          <w:tab/>
        </w:r>
        <w:r w:rsidR="00D8288E">
          <w:rPr>
            <w:noProof/>
            <w:webHidden/>
          </w:rPr>
          <w:fldChar w:fldCharType="begin"/>
        </w:r>
        <w:r w:rsidR="00D8288E">
          <w:rPr>
            <w:noProof/>
            <w:webHidden/>
          </w:rPr>
          <w:instrText xml:space="preserve"> PAGEREF _Toc113380963 \h </w:instrText>
        </w:r>
        <w:r w:rsidR="00D8288E">
          <w:rPr>
            <w:noProof/>
            <w:webHidden/>
          </w:rPr>
        </w:r>
        <w:r w:rsidR="00D8288E">
          <w:rPr>
            <w:noProof/>
            <w:webHidden/>
          </w:rPr>
          <w:fldChar w:fldCharType="separate"/>
        </w:r>
        <w:r w:rsidR="00EE0BF5">
          <w:rPr>
            <w:noProof/>
            <w:webHidden/>
          </w:rPr>
          <w:t>162</w:t>
        </w:r>
        <w:r w:rsidR="00D8288E">
          <w:rPr>
            <w:noProof/>
            <w:webHidden/>
          </w:rPr>
          <w:fldChar w:fldCharType="end"/>
        </w:r>
      </w:hyperlink>
    </w:p>
    <w:p w14:paraId="679DE19E" w14:textId="5E45B169" w:rsidR="00D8288E" w:rsidRDefault="008043C8">
      <w:pPr>
        <w:pStyle w:val="TableofFigures"/>
        <w:rPr>
          <w:rFonts w:asciiTheme="minorHAnsi" w:eastAsiaTheme="minorEastAsia" w:hAnsiTheme="minorHAnsi" w:cstheme="minorBidi"/>
          <w:noProof/>
          <w:snapToGrid/>
          <w:szCs w:val="22"/>
        </w:rPr>
      </w:pPr>
      <w:hyperlink w:anchor="_Toc113380964" w:history="1">
        <w:r w:rsidR="00D8288E" w:rsidRPr="005A4C33">
          <w:rPr>
            <w:rStyle w:val="Hyperlink"/>
            <w:noProof/>
            <w:lang w:eastAsia="zh-TW"/>
          </w:rPr>
          <w:t xml:space="preserve">Figure 7.2. </w:t>
        </w:r>
        <w:r w:rsidR="00D8288E" w:rsidRPr="005A4C33">
          <w:rPr>
            <w:rStyle w:val="Hyperlink"/>
            <w:rFonts w:eastAsia="PMingLiU"/>
            <w:noProof/>
            <w:lang w:eastAsia="zh-TW"/>
          </w:rPr>
          <w:t>Projected change in annual total, high, and low runoff across the CONUS (compared with the 1980–2019 baseline historical period).</w:t>
        </w:r>
        <w:r w:rsidR="00D8288E">
          <w:rPr>
            <w:noProof/>
            <w:webHidden/>
          </w:rPr>
          <w:tab/>
        </w:r>
        <w:r w:rsidR="00D8288E">
          <w:rPr>
            <w:noProof/>
            <w:webHidden/>
          </w:rPr>
          <w:fldChar w:fldCharType="begin"/>
        </w:r>
        <w:r w:rsidR="00D8288E">
          <w:rPr>
            <w:noProof/>
            <w:webHidden/>
          </w:rPr>
          <w:instrText xml:space="preserve"> PAGEREF _Toc113380964 \h </w:instrText>
        </w:r>
        <w:r w:rsidR="00D8288E">
          <w:rPr>
            <w:noProof/>
            <w:webHidden/>
          </w:rPr>
        </w:r>
        <w:r w:rsidR="00D8288E">
          <w:rPr>
            <w:noProof/>
            <w:webHidden/>
          </w:rPr>
          <w:fldChar w:fldCharType="separate"/>
        </w:r>
        <w:r w:rsidR="00EE0BF5">
          <w:rPr>
            <w:noProof/>
            <w:webHidden/>
          </w:rPr>
          <w:t>164</w:t>
        </w:r>
        <w:r w:rsidR="00D8288E">
          <w:rPr>
            <w:noProof/>
            <w:webHidden/>
          </w:rPr>
          <w:fldChar w:fldCharType="end"/>
        </w:r>
      </w:hyperlink>
    </w:p>
    <w:p w14:paraId="2EE56116" w14:textId="3DCF246A" w:rsidR="00D8288E" w:rsidRDefault="008043C8">
      <w:pPr>
        <w:pStyle w:val="TableofFigures"/>
        <w:rPr>
          <w:rFonts w:asciiTheme="minorHAnsi" w:eastAsiaTheme="minorEastAsia" w:hAnsiTheme="minorHAnsi" w:cstheme="minorBidi"/>
          <w:noProof/>
          <w:snapToGrid/>
          <w:szCs w:val="22"/>
        </w:rPr>
      </w:pPr>
      <w:hyperlink w:anchor="_Toc113380965" w:history="1">
        <w:r w:rsidR="00D8288E" w:rsidRPr="005A4C33">
          <w:rPr>
            <w:rStyle w:val="Hyperlink"/>
            <w:noProof/>
            <w:lang w:eastAsia="zh-TW"/>
          </w:rPr>
          <w:t xml:space="preserve">Figure 7.3. </w:t>
        </w:r>
        <w:r w:rsidR="00D8288E" w:rsidRPr="005A4C33">
          <w:rPr>
            <w:rStyle w:val="Hyperlink"/>
            <w:rFonts w:eastAsia="PMingLiU"/>
            <w:noProof/>
            <w:lang w:eastAsia="zh-TW"/>
          </w:rPr>
          <w:t>Projected change in seasonal runoff across the CONUS (compared with the 1980–2019 baseline historical period).</w:t>
        </w:r>
        <w:r w:rsidR="00D8288E">
          <w:rPr>
            <w:noProof/>
            <w:webHidden/>
          </w:rPr>
          <w:tab/>
        </w:r>
        <w:r w:rsidR="00D8288E">
          <w:rPr>
            <w:noProof/>
            <w:webHidden/>
          </w:rPr>
          <w:fldChar w:fldCharType="begin"/>
        </w:r>
        <w:r w:rsidR="00D8288E">
          <w:rPr>
            <w:noProof/>
            <w:webHidden/>
          </w:rPr>
          <w:instrText xml:space="preserve"> PAGEREF _Toc113380965 \h </w:instrText>
        </w:r>
        <w:r w:rsidR="00D8288E">
          <w:rPr>
            <w:noProof/>
            <w:webHidden/>
          </w:rPr>
        </w:r>
        <w:r w:rsidR="00D8288E">
          <w:rPr>
            <w:noProof/>
            <w:webHidden/>
          </w:rPr>
          <w:fldChar w:fldCharType="separate"/>
        </w:r>
        <w:r w:rsidR="00EE0BF5">
          <w:rPr>
            <w:noProof/>
            <w:webHidden/>
          </w:rPr>
          <w:t>165</w:t>
        </w:r>
        <w:r w:rsidR="00D8288E">
          <w:rPr>
            <w:noProof/>
            <w:webHidden/>
          </w:rPr>
          <w:fldChar w:fldCharType="end"/>
        </w:r>
      </w:hyperlink>
    </w:p>
    <w:p w14:paraId="30CA580B" w14:textId="06653DA4" w:rsidR="00D8288E" w:rsidRDefault="008043C8">
      <w:pPr>
        <w:pStyle w:val="TableofFigures"/>
        <w:rPr>
          <w:rFonts w:asciiTheme="minorHAnsi" w:eastAsiaTheme="minorEastAsia" w:hAnsiTheme="minorHAnsi" w:cstheme="minorBidi"/>
          <w:noProof/>
          <w:snapToGrid/>
          <w:szCs w:val="22"/>
        </w:rPr>
      </w:pPr>
      <w:hyperlink w:anchor="_Toc113380966" w:history="1">
        <w:r w:rsidR="00D8288E" w:rsidRPr="005A4C33">
          <w:rPr>
            <w:rStyle w:val="Hyperlink"/>
            <w:noProof/>
            <w:lang w:eastAsia="zh-TW"/>
          </w:rPr>
          <w:t xml:space="preserve">Figure 7.4. </w:t>
        </w:r>
        <w:r w:rsidR="00D8288E" w:rsidRPr="005A4C33">
          <w:rPr>
            <w:rStyle w:val="Hyperlink"/>
            <w:rFonts w:eastAsia="PMingLiU"/>
            <w:noProof/>
            <w:lang w:eastAsia="zh-TW"/>
          </w:rPr>
          <w:t>ANOVA of annual total runoff in the CONUS.</w:t>
        </w:r>
        <w:r w:rsidR="00D8288E">
          <w:rPr>
            <w:noProof/>
            <w:webHidden/>
          </w:rPr>
          <w:tab/>
        </w:r>
        <w:r w:rsidR="00D8288E">
          <w:rPr>
            <w:noProof/>
            <w:webHidden/>
          </w:rPr>
          <w:fldChar w:fldCharType="begin"/>
        </w:r>
        <w:r w:rsidR="00D8288E">
          <w:rPr>
            <w:noProof/>
            <w:webHidden/>
          </w:rPr>
          <w:instrText xml:space="preserve"> PAGEREF _Toc113380966 \h </w:instrText>
        </w:r>
        <w:r w:rsidR="00D8288E">
          <w:rPr>
            <w:noProof/>
            <w:webHidden/>
          </w:rPr>
        </w:r>
        <w:r w:rsidR="00D8288E">
          <w:rPr>
            <w:noProof/>
            <w:webHidden/>
          </w:rPr>
          <w:fldChar w:fldCharType="separate"/>
        </w:r>
        <w:r w:rsidR="00EE0BF5">
          <w:rPr>
            <w:noProof/>
            <w:webHidden/>
          </w:rPr>
          <w:t>166</w:t>
        </w:r>
        <w:r w:rsidR="00D8288E">
          <w:rPr>
            <w:noProof/>
            <w:webHidden/>
          </w:rPr>
          <w:fldChar w:fldCharType="end"/>
        </w:r>
      </w:hyperlink>
    </w:p>
    <w:p w14:paraId="5DA069AC" w14:textId="4816AA55" w:rsidR="00D8288E" w:rsidRDefault="008043C8">
      <w:pPr>
        <w:pStyle w:val="TableofFigures"/>
        <w:rPr>
          <w:rFonts w:asciiTheme="minorHAnsi" w:eastAsiaTheme="minorEastAsia" w:hAnsiTheme="minorHAnsi" w:cstheme="minorBidi"/>
          <w:noProof/>
          <w:snapToGrid/>
          <w:szCs w:val="22"/>
        </w:rPr>
      </w:pPr>
      <w:hyperlink w:anchor="_Toc113380967" w:history="1">
        <w:r w:rsidR="00D8288E" w:rsidRPr="005A4C33">
          <w:rPr>
            <w:rStyle w:val="Hyperlink"/>
            <w:noProof/>
            <w:lang w:eastAsia="zh-TW"/>
          </w:rPr>
          <w:t>Figure 7.5. Changes of mean evaporation loss (in %) of 678 CONUS reservoirs.</w:t>
        </w:r>
        <w:r w:rsidR="00D8288E">
          <w:rPr>
            <w:noProof/>
            <w:webHidden/>
          </w:rPr>
          <w:tab/>
        </w:r>
        <w:r w:rsidR="00D8288E">
          <w:rPr>
            <w:noProof/>
            <w:webHidden/>
          </w:rPr>
          <w:fldChar w:fldCharType="begin"/>
        </w:r>
        <w:r w:rsidR="00D8288E">
          <w:rPr>
            <w:noProof/>
            <w:webHidden/>
          </w:rPr>
          <w:instrText xml:space="preserve"> PAGEREF _Toc113380967 \h </w:instrText>
        </w:r>
        <w:r w:rsidR="00D8288E">
          <w:rPr>
            <w:noProof/>
            <w:webHidden/>
          </w:rPr>
        </w:r>
        <w:r w:rsidR="00D8288E">
          <w:rPr>
            <w:noProof/>
            <w:webHidden/>
          </w:rPr>
          <w:fldChar w:fldCharType="separate"/>
        </w:r>
        <w:r w:rsidR="00EE0BF5">
          <w:rPr>
            <w:noProof/>
            <w:webHidden/>
          </w:rPr>
          <w:t>167</w:t>
        </w:r>
        <w:r w:rsidR="00D8288E">
          <w:rPr>
            <w:noProof/>
            <w:webHidden/>
          </w:rPr>
          <w:fldChar w:fldCharType="end"/>
        </w:r>
      </w:hyperlink>
    </w:p>
    <w:p w14:paraId="6E02D6DB" w14:textId="6D05057E" w:rsidR="00D8288E" w:rsidRDefault="008043C8">
      <w:pPr>
        <w:pStyle w:val="TableofFigures"/>
        <w:rPr>
          <w:rFonts w:asciiTheme="minorHAnsi" w:eastAsiaTheme="minorEastAsia" w:hAnsiTheme="minorHAnsi" w:cstheme="minorBidi"/>
          <w:noProof/>
          <w:snapToGrid/>
          <w:szCs w:val="22"/>
        </w:rPr>
      </w:pPr>
      <w:hyperlink w:anchor="_Toc113380968" w:history="1">
        <w:r w:rsidR="00D8288E" w:rsidRPr="005A4C33">
          <w:rPr>
            <w:rStyle w:val="Hyperlink"/>
            <w:noProof/>
            <w:lang w:eastAsia="zh-TW"/>
          </w:rPr>
          <w:t>Figure 7.6. Distribution of annual hydropower generation by PMA.</w:t>
        </w:r>
        <w:r w:rsidR="00D8288E">
          <w:rPr>
            <w:noProof/>
            <w:webHidden/>
          </w:rPr>
          <w:tab/>
        </w:r>
        <w:r w:rsidR="00D8288E">
          <w:rPr>
            <w:noProof/>
            <w:webHidden/>
          </w:rPr>
          <w:fldChar w:fldCharType="begin"/>
        </w:r>
        <w:r w:rsidR="00D8288E">
          <w:rPr>
            <w:noProof/>
            <w:webHidden/>
          </w:rPr>
          <w:instrText xml:space="preserve"> PAGEREF _Toc113380968 \h </w:instrText>
        </w:r>
        <w:r w:rsidR="00D8288E">
          <w:rPr>
            <w:noProof/>
            <w:webHidden/>
          </w:rPr>
        </w:r>
        <w:r w:rsidR="00D8288E">
          <w:rPr>
            <w:noProof/>
            <w:webHidden/>
          </w:rPr>
          <w:fldChar w:fldCharType="separate"/>
        </w:r>
        <w:r w:rsidR="00EE0BF5">
          <w:rPr>
            <w:noProof/>
            <w:webHidden/>
          </w:rPr>
          <w:t>168</w:t>
        </w:r>
        <w:r w:rsidR="00D8288E">
          <w:rPr>
            <w:noProof/>
            <w:webHidden/>
          </w:rPr>
          <w:fldChar w:fldCharType="end"/>
        </w:r>
      </w:hyperlink>
    </w:p>
    <w:p w14:paraId="7DF9748F" w14:textId="390B7B5D" w:rsidR="00D8288E" w:rsidRDefault="008043C8">
      <w:pPr>
        <w:pStyle w:val="TableofFigures"/>
        <w:rPr>
          <w:rFonts w:asciiTheme="minorHAnsi" w:eastAsiaTheme="minorEastAsia" w:hAnsiTheme="minorHAnsi" w:cstheme="minorBidi"/>
          <w:noProof/>
          <w:snapToGrid/>
          <w:szCs w:val="22"/>
        </w:rPr>
      </w:pPr>
      <w:hyperlink w:anchor="_Toc113380969" w:history="1">
        <w:r w:rsidR="00D8288E" w:rsidRPr="005A4C33">
          <w:rPr>
            <w:rStyle w:val="Hyperlink"/>
            <w:noProof/>
            <w:lang w:eastAsia="zh-TW"/>
          </w:rPr>
          <w:t>Figure 7.7. Projected relative changes in natural flow and hydropower generation at annual and seasonal scales across PMAs.</w:t>
        </w:r>
        <w:r w:rsidR="00D8288E">
          <w:rPr>
            <w:noProof/>
            <w:webHidden/>
          </w:rPr>
          <w:tab/>
        </w:r>
        <w:r w:rsidR="00D8288E">
          <w:rPr>
            <w:noProof/>
            <w:webHidden/>
          </w:rPr>
          <w:fldChar w:fldCharType="begin"/>
        </w:r>
        <w:r w:rsidR="00D8288E">
          <w:rPr>
            <w:noProof/>
            <w:webHidden/>
          </w:rPr>
          <w:instrText xml:space="preserve"> PAGEREF _Toc113380969 \h </w:instrText>
        </w:r>
        <w:r w:rsidR="00D8288E">
          <w:rPr>
            <w:noProof/>
            <w:webHidden/>
          </w:rPr>
        </w:r>
        <w:r w:rsidR="00D8288E">
          <w:rPr>
            <w:noProof/>
            <w:webHidden/>
          </w:rPr>
          <w:fldChar w:fldCharType="separate"/>
        </w:r>
        <w:r w:rsidR="00EE0BF5">
          <w:rPr>
            <w:noProof/>
            <w:webHidden/>
          </w:rPr>
          <w:t>169</w:t>
        </w:r>
        <w:r w:rsidR="00D8288E">
          <w:rPr>
            <w:noProof/>
            <w:webHidden/>
          </w:rPr>
          <w:fldChar w:fldCharType="end"/>
        </w:r>
      </w:hyperlink>
    </w:p>
    <w:p w14:paraId="65F98C74" w14:textId="73860674" w:rsidR="00D8288E" w:rsidRDefault="008043C8">
      <w:pPr>
        <w:pStyle w:val="TableofFigures"/>
        <w:rPr>
          <w:rFonts w:asciiTheme="minorHAnsi" w:eastAsiaTheme="minorEastAsia" w:hAnsiTheme="minorHAnsi" w:cstheme="minorBidi"/>
          <w:noProof/>
          <w:snapToGrid/>
          <w:szCs w:val="22"/>
        </w:rPr>
      </w:pPr>
      <w:hyperlink w:anchor="_Toc113380970" w:history="1">
        <w:r w:rsidR="00D8288E" w:rsidRPr="005A4C33">
          <w:rPr>
            <w:rStyle w:val="Hyperlink"/>
            <w:noProof/>
            <w:lang w:eastAsia="zh-TW"/>
          </w:rPr>
          <w:t>Figure 7.8. ANOVA of projected annual and seasonal hydropower generation in each of the PMA study areas.</w:t>
        </w:r>
        <w:r w:rsidR="00D8288E">
          <w:rPr>
            <w:noProof/>
            <w:webHidden/>
          </w:rPr>
          <w:tab/>
        </w:r>
        <w:r w:rsidR="00D8288E">
          <w:rPr>
            <w:noProof/>
            <w:webHidden/>
          </w:rPr>
          <w:fldChar w:fldCharType="begin"/>
        </w:r>
        <w:r w:rsidR="00D8288E">
          <w:rPr>
            <w:noProof/>
            <w:webHidden/>
          </w:rPr>
          <w:instrText xml:space="preserve"> PAGEREF _Toc113380970 \h </w:instrText>
        </w:r>
        <w:r w:rsidR="00D8288E">
          <w:rPr>
            <w:noProof/>
            <w:webHidden/>
          </w:rPr>
        </w:r>
        <w:r w:rsidR="00D8288E">
          <w:rPr>
            <w:noProof/>
            <w:webHidden/>
          </w:rPr>
          <w:fldChar w:fldCharType="separate"/>
        </w:r>
        <w:r w:rsidR="00EE0BF5">
          <w:rPr>
            <w:noProof/>
            <w:webHidden/>
          </w:rPr>
          <w:t>171</w:t>
        </w:r>
        <w:r w:rsidR="00D8288E">
          <w:rPr>
            <w:noProof/>
            <w:webHidden/>
          </w:rPr>
          <w:fldChar w:fldCharType="end"/>
        </w:r>
      </w:hyperlink>
    </w:p>
    <w:p w14:paraId="318E3DBF" w14:textId="1710A076" w:rsidR="00D8288E" w:rsidRDefault="008043C8">
      <w:pPr>
        <w:pStyle w:val="TableofFigures"/>
        <w:rPr>
          <w:rFonts w:asciiTheme="minorHAnsi" w:eastAsiaTheme="minorEastAsia" w:hAnsiTheme="minorHAnsi" w:cstheme="minorBidi"/>
          <w:noProof/>
          <w:snapToGrid/>
          <w:szCs w:val="22"/>
        </w:rPr>
      </w:pPr>
      <w:hyperlink w:anchor="_Toc113380971" w:history="1">
        <w:r w:rsidR="00D8288E" w:rsidRPr="005A4C33">
          <w:rPr>
            <w:rStyle w:val="Hyperlink"/>
            <w:noProof/>
            <w:lang w:eastAsia="zh-TW"/>
          </w:rPr>
          <w:t>Figure 7.9. Estimated changes in PMA preference customer electricity sales relative to the baseline period due to projected changes in degree days.</w:t>
        </w:r>
        <w:r w:rsidR="00D8288E">
          <w:rPr>
            <w:noProof/>
            <w:webHidden/>
          </w:rPr>
          <w:tab/>
        </w:r>
        <w:r w:rsidR="00D8288E">
          <w:rPr>
            <w:noProof/>
            <w:webHidden/>
          </w:rPr>
          <w:fldChar w:fldCharType="begin"/>
        </w:r>
        <w:r w:rsidR="00D8288E">
          <w:rPr>
            <w:noProof/>
            <w:webHidden/>
          </w:rPr>
          <w:instrText xml:space="preserve"> PAGEREF _Toc113380971 \h </w:instrText>
        </w:r>
        <w:r w:rsidR="00D8288E">
          <w:rPr>
            <w:noProof/>
            <w:webHidden/>
          </w:rPr>
        </w:r>
        <w:r w:rsidR="00D8288E">
          <w:rPr>
            <w:noProof/>
            <w:webHidden/>
          </w:rPr>
          <w:fldChar w:fldCharType="separate"/>
        </w:r>
        <w:r w:rsidR="00EE0BF5">
          <w:rPr>
            <w:noProof/>
            <w:webHidden/>
          </w:rPr>
          <w:t>172</w:t>
        </w:r>
        <w:r w:rsidR="00D8288E">
          <w:rPr>
            <w:noProof/>
            <w:webHidden/>
          </w:rPr>
          <w:fldChar w:fldCharType="end"/>
        </w:r>
      </w:hyperlink>
    </w:p>
    <w:p w14:paraId="28D25EC4" w14:textId="38E388AD" w:rsidR="00A922FD" w:rsidRDefault="003214E4" w:rsidP="002954B7">
      <w:pPr>
        <w:pStyle w:val="BodyText"/>
      </w:pPr>
      <w:r>
        <w:fldChar w:fldCharType="end"/>
      </w:r>
      <w:bookmarkStart w:id="11" w:name="_Toc318271737"/>
      <w:bookmarkStart w:id="12" w:name="_Toc318371079"/>
    </w:p>
    <w:p w14:paraId="5F60071E" w14:textId="77777777" w:rsidR="002954B7" w:rsidRDefault="002954B7" w:rsidP="002954B7">
      <w:pPr>
        <w:pStyle w:val="BodyText"/>
        <w:sectPr w:rsidR="002954B7" w:rsidSect="00CC3514">
          <w:pgSz w:w="12240" w:h="15840" w:code="1"/>
          <w:pgMar w:top="1440" w:right="1440" w:bottom="1440" w:left="1440" w:header="720" w:footer="720" w:gutter="0"/>
          <w:pgNumType w:fmt="lowerRoman"/>
          <w:cols w:space="720"/>
          <w:docGrid w:linePitch="360"/>
        </w:sectPr>
      </w:pPr>
    </w:p>
    <w:p w14:paraId="09214145" w14:textId="1C1F0B38" w:rsidR="002954B7" w:rsidRPr="002954B7" w:rsidRDefault="002954B7" w:rsidP="002954B7">
      <w:pPr>
        <w:tabs>
          <w:tab w:val="left" w:pos="2145"/>
        </w:tabs>
        <w:spacing w:before="0" w:after="0"/>
        <w:ind w:firstLine="0"/>
        <w:jc w:val="center"/>
      </w:pPr>
      <w:r>
        <w:lastRenderedPageBreak/>
        <w:t>(This page intentionally left blank)</w:t>
      </w:r>
    </w:p>
    <w:p w14:paraId="298A4771" w14:textId="77777777" w:rsidR="00A922FD" w:rsidRDefault="00A922FD" w:rsidP="00A922FD">
      <w:pPr>
        <w:pStyle w:val="BodyText"/>
        <w:sectPr w:rsidR="00A922FD" w:rsidSect="002954B7">
          <w:pgSz w:w="12240" w:h="15840" w:code="1"/>
          <w:pgMar w:top="1440" w:right="1440" w:bottom="1440" w:left="1440" w:header="720" w:footer="720" w:gutter="0"/>
          <w:pgNumType w:fmt="lowerRoman"/>
          <w:cols w:space="720"/>
          <w:vAlign w:val="center"/>
          <w:docGrid w:linePitch="360"/>
        </w:sectPr>
      </w:pPr>
    </w:p>
    <w:p w14:paraId="38E38368" w14:textId="77777777" w:rsidR="00706B38" w:rsidRDefault="008B367D" w:rsidP="00357BBE">
      <w:pPr>
        <w:pStyle w:val="Heading1frontsections"/>
      </w:pPr>
      <w:bookmarkStart w:id="13" w:name="_Toc377479251"/>
      <w:bookmarkStart w:id="14" w:name="_Toc377479374"/>
      <w:bookmarkStart w:id="15" w:name="_Toc377480582"/>
      <w:bookmarkStart w:id="16" w:name="_Toc113380753"/>
      <w:bookmarkEnd w:id="11"/>
      <w:bookmarkEnd w:id="12"/>
      <w:r w:rsidRPr="00830AB1">
        <w:lastRenderedPageBreak/>
        <w:t>LIST OF TABLES</w:t>
      </w:r>
      <w:bookmarkEnd w:id="13"/>
      <w:bookmarkEnd w:id="14"/>
      <w:bookmarkEnd w:id="15"/>
      <w:bookmarkEnd w:id="16"/>
    </w:p>
    <w:p w14:paraId="3A38773B" w14:textId="227FE3E5" w:rsidR="00D8288E" w:rsidRDefault="003214E4">
      <w:pPr>
        <w:pStyle w:val="TableofFigures"/>
        <w:rPr>
          <w:rFonts w:asciiTheme="minorHAnsi" w:eastAsiaTheme="minorEastAsia" w:hAnsiTheme="minorHAnsi" w:cstheme="minorBidi"/>
          <w:noProof/>
          <w:snapToGrid/>
          <w:szCs w:val="22"/>
        </w:rPr>
      </w:pPr>
      <w:r>
        <w:fldChar w:fldCharType="begin"/>
      </w:r>
      <w:r w:rsidR="00CD3542">
        <w:instrText xml:space="preserve"> TOC \h \z \t "Table Caption" \c </w:instrText>
      </w:r>
      <w:r>
        <w:fldChar w:fldCharType="separate"/>
      </w:r>
      <w:hyperlink w:anchor="_Toc113380972" w:history="1">
        <w:r w:rsidR="00D8288E" w:rsidRPr="0005515F">
          <w:rPr>
            <w:rStyle w:val="Hyperlink"/>
            <w:rFonts w:eastAsia="PMingLiU"/>
            <w:noProof/>
            <w:lang w:bidi="en-US"/>
          </w:rPr>
          <w:t xml:space="preserve">Table 1.1. </w:t>
        </w:r>
        <w:r w:rsidR="00D8288E" w:rsidRPr="0005515F">
          <w:rPr>
            <w:rStyle w:val="Hyperlink"/>
            <w:rFonts w:eastAsia="PMingLiU"/>
            <w:noProof/>
            <w:lang w:eastAsia="zh-TW" w:bidi="en-US"/>
          </w:rPr>
          <w:t>Federal hydropower plants evaluated in this assessment</w:t>
        </w:r>
        <w:r w:rsidR="00D8288E">
          <w:rPr>
            <w:noProof/>
            <w:webHidden/>
          </w:rPr>
          <w:tab/>
        </w:r>
        <w:r w:rsidR="00D8288E">
          <w:rPr>
            <w:noProof/>
            <w:webHidden/>
          </w:rPr>
          <w:fldChar w:fldCharType="begin"/>
        </w:r>
        <w:r w:rsidR="00D8288E">
          <w:rPr>
            <w:noProof/>
            <w:webHidden/>
          </w:rPr>
          <w:instrText xml:space="preserve"> PAGEREF _Toc113380972 \h </w:instrText>
        </w:r>
        <w:r w:rsidR="00D8288E">
          <w:rPr>
            <w:noProof/>
            <w:webHidden/>
          </w:rPr>
        </w:r>
        <w:r w:rsidR="00D8288E">
          <w:rPr>
            <w:noProof/>
            <w:webHidden/>
          </w:rPr>
          <w:fldChar w:fldCharType="separate"/>
        </w:r>
        <w:r w:rsidR="00EE0BF5">
          <w:rPr>
            <w:noProof/>
            <w:webHidden/>
          </w:rPr>
          <w:t>5</w:t>
        </w:r>
        <w:r w:rsidR="00D8288E">
          <w:rPr>
            <w:noProof/>
            <w:webHidden/>
          </w:rPr>
          <w:fldChar w:fldCharType="end"/>
        </w:r>
      </w:hyperlink>
    </w:p>
    <w:p w14:paraId="2342E861" w14:textId="577F1681" w:rsidR="00D8288E" w:rsidRDefault="008043C8">
      <w:pPr>
        <w:pStyle w:val="TableofFigures"/>
        <w:rPr>
          <w:rFonts w:asciiTheme="minorHAnsi" w:eastAsiaTheme="minorEastAsia" w:hAnsiTheme="minorHAnsi" w:cstheme="minorBidi"/>
          <w:noProof/>
          <w:snapToGrid/>
          <w:szCs w:val="22"/>
        </w:rPr>
      </w:pPr>
      <w:hyperlink w:anchor="_Toc113380973" w:history="1">
        <w:r w:rsidR="00D8288E" w:rsidRPr="0005515F">
          <w:rPr>
            <w:rStyle w:val="Hyperlink"/>
            <w:rFonts w:eastAsia="PMingLiU"/>
            <w:noProof/>
          </w:rPr>
          <w:t>Table 2.1. Summary of data sources</w:t>
        </w:r>
        <w:r w:rsidR="00D8288E">
          <w:rPr>
            <w:noProof/>
            <w:webHidden/>
          </w:rPr>
          <w:tab/>
        </w:r>
        <w:r w:rsidR="00D8288E">
          <w:rPr>
            <w:noProof/>
            <w:webHidden/>
          </w:rPr>
          <w:fldChar w:fldCharType="begin"/>
        </w:r>
        <w:r w:rsidR="00D8288E">
          <w:rPr>
            <w:noProof/>
            <w:webHidden/>
          </w:rPr>
          <w:instrText xml:space="preserve"> PAGEREF _Toc113380973 \h </w:instrText>
        </w:r>
        <w:r w:rsidR="00D8288E">
          <w:rPr>
            <w:noProof/>
            <w:webHidden/>
          </w:rPr>
        </w:r>
        <w:r w:rsidR="00D8288E">
          <w:rPr>
            <w:noProof/>
            <w:webHidden/>
          </w:rPr>
          <w:fldChar w:fldCharType="separate"/>
        </w:r>
        <w:r w:rsidR="00EE0BF5">
          <w:rPr>
            <w:noProof/>
            <w:webHidden/>
          </w:rPr>
          <w:t>9</w:t>
        </w:r>
        <w:r w:rsidR="00D8288E">
          <w:rPr>
            <w:noProof/>
            <w:webHidden/>
          </w:rPr>
          <w:fldChar w:fldCharType="end"/>
        </w:r>
      </w:hyperlink>
    </w:p>
    <w:p w14:paraId="58D991D3" w14:textId="2BE6B03F" w:rsidR="00D8288E" w:rsidRDefault="008043C8">
      <w:pPr>
        <w:pStyle w:val="TableofFigures"/>
        <w:rPr>
          <w:rFonts w:asciiTheme="minorHAnsi" w:eastAsiaTheme="minorEastAsia" w:hAnsiTheme="minorHAnsi" w:cstheme="minorBidi"/>
          <w:noProof/>
          <w:snapToGrid/>
          <w:szCs w:val="22"/>
        </w:rPr>
      </w:pPr>
      <w:hyperlink w:anchor="_Toc113380974" w:history="1">
        <w:r w:rsidR="00D8288E" w:rsidRPr="0005515F">
          <w:rPr>
            <w:rStyle w:val="Hyperlink"/>
            <w:rFonts w:eastAsia="PMingLiU"/>
            <w:noProof/>
          </w:rPr>
          <w:t xml:space="preserve">Table 2.2. </w:t>
        </w:r>
        <w:r w:rsidR="00D8288E" w:rsidRPr="0005515F">
          <w:rPr>
            <w:rStyle w:val="Hyperlink"/>
            <w:bCs/>
            <w:noProof/>
          </w:rPr>
          <w:t>Six selected CMIP6 models</w:t>
        </w:r>
        <w:r w:rsidR="00D8288E">
          <w:rPr>
            <w:noProof/>
            <w:webHidden/>
          </w:rPr>
          <w:tab/>
        </w:r>
        <w:r w:rsidR="00D8288E">
          <w:rPr>
            <w:noProof/>
            <w:webHidden/>
          </w:rPr>
          <w:fldChar w:fldCharType="begin"/>
        </w:r>
        <w:r w:rsidR="00D8288E">
          <w:rPr>
            <w:noProof/>
            <w:webHidden/>
          </w:rPr>
          <w:instrText xml:space="preserve"> PAGEREF _Toc113380974 \h </w:instrText>
        </w:r>
        <w:r w:rsidR="00D8288E">
          <w:rPr>
            <w:noProof/>
            <w:webHidden/>
          </w:rPr>
        </w:r>
        <w:r w:rsidR="00D8288E">
          <w:rPr>
            <w:noProof/>
            <w:webHidden/>
          </w:rPr>
          <w:fldChar w:fldCharType="separate"/>
        </w:r>
        <w:r w:rsidR="00EE0BF5">
          <w:rPr>
            <w:noProof/>
            <w:webHidden/>
          </w:rPr>
          <w:t>20</w:t>
        </w:r>
        <w:r w:rsidR="00D8288E">
          <w:rPr>
            <w:noProof/>
            <w:webHidden/>
          </w:rPr>
          <w:fldChar w:fldCharType="end"/>
        </w:r>
      </w:hyperlink>
    </w:p>
    <w:p w14:paraId="2DBC3B86" w14:textId="57177CB8" w:rsidR="00D8288E" w:rsidRDefault="008043C8">
      <w:pPr>
        <w:pStyle w:val="TableofFigures"/>
        <w:rPr>
          <w:rFonts w:asciiTheme="minorHAnsi" w:eastAsiaTheme="minorEastAsia" w:hAnsiTheme="minorHAnsi" w:cstheme="minorBidi"/>
          <w:noProof/>
          <w:snapToGrid/>
          <w:szCs w:val="22"/>
        </w:rPr>
      </w:pPr>
      <w:hyperlink w:anchor="_Toc113380975" w:history="1">
        <w:r w:rsidR="00D8288E" w:rsidRPr="0005515F">
          <w:rPr>
            <w:rStyle w:val="Hyperlink"/>
            <w:rFonts w:eastAsia="PMingLiU"/>
            <w:noProof/>
            <w:lang w:bidi="en-US"/>
          </w:rPr>
          <w:t xml:space="preserve">Table 2.3. </w:t>
        </w:r>
        <w:r w:rsidR="00D8288E" w:rsidRPr="0005515F">
          <w:rPr>
            <w:rStyle w:val="Hyperlink"/>
            <w:noProof/>
            <w:lang w:eastAsia="zh-TW"/>
          </w:rPr>
          <w:t>Performance of WRES and WMP</w:t>
        </w:r>
        <w:r w:rsidR="00D8288E">
          <w:rPr>
            <w:noProof/>
            <w:webHidden/>
          </w:rPr>
          <w:tab/>
        </w:r>
        <w:r w:rsidR="00D8288E">
          <w:rPr>
            <w:noProof/>
            <w:webHidden/>
          </w:rPr>
          <w:fldChar w:fldCharType="begin"/>
        </w:r>
        <w:r w:rsidR="00D8288E">
          <w:rPr>
            <w:noProof/>
            <w:webHidden/>
          </w:rPr>
          <w:instrText xml:space="preserve"> PAGEREF _Toc113380975 \h </w:instrText>
        </w:r>
        <w:r w:rsidR="00D8288E">
          <w:rPr>
            <w:noProof/>
            <w:webHidden/>
          </w:rPr>
        </w:r>
        <w:r w:rsidR="00D8288E">
          <w:rPr>
            <w:noProof/>
            <w:webHidden/>
          </w:rPr>
          <w:fldChar w:fldCharType="separate"/>
        </w:r>
        <w:r w:rsidR="00EE0BF5">
          <w:rPr>
            <w:noProof/>
            <w:webHidden/>
          </w:rPr>
          <w:t>42</w:t>
        </w:r>
        <w:r w:rsidR="00D8288E">
          <w:rPr>
            <w:noProof/>
            <w:webHidden/>
          </w:rPr>
          <w:fldChar w:fldCharType="end"/>
        </w:r>
      </w:hyperlink>
    </w:p>
    <w:p w14:paraId="29443E6D" w14:textId="35B7F94A" w:rsidR="00D8288E" w:rsidRDefault="008043C8">
      <w:pPr>
        <w:pStyle w:val="TableofFigures"/>
        <w:rPr>
          <w:rFonts w:asciiTheme="minorHAnsi" w:eastAsiaTheme="minorEastAsia" w:hAnsiTheme="minorHAnsi" w:cstheme="minorBidi"/>
          <w:noProof/>
          <w:snapToGrid/>
          <w:szCs w:val="22"/>
        </w:rPr>
      </w:pPr>
      <w:hyperlink w:anchor="_Toc113380976" w:history="1">
        <w:r w:rsidR="00D8288E" w:rsidRPr="0005515F">
          <w:rPr>
            <w:rStyle w:val="Hyperlink"/>
            <w:rFonts w:eastAsia="PMingLiU"/>
            <w:noProof/>
          </w:rPr>
          <w:t>Table 3.1. Summary of federal hydropower plants in the BPA region</w:t>
        </w:r>
        <w:r w:rsidR="00D8288E">
          <w:rPr>
            <w:noProof/>
            <w:webHidden/>
          </w:rPr>
          <w:tab/>
        </w:r>
        <w:r w:rsidR="00D8288E">
          <w:rPr>
            <w:noProof/>
            <w:webHidden/>
          </w:rPr>
          <w:fldChar w:fldCharType="begin"/>
        </w:r>
        <w:r w:rsidR="00D8288E">
          <w:rPr>
            <w:noProof/>
            <w:webHidden/>
          </w:rPr>
          <w:instrText xml:space="preserve"> PAGEREF _Toc113380976 \h </w:instrText>
        </w:r>
        <w:r w:rsidR="00D8288E">
          <w:rPr>
            <w:noProof/>
            <w:webHidden/>
          </w:rPr>
        </w:r>
        <w:r w:rsidR="00D8288E">
          <w:rPr>
            <w:noProof/>
            <w:webHidden/>
          </w:rPr>
          <w:fldChar w:fldCharType="separate"/>
        </w:r>
        <w:r w:rsidR="00EE0BF5">
          <w:rPr>
            <w:noProof/>
            <w:webHidden/>
          </w:rPr>
          <w:t>55</w:t>
        </w:r>
        <w:r w:rsidR="00D8288E">
          <w:rPr>
            <w:noProof/>
            <w:webHidden/>
          </w:rPr>
          <w:fldChar w:fldCharType="end"/>
        </w:r>
      </w:hyperlink>
    </w:p>
    <w:p w14:paraId="3A1B9EA9" w14:textId="46216EA2" w:rsidR="00D8288E" w:rsidRDefault="008043C8">
      <w:pPr>
        <w:pStyle w:val="TableofFigures"/>
        <w:rPr>
          <w:rFonts w:asciiTheme="minorHAnsi" w:eastAsiaTheme="minorEastAsia" w:hAnsiTheme="minorHAnsi" w:cstheme="minorBidi"/>
          <w:noProof/>
          <w:snapToGrid/>
          <w:szCs w:val="22"/>
        </w:rPr>
      </w:pPr>
      <w:hyperlink w:anchor="_Toc113380977" w:history="1">
        <w:r w:rsidR="00D8288E" w:rsidRPr="0005515F">
          <w:rPr>
            <w:rStyle w:val="Hyperlink"/>
            <w:rFonts w:eastAsia="PMingLiU"/>
            <w:noProof/>
          </w:rPr>
          <w:t>Table 3.2. BPA w</w:t>
        </w:r>
        <w:r w:rsidR="00D8288E" w:rsidRPr="0005515F">
          <w:rPr>
            <w:rStyle w:val="Hyperlink"/>
            <w:bCs/>
            <w:noProof/>
          </w:rPr>
          <w:t>holesale power rates (FY</w:t>
        </w:r>
        <w:r w:rsidR="00D8288E" w:rsidRPr="0005515F">
          <w:rPr>
            <w:rStyle w:val="Hyperlink"/>
            <w:noProof/>
          </w:rPr>
          <w:t> 20</w:t>
        </w:r>
        <w:r w:rsidR="00D8288E" w:rsidRPr="0005515F">
          <w:rPr>
            <w:rStyle w:val="Hyperlink"/>
            <w:bCs/>
            <w:noProof/>
          </w:rPr>
          <w:t>22 and FY</w:t>
        </w:r>
        <w:r w:rsidR="00D8288E" w:rsidRPr="0005515F">
          <w:rPr>
            <w:rStyle w:val="Hyperlink"/>
            <w:noProof/>
          </w:rPr>
          <w:t> 20</w:t>
        </w:r>
        <w:r w:rsidR="00D8288E" w:rsidRPr="0005515F">
          <w:rPr>
            <w:rStyle w:val="Hyperlink"/>
            <w:bCs/>
            <w:noProof/>
          </w:rPr>
          <w:t>23)</w:t>
        </w:r>
        <w:r w:rsidR="00D8288E">
          <w:rPr>
            <w:noProof/>
            <w:webHidden/>
          </w:rPr>
          <w:tab/>
        </w:r>
        <w:r w:rsidR="00D8288E">
          <w:rPr>
            <w:noProof/>
            <w:webHidden/>
          </w:rPr>
          <w:fldChar w:fldCharType="begin"/>
        </w:r>
        <w:r w:rsidR="00D8288E">
          <w:rPr>
            <w:noProof/>
            <w:webHidden/>
          </w:rPr>
          <w:instrText xml:space="preserve"> PAGEREF _Toc113380977 \h </w:instrText>
        </w:r>
        <w:r w:rsidR="00D8288E">
          <w:rPr>
            <w:noProof/>
            <w:webHidden/>
          </w:rPr>
        </w:r>
        <w:r w:rsidR="00D8288E">
          <w:rPr>
            <w:noProof/>
            <w:webHidden/>
          </w:rPr>
          <w:fldChar w:fldCharType="separate"/>
        </w:r>
        <w:r w:rsidR="00EE0BF5">
          <w:rPr>
            <w:noProof/>
            <w:webHidden/>
          </w:rPr>
          <w:t>59</w:t>
        </w:r>
        <w:r w:rsidR="00D8288E">
          <w:rPr>
            <w:noProof/>
            <w:webHidden/>
          </w:rPr>
          <w:fldChar w:fldCharType="end"/>
        </w:r>
      </w:hyperlink>
    </w:p>
    <w:p w14:paraId="50A282AC" w14:textId="485B32AF" w:rsidR="00D8288E" w:rsidRDefault="008043C8">
      <w:pPr>
        <w:pStyle w:val="TableofFigures"/>
        <w:rPr>
          <w:rFonts w:asciiTheme="minorHAnsi" w:eastAsiaTheme="minorEastAsia" w:hAnsiTheme="minorHAnsi" w:cstheme="minorBidi"/>
          <w:noProof/>
          <w:snapToGrid/>
          <w:szCs w:val="22"/>
        </w:rPr>
      </w:pPr>
      <w:hyperlink w:anchor="_Toc113380978" w:history="1">
        <w:r w:rsidR="00D8288E" w:rsidRPr="0005515F">
          <w:rPr>
            <w:rStyle w:val="Hyperlink"/>
            <w:rFonts w:eastAsia="PMingLiU"/>
            <w:noProof/>
            <w:lang w:bidi="en-US"/>
          </w:rPr>
          <w:t xml:space="preserve">Table 3.3. </w:t>
        </w:r>
        <w:r w:rsidR="00D8288E" w:rsidRPr="0005515F">
          <w:rPr>
            <w:rStyle w:val="Hyperlink"/>
            <w:rFonts w:eastAsia="PMingLiU"/>
            <w:noProof/>
            <w:lang w:eastAsia="zh-TW" w:bidi="en-US"/>
          </w:rPr>
          <w:t>Estimated responsiveness of the total retail load of BPA preference customers to degree days</w:t>
        </w:r>
        <w:r w:rsidR="00D8288E">
          <w:rPr>
            <w:noProof/>
            <w:webHidden/>
          </w:rPr>
          <w:tab/>
        </w:r>
        <w:r w:rsidR="00D8288E">
          <w:rPr>
            <w:noProof/>
            <w:webHidden/>
          </w:rPr>
          <w:fldChar w:fldCharType="begin"/>
        </w:r>
        <w:r w:rsidR="00D8288E">
          <w:rPr>
            <w:noProof/>
            <w:webHidden/>
          </w:rPr>
          <w:instrText xml:space="preserve"> PAGEREF _Toc113380978 \h </w:instrText>
        </w:r>
        <w:r w:rsidR="00D8288E">
          <w:rPr>
            <w:noProof/>
            <w:webHidden/>
          </w:rPr>
        </w:r>
        <w:r w:rsidR="00D8288E">
          <w:rPr>
            <w:noProof/>
            <w:webHidden/>
          </w:rPr>
          <w:fldChar w:fldCharType="separate"/>
        </w:r>
        <w:r w:rsidR="00EE0BF5">
          <w:rPr>
            <w:noProof/>
            <w:webHidden/>
          </w:rPr>
          <w:t>77</w:t>
        </w:r>
        <w:r w:rsidR="00D8288E">
          <w:rPr>
            <w:noProof/>
            <w:webHidden/>
          </w:rPr>
          <w:fldChar w:fldCharType="end"/>
        </w:r>
      </w:hyperlink>
    </w:p>
    <w:p w14:paraId="057BF30E" w14:textId="35B3680B" w:rsidR="00D8288E" w:rsidRDefault="008043C8">
      <w:pPr>
        <w:pStyle w:val="TableofFigures"/>
        <w:rPr>
          <w:rFonts w:asciiTheme="minorHAnsi" w:eastAsiaTheme="minorEastAsia" w:hAnsiTheme="minorHAnsi" w:cstheme="minorBidi"/>
          <w:noProof/>
          <w:snapToGrid/>
          <w:szCs w:val="22"/>
        </w:rPr>
      </w:pPr>
      <w:hyperlink w:anchor="_Toc113380979" w:history="1">
        <w:r w:rsidR="00D8288E" w:rsidRPr="0005515F">
          <w:rPr>
            <w:rStyle w:val="Hyperlink"/>
            <w:rFonts w:eastAsia="PMingLiU"/>
            <w:noProof/>
            <w:lang w:bidi="en-US"/>
          </w:rPr>
          <w:t>Table 4.1. Summary of federal hydropower plants in the WAPA region</w:t>
        </w:r>
        <w:r w:rsidR="00D8288E">
          <w:rPr>
            <w:noProof/>
            <w:webHidden/>
          </w:rPr>
          <w:tab/>
        </w:r>
        <w:r w:rsidR="00D8288E">
          <w:rPr>
            <w:noProof/>
            <w:webHidden/>
          </w:rPr>
          <w:fldChar w:fldCharType="begin"/>
        </w:r>
        <w:r w:rsidR="00D8288E">
          <w:rPr>
            <w:noProof/>
            <w:webHidden/>
          </w:rPr>
          <w:instrText xml:space="preserve"> PAGEREF _Toc113380979 \h </w:instrText>
        </w:r>
        <w:r w:rsidR="00D8288E">
          <w:rPr>
            <w:noProof/>
            <w:webHidden/>
          </w:rPr>
        </w:r>
        <w:r w:rsidR="00D8288E">
          <w:rPr>
            <w:noProof/>
            <w:webHidden/>
          </w:rPr>
          <w:fldChar w:fldCharType="separate"/>
        </w:r>
        <w:r w:rsidR="00EE0BF5">
          <w:rPr>
            <w:noProof/>
            <w:webHidden/>
          </w:rPr>
          <w:t>81</w:t>
        </w:r>
        <w:r w:rsidR="00D8288E">
          <w:rPr>
            <w:noProof/>
            <w:webHidden/>
          </w:rPr>
          <w:fldChar w:fldCharType="end"/>
        </w:r>
      </w:hyperlink>
    </w:p>
    <w:p w14:paraId="7F280925" w14:textId="4C06AD61" w:rsidR="00D8288E" w:rsidRDefault="008043C8">
      <w:pPr>
        <w:pStyle w:val="TableofFigures"/>
        <w:rPr>
          <w:rFonts w:asciiTheme="minorHAnsi" w:eastAsiaTheme="minorEastAsia" w:hAnsiTheme="minorHAnsi" w:cstheme="minorBidi"/>
          <w:noProof/>
          <w:snapToGrid/>
          <w:szCs w:val="22"/>
        </w:rPr>
      </w:pPr>
      <w:hyperlink w:anchor="_Toc113380980" w:history="1">
        <w:r w:rsidR="00D8288E" w:rsidRPr="0005515F">
          <w:rPr>
            <w:rStyle w:val="Hyperlink"/>
            <w:rFonts w:eastAsia="PMingLiU"/>
            <w:noProof/>
            <w:lang w:bidi="en-US"/>
          </w:rPr>
          <w:t xml:space="preserve">Table 4.2. </w:t>
        </w:r>
        <w:r w:rsidR="00D8288E" w:rsidRPr="0005515F">
          <w:rPr>
            <w:rStyle w:val="Hyperlink"/>
            <w:rFonts w:eastAsia="PMingLiU"/>
            <w:noProof/>
            <w:lang w:eastAsia="zh-TW" w:bidi="en-US"/>
          </w:rPr>
          <w:t>WAPA rate schedule summary (FY</w:t>
        </w:r>
        <w:r w:rsidR="00D8288E" w:rsidRPr="0005515F">
          <w:rPr>
            <w:rStyle w:val="Hyperlink"/>
            <w:noProof/>
          </w:rPr>
          <w:t> 20</w:t>
        </w:r>
        <w:r w:rsidR="00D8288E" w:rsidRPr="0005515F">
          <w:rPr>
            <w:rStyle w:val="Hyperlink"/>
            <w:rFonts w:eastAsia="PMingLiU"/>
            <w:noProof/>
            <w:lang w:eastAsia="zh-TW" w:bidi="en-US"/>
          </w:rPr>
          <w:t>20)</w:t>
        </w:r>
        <w:r w:rsidR="00D8288E">
          <w:rPr>
            <w:noProof/>
            <w:webHidden/>
          </w:rPr>
          <w:tab/>
        </w:r>
        <w:r w:rsidR="00D8288E">
          <w:rPr>
            <w:noProof/>
            <w:webHidden/>
          </w:rPr>
          <w:fldChar w:fldCharType="begin"/>
        </w:r>
        <w:r w:rsidR="00D8288E">
          <w:rPr>
            <w:noProof/>
            <w:webHidden/>
          </w:rPr>
          <w:instrText xml:space="preserve"> PAGEREF _Toc113380980 \h </w:instrText>
        </w:r>
        <w:r w:rsidR="00D8288E">
          <w:rPr>
            <w:noProof/>
            <w:webHidden/>
          </w:rPr>
        </w:r>
        <w:r w:rsidR="00D8288E">
          <w:rPr>
            <w:noProof/>
            <w:webHidden/>
          </w:rPr>
          <w:fldChar w:fldCharType="separate"/>
        </w:r>
        <w:r w:rsidR="00EE0BF5">
          <w:rPr>
            <w:noProof/>
            <w:webHidden/>
          </w:rPr>
          <w:t>86</w:t>
        </w:r>
        <w:r w:rsidR="00D8288E">
          <w:rPr>
            <w:noProof/>
            <w:webHidden/>
          </w:rPr>
          <w:fldChar w:fldCharType="end"/>
        </w:r>
      </w:hyperlink>
    </w:p>
    <w:p w14:paraId="3DF3BEF6" w14:textId="37695467" w:rsidR="00D8288E" w:rsidRDefault="008043C8">
      <w:pPr>
        <w:pStyle w:val="TableofFigures"/>
        <w:rPr>
          <w:rFonts w:asciiTheme="minorHAnsi" w:eastAsiaTheme="minorEastAsia" w:hAnsiTheme="minorHAnsi" w:cstheme="minorBidi"/>
          <w:noProof/>
          <w:snapToGrid/>
          <w:szCs w:val="22"/>
        </w:rPr>
      </w:pPr>
      <w:hyperlink w:anchor="_Toc113380981" w:history="1">
        <w:r w:rsidR="00D8288E" w:rsidRPr="0005515F">
          <w:rPr>
            <w:rStyle w:val="Hyperlink"/>
            <w:rFonts w:eastAsia="PMingLiU"/>
            <w:noProof/>
            <w:lang w:bidi="en-US"/>
          </w:rPr>
          <w:t xml:space="preserve">Table 4.3. </w:t>
        </w:r>
        <w:r w:rsidR="00D8288E" w:rsidRPr="0005515F">
          <w:rPr>
            <w:rStyle w:val="Hyperlink"/>
            <w:rFonts w:eastAsia="PMingLiU"/>
            <w:noProof/>
            <w:lang w:eastAsia="zh-TW" w:bidi="en-US"/>
          </w:rPr>
          <w:t>Estimated responsiveness of electricity sales by WAPA preference customers to degree days</w:t>
        </w:r>
        <w:r w:rsidR="00D8288E">
          <w:rPr>
            <w:noProof/>
            <w:webHidden/>
          </w:rPr>
          <w:tab/>
        </w:r>
        <w:r w:rsidR="00D8288E">
          <w:rPr>
            <w:noProof/>
            <w:webHidden/>
          </w:rPr>
          <w:fldChar w:fldCharType="begin"/>
        </w:r>
        <w:r w:rsidR="00D8288E">
          <w:rPr>
            <w:noProof/>
            <w:webHidden/>
          </w:rPr>
          <w:instrText xml:space="preserve"> PAGEREF _Toc113380981 \h </w:instrText>
        </w:r>
        <w:r w:rsidR="00D8288E">
          <w:rPr>
            <w:noProof/>
            <w:webHidden/>
          </w:rPr>
        </w:r>
        <w:r w:rsidR="00D8288E">
          <w:rPr>
            <w:noProof/>
            <w:webHidden/>
          </w:rPr>
          <w:fldChar w:fldCharType="separate"/>
        </w:r>
        <w:r w:rsidR="00EE0BF5">
          <w:rPr>
            <w:noProof/>
            <w:webHidden/>
          </w:rPr>
          <w:t>109</w:t>
        </w:r>
        <w:r w:rsidR="00D8288E">
          <w:rPr>
            <w:noProof/>
            <w:webHidden/>
          </w:rPr>
          <w:fldChar w:fldCharType="end"/>
        </w:r>
      </w:hyperlink>
    </w:p>
    <w:p w14:paraId="4AF1BA35" w14:textId="1754B560" w:rsidR="00D8288E" w:rsidRDefault="008043C8">
      <w:pPr>
        <w:pStyle w:val="TableofFigures"/>
        <w:rPr>
          <w:rFonts w:asciiTheme="minorHAnsi" w:eastAsiaTheme="minorEastAsia" w:hAnsiTheme="minorHAnsi" w:cstheme="minorBidi"/>
          <w:noProof/>
          <w:snapToGrid/>
          <w:szCs w:val="22"/>
        </w:rPr>
      </w:pPr>
      <w:hyperlink w:anchor="_Toc113380982" w:history="1">
        <w:r w:rsidR="00D8288E" w:rsidRPr="0005515F">
          <w:rPr>
            <w:rStyle w:val="Hyperlink"/>
            <w:rFonts w:eastAsia="PMingLiU"/>
            <w:noProof/>
            <w:lang w:bidi="en-US"/>
          </w:rPr>
          <w:t>Table 5.1. Summary of federal hydropower plants in the SWPA region</w:t>
        </w:r>
        <w:r w:rsidR="00D8288E">
          <w:rPr>
            <w:noProof/>
            <w:webHidden/>
          </w:rPr>
          <w:tab/>
        </w:r>
        <w:r w:rsidR="00D8288E">
          <w:rPr>
            <w:noProof/>
            <w:webHidden/>
          </w:rPr>
          <w:fldChar w:fldCharType="begin"/>
        </w:r>
        <w:r w:rsidR="00D8288E">
          <w:rPr>
            <w:noProof/>
            <w:webHidden/>
          </w:rPr>
          <w:instrText xml:space="preserve"> PAGEREF _Toc113380982 \h </w:instrText>
        </w:r>
        <w:r w:rsidR="00D8288E">
          <w:rPr>
            <w:noProof/>
            <w:webHidden/>
          </w:rPr>
        </w:r>
        <w:r w:rsidR="00D8288E">
          <w:rPr>
            <w:noProof/>
            <w:webHidden/>
          </w:rPr>
          <w:fldChar w:fldCharType="separate"/>
        </w:r>
        <w:r w:rsidR="00EE0BF5">
          <w:rPr>
            <w:noProof/>
            <w:webHidden/>
          </w:rPr>
          <w:t>115</w:t>
        </w:r>
        <w:r w:rsidR="00D8288E">
          <w:rPr>
            <w:noProof/>
            <w:webHidden/>
          </w:rPr>
          <w:fldChar w:fldCharType="end"/>
        </w:r>
      </w:hyperlink>
    </w:p>
    <w:p w14:paraId="3681711A" w14:textId="62A58358" w:rsidR="00D8288E" w:rsidRDefault="008043C8">
      <w:pPr>
        <w:pStyle w:val="TableofFigures"/>
        <w:rPr>
          <w:rFonts w:asciiTheme="minorHAnsi" w:eastAsiaTheme="minorEastAsia" w:hAnsiTheme="minorHAnsi" w:cstheme="minorBidi"/>
          <w:noProof/>
          <w:snapToGrid/>
          <w:szCs w:val="22"/>
        </w:rPr>
      </w:pPr>
      <w:hyperlink w:anchor="_Toc113380983" w:history="1">
        <w:r w:rsidR="00D8288E" w:rsidRPr="0005515F">
          <w:rPr>
            <w:rStyle w:val="Hyperlink"/>
            <w:rFonts w:eastAsia="PMingLiU"/>
            <w:noProof/>
          </w:rPr>
          <w:t xml:space="preserve">Table 5.2. </w:t>
        </w:r>
        <w:r w:rsidR="00D8288E" w:rsidRPr="0005515F">
          <w:rPr>
            <w:rStyle w:val="Hyperlink"/>
            <w:bCs/>
            <w:noProof/>
          </w:rPr>
          <w:t>SWPA rate schedule summary (FY</w:t>
        </w:r>
        <w:r w:rsidR="00D8288E" w:rsidRPr="0005515F">
          <w:rPr>
            <w:rStyle w:val="Hyperlink"/>
            <w:noProof/>
          </w:rPr>
          <w:t> 20</w:t>
        </w:r>
        <w:r w:rsidR="00D8288E" w:rsidRPr="0005515F">
          <w:rPr>
            <w:rStyle w:val="Hyperlink"/>
            <w:bCs/>
            <w:noProof/>
          </w:rPr>
          <w:t>21)</w:t>
        </w:r>
        <w:r w:rsidR="00D8288E">
          <w:rPr>
            <w:noProof/>
            <w:webHidden/>
          </w:rPr>
          <w:tab/>
        </w:r>
        <w:r w:rsidR="00D8288E">
          <w:rPr>
            <w:noProof/>
            <w:webHidden/>
          </w:rPr>
          <w:fldChar w:fldCharType="begin"/>
        </w:r>
        <w:r w:rsidR="00D8288E">
          <w:rPr>
            <w:noProof/>
            <w:webHidden/>
          </w:rPr>
          <w:instrText xml:space="preserve"> PAGEREF _Toc113380983 \h </w:instrText>
        </w:r>
        <w:r w:rsidR="00D8288E">
          <w:rPr>
            <w:noProof/>
            <w:webHidden/>
          </w:rPr>
        </w:r>
        <w:r w:rsidR="00D8288E">
          <w:rPr>
            <w:noProof/>
            <w:webHidden/>
          </w:rPr>
          <w:fldChar w:fldCharType="separate"/>
        </w:r>
        <w:r w:rsidR="00EE0BF5">
          <w:rPr>
            <w:noProof/>
            <w:webHidden/>
          </w:rPr>
          <w:t>118</w:t>
        </w:r>
        <w:r w:rsidR="00D8288E">
          <w:rPr>
            <w:noProof/>
            <w:webHidden/>
          </w:rPr>
          <w:fldChar w:fldCharType="end"/>
        </w:r>
      </w:hyperlink>
    </w:p>
    <w:p w14:paraId="1EDCB0DD" w14:textId="35F7DBF9" w:rsidR="00D8288E" w:rsidRDefault="008043C8">
      <w:pPr>
        <w:pStyle w:val="TableofFigures"/>
        <w:rPr>
          <w:rFonts w:asciiTheme="minorHAnsi" w:eastAsiaTheme="minorEastAsia" w:hAnsiTheme="minorHAnsi" w:cstheme="minorBidi"/>
          <w:noProof/>
          <w:snapToGrid/>
          <w:szCs w:val="22"/>
        </w:rPr>
      </w:pPr>
      <w:hyperlink w:anchor="_Toc113380984" w:history="1">
        <w:r w:rsidR="00D8288E" w:rsidRPr="0005515F">
          <w:rPr>
            <w:rStyle w:val="Hyperlink"/>
            <w:rFonts w:eastAsia="PMingLiU"/>
            <w:noProof/>
            <w:lang w:bidi="en-US"/>
          </w:rPr>
          <w:t xml:space="preserve">Table 5.3. </w:t>
        </w:r>
        <w:r w:rsidR="00D8288E" w:rsidRPr="0005515F">
          <w:rPr>
            <w:rStyle w:val="Hyperlink"/>
            <w:rFonts w:eastAsia="PMingLiU"/>
            <w:noProof/>
            <w:lang w:eastAsia="zh-TW" w:bidi="en-US"/>
          </w:rPr>
          <w:t>Estimated responsiveness of electricity sales by SWPA preference customers to degree days</w:t>
        </w:r>
        <w:r w:rsidR="00D8288E">
          <w:rPr>
            <w:noProof/>
            <w:webHidden/>
          </w:rPr>
          <w:tab/>
        </w:r>
        <w:r w:rsidR="00D8288E">
          <w:rPr>
            <w:noProof/>
            <w:webHidden/>
          </w:rPr>
          <w:fldChar w:fldCharType="begin"/>
        </w:r>
        <w:r w:rsidR="00D8288E">
          <w:rPr>
            <w:noProof/>
            <w:webHidden/>
          </w:rPr>
          <w:instrText xml:space="preserve"> PAGEREF _Toc113380984 \h </w:instrText>
        </w:r>
        <w:r w:rsidR="00D8288E">
          <w:rPr>
            <w:noProof/>
            <w:webHidden/>
          </w:rPr>
        </w:r>
        <w:r w:rsidR="00D8288E">
          <w:rPr>
            <w:noProof/>
            <w:webHidden/>
          </w:rPr>
          <w:fldChar w:fldCharType="separate"/>
        </w:r>
        <w:r w:rsidR="00EE0BF5">
          <w:rPr>
            <w:noProof/>
            <w:webHidden/>
          </w:rPr>
          <w:t>133</w:t>
        </w:r>
        <w:r w:rsidR="00D8288E">
          <w:rPr>
            <w:noProof/>
            <w:webHidden/>
          </w:rPr>
          <w:fldChar w:fldCharType="end"/>
        </w:r>
      </w:hyperlink>
    </w:p>
    <w:p w14:paraId="1379CD87" w14:textId="2DCC58D3" w:rsidR="00D8288E" w:rsidRDefault="008043C8">
      <w:pPr>
        <w:pStyle w:val="TableofFigures"/>
        <w:rPr>
          <w:rFonts w:asciiTheme="minorHAnsi" w:eastAsiaTheme="minorEastAsia" w:hAnsiTheme="minorHAnsi" w:cstheme="minorBidi"/>
          <w:noProof/>
          <w:snapToGrid/>
          <w:szCs w:val="22"/>
        </w:rPr>
      </w:pPr>
      <w:hyperlink w:anchor="_Toc113380985" w:history="1">
        <w:r w:rsidR="00D8288E" w:rsidRPr="0005515F">
          <w:rPr>
            <w:rStyle w:val="Hyperlink"/>
            <w:rFonts w:eastAsia="PMingLiU"/>
            <w:noProof/>
            <w:lang w:bidi="en-US"/>
          </w:rPr>
          <w:t>Table 6.1. Summary of federal hydropower plants in the SEPA region</w:t>
        </w:r>
        <w:r w:rsidR="00D8288E">
          <w:rPr>
            <w:noProof/>
            <w:webHidden/>
          </w:rPr>
          <w:tab/>
        </w:r>
        <w:r w:rsidR="00D8288E">
          <w:rPr>
            <w:noProof/>
            <w:webHidden/>
          </w:rPr>
          <w:fldChar w:fldCharType="begin"/>
        </w:r>
        <w:r w:rsidR="00D8288E">
          <w:rPr>
            <w:noProof/>
            <w:webHidden/>
          </w:rPr>
          <w:instrText xml:space="preserve"> PAGEREF _Toc113380985 \h </w:instrText>
        </w:r>
        <w:r w:rsidR="00D8288E">
          <w:rPr>
            <w:noProof/>
            <w:webHidden/>
          </w:rPr>
        </w:r>
        <w:r w:rsidR="00D8288E">
          <w:rPr>
            <w:noProof/>
            <w:webHidden/>
          </w:rPr>
          <w:fldChar w:fldCharType="separate"/>
        </w:r>
        <w:r w:rsidR="00EE0BF5">
          <w:rPr>
            <w:noProof/>
            <w:webHidden/>
          </w:rPr>
          <w:t>137</w:t>
        </w:r>
        <w:r w:rsidR="00D8288E">
          <w:rPr>
            <w:noProof/>
            <w:webHidden/>
          </w:rPr>
          <w:fldChar w:fldCharType="end"/>
        </w:r>
      </w:hyperlink>
    </w:p>
    <w:p w14:paraId="42CE7335" w14:textId="0A7E3D1F" w:rsidR="00D8288E" w:rsidRDefault="008043C8">
      <w:pPr>
        <w:pStyle w:val="TableofFigures"/>
        <w:rPr>
          <w:rFonts w:asciiTheme="minorHAnsi" w:eastAsiaTheme="minorEastAsia" w:hAnsiTheme="minorHAnsi" w:cstheme="minorBidi"/>
          <w:noProof/>
          <w:snapToGrid/>
          <w:szCs w:val="22"/>
        </w:rPr>
      </w:pPr>
      <w:hyperlink w:anchor="_Toc113380986" w:history="1">
        <w:r w:rsidR="00D8288E" w:rsidRPr="0005515F">
          <w:rPr>
            <w:rStyle w:val="Hyperlink"/>
            <w:rFonts w:eastAsia="PMingLiU"/>
            <w:noProof/>
          </w:rPr>
          <w:t xml:space="preserve">Table 6.2. SEPA </w:t>
        </w:r>
        <w:r w:rsidR="00D8288E" w:rsidRPr="0005515F">
          <w:rPr>
            <w:rStyle w:val="Hyperlink"/>
            <w:bCs/>
            <w:noProof/>
          </w:rPr>
          <w:t>rate schedule summary (FY</w:t>
        </w:r>
        <w:r w:rsidR="00D8288E" w:rsidRPr="0005515F">
          <w:rPr>
            <w:rStyle w:val="Hyperlink"/>
            <w:noProof/>
          </w:rPr>
          <w:t> 20</w:t>
        </w:r>
        <w:r w:rsidR="00D8288E" w:rsidRPr="0005515F">
          <w:rPr>
            <w:rStyle w:val="Hyperlink"/>
            <w:bCs/>
            <w:noProof/>
          </w:rPr>
          <w:t>20)</w:t>
        </w:r>
        <w:r w:rsidR="00D8288E">
          <w:rPr>
            <w:noProof/>
            <w:webHidden/>
          </w:rPr>
          <w:tab/>
        </w:r>
        <w:r w:rsidR="00D8288E">
          <w:rPr>
            <w:noProof/>
            <w:webHidden/>
          </w:rPr>
          <w:fldChar w:fldCharType="begin"/>
        </w:r>
        <w:r w:rsidR="00D8288E">
          <w:rPr>
            <w:noProof/>
            <w:webHidden/>
          </w:rPr>
          <w:instrText xml:space="preserve"> PAGEREF _Toc113380986 \h </w:instrText>
        </w:r>
        <w:r w:rsidR="00D8288E">
          <w:rPr>
            <w:noProof/>
            <w:webHidden/>
          </w:rPr>
        </w:r>
        <w:r w:rsidR="00D8288E">
          <w:rPr>
            <w:noProof/>
            <w:webHidden/>
          </w:rPr>
          <w:fldChar w:fldCharType="separate"/>
        </w:r>
        <w:r w:rsidR="00EE0BF5">
          <w:rPr>
            <w:noProof/>
            <w:webHidden/>
          </w:rPr>
          <w:t>140</w:t>
        </w:r>
        <w:r w:rsidR="00D8288E">
          <w:rPr>
            <w:noProof/>
            <w:webHidden/>
          </w:rPr>
          <w:fldChar w:fldCharType="end"/>
        </w:r>
      </w:hyperlink>
    </w:p>
    <w:p w14:paraId="052696D1" w14:textId="751083E3" w:rsidR="00D8288E" w:rsidRDefault="008043C8">
      <w:pPr>
        <w:pStyle w:val="TableofFigures"/>
        <w:rPr>
          <w:rFonts w:asciiTheme="minorHAnsi" w:eastAsiaTheme="minorEastAsia" w:hAnsiTheme="minorHAnsi" w:cstheme="minorBidi"/>
          <w:noProof/>
          <w:snapToGrid/>
          <w:szCs w:val="22"/>
        </w:rPr>
      </w:pPr>
      <w:hyperlink w:anchor="_Toc113380987" w:history="1">
        <w:r w:rsidR="00D8288E" w:rsidRPr="0005515F">
          <w:rPr>
            <w:rStyle w:val="Hyperlink"/>
            <w:rFonts w:eastAsia="PMingLiU"/>
            <w:noProof/>
          </w:rPr>
          <w:t xml:space="preserve">Table 6.3. </w:t>
        </w:r>
        <w:r w:rsidR="00D8288E" w:rsidRPr="0005515F">
          <w:rPr>
            <w:rStyle w:val="Hyperlink"/>
            <w:rFonts w:eastAsia="PMingLiU"/>
            <w:noProof/>
            <w:lang w:eastAsia="zh-TW"/>
          </w:rPr>
          <w:t>Estimated responsiveness of electricity sales by SEPA preference customers to degree days</w:t>
        </w:r>
        <w:r w:rsidR="00D8288E">
          <w:rPr>
            <w:noProof/>
            <w:webHidden/>
          </w:rPr>
          <w:tab/>
        </w:r>
        <w:r w:rsidR="00D8288E">
          <w:rPr>
            <w:noProof/>
            <w:webHidden/>
          </w:rPr>
          <w:fldChar w:fldCharType="begin"/>
        </w:r>
        <w:r w:rsidR="00D8288E">
          <w:rPr>
            <w:noProof/>
            <w:webHidden/>
          </w:rPr>
          <w:instrText xml:space="preserve"> PAGEREF _Toc113380987 \h </w:instrText>
        </w:r>
        <w:r w:rsidR="00D8288E">
          <w:rPr>
            <w:noProof/>
            <w:webHidden/>
          </w:rPr>
        </w:r>
        <w:r w:rsidR="00D8288E">
          <w:rPr>
            <w:noProof/>
            <w:webHidden/>
          </w:rPr>
          <w:fldChar w:fldCharType="separate"/>
        </w:r>
        <w:r w:rsidR="00EE0BF5">
          <w:rPr>
            <w:noProof/>
            <w:webHidden/>
          </w:rPr>
          <w:t>157</w:t>
        </w:r>
        <w:r w:rsidR="00D8288E">
          <w:rPr>
            <w:noProof/>
            <w:webHidden/>
          </w:rPr>
          <w:fldChar w:fldCharType="end"/>
        </w:r>
      </w:hyperlink>
    </w:p>
    <w:p w14:paraId="7A9BDF4B" w14:textId="34748C3E" w:rsidR="00CD3542" w:rsidRPr="00CD3542" w:rsidRDefault="003214E4" w:rsidP="00CD3542">
      <w:pPr>
        <w:pStyle w:val="BodyText"/>
        <w:rPr>
          <w:rStyle w:val="Hyperlink"/>
          <w:color w:val="auto"/>
          <w:u w:val="none"/>
        </w:rPr>
      </w:pPr>
      <w:r>
        <w:fldChar w:fldCharType="end"/>
      </w:r>
    </w:p>
    <w:p w14:paraId="48D2350F" w14:textId="77777777" w:rsidR="00A922FD" w:rsidRDefault="00A922FD" w:rsidP="00A922FD">
      <w:pPr>
        <w:pStyle w:val="BodyText"/>
        <w:rPr>
          <w:rStyle w:val="Hyperlink"/>
          <w:color w:val="auto"/>
          <w:u w:val="none"/>
        </w:rPr>
        <w:sectPr w:rsidR="00A922FD" w:rsidSect="00CC3514">
          <w:pgSz w:w="12240" w:h="15840" w:code="1"/>
          <w:pgMar w:top="1440" w:right="1440" w:bottom="1440" w:left="1440" w:header="720" w:footer="720" w:gutter="0"/>
          <w:pgNumType w:fmt="lowerRoman"/>
          <w:cols w:space="720"/>
          <w:docGrid w:linePitch="360"/>
        </w:sectPr>
      </w:pPr>
    </w:p>
    <w:p w14:paraId="434A612F" w14:textId="045B7DEA" w:rsidR="00D24EF1" w:rsidRDefault="00D24EF1" w:rsidP="00D24EF1">
      <w:pPr>
        <w:tabs>
          <w:tab w:val="left" w:pos="2145"/>
        </w:tabs>
        <w:spacing w:before="0" w:after="0"/>
        <w:ind w:firstLine="0"/>
        <w:jc w:val="center"/>
      </w:pPr>
      <w:r>
        <w:lastRenderedPageBreak/>
        <w:t>(This</w:t>
      </w:r>
      <w:r w:rsidR="00E22D49">
        <w:t xml:space="preserve"> page intentionally left blan</w:t>
      </w:r>
      <w:r>
        <w:t>k)</w:t>
      </w:r>
    </w:p>
    <w:p w14:paraId="177F0EA9" w14:textId="77777777" w:rsidR="00A922FD" w:rsidRDefault="00A922FD" w:rsidP="00D24EF1">
      <w:pPr>
        <w:tabs>
          <w:tab w:val="left" w:pos="2145"/>
        </w:tabs>
        <w:spacing w:before="0" w:after="0"/>
        <w:ind w:firstLine="0"/>
        <w:jc w:val="center"/>
        <w:sectPr w:rsidR="00A922FD" w:rsidSect="00E22D49">
          <w:pgSz w:w="12240" w:h="15840" w:code="1"/>
          <w:pgMar w:top="1440" w:right="1440" w:bottom="1440" w:left="1440" w:header="720" w:footer="720" w:gutter="0"/>
          <w:pgNumType w:fmt="lowerRoman"/>
          <w:cols w:space="720"/>
          <w:vAlign w:val="center"/>
          <w:docGrid w:linePitch="360"/>
        </w:sectPr>
      </w:pPr>
    </w:p>
    <w:p w14:paraId="006220EC" w14:textId="19E20762" w:rsidR="008A5AE5" w:rsidRPr="008B367D" w:rsidRDefault="008A5AE5" w:rsidP="00357BBE">
      <w:pPr>
        <w:pStyle w:val="Heading1frontsections"/>
      </w:pPr>
      <w:bookmarkStart w:id="17" w:name="_Toc305153725"/>
      <w:bookmarkStart w:id="18" w:name="_Toc377479252"/>
      <w:bookmarkStart w:id="19" w:name="_Toc377479375"/>
      <w:bookmarkStart w:id="20" w:name="_Toc377480583"/>
      <w:bookmarkStart w:id="21" w:name="_Toc113380754"/>
      <w:r w:rsidRPr="00830AB1">
        <w:lastRenderedPageBreak/>
        <w:t>EXECUTIVE SUMMARY</w:t>
      </w:r>
      <w:bookmarkEnd w:id="17"/>
      <w:bookmarkEnd w:id="18"/>
      <w:bookmarkEnd w:id="19"/>
      <w:bookmarkEnd w:id="20"/>
      <w:bookmarkEnd w:id="21"/>
    </w:p>
    <w:p w14:paraId="1BC9DBD3" w14:textId="69D47EA4" w:rsidR="007E1C24" w:rsidRDefault="007E1C24" w:rsidP="004338CF">
      <w:pPr>
        <w:pStyle w:val="BodyText"/>
        <w:rPr>
          <w:snapToGrid/>
        </w:rPr>
      </w:pPr>
      <w:bookmarkStart w:id="22" w:name="_Ref373315183"/>
      <w:bookmarkStart w:id="23" w:name="_Toc384907951"/>
      <w:r w:rsidRPr="007E1C24">
        <w:rPr>
          <w:snapToGrid/>
        </w:rPr>
        <w:t xml:space="preserve">Understanding the future changes in projected water supplies is a vital objective for federal hydropower facilities tasked with providing low-cost, reliable electricity across a large regional footprint that encompasses a growing customer base, alternative market structures for marketing the electricity, and a more diverse generation </w:t>
      </w:r>
      <w:r w:rsidR="00EF5224" w:rsidRPr="007E1C24">
        <w:rPr>
          <w:snapToGrid/>
        </w:rPr>
        <w:t>asset mix</w:t>
      </w:r>
      <w:r w:rsidR="00EF5224">
        <w:rPr>
          <w:snapToGrid/>
        </w:rPr>
        <w:t xml:space="preserve"> than was historically present when a majority of federal hydropower facilities were built</w:t>
      </w:r>
      <w:r w:rsidR="00EF5224" w:rsidRPr="007E1C24">
        <w:rPr>
          <w:snapToGrid/>
        </w:rPr>
        <w:t>.</w:t>
      </w:r>
      <w:r w:rsidRPr="007E1C24">
        <w:rPr>
          <w:snapToGrid/>
        </w:rPr>
        <w:t xml:space="preserve"> This study, </w:t>
      </w:r>
      <w:r w:rsidRPr="007E1C24">
        <w:rPr>
          <w:i/>
          <w:iCs/>
          <w:snapToGrid/>
        </w:rPr>
        <w:t>The Third Assessment of the Effects of Climate Change on Federal Hydropower</w:t>
      </w:r>
      <w:r w:rsidRPr="007E1C24">
        <w:rPr>
          <w:snapToGrid/>
        </w:rPr>
        <w:t>, directed by Section 9505 of the SECURE Water Act of 2009</w:t>
      </w:r>
      <w:r w:rsidR="0003073E">
        <w:rPr>
          <w:snapToGrid/>
        </w:rPr>
        <w:t xml:space="preserve"> (SWA)</w:t>
      </w:r>
      <w:r w:rsidRPr="007E1C24">
        <w:rPr>
          <w:snapToGrid/>
        </w:rPr>
        <w:t xml:space="preserve">, is the third quinquennial report on evaluating the effects of climate change on hydroelectric energy generated from 132 US federal hydropower plants marketed by four US Department of Energy (DOE) Power Marketing Administrations (PMAs). The technical assessment is conducted by </w:t>
      </w:r>
      <w:r w:rsidR="00C65511">
        <w:rPr>
          <w:snapToGrid/>
        </w:rPr>
        <w:t>DOE</w:t>
      </w:r>
      <w:r w:rsidR="00805545">
        <w:rPr>
          <w:snapToGrid/>
        </w:rPr>
        <w:t>’</w:t>
      </w:r>
      <w:r w:rsidR="00C65511">
        <w:rPr>
          <w:snapToGrid/>
        </w:rPr>
        <w:t xml:space="preserve">s </w:t>
      </w:r>
      <w:r w:rsidRPr="007E1C24">
        <w:rPr>
          <w:snapToGrid/>
        </w:rPr>
        <w:t>Oak Ridge National Laboratory, Pacific Northwest National Laboratory</w:t>
      </w:r>
      <w:r w:rsidR="00C65511">
        <w:rPr>
          <w:snapToGrid/>
        </w:rPr>
        <w:t>,</w:t>
      </w:r>
      <w:r w:rsidRPr="007E1C24">
        <w:rPr>
          <w:snapToGrid/>
        </w:rPr>
        <w:t xml:space="preserve"> and Texas A&amp;M University under the guidance of DOE</w:t>
      </w:r>
      <w:r w:rsidR="00805545">
        <w:rPr>
          <w:snapToGrid/>
        </w:rPr>
        <w:t>’</w:t>
      </w:r>
      <w:r w:rsidR="00C65511">
        <w:rPr>
          <w:snapToGrid/>
        </w:rPr>
        <w:t>s</w:t>
      </w:r>
      <w:r w:rsidRPr="007E1C24">
        <w:rPr>
          <w:snapToGrid/>
        </w:rPr>
        <w:t xml:space="preserve"> Water Power Technologies Office. This study is the result of extensive consultation with the four federal PMAs (Bonneville Power Administration [BPA], Western Area Power Administration [WAPA], Southwestern Power Administration [SWPA], and Southeastern Power Administration [SEPA]), as well as other agencies, including federal hydropower owners/operators (the US Army Corps of Engineers, </w:t>
      </w:r>
      <w:r w:rsidR="0003073E">
        <w:rPr>
          <w:snapToGrid/>
        </w:rPr>
        <w:t xml:space="preserve">US </w:t>
      </w:r>
      <w:r w:rsidRPr="007E1C24">
        <w:rPr>
          <w:snapToGrid/>
        </w:rPr>
        <w:t xml:space="preserve">Bureau of Reclamation [Reclamation]), US Geological Survey, and National Oceanic and Atmospheric Administration). The main findings of this assessment, along with the PMA </w:t>
      </w:r>
      <w:r w:rsidR="00EF5224">
        <w:rPr>
          <w:snapToGrid/>
        </w:rPr>
        <w:t>a</w:t>
      </w:r>
      <w:r w:rsidR="00EF5224" w:rsidRPr="007E1C24">
        <w:rPr>
          <w:snapToGrid/>
        </w:rPr>
        <w:t>dministrators</w:t>
      </w:r>
      <w:r w:rsidR="00805545">
        <w:rPr>
          <w:snapToGrid/>
        </w:rPr>
        <w:t>’</w:t>
      </w:r>
      <w:r w:rsidR="00EF5224" w:rsidRPr="007E1C24">
        <w:rPr>
          <w:snapToGrid/>
        </w:rPr>
        <w:t xml:space="preserve"> </w:t>
      </w:r>
      <w:r w:rsidR="00EF5224">
        <w:rPr>
          <w:snapToGrid/>
        </w:rPr>
        <w:t>r</w:t>
      </w:r>
      <w:r w:rsidR="00EF5224" w:rsidRPr="007E1C24">
        <w:rPr>
          <w:snapToGrid/>
        </w:rPr>
        <w:t>ecommendation</w:t>
      </w:r>
      <w:r w:rsidR="00EF5224">
        <w:rPr>
          <w:snapToGrid/>
        </w:rPr>
        <w:t>s</w:t>
      </w:r>
      <w:r w:rsidRPr="007E1C24">
        <w:rPr>
          <w:snapToGrid/>
        </w:rPr>
        <w:t>, will be included in a subsequent DOE report to Congress. The assessment method and the technical findings are described in this report.</w:t>
      </w:r>
    </w:p>
    <w:p w14:paraId="35B4C4C8" w14:textId="75F7595B" w:rsidR="00F57B79" w:rsidRPr="005E1ABD" w:rsidRDefault="00F57B79" w:rsidP="00F57B79">
      <w:pPr>
        <w:pStyle w:val="Headingnonumber"/>
      </w:pPr>
      <w:r w:rsidRPr="00F57B79">
        <w:t xml:space="preserve">US </w:t>
      </w:r>
      <w:r w:rsidR="00925971" w:rsidRPr="00F57B79">
        <w:t>Federal Hydropower</w:t>
      </w:r>
    </w:p>
    <w:p w14:paraId="5676E7E1" w14:textId="180B47BA" w:rsidR="00F57B79" w:rsidRPr="00F57B79" w:rsidRDefault="00F57B79" w:rsidP="00F57B79">
      <w:pPr>
        <w:pStyle w:val="BodyText"/>
        <w:rPr>
          <w:snapToGrid/>
        </w:rPr>
      </w:pPr>
      <w:r w:rsidRPr="00F57B79">
        <w:rPr>
          <w:snapToGrid/>
        </w:rPr>
        <w:t xml:space="preserve">Hydropower is a key contributor to the US renewable energy portfolio because of its established development history and the diverse benefits it provides to the electric power systems. Ensuring the sustainable operation of existing hydropower facilities is of great importance to the US renewable energy portfolio and the reliability of the electricity grid. </w:t>
      </w:r>
      <w:r>
        <w:rPr>
          <w:snapToGrid/>
        </w:rPr>
        <w:t xml:space="preserve">As of </w:t>
      </w:r>
      <w:r w:rsidRPr="00924FD0">
        <w:rPr>
          <w:snapToGrid/>
        </w:rPr>
        <w:t xml:space="preserve">2019, </w:t>
      </w:r>
      <w:r>
        <w:rPr>
          <w:snapToGrid/>
        </w:rPr>
        <w:t xml:space="preserve">there were </w:t>
      </w:r>
      <w:r w:rsidRPr="00924FD0">
        <w:rPr>
          <w:snapToGrid/>
        </w:rPr>
        <w:t>2,270</w:t>
      </w:r>
      <w:r>
        <w:rPr>
          <w:snapToGrid/>
        </w:rPr>
        <w:t xml:space="preserve"> conventional (i.e., once-through) </w:t>
      </w:r>
      <w:r w:rsidRPr="00924FD0">
        <w:rPr>
          <w:snapToGrid/>
        </w:rPr>
        <w:t xml:space="preserve">hydropower plants in the </w:t>
      </w:r>
      <w:r>
        <w:rPr>
          <w:snapToGrid/>
        </w:rPr>
        <w:t xml:space="preserve">United States </w:t>
      </w:r>
      <w:r w:rsidRPr="00924FD0">
        <w:rPr>
          <w:snapToGrid/>
        </w:rPr>
        <w:t xml:space="preserve">with a total </w:t>
      </w:r>
      <w:r>
        <w:rPr>
          <w:snapToGrid/>
        </w:rPr>
        <w:t xml:space="preserve">of 80.25 GW of generating </w:t>
      </w:r>
      <w:r w:rsidRPr="00924FD0">
        <w:rPr>
          <w:snapToGrid/>
        </w:rPr>
        <w:t>capacity produc</w:t>
      </w:r>
      <w:r>
        <w:rPr>
          <w:snapToGrid/>
        </w:rPr>
        <w:t>ing</w:t>
      </w:r>
      <w:r w:rsidRPr="00924FD0">
        <w:rPr>
          <w:snapToGrid/>
        </w:rPr>
        <w:t xml:space="preserve"> 6.6% of all electricity and 38% of electricity from renewables</w:t>
      </w:r>
      <w:r>
        <w:rPr>
          <w:snapToGrid/>
        </w:rPr>
        <w:t xml:space="preserve"> </w:t>
      </w:r>
      <w:r w:rsidRPr="006E55F4">
        <w:rPr>
          <w:snapToGrid/>
        </w:rPr>
        <w:t>(Uría Martínez et al.</w:t>
      </w:r>
      <w:r>
        <w:rPr>
          <w:snapToGrid/>
        </w:rPr>
        <w:t>,</w:t>
      </w:r>
      <w:r w:rsidRPr="006E55F4">
        <w:rPr>
          <w:snapToGrid/>
        </w:rPr>
        <w:t xml:space="preserve"> 20</w:t>
      </w:r>
      <w:r>
        <w:rPr>
          <w:snapToGrid/>
        </w:rPr>
        <w:t>21</w:t>
      </w:r>
      <w:r w:rsidRPr="006E55F4">
        <w:rPr>
          <w:snapToGrid/>
        </w:rPr>
        <w:t>)</w:t>
      </w:r>
      <w:r>
        <w:rPr>
          <w:snapToGrid/>
        </w:rPr>
        <w:t xml:space="preserve">. </w:t>
      </w:r>
      <w:r w:rsidRPr="00F57B79">
        <w:rPr>
          <w:snapToGrid/>
        </w:rPr>
        <w:t>Additionally, there were 43 pumped storage hydropower plants with a total of 21.9 GW of generating capacity providing 94% of utility-scale installed storage capacity.</w:t>
      </w:r>
    </w:p>
    <w:p w14:paraId="2AAA96A7" w14:textId="14E1B03A" w:rsidR="00F57B79" w:rsidRPr="00F57B79" w:rsidRDefault="00F57B79" w:rsidP="00F57B79">
      <w:pPr>
        <w:pStyle w:val="BodyText"/>
        <w:rPr>
          <w:snapToGrid/>
        </w:rPr>
      </w:pPr>
      <w:r w:rsidRPr="00F57B79">
        <w:rPr>
          <w:snapToGrid/>
        </w:rPr>
        <w:t xml:space="preserve">Among these hydropower plants, around 40% of the generating capacity (42.5 GW) was provided by federal projects and built and/or operated by one of four agencies: </w:t>
      </w:r>
      <w:r w:rsidR="0003073E" w:rsidRPr="007E1C24">
        <w:rPr>
          <w:snapToGrid/>
        </w:rPr>
        <w:t>the US Army Corps of Engineers</w:t>
      </w:r>
      <w:r w:rsidRPr="00F57B79">
        <w:rPr>
          <w:snapToGrid/>
        </w:rPr>
        <w:t xml:space="preserve">, Reclamation, Tennessee Valley Authority, and International Boundary and Water Commission. </w:t>
      </w:r>
      <w:r w:rsidR="0003073E">
        <w:rPr>
          <w:snapToGrid/>
        </w:rPr>
        <w:t>T</w:t>
      </w:r>
      <w:r w:rsidRPr="00F57B79">
        <w:rPr>
          <w:snapToGrid/>
        </w:rPr>
        <w:t>he nonfederal assets comprising the other 60% are mostly regulated by the Federal Energy Regulatory Commission under the authority of the Federal Power Act and owned and/or operated by investor-owned utilities, publicly owned utilities, state agencies, and nonutilities</w:t>
      </w:r>
      <w:r w:rsidR="00F358F1">
        <w:rPr>
          <w:snapToGrid/>
        </w:rPr>
        <w:t xml:space="preserve"> </w:t>
      </w:r>
      <w:r w:rsidR="00F358F1" w:rsidRPr="006E55F4">
        <w:rPr>
          <w:snapToGrid/>
        </w:rPr>
        <w:t>(Uría Martínez et al.</w:t>
      </w:r>
      <w:r w:rsidR="00F358F1">
        <w:rPr>
          <w:snapToGrid/>
        </w:rPr>
        <w:t>,</w:t>
      </w:r>
      <w:r w:rsidR="00F358F1" w:rsidRPr="006E55F4">
        <w:rPr>
          <w:snapToGrid/>
        </w:rPr>
        <w:t xml:space="preserve"> 20</w:t>
      </w:r>
      <w:r w:rsidR="00F358F1">
        <w:rPr>
          <w:snapToGrid/>
        </w:rPr>
        <w:t>15</w:t>
      </w:r>
      <w:r w:rsidR="00F358F1" w:rsidRPr="006E55F4">
        <w:rPr>
          <w:snapToGrid/>
        </w:rPr>
        <w:t>)</w:t>
      </w:r>
      <w:r w:rsidRPr="00F57B79">
        <w:rPr>
          <w:snapToGrid/>
        </w:rPr>
        <w:t xml:space="preserve">. Although there are fewer federal hydropower plants than nonfederal plants, the federal plants have, on average, more than </w:t>
      </w:r>
      <w:r w:rsidR="0003073E">
        <w:rPr>
          <w:snapToGrid/>
        </w:rPr>
        <w:t xml:space="preserve">10 </w:t>
      </w:r>
      <w:r w:rsidRPr="00F57B79">
        <w:rPr>
          <w:snapToGrid/>
        </w:rPr>
        <w:t xml:space="preserve">times </w:t>
      </w:r>
      <w:r w:rsidR="0003073E">
        <w:rPr>
          <w:snapToGrid/>
        </w:rPr>
        <w:t xml:space="preserve">the </w:t>
      </w:r>
      <w:r w:rsidRPr="00F57B79">
        <w:rPr>
          <w:snapToGrid/>
        </w:rPr>
        <w:t>generating capacity per plant.</w:t>
      </w:r>
    </w:p>
    <w:p w14:paraId="768E5120" w14:textId="787C84E6" w:rsidR="00F57B79" w:rsidRPr="00F57B79" w:rsidRDefault="00F57B79" w:rsidP="00F57B79">
      <w:pPr>
        <w:pStyle w:val="BodyText"/>
        <w:rPr>
          <w:snapToGrid/>
        </w:rPr>
      </w:pPr>
      <w:r w:rsidRPr="00F57B79">
        <w:rPr>
          <w:snapToGrid/>
        </w:rPr>
        <w:t>For federal hydropower, the PMAs market the hydroelectric energy generated from 132 federally owned/operated hydropower plants to repay the government</w:t>
      </w:r>
      <w:r w:rsidR="00805545">
        <w:rPr>
          <w:snapToGrid/>
        </w:rPr>
        <w:t>’</w:t>
      </w:r>
      <w:r w:rsidRPr="00F57B79">
        <w:rPr>
          <w:snapToGrid/>
        </w:rPr>
        <w:t>s investment in these projects. By statute, the PMAs prioritize access to their federal hydropower resources for their preference customers—mostly municipalities, political subdivisions, and cooperatives—over for-profit entities. The preference clauses, introduced in several pieces of legislation in the early 1900s, were designed to ensure that the operation of the federal hydropower assets benefited the public, contributed to the economic development of rural areas, and avoided a monopoly in the nascent electric industry</w:t>
      </w:r>
      <w:r w:rsidR="00797D1B">
        <w:rPr>
          <w:snapToGrid/>
        </w:rPr>
        <w:t xml:space="preserve"> (GAO, 2021)</w:t>
      </w:r>
      <w:r w:rsidRPr="00F57B79">
        <w:rPr>
          <w:snapToGrid/>
        </w:rPr>
        <w:t xml:space="preserve">. Each of the four PMAs is a distinct, self-contained entity within DOE, </w:t>
      </w:r>
      <w:r w:rsidR="0003073E">
        <w:rPr>
          <w:snapToGrid/>
        </w:rPr>
        <w:t xml:space="preserve">similar to </w:t>
      </w:r>
      <w:r w:rsidRPr="00F57B79">
        <w:rPr>
          <w:snapToGrid/>
        </w:rPr>
        <w:t>a wholly owned subsidiary of a corporation.</w:t>
      </w:r>
    </w:p>
    <w:p w14:paraId="2F4875A6" w14:textId="5D7998C0" w:rsidR="00F57B79" w:rsidRDefault="00F57B79" w:rsidP="00F57B79">
      <w:pPr>
        <w:pStyle w:val="BodyText"/>
        <w:rPr>
          <w:lang w:bidi="en-US"/>
        </w:rPr>
      </w:pPr>
      <w:r w:rsidRPr="00F57B79">
        <w:rPr>
          <w:snapToGrid/>
        </w:rPr>
        <w:lastRenderedPageBreak/>
        <w:t>Most of these federal hydropower plants are located at multipurpose reservoirs that also provide nonpower services, such as flood control; navigation; water supply for municipalities, industries, agriculture, and recreation; and protection of environmental resources, including water quality, fish, and wildlife. Since many nonpower services have higher priority than hydropower, the generating federal hydropower is under a variety of competing constraints and may not be as flexible, despite the large water storage capacity in federal reservoirs.</w:t>
      </w:r>
    </w:p>
    <w:p w14:paraId="3A693110" w14:textId="77777777" w:rsidR="00EA4CEF" w:rsidRPr="005E1ABD" w:rsidRDefault="00EA4CEF" w:rsidP="005E1ABD">
      <w:pPr>
        <w:pStyle w:val="Headingnonumber"/>
      </w:pPr>
      <w:r w:rsidRPr="005E1ABD">
        <w:t>Methodology</w:t>
      </w:r>
    </w:p>
    <w:p w14:paraId="2E48FE09" w14:textId="0E695A71" w:rsidR="004F1C0D" w:rsidRDefault="00DF4F8E" w:rsidP="00DF4F8E">
      <w:pPr>
        <w:pStyle w:val="BodyText"/>
        <w:rPr>
          <w:snapToGrid/>
        </w:rPr>
      </w:pPr>
      <w:r w:rsidRPr="00DF4F8E">
        <w:rPr>
          <w:snapToGrid/>
        </w:rPr>
        <w:t xml:space="preserve">The </w:t>
      </w:r>
      <w:r w:rsidR="00C65511">
        <w:rPr>
          <w:snapToGrid/>
        </w:rPr>
        <w:t xml:space="preserve">third </w:t>
      </w:r>
      <w:r w:rsidRPr="00DF4F8E">
        <w:rPr>
          <w:snapToGrid/>
        </w:rPr>
        <w:t>9505 SECURE Water Act Assessment addresses the long-term effects of climate change on federally generated hydropower at the regional scale for each of the four PMAs by identifying and analyzing projected future annual and seasonal trends in key hydrometeorological variables (</w:t>
      </w:r>
      <w:r>
        <w:rPr>
          <w:snapToGrid/>
        </w:rPr>
        <w:fldChar w:fldCharType="begin"/>
      </w:r>
      <w:r>
        <w:rPr>
          <w:snapToGrid/>
        </w:rPr>
        <w:instrText xml:space="preserve"> REF _Ref425398172 \h </w:instrText>
      </w:r>
      <w:r>
        <w:rPr>
          <w:snapToGrid/>
        </w:rPr>
      </w:r>
      <w:r>
        <w:rPr>
          <w:snapToGrid/>
        </w:rPr>
        <w:fldChar w:fldCharType="separate"/>
      </w:r>
      <w:r w:rsidR="00EE0BF5">
        <w:rPr>
          <w:lang w:eastAsia="zh-TW"/>
        </w:rPr>
        <w:t>Figure</w:t>
      </w:r>
      <w:r w:rsidR="00EE0BF5" w:rsidRPr="006869CA">
        <w:rPr>
          <w:lang w:eastAsia="zh-TW"/>
        </w:rPr>
        <w:t xml:space="preserve"> </w:t>
      </w:r>
      <w:r w:rsidR="00EE0BF5">
        <w:rPr>
          <w:lang w:eastAsia="zh-TW"/>
        </w:rPr>
        <w:t>ES.</w:t>
      </w:r>
      <w:r w:rsidR="00EE0BF5">
        <w:rPr>
          <w:noProof/>
          <w:lang w:eastAsia="zh-TW"/>
        </w:rPr>
        <w:t>1</w:t>
      </w:r>
      <w:r>
        <w:rPr>
          <w:snapToGrid/>
        </w:rPr>
        <w:fldChar w:fldCharType="end"/>
      </w:r>
      <w:r w:rsidRPr="00DF4F8E">
        <w:rPr>
          <w:snapToGrid/>
        </w:rPr>
        <w:t>). T</w:t>
      </w:r>
      <w:r w:rsidRPr="00DF4F8E">
        <w:rPr>
          <w:rFonts w:hint="eastAsia"/>
          <w:snapToGrid/>
        </w:rPr>
        <w:t>h</w:t>
      </w:r>
      <w:r w:rsidRPr="00DF4F8E">
        <w:rPr>
          <w:snapToGrid/>
        </w:rPr>
        <w:t>is</w:t>
      </w:r>
      <w:r w:rsidRPr="00DF4F8E">
        <w:rPr>
          <w:rFonts w:hint="eastAsia"/>
          <w:snapToGrid/>
        </w:rPr>
        <w:t xml:space="preserve"> </w:t>
      </w:r>
      <w:r w:rsidRPr="00DF4F8E">
        <w:rPr>
          <w:snapToGrid/>
        </w:rPr>
        <w:t>a</w:t>
      </w:r>
      <w:r w:rsidRPr="00DF4F8E">
        <w:rPr>
          <w:rFonts w:hint="eastAsia"/>
          <w:snapToGrid/>
        </w:rPr>
        <w:t xml:space="preserve">ssessment </w:t>
      </w:r>
      <w:r w:rsidRPr="00DF4F8E">
        <w:rPr>
          <w:snapToGrid/>
        </w:rPr>
        <w:t xml:space="preserve">builds upon the framework established in the first two assessments and leverages the latest global climate projections from the Coupled Model Intercomparison Project </w:t>
      </w:r>
      <w:r w:rsidR="0099509D">
        <w:rPr>
          <w:snapToGrid/>
        </w:rPr>
        <w:t xml:space="preserve">(CMIP) </w:t>
      </w:r>
      <w:r w:rsidR="00C65511">
        <w:rPr>
          <w:snapToGrid/>
        </w:rPr>
        <w:t xml:space="preserve">Phase 6 </w:t>
      </w:r>
      <w:r w:rsidRPr="00DF4F8E">
        <w:rPr>
          <w:snapToGrid/>
        </w:rPr>
        <w:t>(CMIP6).</w:t>
      </w:r>
    </w:p>
    <w:p w14:paraId="756F279C" w14:textId="77777777" w:rsidR="0003073E" w:rsidRPr="002954B7" w:rsidRDefault="0003073E" w:rsidP="0003073E">
      <w:pPr>
        <w:pStyle w:val="FIGUREposition"/>
      </w:pPr>
      <w:r w:rsidRPr="002954B7">
        <w:rPr>
          <w:noProof/>
        </w:rPr>
        <w:drawing>
          <wp:inline distT="0" distB="0" distL="0" distR="0" wp14:anchorId="36B3B05E" wp14:editId="2681D486">
            <wp:extent cx="5943600" cy="49129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912995"/>
                    </a:xfrm>
                    <a:prstGeom prst="rect">
                      <a:avLst/>
                    </a:prstGeom>
                    <a:noFill/>
                  </pic:spPr>
                </pic:pic>
              </a:graphicData>
            </a:graphic>
          </wp:inline>
        </w:drawing>
      </w:r>
    </w:p>
    <w:p w14:paraId="20640A47" w14:textId="61C090D9" w:rsidR="005606E5" w:rsidRPr="005606E5" w:rsidRDefault="0003073E" w:rsidP="005606E5">
      <w:pPr>
        <w:pStyle w:val="AppendixFigureCaption"/>
        <w:rPr>
          <w:vanish/>
          <w:lang w:eastAsia="zh-TW"/>
          <w:specVanish/>
        </w:rPr>
      </w:pPr>
      <w:bookmarkStart w:id="24" w:name="_Ref425398172"/>
      <w:r>
        <w:rPr>
          <w:lang w:eastAsia="zh-TW"/>
        </w:rPr>
        <w:t>Figure</w:t>
      </w:r>
      <w:r w:rsidRPr="006869CA">
        <w:rPr>
          <w:lang w:eastAsia="zh-TW"/>
        </w:rPr>
        <w:t xml:space="preserve"> </w:t>
      </w:r>
      <w:r>
        <w:rPr>
          <w:lang w:eastAsia="zh-TW"/>
        </w:rPr>
        <w:t>ES.</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w:t>
      </w:r>
      <w:r w:rsidRPr="006869CA">
        <w:rPr>
          <w:lang w:eastAsia="zh-TW"/>
        </w:rPr>
        <w:fldChar w:fldCharType="end"/>
      </w:r>
      <w:bookmarkEnd w:id="24"/>
      <w:r w:rsidRPr="006869CA">
        <w:rPr>
          <w:lang w:eastAsia="zh-TW"/>
        </w:rPr>
        <w:t xml:space="preserve">. </w:t>
      </w:r>
      <w:r>
        <w:rPr>
          <w:lang w:eastAsia="zh-TW"/>
        </w:rPr>
        <w:t>F</w:t>
      </w:r>
      <w:r w:rsidRPr="0044307D">
        <w:rPr>
          <w:lang w:eastAsia="zh-TW"/>
        </w:rPr>
        <w:t xml:space="preserve">ederal hydropower facilities </w:t>
      </w:r>
      <w:r>
        <w:rPr>
          <w:lang w:eastAsia="zh-TW"/>
        </w:rPr>
        <w:t>and</w:t>
      </w:r>
      <w:r w:rsidRPr="00D410BA">
        <w:rPr>
          <w:lang w:eastAsia="zh-TW"/>
        </w:rPr>
        <w:t xml:space="preserve"> federal power marketing regions in the U</w:t>
      </w:r>
      <w:r>
        <w:rPr>
          <w:lang w:eastAsia="zh-TW"/>
        </w:rPr>
        <w:t xml:space="preserve">nited </w:t>
      </w:r>
      <w:r w:rsidRPr="00D410BA">
        <w:rPr>
          <w:lang w:eastAsia="zh-TW"/>
        </w:rPr>
        <w:t>S</w:t>
      </w:r>
      <w:r>
        <w:rPr>
          <w:lang w:eastAsia="zh-TW"/>
        </w:rPr>
        <w:t>tates</w:t>
      </w:r>
      <w:r w:rsidRPr="00D410BA">
        <w:rPr>
          <w:lang w:eastAsia="zh-TW"/>
        </w:rPr>
        <w:t xml:space="preserve">. </w:t>
      </w:r>
    </w:p>
    <w:p w14:paraId="444F7120" w14:textId="38EB14C5" w:rsidR="0003073E" w:rsidRDefault="0003073E" w:rsidP="005606E5">
      <w:pPr>
        <w:pStyle w:val="FigureCaptionSeparator"/>
      </w:pPr>
      <w:r w:rsidRPr="00D410BA">
        <w:t xml:space="preserve">Note that part of Kansas is supplied by both </w:t>
      </w:r>
      <w:r>
        <w:t>WAPA</w:t>
      </w:r>
      <w:r w:rsidRPr="00D410BA">
        <w:t xml:space="preserve"> and</w:t>
      </w:r>
      <w:r>
        <w:t xml:space="preserve"> SWPA</w:t>
      </w:r>
      <w:r w:rsidRPr="00D410BA">
        <w:t>.</w:t>
      </w:r>
    </w:p>
    <w:p w14:paraId="7FC68BE3" w14:textId="174EA569" w:rsidR="00751F7A" w:rsidRDefault="00751F7A" w:rsidP="00751F7A">
      <w:pPr>
        <w:pStyle w:val="BodyText"/>
        <w:rPr>
          <w:lang w:bidi="en-US"/>
        </w:rPr>
      </w:pPr>
      <w:r>
        <w:rPr>
          <w:lang w:bidi="en-US"/>
        </w:rPr>
        <w:lastRenderedPageBreak/>
        <w:t xml:space="preserve">The latest climate projections from CMIP6 are produced from the latest global climate models (GCMs) for the Intergovernmental Panel on Climate Change Sixth Assessment. CMIP6 includes more than 50 GCMs with newly defined </w:t>
      </w:r>
      <w:r w:rsidRPr="004070AA">
        <w:t xml:space="preserve">greenhouse gas </w:t>
      </w:r>
      <w:r>
        <w:rPr>
          <w:lang w:bidi="en-US"/>
        </w:rPr>
        <w:t xml:space="preserve">emission scenarios that are a combination of Shared Socioeconomic Pathways (SSPs) and Representative Concentration Pathways (see Section </w:t>
      </w:r>
      <w:r>
        <w:rPr>
          <w:lang w:bidi="en-US"/>
        </w:rPr>
        <w:fldChar w:fldCharType="begin"/>
      </w:r>
      <w:r>
        <w:rPr>
          <w:lang w:bidi="en-US"/>
        </w:rPr>
        <w:instrText xml:space="preserve"> REF _Ref75810029 \n \h </w:instrText>
      </w:r>
      <w:r>
        <w:rPr>
          <w:lang w:bidi="en-US"/>
        </w:rPr>
      </w:r>
      <w:r>
        <w:rPr>
          <w:lang w:bidi="en-US"/>
        </w:rPr>
        <w:fldChar w:fldCharType="separate"/>
      </w:r>
      <w:r w:rsidR="00EE0BF5">
        <w:rPr>
          <w:lang w:bidi="en-US"/>
        </w:rPr>
        <w:t>2.3</w:t>
      </w:r>
      <w:r>
        <w:rPr>
          <w:lang w:bidi="en-US"/>
        </w:rPr>
        <w:fldChar w:fldCharType="end"/>
      </w:r>
      <w:r>
        <w:rPr>
          <w:lang w:bidi="en-US"/>
        </w:rPr>
        <w:t xml:space="preserve"> for a further description) to understand the </w:t>
      </w:r>
      <w:r w:rsidR="00C27D82">
        <w:rPr>
          <w:lang w:bidi="en-US"/>
        </w:rPr>
        <w:t>Earth system</w:t>
      </w:r>
      <w:r>
        <w:rPr>
          <w:lang w:bidi="en-US"/>
        </w:rPr>
        <w:t xml:space="preserve"> response to an increase in anthropogenic forcing. Six CMIP6 GCMs under the SSP585 scenario were </w:t>
      </w:r>
      <w:r w:rsidRPr="00D90C3D">
        <w:rPr>
          <w:lang w:bidi="en-US"/>
        </w:rPr>
        <w:t xml:space="preserve">selected through an objective selection process that factors in relative </w:t>
      </w:r>
      <w:r>
        <w:rPr>
          <w:lang w:bidi="en-US"/>
        </w:rPr>
        <w:t>model</w:t>
      </w:r>
      <w:r w:rsidRPr="00D90C3D">
        <w:rPr>
          <w:lang w:bidi="en-US"/>
        </w:rPr>
        <w:t xml:space="preserve"> skill, uniqueness, data availability, </w:t>
      </w:r>
      <w:r>
        <w:rPr>
          <w:lang w:bidi="en-US"/>
        </w:rPr>
        <w:t xml:space="preserve">and </w:t>
      </w:r>
      <w:r w:rsidRPr="00D90C3D">
        <w:rPr>
          <w:lang w:bidi="en-US"/>
        </w:rPr>
        <w:t>computational resources</w:t>
      </w:r>
      <w:r>
        <w:rPr>
          <w:lang w:bidi="en-US"/>
        </w:rPr>
        <w:t>.</w:t>
      </w:r>
    </w:p>
    <w:p w14:paraId="58D3DBDD" w14:textId="4A61F148" w:rsidR="00751F7A" w:rsidRDefault="00751F7A" w:rsidP="00DF4F8E">
      <w:pPr>
        <w:pStyle w:val="BodyText"/>
        <w:rPr>
          <w:snapToGrid/>
        </w:rPr>
      </w:pPr>
      <w:r w:rsidRPr="00560167">
        <w:rPr>
          <w:lang w:bidi="en-US"/>
        </w:rPr>
        <w:t xml:space="preserve">To understand how the choice of modeling and analytical approaches may affect the projections of future hydroclimate conditions and hydropower generation, </w:t>
      </w:r>
      <w:r>
        <w:rPr>
          <w:snapToGrid/>
        </w:rPr>
        <w:t>a multimodel assessment framework was introduced</w:t>
      </w:r>
      <w:r w:rsidRPr="00560167">
        <w:rPr>
          <w:lang w:bidi="en-US"/>
        </w:rPr>
        <w:t xml:space="preserve">. </w:t>
      </w:r>
      <w:r>
        <w:rPr>
          <w:snapToGrid/>
        </w:rPr>
        <w:t xml:space="preserve">This multimodel assessment framework includes two downscaling methods, two reference meteorological observations, two hydrologic models, and two hydropower models </w:t>
      </w:r>
      <w:r w:rsidRPr="00E33F6D">
        <w:rPr>
          <w:snapToGrid/>
        </w:rPr>
        <w:t xml:space="preserve">to </w:t>
      </w:r>
      <w:r>
        <w:rPr>
          <w:snapToGrid/>
        </w:rPr>
        <w:t xml:space="preserve">simulate the ensemble </w:t>
      </w:r>
      <w:r w:rsidRPr="00E33F6D">
        <w:rPr>
          <w:snapToGrid/>
        </w:rPr>
        <w:t xml:space="preserve">meteorological, </w:t>
      </w:r>
      <w:r>
        <w:rPr>
          <w:snapToGrid/>
        </w:rPr>
        <w:t>hydrologic</w:t>
      </w:r>
      <w:r w:rsidRPr="00E33F6D">
        <w:rPr>
          <w:snapToGrid/>
        </w:rPr>
        <w:t xml:space="preserve">, and hydropower </w:t>
      </w:r>
      <w:r>
        <w:rPr>
          <w:snapToGrid/>
        </w:rPr>
        <w:t xml:space="preserve">projections </w:t>
      </w:r>
      <w:r w:rsidRPr="00E33F6D">
        <w:rPr>
          <w:snapToGrid/>
        </w:rPr>
        <w:t>in the near-term (20</w:t>
      </w:r>
      <w:r>
        <w:rPr>
          <w:snapToGrid/>
        </w:rPr>
        <w:t>20</w:t>
      </w:r>
      <w:r w:rsidRPr="00E33F6D">
        <w:rPr>
          <w:snapToGrid/>
        </w:rPr>
        <w:t>–203</w:t>
      </w:r>
      <w:r>
        <w:rPr>
          <w:snapToGrid/>
        </w:rPr>
        <w:t>9</w:t>
      </w:r>
      <w:r w:rsidRPr="00E33F6D">
        <w:rPr>
          <w:snapToGrid/>
        </w:rPr>
        <w:t xml:space="preserve">) and </w:t>
      </w:r>
      <w:r>
        <w:rPr>
          <w:snapToGrid/>
        </w:rPr>
        <w:t>mid-</w:t>
      </w:r>
      <w:r w:rsidRPr="00E33F6D">
        <w:rPr>
          <w:snapToGrid/>
        </w:rPr>
        <w:t>term (20</w:t>
      </w:r>
      <w:r>
        <w:rPr>
          <w:snapToGrid/>
        </w:rPr>
        <w:t>40</w:t>
      </w:r>
      <w:r w:rsidRPr="00E33F6D">
        <w:rPr>
          <w:snapToGrid/>
        </w:rPr>
        <w:t>–205</w:t>
      </w:r>
      <w:r>
        <w:rPr>
          <w:snapToGrid/>
        </w:rPr>
        <w:t>9</w:t>
      </w:r>
      <w:r w:rsidRPr="00E33F6D">
        <w:rPr>
          <w:snapToGrid/>
        </w:rPr>
        <w:t>) future</w:t>
      </w:r>
      <w:r>
        <w:t xml:space="preserve"> periods with respect to the historical baseline period (1980–2019)</w:t>
      </w:r>
      <w:r>
        <w:rPr>
          <w:snapToGrid/>
        </w:rPr>
        <w:t xml:space="preserve">. </w:t>
      </w:r>
      <w:r>
        <w:t>D</w:t>
      </w:r>
      <w:r w:rsidRPr="002E7D23">
        <w:t>ynamical (Regional Climate Model version 4</w:t>
      </w:r>
      <w:r>
        <w:t xml:space="preserve"> [RegCM4]</w:t>
      </w:r>
      <w:r w:rsidRPr="002E7D23">
        <w:t>) and statistical (Double Bias Correction Constructed Analogues</w:t>
      </w:r>
      <w:r>
        <w:t xml:space="preserve"> [DBCCA]</w:t>
      </w:r>
      <w:r w:rsidRPr="002E7D23">
        <w:t xml:space="preserve">) downscaling </w:t>
      </w:r>
      <w:r>
        <w:t>methods</w:t>
      </w:r>
      <w:r w:rsidRPr="002E7D23">
        <w:t xml:space="preserve"> </w:t>
      </w:r>
      <w:r>
        <w:t>were</w:t>
      </w:r>
      <w:r w:rsidRPr="002E7D23">
        <w:t xml:space="preserve"> applied to the six selected CMIP6 GCMs. </w:t>
      </w:r>
      <w:r>
        <w:t>A</w:t>
      </w:r>
      <w:r w:rsidRPr="00F80083">
        <w:t xml:space="preserve">dditionally, </w:t>
      </w:r>
      <w:r>
        <w:t>t</w:t>
      </w:r>
      <w:r w:rsidRPr="002E7D23">
        <w:t xml:space="preserve">wo </w:t>
      </w:r>
      <w:r>
        <w:t xml:space="preserve">reference </w:t>
      </w:r>
      <w:r w:rsidRPr="002E7D23">
        <w:t xml:space="preserve">meteorological </w:t>
      </w:r>
      <w:r>
        <w:t>observation</w:t>
      </w:r>
      <w:r w:rsidR="00D64187">
        <w:t xml:space="preserve"> </w:t>
      </w:r>
      <w:r w:rsidR="005606E5">
        <w:t>data sets</w:t>
      </w:r>
      <w:r w:rsidR="00D64187">
        <w:t xml:space="preserve"> </w:t>
      </w:r>
      <w:r w:rsidRPr="002E7D23">
        <w:t xml:space="preserve">(Daymet and Livneh) </w:t>
      </w:r>
      <w:r>
        <w:t>were</w:t>
      </w:r>
      <w:r w:rsidRPr="002E7D23">
        <w:t xml:space="preserve"> used to account for the uncertainties that arise from the choice of meteorological observations. </w:t>
      </w:r>
      <w:r w:rsidR="00EF5224">
        <w:t>T</w:t>
      </w:r>
      <w:r w:rsidR="00EF5224" w:rsidRPr="002E7D23">
        <w:t xml:space="preserve">wo hydrologic models, </w:t>
      </w:r>
      <w:r w:rsidR="00EF5224">
        <w:t xml:space="preserve">the </w:t>
      </w:r>
      <w:r w:rsidR="00EF5224" w:rsidRPr="002E7D23">
        <w:t xml:space="preserve">Variable Infiltration Capacity </w:t>
      </w:r>
      <w:r w:rsidR="00EF5224">
        <w:t xml:space="preserve">(VIC) </w:t>
      </w:r>
      <w:r w:rsidR="00EF5224" w:rsidRPr="002E7D23">
        <w:t xml:space="preserve">model and </w:t>
      </w:r>
      <w:r w:rsidR="00EF5224">
        <w:t xml:space="preserve">the </w:t>
      </w:r>
      <w:r w:rsidR="00EF5224" w:rsidRPr="002E7D23">
        <w:t>Precipitation Runoff Modeling System</w:t>
      </w:r>
      <w:r w:rsidR="00EF5224">
        <w:t xml:space="preserve"> (PRMS) model,</w:t>
      </w:r>
      <w:r w:rsidR="00EF5224" w:rsidRPr="002E7D23">
        <w:t xml:space="preserve"> were</w:t>
      </w:r>
      <w:r w:rsidRPr="002E7D23">
        <w:t xml:space="preserve"> implemented to simulate </w:t>
      </w:r>
      <w:r>
        <w:t xml:space="preserve">the </w:t>
      </w:r>
      <w:r w:rsidRPr="002E7D23">
        <w:t>hydrologic processes (e.g.</w:t>
      </w:r>
      <w:r>
        <w:t>,</w:t>
      </w:r>
      <w:r w:rsidRPr="002E7D23">
        <w:t xml:space="preserve"> runoff, evapotranspiration, infiltration)</w:t>
      </w:r>
      <w:r>
        <w:t xml:space="preserve"> under projected future climate conditions</w:t>
      </w:r>
      <w:r w:rsidRPr="002E7D23">
        <w:t>. Two regional hydropower model</w:t>
      </w:r>
      <w:r>
        <w:t xml:space="preserve">s, </w:t>
      </w:r>
      <w:r w:rsidRPr="002E7D23">
        <w:t xml:space="preserve">Watershed Runoff-Energy Storage </w:t>
      </w:r>
      <w:r>
        <w:t xml:space="preserve">(WRES) and </w:t>
      </w:r>
      <w:r w:rsidRPr="002E7D23">
        <w:t>Water Management Hydropower model (WMP)</w:t>
      </w:r>
      <w:r>
        <w:t xml:space="preserve">, </w:t>
      </w:r>
      <w:r w:rsidRPr="002E7D23">
        <w:t xml:space="preserve">were </w:t>
      </w:r>
      <w:r>
        <w:t xml:space="preserve">then applied </w:t>
      </w:r>
      <w:r w:rsidRPr="002E7D23">
        <w:t xml:space="preserve">to examine how the choice of the hydropower models </w:t>
      </w:r>
      <w:r>
        <w:t xml:space="preserve">may influence </w:t>
      </w:r>
      <w:r w:rsidRPr="002E7D23">
        <w:t>future hydropower projections. This multimodel assessment framework result</w:t>
      </w:r>
      <w:r w:rsidR="00836483">
        <w:t>ed</w:t>
      </w:r>
      <w:r w:rsidRPr="002E7D23">
        <w:t xml:space="preserve"> in 96 sets of projected future hydropower generation</w:t>
      </w:r>
      <w:r>
        <w:t xml:space="preserve"> illustrated in </w:t>
      </w:r>
      <w:r>
        <w:fldChar w:fldCharType="begin"/>
      </w:r>
      <w:r>
        <w:instrText xml:space="preserve"> REF _Ref83544682 \h </w:instrText>
      </w:r>
      <w:r>
        <w:fldChar w:fldCharType="separate"/>
      </w:r>
      <w:r w:rsidR="00EE0BF5">
        <w:rPr>
          <w:lang w:eastAsia="zh-TW"/>
        </w:rPr>
        <w:t>Figure</w:t>
      </w:r>
      <w:r w:rsidR="00EE0BF5" w:rsidRPr="006869CA">
        <w:rPr>
          <w:lang w:eastAsia="zh-TW"/>
        </w:rPr>
        <w:t xml:space="preserve"> </w:t>
      </w:r>
      <w:r w:rsidR="00EE0BF5">
        <w:rPr>
          <w:lang w:eastAsia="zh-TW"/>
        </w:rPr>
        <w:t>ES.</w:t>
      </w:r>
      <w:r w:rsidR="00EE0BF5">
        <w:rPr>
          <w:noProof/>
          <w:lang w:eastAsia="zh-TW"/>
        </w:rPr>
        <w:t>2</w:t>
      </w:r>
      <w:r>
        <w:fldChar w:fldCharType="end"/>
      </w:r>
      <w:r w:rsidRPr="002E7D23">
        <w:t>.</w:t>
      </w:r>
    </w:p>
    <w:p w14:paraId="7A0E0784" w14:textId="77777777" w:rsidR="0003073E" w:rsidRPr="00A348A7" w:rsidRDefault="0003073E" w:rsidP="0003073E">
      <w:pPr>
        <w:pStyle w:val="FIGUREposition"/>
      </w:pPr>
      <w:r w:rsidRPr="00A348A7">
        <w:rPr>
          <w:noProof/>
        </w:rPr>
        <w:drawing>
          <wp:inline distT="0" distB="0" distL="0" distR="0" wp14:anchorId="3D1C1461" wp14:editId="7946A281">
            <wp:extent cx="5942764" cy="3082954"/>
            <wp:effectExtent l="0" t="0" r="127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221" b="-1"/>
                    <a:stretch/>
                  </pic:blipFill>
                  <pic:spPr bwMode="auto">
                    <a:xfrm>
                      <a:off x="0" y="0"/>
                      <a:ext cx="5943600" cy="3083387"/>
                    </a:xfrm>
                    <a:prstGeom prst="rect">
                      <a:avLst/>
                    </a:prstGeom>
                    <a:noFill/>
                    <a:ln>
                      <a:noFill/>
                    </a:ln>
                    <a:extLst>
                      <a:ext uri="{53640926-AAD7-44D8-BBD7-CCE9431645EC}">
                        <a14:shadowObscured xmlns:a14="http://schemas.microsoft.com/office/drawing/2010/main"/>
                      </a:ext>
                    </a:extLst>
                  </pic:spPr>
                </pic:pic>
              </a:graphicData>
            </a:graphic>
          </wp:inline>
        </w:drawing>
      </w:r>
    </w:p>
    <w:p w14:paraId="074354E2" w14:textId="0401295D" w:rsidR="0003073E" w:rsidRPr="006869CA" w:rsidRDefault="0003073E" w:rsidP="0003073E">
      <w:pPr>
        <w:pStyle w:val="AppendixFigureCaption"/>
      </w:pPr>
      <w:bookmarkStart w:id="25" w:name="_Ref83544682"/>
      <w:r>
        <w:rPr>
          <w:lang w:eastAsia="zh-TW"/>
        </w:rPr>
        <w:t>Figure</w:t>
      </w:r>
      <w:r w:rsidRPr="006869CA">
        <w:rPr>
          <w:lang w:eastAsia="zh-TW"/>
        </w:rPr>
        <w:t xml:space="preserve"> </w:t>
      </w:r>
      <w:r>
        <w:rPr>
          <w:lang w:eastAsia="zh-TW"/>
        </w:rPr>
        <w:t>ES.</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w:t>
      </w:r>
      <w:r w:rsidRPr="006869CA">
        <w:rPr>
          <w:lang w:eastAsia="zh-TW"/>
        </w:rPr>
        <w:fldChar w:fldCharType="end"/>
      </w:r>
      <w:bookmarkEnd w:id="25"/>
      <w:r w:rsidRPr="006869CA">
        <w:rPr>
          <w:lang w:eastAsia="zh-TW"/>
        </w:rPr>
        <w:t xml:space="preserve">. </w:t>
      </w:r>
      <w:r>
        <w:rPr>
          <w:lang w:eastAsia="zh-TW"/>
        </w:rPr>
        <w:t>Multimodel ensemble simulation conducted for this assessment</w:t>
      </w:r>
      <w:r w:rsidRPr="00D410BA">
        <w:rPr>
          <w:lang w:eastAsia="zh-TW"/>
        </w:rPr>
        <w:t>.</w:t>
      </w:r>
    </w:p>
    <w:p w14:paraId="69E60CD7" w14:textId="17BFF4EE" w:rsidR="00751F7A" w:rsidRDefault="00751F7A" w:rsidP="002954B7">
      <w:pPr>
        <w:pStyle w:val="BodyText"/>
      </w:pPr>
      <w:r>
        <w:t xml:space="preserve">An </w:t>
      </w:r>
      <w:r w:rsidRPr="00E041E7">
        <w:t xml:space="preserve">analysis of variance </w:t>
      </w:r>
      <w:r>
        <w:t>technique was</w:t>
      </w:r>
      <w:r w:rsidRPr="00E041E7">
        <w:t xml:space="preserve"> used to quantify </w:t>
      </w:r>
      <w:r>
        <w:t xml:space="preserve">the </w:t>
      </w:r>
      <w:r w:rsidRPr="00E041E7">
        <w:t xml:space="preserve">relative contribution of </w:t>
      </w:r>
      <w:r>
        <w:t>variance</w:t>
      </w:r>
      <w:r w:rsidRPr="00E041E7">
        <w:t xml:space="preserve"> in </w:t>
      </w:r>
      <w:r>
        <w:t xml:space="preserve">ensemble </w:t>
      </w:r>
      <w:r w:rsidRPr="00E041E7">
        <w:t xml:space="preserve">projections arising from different </w:t>
      </w:r>
      <w:r>
        <w:t xml:space="preserve">modeling choices </w:t>
      </w:r>
      <w:r w:rsidRPr="00E041E7">
        <w:t xml:space="preserve">and their interactions. </w:t>
      </w:r>
      <w:r>
        <w:t>T</w:t>
      </w:r>
      <w:r w:rsidRPr="00560167">
        <w:t>he key controlling factor</w:t>
      </w:r>
      <w:r>
        <w:t>s</w:t>
      </w:r>
      <w:r w:rsidRPr="00560167">
        <w:t xml:space="preserve"> in each </w:t>
      </w:r>
      <w:r>
        <w:t xml:space="preserve">of the key </w:t>
      </w:r>
      <w:r w:rsidRPr="00560167">
        <w:t>variable</w:t>
      </w:r>
      <w:r>
        <w:t>s</w:t>
      </w:r>
      <w:r w:rsidRPr="00560167">
        <w:t xml:space="preserve"> and </w:t>
      </w:r>
      <w:r>
        <w:t xml:space="preserve">PMA </w:t>
      </w:r>
      <w:r w:rsidRPr="00560167">
        <w:t>study area</w:t>
      </w:r>
      <w:r>
        <w:t>s were identified</w:t>
      </w:r>
      <w:r w:rsidRPr="00560167">
        <w:t xml:space="preserve">, demonstrating the sensitivity </w:t>
      </w:r>
      <w:r w:rsidR="002826C5">
        <w:t>in</w:t>
      </w:r>
      <w:r w:rsidRPr="00560167">
        <w:t xml:space="preserve"> these </w:t>
      </w:r>
      <w:r w:rsidRPr="00560167">
        <w:lastRenderedPageBreak/>
        <w:t>modeling</w:t>
      </w:r>
      <w:r>
        <w:t xml:space="preserve"> and </w:t>
      </w:r>
      <w:r w:rsidRPr="00560167">
        <w:t xml:space="preserve">analytical approaches. Additionally, </w:t>
      </w:r>
      <w:r>
        <w:t xml:space="preserve">the effect of climate change on the </w:t>
      </w:r>
      <w:r w:rsidRPr="00560167">
        <w:t>direct reservoir evaporation</w:t>
      </w:r>
      <w:r>
        <w:t xml:space="preserve"> was analyzed to understand its potential long-term impacts on water availability for hydropower generation. A </w:t>
      </w:r>
      <w:r w:rsidRPr="00560167">
        <w:t>customer energy demand</w:t>
      </w:r>
      <w:r>
        <w:t xml:space="preserve"> analysis</w:t>
      </w:r>
      <w:r w:rsidRPr="00560167">
        <w:t xml:space="preserve"> in each PMA region</w:t>
      </w:r>
      <w:r>
        <w:t xml:space="preserve"> was further conducted to evaluate how climate change may impact the energy demand for PMA preference customers.</w:t>
      </w:r>
      <w:r w:rsidRPr="00560167">
        <w:t xml:space="preserve"> The potential climate change impacts on federal power marketing </w:t>
      </w:r>
      <w:r>
        <w:t>were</w:t>
      </w:r>
      <w:r w:rsidRPr="00560167">
        <w:t xml:space="preserve"> also extensively discussed in this study</w:t>
      </w:r>
      <w:r>
        <w:t xml:space="preserve"> as new, emerging energy market mechanisms impact near and long-term decisions for federal hydropower marketing plans</w:t>
      </w:r>
      <w:r w:rsidRPr="00560167">
        <w:t>.</w:t>
      </w:r>
    </w:p>
    <w:bookmarkEnd w:id="22"/>
    <w:bookmarkEnd w:id="23"/>
    <w:p w14:paraId="788E3CEB" w14:textId="08001533" w:rsidR="005E1ABD" w:rsidRPr="00C66720" w:rsidRDefault="00253A32" w:rsidP="00A348A7">
      <w:pPr>
        <w:pStyle w:val="Headingnonumber"/>
      </w:pPr>
      <w:r w:rsidRPr="00253A32">
        <w:t xml:space="preserve">Progression of the 9505 </w:t>
      </w:r>
      <w:r w:rsidR="00925971" w:rsidRPr="00253A32">
        <w:t>Assessments</w:t>
      </w:r>
    </w:p>
    <w:p w14:paraId="2DD4F9C5" w14:textId="4D67A629" w:rsidR="0006641E" w:rsidRDefault="00F7266D" w:rsidP="00A348A7">
      <w:pPr>
        <w:pStyle w:val="BodyText"/>
      </w:pPr>
      <w:r w:rsidRPr="00E33F6D">
        <w:t xml:space="preserve">The first 9505 assessment was </w:t>
      </w:r>
      <w:r>
        <w:t>conducted during 2010–2012</w:t>
      </w:r>
      <w:r w:rsidRPr="00E33F6D">
        <w:t xml:space="preserve"> (Sale et al.</w:t>
      </w:r>
      <w:r>
        <w:t>,</w:t>
      </w:r>
      <w:r w:rsidRPr="00E33F6D">
        <w:t xml:space="preserve"> 2012)</w:t>
      </w:r>
      <w:r>
        <w:t xml:space="preserve">, and </w:t>
      </w:r>
      <w:r w:rsidRPr="00BC60A1">
        <w:t xml:space="preserve">the second </w:t>
      </w:r>
      <w:r>
        <w:t xml:space="preserve">assessment was conducted </w:t>
      </w:r>
      <w:r w:rsidRPr="00BC60A1">
        <w:t>during 2013–2017</w:t>
      </w:r>
      <w:r>
        <w:t xml:space="preserve"> (Kao et al., 2016)</w:t>
      </w:r>
      <w:r w:rsidRPr="00E33F6D">
        <w:t xml:space="preserve">. To comprehensively evaluate all federal hydropower plants located at various geographical regions in the </w:t>
      </w:r>
      <w:r>
        <w:t>United States</w:t>
      </w:r>
      <w:r w:rsidRPr="00E33F6D">
        <w:t>, a nationally consistent assessment framework was designed to allow</w:t>
      </w:r>
      <w:r>
        <w:t xml:space="preserve"> for the</w:t>
      </w:r>
      <w:r w:rsidRPr="00E33F6D">
        <w:t xml:space="preserve"> interregional </w:t>
      </w:r>
      <w:r>
        <w:t>comparison</w:t>
      </w:r>
      <w:r w:rsidRPr="00E33F6D">
        <w:t xml:space="preserve">. Various types of hydropower-related data—including project characteristics, generation </w:t>
      </w:r>
      <w:r>
        <w:t xml:space="preserve">and power marketing </w:t>
      </w:r>
      <w:r w:rsidRPr="00E33F6D">
        <w:t xml:space="preserve">records, observed hydrology and meteorology data, and watershed and land surface data—were </w:t>
      </w:r>
      <w:r w:rsidR="00495959">
        <w:t xml:space="preserve">assembled </w:t>
      </w:r>
      <w:r w:rsidRPr="00E33F6D">
        <w:t>to support</w:t>
      </w:r>
      <w:r>
        <w:t xml:space="preserve"> both assessments</w:t>
      </w:r>
      <w:r w:rsidRPr="00E33F6D">
        <w:t>.</w:t>
      </w:r>
      <w:r>
        <w:t xml:space="preserve"> A</w:t>
      </w:r>
      <w:r w:rsidRPr="00E83052">
        <w:t xml:space="preserve"> series of </w:t>
      </w:r>
      <w:r>
        <w:t xml:space="preserve">numerical </w:t>
      </w:r>
      <w:r w:rsidRPr="00E83052">
        <w:t xml:space="preserve">models and </w:t>
      </w:r>
      <w:r>
        <w:t xml:space="preserve">analytical </w:t>
      </w:r>
      <w:r w:rsidRPr="00E83052">
        <w:t xml:space="preserve">methods with different spatial resolutions </w:t>
      </w:r>
      <w:r>
        <w:t xml:space="preserve">were used </w:t>
      </w:r>
      <w:r w:rsidRPr="00E83052">
        <w:t xml:space="preserve">to downscale the </w:t>
      </w:r>
      <w:r>
        <w:t>most current GCM findings at that time (</w:t>
      </w:r>
      <w:r w:rsidR="0099509D">
        <w:t>CMIP</w:t>
      </w:r>
      <w:r w:rsidRPr="00E83052">
        <w:t xml:space="preserve"> Phase 3 </w:t>
      </w:r>
      <w:r>
        <w:t>for the first 9505 assessment and</w:t>
      </w:r>
      <w:r w:rsidRPr="00933D4A">
        <w:t xml:space="preserve"> </w:t>
      </w:r>
      <w:r w:rsidR="0099509D">
        <w:t xml:space="preserve">CMIP </w:t>
      </w:r>
      <w:r w:rsidRPr="00E83052">
        <w:t>Phase</w:t>
      </w:r>
      <w:r>
        <w:t xml:space="preserve"> 5</w:t>
      </w:r>
      <w:r w:rsidRPr="00E83052">
        <w:t xml:space="preserve"> </w:t>
      </w:r>
      <w:r>
        <w:t xml:space="preserve">for the second 9505 assessment) </w:t>
      </w:r>
      <w:r w:rsidRPr="00E83052">
        <w:t xml:space="preserve">into watershed-scale hydrologic projections to support </w:t>
      </w:r>
      <w:r>
        <w:t xml:space="preserve">the regional </w:t>
      </w:r>
      <w:r w:rsidRPr="00E83052">
        <w:t xml:space="preserve">hydropower </w:t>
      </w:r>
      <w:r>
        <w:t xml:space="preserve">evaluation. Based on the historical runoff and hydropower generation data, empirical hydropower models were developed to project future annual and seasonal hydropower generation across various PMA study areas to support the power marketing evaluation. </w:t>
      </w:r>
      <w:r w:rsidRPr="00E33F6D">
        <w:t xml:space="preserve">The technical findings were </w:t>
      </w:r>
      <w:r>
        <w:t xml:space="preserve">eventually reviewed by </w:t>
      </w:r>
      <w:r w:rsidRPr="00E33F6D">
        <w:t>federal and state power and water resource managers, climate and hydrologic researchers, and policy analysts</w:t>
      </w:r>
      <w:r>
        <w:t xml:space="preserve">, and were used to support the development of </w:t>
      </w:r>
      <w:r w:rsidRPr="00E33F6D">
        <w:t>DOE report</w:t>
      </w:r>
      <w:r>
        <w:t>s</w:t>
      </w:r>
      <w:r w:rsidRPr="00E33F6D">
        <w:t xml:space="preserve"> to Congress</w:t>
      </w:r>
      <w:r>
        <w:t xml:space="preserve"> (DOE, 2013</w:t>
      </w:r>
      <w:r w:rsidR="0099509D">
        <w:t>,</w:t>
      </w:r>
      <w:r>
        <w:t xml:space="preserve"> 2017)</w:t>
      </w:r>
      <w:r w:rsidRPr="00E33F6D">
        <w:t>.</w:t>
      </w:r>
    </w:p>
    <w:p w14:paraId="4A806709" w14:textId="08B75555" w:rsidR="009C404A" w:rsidRDefault="009C404A" w:rsidP="00A348A7">
      <w:pPr>
        <w:pStyle w:val="BodyText"/>
      </w:pPr>
      <w:r>
        <w:t xml:space="preserve">Unlike the third 9505 assessment, the previous assessments did not use a multimodel assessment framework and therefore only considered GCMs as the sole </w:t>
      </w:r>
      <w:r w:rsidRPr="00B27700">
        <w:t>source of uncertainty</w:t>
      </w:r>
      <w:r>
        <w:t xml:space="preserve">. Results in the previous assessments were also derived from </w:t>
      </w:r>
      <w:r w:rsidRPr="00B27700">
        <w:t>only one downscaling method, one reference meteorological observation, one hydrologic model, and one hydropower model. Although these models were calibrated based on the best available observations, there was no clear approach to discern whether a projected change was caused by the original GCM or by another factor. This lack of clarity could lower the confidence of the assessment findings and lead to a biased interpretation of climate change–induced risks to future federal hydropower generation. Based on extensive consultation with several federal hydropower stakeholder groups, a multimodel assessment framework was hence designed for this study</w:t>
      </w:r>
      <w:r>
        <w:t xml:space="preserve"> which utilizes an ensemble of projections</w:t>
      </w:r>
      <w:r w:rsidRPr="00B27700">
        <w:t>.</w:t>
      </w:r>
      <w:r>
        <w:t xml:space="preserve"> Although the ensemble-based approach may provide more enriched insights, it still does not represent the full range of uncertainties related to all possible modeling choices. The ensemble-based approach adopted in this study serves as an initial example for a systematic analysis of broader uncertainties.</w:t>
      </w:r>
    </w:p>
    <w:p w14:paraId="0B0EC22B" w14:textId="77777777" w:rsidR="00EA4CEF" w:rsidRPr="00C66720" w:rsidRDefault="00EA4CEF" w:rsidP="00A348A7">
      <w:pPr>
        <w:pStyle w:val="Headingnonumber"/>
      </w:pPr>
      <w:r>
        <w:t>Results</w:t>
      </w:r>
    </w:p>
    <w:p w14:paraId="503B8F5C" w14:textId="1BC54640" w:rsidR="00B57C40" w:rsidRDefault="00B57C40" w:rsidP="00A348A7">
      <w:pPr>
        <w:pStyle w:val="BodyText"/>
      </w:pPr>
      <w:r>
        <w:t>The main findings of this study include</w:t>
      </w:r>
      <w:r w:rsidR="00A60F70">
        <w:t xml:space="preserve"> the following</w:t>
      </w:r>
      <w:r>
        <w:t>:</w:t>
      </w:r>
    </w:p>
    <w:p w14:paraId="4139B837" w14:textId="15C90B75" w:rsidR="00776855" w:rsidRPr="00AF59CD" w:rsidRDefault="00776855" w:rsidP="00A348A7">
      <w:pPr>
        <w:pStyle w:val="BulletListspace"/>
        <w:rPr>
          <w:szCs w:val="24"/>
        </w:rPr>
      </w:pPr>
      <w:r>
        <w:rPr>
          <w:lang w:eastAsia="zh-TW"/>
        </w:rPr>
        <w:t xml:space="preserve">Although the six selected GCM projections </w:t>
      </w:r>
      <w:r w:rsidRPr="00C5617A">
        <w:rPr>
          <w:lang w:eastAsia="zh-TW"/>
        </w:rPr>
        <w:t>do</w:t>
      </w:r>
      <w:r w:rsidRPr="00C5617A">
        <w:t xml:space="preserve"> not cover the full range of</w:t>
      </w:r>
      <w:r>
        <w:t xml:space="preserve"> CMIP6 models and emission scenarios</w:t>
      </w:r>
      <w:r w:rsidRPr="00C5617A">
        <w:t xml:space="preserve">, </w:t>
      </w:r>
      <w:r w:rsidR="00AD7C03">
        <w:rPr>
          <w:lang w:eastAsia="zh-TW"/>
        </w:rPr>
        <w:t>their projections are distributed across the median of all models</w:t>
      </w:r>
      <w:r>
        <w:rPr>
          <w:lang w:eastAsia="zh-TW"/>
        </w:rPr>
        <w:t>, suggesting that they are not biased toward any one direction</w:t>
      </w:r>
      <w:r w:rsidR="007820C4">
        <w:rPr>
          <w:lang w:eastAsia="zh-TW"/>
        </w:rPr>
        <w:t xml:space="preserve"> (</w:t>
      </w:r>
      <w:r w:rsidR="007820C4">
        <w:rPr>
          <w:lang w:eastAsia="zh-TW"/>
        </w:rPr>
        <w:fldChar w:fldCharType="begin"/>
      </w:r>
      <w:r w:rsidR="007820C4">
        <w:rPr>
          <w:lang w:eastAsia="zh-TW"/>
        </w:rPr>
        <w:instrText xml:space="preserve"> REF _Ref83636865 \h </w:instrText>
      </w:r>
      <w:r w:rsidR="007820C4">
        <w:rPr>
          <w:lang w:eastAsia="zh-TW"/>
        </w:rPr>
      </w:r>
      <w:r w:rsidR="007820C4">
        <w:rPr>
          <w:lang w:eastAsia="zh-TW"/>
        </w:rPr>
        <w:fldChar w:fldCharType="separate"/>
      </w:r>
      <w:r w:rsidR="00EE0BF5">
        <w:rPr>
          <w:lang w:eastAsia="zh-TW"/>
        </w:rPr>
        <w:t>Figure</w:t>
      </w:r>
      <w:r w:rsidR="00EE0BF5" w:rsidRPr="006869CA">
        <w:rPr>
          <w:lang w:eastAsia="zh-TW"/>
        </w:rPr>
        <w:t xml:space="preserve"> </w:t>
      </w:r>
      <w:r w:rsidR="00EE0BF5">
        <w:rPr>
          <w:lang w:eastAsia="zh-TW"/>
        </w:rPr>
        <w:t>ES.</w:t>
      </w:r>
      <w:r w:rsidR="00EE0BF5">
        <w:rPr>
          <w:noProof/>
          <w:lang w:eastAsia="zh-TW"/>
        </w:rPr>
        <w:t>3</w:t>
      </w:r>
      <w:r w:rsidR="007820C4">
        <w:rPr>
          <w:lang w:eastAsia="zh-TW"/>
        </w:rPr>
        <w:fldChar w:fldCharType="end"/>
      </w:r>
      <w:r w:rsidR="007820C4">
        <w:rPr>
          <w:lang w:eastAsia="zh-TW"/>
        </w:rPr>
        <w:t>)</w:t>
      </w:r>
      <w:r w:rsidRPr="00AF59CD">
        <w:rPr>
          <w:szCs w:val="24"/>
        </w:rPr>
        <w:t xml:space="preserve">. The emission scenario has a clear influence on the projected change of temperature; however, its influence on the projected change of precipitation </w:t>
      </w:r>
      <w:r>
        <w:rPr>
          <w:lang w:eastAsia="zh-TW"/>
        </w:rPr>
        <w:t xml:space="preserve">is less obvious at the </w:t>
      </w:r>
      <w:r w:rsidR="00104F58">
        <w:rPr>
          <w:lang w:eastAsia="zh-TW"/>
        </w:rPr>
        <w:t>conterminous US (</w:t>
      </w:r>
      <w:r>
        <w:rPr>
          <w:lang w:eastAsia="zh-TW"/>
        </w:rPr>
        <w:t>CONUS</w:t>
      </w:r>
      <w:r w:rsidR="00104F58">
        <w:rPr>
          <w:lang w:eastAsia="zh-TW"/>
        </w:rPr>
        <w:t>)</w:t>
      </w:r>
      <w:r>
        <w:rPr>
          <w:lang w:eastAsia="zh-TW"/>
        </w:rPr>
        <w:t xml:space="preserve"> scale in the time frame of interest (till 2059)</w:t>
      </w:r>
      <w:r w:rsidRPr="00AF59CD">
        <w:rPr>
          <w:szCs w:val="24"/>
        </w:rPr>
        <w:t>.</w:t>
      </w:r>
      <w:r w:rsidR="009A3D59">
        <w:rPr>
          <w:szCs w:val="24"/>
        </w:rPr>
        <w:t xml:space="preserve"> In other words, the </w:t>
      </w:r>
      <w:r w:rsidR="009A3D59" w:rsidRPr="009A3D59">
        <w:rPr>
          <w:szCs w:val="24"/>
        </w:rPr>
        <w:t xml:space="preserve">climate states associated with different emission scenarios </w:t>
      </w:r>
      <w:r w:rsidR="009A3D59">
        <w:rPr>
          <w:szCs w:val="24"/>
        </w:rPr>
        <w:t xml:space="preserve">would </w:t>
      </w:r>
      <w:r w:rsidR="009A3D59" w:rsidRPr="009A3D59">
        <w:rPr>
          <w:szCs w:val="24"/>
        </w:rPr>
        <w:t xml:space="preserve">diverge strongly in the second part of the </w:t>
      </w:r>
      <w:r w:rsidR="00FA458A">
        <w:rPr>
          <w:lang w:eastAsia="zh-TW"/>
        </w:rPr>
        <w:t>twenty-first</w:t>
      </w:r>
      <w:r w:rsidR="009A3D59" w:rsidRPr="009A3D59">
        <w:rPr>
          <w:szCs w:val="24"/>
        </w:rPr>
        <w:t xml:space="preserve"> century.</w:t>
      </w:r>
    </w:p>
    <w:p w14:paraId="4B382D9E" w14:textId="0B3882A6" w:rsidR="00766959" w:rsidRDefault="00D40A68" w:rsidP="00A348A7">
      <w:pPr>
        <w:pStyle w:val="FIGUREposition"/>
        <w:rPr>
          <w:rFonts w:eastAsia="Calibri"/>
          <w:szCs w:val="24"/>
        </w:rPr>
      </w:pPr>
      <w:r>
        <w:rPr>
          <w:noProof/>
        </w:rPr>
        <w:lastRenderedPageBreak/>
        <w:drawing>
          <wp:inline distT="0" distB="0" distL="0" distR="0" wp14:anchorId="23A9089B" wp14:editId="3CCF7D53">
            <wp:extent cx="5942330" cy="3771053"/>
            <wp:effectExtent l="0" t="0" r="127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28"/>
                    <a:srcRect t="4809"/>
                    <a:stretch/>
                  </pic:blipFill>
                  <pic:spPr bwMode="auto">
                    <a:xfrm>
                      <a:off x="0" y="0"/>
                      <a:ext cx="5942648" cy="3771255"/>
                    </a:xfrm>
                    <a:prstGeom prst="rect">
                      <a:avLst/>
                    </a:prstGeom>
                    <a:noFill/>
                    <a:ln>
                      <a:noFill/>
                    </a:ln>
                    <a:extLst>
                      <a:ext uri="{53640926-AAD7-44D8-BBD7-CCE9431645EC}">
                        <a14:shadowObscured xmlns:a14="http://schemas.microsoft.com/office/drawing/2010/main"/>
                      </a:ext>
                    </a:extLst>
                  </pic:spPr>
                </pic:pic>
              </a:graphicData>
            </a:graphic>
          </wp:inline>
        </w:drawing>
      </w:r>
    </w:p>
    <w:p w14:paraId="52F17170" w14:textId="1029302F" w:rsidR="00A348A7" w:rsidRPr="00A348A7" w:rsidRDefault="00766959" w:rsidP="00A348A7">
      <w:pPr>
        <w:pStyle w:val="AppendixFigureCaption"/>
        <w:rPr>
          <w:vanish/>
          <w:lang w:eastAsia="zh-TW"/>
          <w:specVanish/>
        </w:rPr>
      </w:pPr>
      <w:bookmarkStart w:id="26" w:name="_Ref83636865"/>
      <w:r>
        <w:rPr>
          <w:lang w:eastAsia="zh-TW"/>
        </w:rPr>
        <w:t>Figure</w:t>
      </w:r>
      <w:r w:rsidRPr="006869CA">
        <w:rPr>
          <w:lang w:eastAsia="zh-TW"/>
        </w:rPr>
        <w:t xml:space="preserve"> </w:t>
      </w:r>
      <w:r>
        <w:rPr>
          <w:lang w:eastAsia="zh-TW"/>
        </w:rPr>
        <w:t>ES.</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3</w:t>
      </w:r>
      <w:r w:rsidRPr="006869CA">
        <w:rPr>
          <w:lang w:eastAsia="zh-TW"/>
        </w:rPr>
        <w:fldChar w:fldCharType="end"/>
      </w:r>
      <w:bookmarkEnd w:id="26"/>
      <w:r w:rsidRPr="006869CA">
        <w:rPr>
          <w:lang w:eastAsia="zh-TW"/>
        </w:rPr>
        <w:t xml:space="preserve">. </w:t>
      </w:r>
      <w:r w:rsidR="00EA0C09">
        <w:rPr>
          <w:rFonts w:eastAsia="PMingLiU"/>
          <w:lang w:eastAsia="zh-TW"/>
        </w:rPr>
        <w:t>A</w:t>
      </w:r>
      <w:r w:rsidRPr="0020715F">
        <w:rPr>
          <w:rFonts w:eastAsia="PMingLiU"/>
          <w:lang w:eastAsia="zh-TW"/>
        </w:rPr>
        <w:t xml:space="preserve">nnual and seasonal </w:t>
      </w:r>
      <w:r w:rsidR="00602425" w:rsidRPr="00C66180">
        <w:rPr>
          <w:lang w:eastAsia="zh-TW"/>
        </w:rPr>
        <w:t xml:space="preserve">CONUS </w:t>
      </w:r>
      <w:r w:rsidRPr="0020715F">
        <w:rPr>
          <w:rFonts w:eastAsia="PMingLiU"/>
          <w:lang w:eastAsia="zh-TW"/>
        </w:rPr>
        <w:t xml:space="preserve">temperature and precipitation changes for </w:t>
      </w:r>
      <w:r>
        <w:rPr>
          <w:rFonts w:eastAsia="PMingLiU"/>
          <w:lang w:eastAsia="zh-TW"/>
        </w:rPr>
        <w:t>98</w:t>
      </w:r>
      <w:r w:rsidRPr="0020715F">
        <w:rPr>
          <w:rFonts w:eastAsia="PMingLiU"/>
          <w:lang w:eastAsia="zh-TW"/>
        </w:rPr>
        <w:t xml:space="preserve"> </w:t>
      </w:r>
      <w:r>
        <w:rPr>
          <w:rFonts w:eastAsia="PMingLiU"/>
          <w:lang w:eastAsia="zh-TW"/>
        </w:rPr>
        <w:t>CMIP6</w:t>
      </w:r>
      <w:r w:rsidRPr="0020715F">
        <w:rPr>
          <w:rFonts w:eastAsia="PMingLiU"/>
          <w:lang w:eastAsia="zh-TW"/>
        </w:rPr>
        <w:t xml:space="preserve"> GCM projections under four emission scenarios (</w:t>
      </w:r>
      <w:r>
        <w:rPr>
          <w:rFonts w:eastAsia="PMingLiU"/>
          <w:lang w:eastAsia="zh-TW"/>
        </w:rPr>
        <w:t>SSP126</w:t>
      </w:r>
      <w:r w:rsidRPr="0020715F">
        <w:rPr>
          <w:rFonts w:eastAsia="PMingLiU"/>
          <w:lang w:eastAsia="zh-TW"/>
        </w:rPr>
        <w:t xml:space="preserve">, </w:t>
      </w:r>
      <w:r>
        <w:rPr>
          <w:rFonts w:eastAsia="PMingLiU"/>
          <w:lang w:eastAsia="zh-TW"/>
        </w:rPr>
        <w:t>SSP245</w:t>
      </w:r>
      <w:r w:rsidRPr="0020715F">
        <w:rPr>
          <w:rFonts w:eastAsia="PMingLiU"/>
          <w:lang w:eastAsia="zh-TW"/>
        </w:rPr>
        <w:t xml:space="preserve">, </w:t>
      </w:r>
      <w:r>
        <w:rPr>
          <w:rFonts w:eastAsia="PMingLiU"/>
          <w:lang w:eastAsia="zh-TW"/>
        </w:rPr>
        <w:t>SSP370</w:t>
      </w:r>
      <w:r w:rsidRPr="0020715F">
        <w:rPr>
          <w:rFonts w:eastAsia="PMingLiU"/>
          <w:lang w:eastAsia="zh-TW"/>
        </w:rPr>
        <w:t xml:space="preserve">, and </w:t>
      </w:r>
      <w:r>
        <w:rPr>
          <w:rFonts w:eastAsia="PMingLiU"/>
          <w:lang w:eastAsia="zh-TW"/>
        </w:rPr>
        <w:t>SSP585)</w:t>
      </w:r>
      <w:r w:rsidR="00823627">
        <w:rPr>
          <w:rFonts w:eastAsia="PMingLiU"/>
          <w:lang w:eastAsia="zh-TW"/>
        </w:rPr>
        <w:t>.</w:t>
      </w:r>
      <w:r w:rsidR="00A922C1" w:rsidRPr="00A922C1">
        <w:rPr>
          <w:lang w:eastAsia="zh-TW"/>
        </w:rPr>
        <w:t xml:space="preserve"> </w:t>
      </w:r>
    </w:p>
    <w:p w14:paraId="6775241D" w14:textId="0C960133" w:rsidR="00766959" w:rsidRPr="006869CA" w:rsidRDefault="00A922C1" w:rsidP="00A348A7">
      <w:pPr>
        <w:pStyle w:val="FigureCaptionSeparator"/>
      </w:pPr>
      <w:r w:rsidRPr="00683C55">
        <w:t>For each GCM projection, the average changes are calculated from the 1980–2019 baseline to the 2020–2059 future period.</w:t>
      </w:r>
    </w:p>
    <w:p w14:paraId="0D6EFA19" w14:textId="67343747" w:rsidR="00AA0F7F" w:rsidRDefault="00AA0F7F" w:rsidP="00A348A7">
      <w:pPr>
        <w:pStyle w:val="BulletListspace"/>
      </w:pPr>
      <w:r w:rsidRPr="003F31C7">
        <w:t>For temperature, all CMIP6 projections showed a consistent increase ranging from 1°F to 6°F across all seasons.</w:t>
      </w:r>
      <w:r>
        <w:t xml:space="preserve"> </w:t>
      </w:r>
      <w:r w:rsidRPr="003F31C7">
        <w:t xml:space="preserve">For precipitation, except for parts of summer and fall, a consistent increase is projected (especially in winter), resulting in </w:t>
      </w:r>
      <w:r>
        <w:t xml:space="preserve">a </w:t>
      </w:r>
      <w:r w:rsidRPr="003F31C7">
        <w:t>net annual precipitation increase across most of the projections (−2% to 8%).</w:t>
      </w:r>
    </w:p>
    <w:p w14:paraId="1C559515" w14:textId="593989B7" w:rsidR="00DB7A27" w:rsidRPr="003F31C7" w:rsidRDefault="00DB7A27" w:rsidP="00A348A7">
      <w:pPr>
        <w:pStyle w:val="BulletListspace"/>
      </w:pPr>
      <w:r>
        <w:t>C</w:t>
      </w:r>
      <w:r w:rsidRPr="00F80083">
        <w:t xml:space="preserve">ertain differences in future hydroclimate projections arise from the choice of downscaling </w:t>
      </w:r>
      <w:r w:rsidR="00AA0F7F">
        <w:t>methods</w:t>
      </w:r>
      <w:r w:rsidR="00AA0F7F" w:rsidRPr="00F80083">
        <w:t xml:space="preserve"> </w:t>
      </w:r>
      <w:r>
        <w:t xml:space="preserve">and </w:t>
      </w:r>
      <w:r w:rsidRPr="00F80083">
        <w:t xml:space="preserve">reference </w:t>
      </w:r>
      <w:r>
        <w:t xml:space="preserve">meteorological </w:t>
      </w:r>
      <w:r w:rsidRPr="00F80083">
        <w:t>observations. These differences are more prominent in extremes than mean variables.</w:t>
      </w:r>
    </w:p>
    <w:p w14:paraId="2A45EA88" w14:textId="2DA421D1" w:rsidR="00766959" w:rsidRDefault="00766959" w:rsidP="00A348A7">
      <w:pPr>
        <w:pStyle w:val="BulletListspace"/>
      </w:pPr>
      <w:r>
        <w:t xml:space="preserve">The total annual </w:t>
      </w:r>
      <w:r w:rsidRPr="00AF59CD">
        <w:t>runoff is projected to increase across the CONUS in both future periods, with a higher magnitude in the mid-term future period (2040</w:t>
      </w:r>
      <w:r>
        <w:t>–</w:t>
      </w:r>
      <w:r w:rsidRPr="00AF59CD">
        <w:t xml:space="preserve">2059). At the seasonal scale, the winter runoff is generally projected to increase across most of the CONUS, especially in the mid-term future period. The spring runoff is also projected to increase in most of the CONUS, but with a decrease projected in California, Lower Colorado, and Rio Grande regions in the near-term </w:t>
      </w:r>
      <w:r w:rsidR="009A3BB4" w:rsidRPr="00AF59CD">
        <w:t>future period</w:t>
      </w:r>
      <w:r w:rsidR="009A3BB4">
        <w:t xml:space="preserve"> </w:t>
      </w:r>
      <w:r w:rsidR="009A3BB4" w:rsidRPr="008C7DC0">
        <w:t>(2020-2039)</w:t>
      </w:r>
      <w:r w:rsidR="009A3BB4" w:rsidRPr="00AF59CD">
        <w:t>. During</w:t>
      </w:r>
      <w:r w:rsidRPr="00AF59CD">
        <w:t xml:space="preserve"> summer, the runoff is projected to decrease across many parts of the CONUS.</w:t>
      </w:r>
    </w:p>
    <w:p w14:paraId="0C1A3D18" w14:textId="6A1EFCE5" w:rsidR="003F31C7" w:rsidRPr="00AF59CD" w:rsidRDefault="003F31C7" w:rsidP="00A348A7">
      <w:pPr>
        <w:pStyle w:val="BulletListspace"/>
      </w:pPr>
      <w:r>
        <w:t>H</w:t>
      </w:r>
      <w:r w:rsidRPr="00A17190">
        <w:t>igh runoff (</w:t>
      </w:r>
      <w:r>
        <w:t>95</w:t>
      </w:r>
      <w:r w:rsidR="00FA458A" w:rsidRPr="00FA458A">
        <w:t>th</w:t>
      </w:r>
      <w:r w:rsidRPr="00A17190">
        <w:t xml:space="preserve"> percentile) is projected to increase </w:t>
      </w:r>
      <w:r>
        <w:t>in the majority of CONUS watersheds; however, low</w:t>
      </w:r>
      <w:r w:rsidRPr="00A17190">
        <w:t xml:space="preserve"> runoff (</w:t>
      </w:r>
      <w:r w:rsidRPr="0000064E">
        <w:t>5</w:t>
      </w:r>
      <w:r w:rsidR="00FA458A" w:rsidRPr="00FA458A">
        <w:t>th</w:t>
      </w:r>
      <w:r w:rsidRPr="00A17190">
        <w:t xml:space="preserve"> percentile of 7-day average) is projected to decrease in the eastern/central and western coastal areas of the CONUS.</w:t>
      </w:r>
      <w:r w:rsidRPr="006C2F96">
        <w:t xml:space="preserve"> </w:t>
      </w:r>
      <w:r w:rsidR="00DB245B" w:rsidRPr="00DB245B">
        <w:t>Regions exhibiting a projected increase in high runoff (and a consequent decrease in low runoff) are the result of an intensified hydrologic cycle under future climate conditions.</w:t>
      </w:r>
    </w:p>
    <w:p w14:paraId="2954CAB5" w14:textId="7A19A74D" w:rsidR="00776855" w:rsidRPr="00776855" w:rsidRDefault="00776855" w:rsidP="00A348A7">
      <w:pPr>
        <w:pStyle w:val="BulletListspace"/>
      </w:pPr>
      <w:r>
        <w:lastRenderedPageBreak/>
        <w:t>At the annual time scale</w:t>
      </w:r>
      <w:r w:rsidR="00DB7A27">
        <w:t xml:space="preserve"> (</w:t>
      </w:r>
      <w:r w:rsidR="00DB7A27">
        <w:fldChar w:fldCharType="begin"/>
      </w:r>
      <w:r w:rsidR="00DB7A27">
        <w:instrText xml:space="preserve"> REF _Ref83636968 \h </w:instrText>
      </w:r>
      <w:r w:rsidR="00A348A7">
        <w:instrText xml:space="preserve"> \* MERGEFORMAT </w:instrText>
      </w:r>
      <w:r w:rsidR="00DB7A27">
        <w:fldChar w:fldCharType="separate"/>
      </w:r>
      <w:r w:rsidR="00EE0BF5">
        <w:rPr>
          <w:lang w:eastAsia="zh-TW"/>
        </w:rPr>
        <w:t>Figure</w:t>
      </w:r>
      <w:r w:rsidR="00EE0BF5" w:rsidRPr="006869CA">
        <w:rPr>
          <w:lang w:eastAsia="zh-TW"/>
        </w:rPr>
        <w:t xml:space="preserve"> </w:t>
      </w:r>
      <w:r w:rsidR="00EE0BF5">
        <w:rPr>
          <w:lang w:eastAsia="zh-TW"/>
        </w:rPr>
        <w:t>ES.</w:t>
      </w:r>
      <w:r w:rsidR="00EE0BF5">
        <w:rPr>
          <w:noProof/>
          <w:lang w:eastAsia="zh-TW"/>
        </w:rPr>
        <w:t>4</w:t>
      </w:r>
      <w:r w:rsidR="00DB7A27">
        <w:fldChar w:fldCharType="end"/>
      </w:r>
      <w:r w:rsidR="00DB7A27">
        <w:t>)</w:t>
      </w:r>
      <w:r>
        <w:t xml:space="preserve">, the total hydropower generation for all PMAs is projected around 120 TWh/year in both near-term (2020–2039) and mid-term (2040–2059) future periods, close to the baseline (1980–2019) level. Most PMAs feature a wider multimodel spread in the mid-term </w:t>
      </w:r>
      <w:r w:rsidR="00AA0F7F">
        <w:t xml:space="preserve">future </w:t>
      </w:r>
      <w:r w:rsidR="00FA458A">
        <w:t xml:space="preserve">period </w:t>
      </w:r>
      <w:r>
        <w:t xml:space="preserve">than </w:t>
      </w:r>
      <w:r w:rsidR="00AA0F7F">
        <w:t xml:space="preserve">in the </w:t>
      </w:r>
      <w:r>
        <w:t>near-term future period, with no obvious change in the ensemble mean.</w:t>
      </w:r>
    </w:p>
    <w:p w14:paraId="4533EF29" w14:textId="6E21965E" w:rsidR="004A4F42" w:rsidRDefault="004A4F42" w:rsidP="00A348A7">
      <w:pPr>
        <w:pStyle w:val="FIGUREposition"/>
        <w:rPr>
          <w:snapToGrid/>
        </w:rPr>
      </w:pPr>
      <w:r>
        <w:rPr>
          <w:noProof/>
        </w:rPr>
        <w:drawing>
          <wp:inline distT="0" distB="0" distL="0" distR="0" wp14:anchorId="19927A47" wp14:editId="476A571A">
            <wp:extent cx="5943600" cy="3962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39E3170" w14:textId="03D08CA2" w:rsidR="00A348A7" w:rsidRPr="00A348A7" w:rsidRDefault="004A4F42" w:rsidP="00A348A7">
      <w:pPr>
        <w:pStyle w:val="AppendixFigureCaption"/>
        <w:rPr>
          <w:vanish/>
          <w:lang w:eastAsia="zh-TW"/>
          <w:specVanish/>
        </w:rPr>
      </w:pPr>
      <w:bookmarkStart w:id="27" w:name="_Ref83636968"/>
      <w:r>
        <w:rPr>
          <w:lang w:eastAsia="zh-TW"/>
        </w:rPr>
        <w:t>Figure</w:t>
      </w:r>
      <w:r w:rsidRPr="006869CA">
        <w:rPr>
          <w:lang w:eastAsia="zh-TW"/>
        </w:rPr>
        <w:t xml:space="preserve"> </w:t>
      </w:r>
      <w:r>
        <w:rPr>
          <w:lang w:eastAsia="zh-TW"/>
        </w:rPr>
        <w:t>ES.</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4</w:t>
      </w:r>
      <w:r w:rsidRPr="006869CA">
        <w:rPr>
          <w:lang w:eastAsia="zh-TW"/>
        </w:rPr>
        <w:fldChar w:fldCharType="end"/>
      </w:r>
      <w:bookmarkEnd w:id="27"/>
      <w:r w:rsidRPr="006869CA">
        <w:rPr>
          <w:lang w:eastAsia="zh-TW"/>
        </w:rPr>
        <w:t xml:space="preserve">. </w:t>
      </w:r>
      <w:r>
        <w:rPr>
          <w:lang w:eastAsia="zh-TW"/>
        </w:rPr>
        <w:t>Projection of annual hydropower generation by PMA.</w:t>
      </w:r>
      <w:r w:rsidR="00061838" w:rsidRPr="00061838">
        <w:rPr>
          <w:lang w:eastAsia="zh-TW"/>
        </w:rPr>
        <w:t xml:space="preserve"> </w:t>
      </w:r>
    </w:p>
    <w:p w14:paraId="746AE36A" w14:textId="18784091" w:rsidR="004A4F42" w:rsidRPr="006869CA" w:rsidRDefault="00061838" w:rsidP="00A348A7">
      <w:pPr>
        <w:pStyle w:val="FigureCaptionSeparator"/>
      </w:pPr>
      <w:r>
        <w:t>E</w:t>
      </w:r>
      <w:r w:rsidRPr="00061838">
        <w:t>ach horizontal bar is a composite of 96 smaller bars for each hydropower projection, sorted in descending order, from top to bottom.</w:t>
      </w:r>
    </w:p>
    <w:p w14:paraId="027DA6FE" w14:textId="7E3C4FF1" w:rsidR="00DB7A27" w:rsidRDefault="003E481C" w:rsidP="00A348A7">
      <w:pPr>
        <w:pStyle w:val="BulletListspace"/>
        <w:rPr>
          <w:szCs w:val="24"/>
        </w:rPr>
      </w:pPr>
      <w:r>
        <w:t xml:space="preserve">At the seasonal time scale, </w:t>
      </w:r>
      <w:r w:rsidRPr="00CE5BFA">
        <w:t>the majority of models project</w:t>
      </w:r>
      <w:r w:rsidR="00470D6C">
        <w:t>ed</w:t>
      </w:r>
      <w:r w:rsidRPr="00CE5BFA">
        <w:t xml:space="preserve"> increasing generation in winter and spring, and decreasing generation in summer and fall</w:t>
      </w:r>
      <w:r>
        <w:t xml:space="preserve"> in both near-term and mid-term </w:t>
      </w:r>
      <w:r w:rsidR="00470D6C">
        <w:rPr>
          <w:szCs w:val="24"/>
        </w:rPr>
        <w:t xml:space="preserve">future </w:t>
      </w:r>
      <w:r>
        <w:t>periods</w:t>
      </w:r>
      <w:r w:rsidRPr="00CE5BFA">
        <w:t>. Such a result is mainly governed by the projected change</w:t>
      </w:r>
      <w:r>
        <w:t>s</w:t>
      </w:r>
      <w:r w:rsidRPr="00CE5BFA">
        <w:t xml:space="preserve"> in </w:t>
      </w:r>
      <w:r>
        <w:t xml:space="preserve">BPA and WAPA </w:t>
      </w:r>
      <w:r w:rsidRPr="00CE5BFA">
        <w:t>caused by the earlier snowmelt and changing runoff seasonality</w:t>
      </w:r>
      <w:r w:rsidR="00DB7A27">
        <w:t>.</w:t>
      </w:r>
    </w:p>
    <w:p w14:paraId="297C21B6" w14:textId="1A51DFA9" w:rsidR="00DB7A27" w:rsidRDefault="00DB7A27" w:rsidP="00A348A7">
      <w:pPr>
        <w:pStyle w:val="BulletListspace"/>
        <w:rPr>
          <w:szCs w:val="24"/>
        </w:rPr>
      </w:pPr>
      <w:r w:rsidRPr="00AF59CD">
        <w:rPr>
          <w:szCs w:val="24"/>
        </w:rPr>
        <w:t xml:space="preserve">Aggregated over all PMAs, annual streamflow </w:t>
      </w:r>
      <w:r w:rsidR="00AA0F7F">
        <w:rPr>
          <w:szCs w:val="24"/>
        </w:rPr>
        <w:t xml:space="preserve">is projected to increase by 9%, </w:t>
      </w:r>
      <w:r w:rsidRPr="00AF59CD">
        <w:rPr>
          <w:szCs w:val="24"/>
        </w:rPr>
        <w:t xml:space="preserve">and hydropower generation </w:t>
      </w:r>
      <w:r w:rsidR="00AA0F7F">
        <w:rPr>
          <w:szCs w:val="24"/>
        </w:rPr>
        <w:t xml:space="preserve">is </w:t>
      </w:r>
      <w:r w:rsidRPr="00AF59CD">
        <w:rPr>
          <w:szCs w:val="24"/>
        </w:rPr>
        <w:t>projected to increase by about 4%. More specifically, the BPA annual natural streamflow is projected to increase by 8%</w:t>
      </w:r>
      <w:r w:rsidR="00AA0F7F">
        <w:rPr>
          <w:szCs w:val="24"/>
        </w:rPr>
        <w:t>,</w:t>
      </w:r>
      <w:r w:rsidRPr="00AF59CD">
        <w:rPr>
          <w:szCs w:val="24"/>
        </w:rPr>
        <w:t xml:space="preserve"> </w:t>
      </w:r>
      <w:r w:rsidR="00AA0F7F">
        <w:rPr>
          <w:szCs w:val="24"/>
        </w:rPr>
        <w:t xml:space="preserve">and </w:t>
      </w:r>
      <w:r w:rsidRPr="00AF59CD">
        <w:rPr>
          <w:szCs w:val="24"/>
        </w:rPr>
        <w:t xml:space="preserve">hydropower </w:t>
      </w:r>
      <w:r w:rsidR="00AA0F7F">
        <w:rPr>
          <w:szCs w:val="24"/>
        </w:rPr>
        <w:t xml:space="preserve">generation </w:t>
      </w:r>
      <w:r w:rsidRPr="00AF59CD">
        <w:rPr>
          <w:szCs w:val="24"/>
        </w:rPr>
        <w:t xml:space="preserve">is projected to increase by 2%. In WAPA, streamflow is projected to increase </w:t>
      </w:r>
      <w:r w:rsidR="0014626D">
        <w:rPr>
          <w:szCs w:val="24"/>
        </w:rPr>
        <w:t xml:space="preserve">by </w:t>
      </w:r>
      <w:r w:rsidRPr="00AF59CD">
        <w:rPr>
          <w:szCs w:val="24"/>
        </w:rPr>
        <w:t>11%</w:t>
      </w:r>
      <w:r w:rsidR="00AA0F7F">
        <w:rPr>
          <w:szCs w:val="24"/>
        </w:rPr>
        <w:t>,</w:t>
      </w:r>
      <w:r w:rsidRPr="00AF59CD">
        <w:rPr>
          <w:szCs w:val="24"/>
        </w:rPr>
        <w:t xml:space="preserve"> </w:t>
      </w:r>
      <w:r w:rsidR="00AA0F7F">
        <w:rPr>
          <w:szCs w:val="24"/>
        </w:rPr>
        <w:t xml:space="preserve">and </w:t>
      </w:r>
      <w:r w:rsidRPr="00AF59CD">
        <w:rPr>
          <w:szCs w:val="24"/>
        </w:rPr>
        <w:t xml:space="preserve">hydropower </w:t>
      </w:r>
      <w:r w:rsidR="00AA0F7F">
        <w:rPr>
          <w:szCs w:val="24"/>
        </w:rPr>
        <w:t xml:space="preserve">generation </w:t>
      </w:r>
      <w:r w:rsidRPr="00AF59CD">
        <w:rPr>
          <w:szCs w:val="24"/>
        </w:rPr>
        <w:t xml:space="preserve">is projected to increase by 7%. In SWPA, streamflow is projected to increase </w:t>
      </w:r>
      <w:r w:rsidR="0014626D">
        <w:rPr>
          <w:szCs w:val="24"/>
        </w:rPr>
        <w:t xml:space="preserve">by </w:t>
      </w:r>
      <w:r w:rsidRPr="00AF59CD">
        <w:rPr>
          <w:szCs w:val="24"/>
        </w:rPr>
        <w:t>4%</w:t>
      </w:r>
      <w:r w:rsidR="00AA0F7F">
        <w:rPr>
          <w:szCs w:val="24"/>
        </w:rPr>
        <w:t>,</w:t>
      </w:r>
      <w:r w:rsidRPr="00AF59CD">
        <w:rPr>
          <w:szCs w:val="24"/>
        </w:rPr>
        <w:t xml:space="preserve"> </w:t>
      </w:r>
      <w:r w:rsidR="00AA0F7F">
        <w:rPr>
          <w:szCs w:val="24"/>
        </w:rPr>
        <w:t xml:space="preserve">and </w:t>
      </w:r>
      <w:r w:rsidRPr="00AF59CD">
        <w:rPr>
          <w:szCs w:val="24"/>
        </w:rPr>
        <w:t xml:space="preserve">hydropower </w:t>
      </w:r>
      <w:r w:rsidR="00AA0F7F">
        <w:rPr>
          <w:szCs w:val="24"/>
        </w:rPr>
        <w:t xml:space="preserve">generation </w:t>
      </w:r>
      <w:r w:rsidRPr="00AF59CD">
        <w:rPr>
          <w:szCs w:val="24"/>
        </w:rPr>
        <w:t xml:space="preserve">is projected to increase by 3%. In SEPA, streamflow is projected to increase </w:t>
      </w:r>
      <w:r w:rsidR="0014626D">
        <w:rPr>
          <w:szCs w:val="24"/>
        </w:rPr>
        <w:t xml:space="preserve">by </w:t>
      </w:r>
      <w:r w:rsidRPr="00AF59CD">
        <w:rPr>
          <w:szCs w:val="24"/>
        </w:rPr>
        <w:t>9%</w:t>
      </w:r>
      <w:r w:rsidR="00AA0F7F">
        <w:rPr>
          <w:szCs w:val="24"/>
        </w:rPr>
        <w:t>,</w:t>
      </w:r>
      <w:r w:rsidRPr="00AF59CD">
        <w:rPr>
          <w:szCs w:val="24"/>
        </w:rPr>
        <w:t xml:space="preserve"> </w:t>
      </w:r>
      <w:r w:rsidR="00AA0F7F">
        <w:rPr>
          <w:szCs w:val="24"/>
        </w:rPr>
        <w:t xml:space="preserve">and </w:t>
      </w:r>
      <w:r w:rsidRPr="00AF59CD">
        <w:rPr>
          <w:szCs w:val="24"/>
        </w:rPr>
        <w:t xml:space="preserve">hydropower </w:t>
      </w:r>
      <w:r w:rsidR="00AA0F7F">
        <w:rPr>
          <w:szCs w:val="24"/>
        </w:rPr>
        <w:t xml:space="preserve">generation </w:t>
      </w:r>
      <w:r w:rsidRPr="00AF59CD">
        <w:rPr>
          <w:szCs w:val="24"/>
        </w:rPr>
        <w:t xml:space="preserve">is projected to increase by 7%. </w:t>
      </w:r>
      <w:r w:rsidR="009A3BB4" w:rsidRPr="00AF59CD">
        <w:rPr>
          <w:szCs w:val="24"/>
        </w:rPr>
        <w:t xml:space="preserve">At the seasonal scale, increased streamflow and hydropower are projected to </w:t>
      </w:r>
      <w:r w:rsidR="009A3BB4">
        <w:rPr>
          <w:szCs w:val="24"/>
        </w:rPr>
        <w:t>reach a higher level and output</w:t>
      </w:r>
      <w:r w:rsidR="009A3BB4" w:rsidRPr="00AF59CD">
        <w:rPr>
          <w:szCs w:val="24"/>
        </w:rPr>
        <w:t xml:space="preserve"> in most seasons and regions, except </w:t>
      </w:r>
      <w:r w:rsidR="00DD4401">
        <w:rPr>
          <w:szCs w:val="24"/>
        </w:rPr>
        <w:t xml:space="preserve">for </w:t>
      </w:r>
      <w:r w:rsidR="009A3BB4" w:rsidRPr="00AF59CD">
        <w:rPr>
          <w:szCs w:val="24"/>
        </w:rPr>
        <w:t>summer in BPA</w:t>
      </w:r>
      <w:r w:rsidR="009A3BB4">
        <w:rPr>
          <w:szCs w:val="24"/>
        </w:rPr>
        <w:t>,</w:t>
      </w:r>
      <w:r w:rsidR="009A3BB4" w:rsidRPr="00AF59CD">
        <w:rPr>
          <w:szCs w:val="24"/>
        </w:rPr>
        <w:t xml:space="preserve"> where the flow is </w:t>
      </w:r>
      <w:r w:rsidR="00D36BA6">
        <w:rPr>
          <w:szCs w:val="24"/>
        </w:rPr>
        <w:t>projected</w:t>
      </w:r>
      <w:r w:rsidR="009A3BB4" w:rsidRPr="00AF59CD">
        <w:rPr>
          <w:szCs w:val="24"/>
        </w:rPr>
        <w:t xml:space="preserve"> to reduce </w:t>
      </w:r>
      <w:r w:rsidR="009A3BB4">
        <w:rPr>
          <w:szCs w:val="24"/>
        </w:rPr>
        <w:t xml:space="preserve">by </w:t>
      </w:r>
      <w:r w:rsidR="009A3BB4" w:rsidRPr="00AF59CD">
        <w:rPr>
          <w:szCs w:val="24"/>
        </w:rPr>
        <w:t>8%</w:t>
      </w:r>
      <w:r w:rsidRPr="00AF59CD">
        <w:rPr>
          <w:szCs w:val="24"/>
        </w:rPr>
        <w:t xml:space="preserve">, which is projected to lead to a 4% decrease in summer hydropower generation. The spreads of annual and seasonal relative changes in both natural flow and hydropower are generally smaller in BPA and WAPA than in SWPA and SEPA. This </w:t>
      </w:r>
      <w:r w:rsidR="00AA0F7F">
        <w:rPr>
          <w:szCs w:val="24"/>
        </w:rPr>
        <w:t xml:space="preserve">difference </w:t>
      </w:r>
      <w:r w:rsidRPr="00AF59CD">
        <w:rPr>
          <w:szCs w:val="24"/>
        </w:rPr>
        <w:t xml:space="preserve">may </w:t>
      </w:r>
      <w:r>
        <w:rPr>
          <w:szCs w:val="24"/>
        </w:rPr>
        <w:t xml:space="preserve">be </w:t>
      </w:r>
      <w:r w:rsidR="00AA0F7F">
        <w:rPr>
          <w:szCs w:val="24"/>
        </w:rPr>
        <w:t xml:space="preserve">influenced by </w:t>
      </w:r>
      <w:r w:rsidRPr="00AF59CD">
        <w:rPr>
          <w:szCs w:val="24"/>
        </w:rPr>
        <w:t xml:space="preserve">the different reservoir features in </w:t>
      </w:r>
      <w:r w:rsidR="00AA0F7F">
        <w:rPr>
          <w:szCs w:val="24"/>
        </w:rPr>
        <w:t>those</w:t>
      </w:r>
      <w:r w:rsidR="00AA0F7F" w:rsidRPr="00AF59CD">
        <w:rPr>
          <w:szCs w:val="24"/>
        </w:rPr>
        <w:t xml:space="preserve"> </w:t>
      </w:r>
      <w:r w:rsidRPr="00AF59CD">
        <w:rPr>
          <w:szCs w:val="24"/>
        </w:rPr>
        <w:t>PMA regions.</w:t>
      </w:r>
    </w:p>
    <w:p w14:paraId="3238489E" w14:textId="071AC2C1" w:rsidR="00DA1D85" w:rsidRPr="00AF59CD" w:rsidRDefault="00DA1D85" w:rsidP="00A348A7">
      <w:pPr>
        <w:pStyle w:val="BulletListspace"/>
        <w:rPr>
          <w:szCs w:val="24"/>
        </w:rPr>
      </w:pPr>
      <w:r w:rsidRPr="00AF59CD">
        <w:rPr>
          <w:szCs w:val="24"/>
        </w:rPr>
        <w:lastRenderedPageBreak/>
        <w:t xml:space="preserve">More severe reservoir evaporation losses are projected to occur during the mid-term future period (2040–2059) than the near-term future period (2020–2039). The evaporation loss growth rate in the arid/semi-arid </w:t>
      </w:r>
      <w:r w:rsidR="00AA0F7F" w:rsidRPr="00AF59CD">
        <w:rPr>
          <w:szCs w:val="24"/>
        </w:rPr>
        <w:t xml:space="preserve">Western </w:t>
      </w:r>
      <w:r w:rsidR="00AA0F7F">
        <w:rPr>
          <w:szCs w:val="24"/>
        </w:rPr>
        <w:t>United States</w:t>
      </w:r>
      <w:r w:rsidR="00AA0F7F" w:rsidRPr="00AF59CD">
        <w:rPr>
          <w:szCs w:val="24"/>
        </w:rPr>
        <w:t xml:space="preserve"> </w:t>
      </w:r>
      <w:r w:rsidRPr="00AF59CD">
        <w:rPr>
          <w:szCs w:val="24"/>
        </w:rPr>
        <w:t xml:space="preserve">is much higher than that in the </w:t>
      </w:r>
      <w:r w:rsidR="006C6778">
        <w:rPr>
          <w:szCs w:val="24"/>
        </w:rPr>
        <w:t>e</w:t>
      </w:r>
      <w:r w:rsidR="00AA0F7F" w:rsidRPr="00AF59CD">
        <w:rPr>
          <w:szCs w:val="24"/>
        </w:rPr>
        <w:t xml:space="preserve">astern </w:t>
      </w:r>
      <w:r w:rsidR="00AA0F7F">
        <w:rPr>
          <w:szCs w:val="24"/>
        </w:rPr>
        <w:t>United States</w:t>
      </w:r>
      <w:r w:rsidRPr="00AF59CD">
        <w:rPr>
          <w:szCs w:val="24"/>
        </w:rPr>
        <w:t>, which is expected to worsen hydrological drought conditions in the future.</w:t>
      </w:r>
    </w:p>
    <w:p w14:paraId="395FF59F" w14:textId="28AE28A7" w:rsidR="00776855" w:rsidRDefault="00DA1D85" w:rsidP="00A348A7">
      <w:pPr>
        <w:pStyle w:val="BulletListspace"/>
        <w:rPr>
          <w:szCs w:val="24"/>
        </w:rPr>
      </w:pPr>
      <w:r w:rsidRPr="00AF59CD">
        <w:rPr>
          <w:szCs w:val="24"/>
        </w:rPr>
        <w:t xml:space="preserve">The projected increase in average temperature, which yields a lower number of </w:t>
      </w:r>
      <w:r w:rsidR="00C67DAE" w:rsidRPr="003D6F00">
        <w:rPr>
          <w:rFonts w:eastAsia="Times New Roman"/>
        </w:rPr>
        <w:t>heating degree days</w:t>
      </w:r>
      <w:r w:rsidR="00C67DAE" w:rsidRPr="00AF59CD">
        <w:rPr>
          <w:szCs w:val="24"/>
        </w:rPr>
        <w:t xml:space="preserve"> </w:t>
      </w:r>
      <w:r w:rsidRPr="00AF59CD">
        <w:rPr>
          <w:szCs w:val="24"/>
        </w:rPr>
        <w:t xml:space="preserve">(lower demand for heating) in the winter months and a higher number of </w:t>
      </w:r>
      <w:r w:rsidR="00C67DAE">
        <w:rPr>
          <w:rFonts w:eastAsia="Times New Roman"/>
        </w:rPr>
        <w:t>cooling</w:t>
      </w:r>
      <w:r w:rsidR="00C67DAE" w:rsidRPr="003D6F00">
        <w:rPr>
          <w:rFonts w:eastAsia="Times New Roman"/>
        </w:rPr>
        <w:t xml:space="preserve"> degree days</w:t>
      </w:r>
      <w:r w:rsidR="00C67DAE" w:rsidRPr="00AF59CD">
        <w:rPr>
          <w:szCs w:val="24"/>
        </w:rPr>
        <w:t xml:space="preserve"> </w:t>
      </w:r>
      <w:r w:rsidR="00C67DAE">
        <w:rPr>
          <w:szCs w:val="24"/>
        </w:rPr>
        <w:t>(</w:t>
      </w:r>
      <w:r w:rsidR="00C67DAE" w:rsidRPr="00AF59CD">
        <w:rPr>
          <w:szCs w:val="24"/>
        </w:rPr>
        <w:t>more demand for cooling</w:t>
      </w:r>
      <w:r w:rsidR="00C67DAE">
        <w:rPr>
          <w:szCs w:val="24"/>
        </w:rPr>
        <w:t xml:space="preserve">) </w:t>
      </w:r>
      <w:r w:rsidRPr="00AF59CD">
        <w:rPr>
          <w:szCs w:val="24"/>
        </w:rPr>
        <w:t xml:space="preserve">in the summer months, results in projected decreases in the electricity sales of PMA preference customers to their end customers in the winter and increased sales in the summer. </w:t>
      </w:r>
      <w:r w:rsidR="009A3BB4" w:rsidRPr="00AF59CD">
        <w:rPr>
          <w:szCs w:val="24"/>
        </w:rPr>
        <w:t xml:space="preserve">There is more variability for the expected response of sales across the PMAs to </w:t>
      </w:r>
      <w:r w:rsidR="009A3BB4">
        <w:rPr>
          <w:rFonts w:eastAsia="Times New Roman"/>
        </w:rPr>
        <w:t>cooling</w:t>
      </w:r>
      <w:r w:rsidR="009A3BB4" w:rsidRPr="003D6F00">
        <w:rPr>
          <w:rFonts w:eastAsia="Times New Roman"/>
        </w:rPr>
        <w:t xml:space="preserve"> degree days</w:t>
      </w:r>
      <w:r w:rsidR="009A3BB4" w:rsidRPr="00AF59CD">
        <w:rPr>
          <w:szCs w:val="24"/>
        </w:rPr>
        <w:t xml:space="preserve"> than </w:t>
      </w:r>
      <w:r w:rsidR="00494EAB">
        <w:rPr>
          <w:szCs w:val="24"/>
        </w:rPr>
        <w:t xml:space="preserve">to </w:t>
      </w:r>
      <w:r w:rsidR="009A3BB4" w:rsidRPr="003D6F00">
        <w:rPr>
          <w:rFonts w:eastAsia="Times New Roman"/>
        </w:rPr>
        <w:t>heating degree days</w:t>
      </w:r>
      <w:r w:rsidR="009A3BB4" w:rsidRPr="00AF59CD">
        <w:rPr>
          <w:szCs w:val="24"/>
        </w:rPr>
        <w:t>. SWPA and WAPA</w:t>
      </w:r>
      <w:r w:rsidR="00AA0F7F">
        <w:rPr>
          <w:szCs w:val="24"/>
        </w:rPr>
        <w:t>–</w:t>
      </w:r>
      <w:r w:rsidR="00C67DAE" w:rsidRPr="003D6F00">
        <w:rPr>
          <w:rFonts w:eastAsia="Times New Roman"/>
        </w:rPr>
        <w:t>Desert Southwest</w:t>
      </w:r>
      <w:r w:rsidR="00C67DAE" w:rsidRPr="00AF59CD">
        <w:rPr>
          <w:szCs w:val="24"/>
        </w:rPr>
        <w:t xml:space="preserve"> </w:t>
      </w:r>
      <w:r w:rsidRPr="00AF59CD">
        <w:rPr>
          <w:szCs w:val="24"/>
        </w:rPr>
        <w:t xml:space="preserve">stand out as having the strongest projected increase in summer electricity sales </w:t>
      </w:r>
      <w:r w:rsidR="00AA0F7F">
        <w:rPr>
          <w:szCs w:val="24"/>
        </w:rPr>
        <w:t xml:space="preserve">because of </w:t>
      </w:r>
      <w:r w:rsidRPr="00AF59CD">
        <w:rPr>
          <w:szCs w:val="24"/>
        </w:rPr>
        <w:t xml:space="preserve">higher </w:t>
      </w:r>
      <w:r w:rsidR="00AA0F7F">
        <w:rPr>
          <w:rFonts w:eastAsia="Times New Roman"/>
        </w:rPr>
        <w:t>cooling</w:t>
      </w:r>
      <w:r w:rsidR="00AA0F7F" w:rsidRPr="003D6F00">
        <w:rPr>
          <w:rFonts w:eastAsia="Times New Roman"/>
        </w:rPr>
        <w:t xml:space="preserve"> degree days</w:t>
      </w:r>
      <w:r w:rsidRPr="00AF59CD">
        <w:rPr>
          <w:szCs w:val="24"/>
        </w:rPr>
        <w:t xml:space="preserve"> across all PMAs.</w:t>
      </w:r>
    </w:p>
    <w:p w14:paraId="13569005" w14:textId="763D38E4" w:rsidR="00DA1D85" w:rsidRDefault="008D095A" w:rsidP="00A348A7">
      <w:pPr>
        <w:pStyle w:val="BulletListspace"/>
        <w:rPr>
          <w:szCs w:val="24"/>
        </w:rPr>
      </w:pPr>
      <w:r w:rsidRPr="00AF59CD">
        <w:rPr>
          <w:szCs w:val="24"/>
        </w:rPr>
        <w:t xml:space="preserve">PMA preference customers will likely want to increase the fraction of their federal hydropower allocation </w:t>
      </w:r>
      <w:r>
        <w:rPr>
          <w:szCs w:val="24"/>
        </w:rPr>
        <w:t xml:space="preserve">that </w:t>
      </w:r>
      <w:r w:rsidRPr="00AF59CD">
        <w:rPr>
          <w:szCs w:val="24"/>
        </w:rPr>
        <w:t xml:space="preserve">they receive during the summer season―to the extent allowed in their contracts with the PMAs. Having operational flexibility to shift the water allocation timing and volume from the winter to the summer months would be highly valuable for all PMAs, </w:t>
      </w:r>
      <w:r>
        <w:rPr>
          <w:szCs w:val="24"/>
        </w:rPr>
        <w:t xml:space="preserve">and </w:t>
      </w:r>
      <w:r w:rsidRPr="00AF59CD">
        <w:rPr>
          <w:szCs w:val="24"/>
        </w:rPr>
        <w:t xml:space="preserve">particularly BPA. </w:t>
      </w:r>
      <w:r>
        <w:rPr>
          <w:szCs w:val="24"/>
        </w:rPr>
        <w:t xml:space="preserve">However, in federal multipurpose water resource projects, hydropower is typically not the highest priority purpose and the flexibility to change water allocation timing in response to changes in PMA customer demand is very limited. </w:t>
      </w:r>
      <w:r w:rsidRPr="00AF59CD">
        <w:rPr>
          <w:szCs w:val="24"/>
        </w:rPr>
        <w:t xml:space="preserve">WAPA and BPA have recently taken an active interest in considering and formally joining the regional western energy imbalance markets or </w:t>
      </w:r>
      <w:r w:rsidRPr="005E482E">
        <w:rPr>
          <w:rFonts w:eastAsia="Times New Roman"/>
        </w:rPr>
        <w:t>independent system operator</w:t>
      </w:r>
      <w:r>
        <w:rPr>
          <w:rFonts w:eastAsia="Times New Roman"/>
        </w:rPr>
        <w:t>s</w:t>
      </w:r>
      <w:r w:rsidRPr="00AF59CD">
        <w:rPr>
          <w:szCs w:val="24"/>
        </w:rPr>
        <w:t>/</w:t>
      </w:r>
      <w:r w:rsidRPr="00205B66">
        <w:rPr>
          <w:rFonts w:eastAsia="Times New Roman"/>
        </w:rPr>
        <w:t>regional transmission organization</w:t>
      </w:r>
      <w:r>
        <w:rPr>
          <w:rFonts w:eastAsia="Times New Roman"/>
        </w:rPr>
        <w:t>s</w:t>
      </w:r>
      <w:r w:rsidRPr="00AF59CD">
        <w:rPr>
          <w:szCs w:val="24"/>
        </w:rPr>
        <w:t xml:space="preserve"> to optimize replacement power purchases/surplus power sales and minimize the costly impacts </w:t>
      </w:r>
      <w:r>
        <w:rPr>
          <w:szCs w:val="24"/>
        </w:rPr>
        <w:t xml:space="preserve">of </w:t>
      </w:r>
      <w:r w:rsidRPr="00AF59CD">
        <w:rPr>
          <w:szCs w:val="24"/>
        </w:rPr>
        <w:t>limited water supply (e.g.</w:t>
      </w:r>
      <w:r>
        <w:rPr>
          <w:szCs w:val="24"/>
        </w:rPr>
        <w:t>,</w:t>
      </w:r>
      <w:r w:rsidRPr="00AF59CD">
        <w:rPr>
          <w:szCs w:val="24"/>
        </w:rPr>
        <w:t xml:space="preserve"> low streamflow period, other non-power reservoir constraints, forced outages/maintenance period) and increased load</w:t>
      </w:r>
      <w:r w:rsidR="00DA1D85" w:rsidRPr="00AF59CD">
        <w:rPr>
          <w:szCs w:val="24"/>
        </w:rPr>
        <w:t>.</w:t>
      </w:r>
    </w:p>
    <w:p w14:paraId="343194CD" w14:textId="463EC8D2" w:rsidR="00DE35F7" w:rsidRDefault="00776855" w:rsidP="00A348A7">
      <w:pPr>
        <w:pStyle w:val="BulletListspace"/>
        <w:rPr>
          <w:szCs w:val="24"/>
        </w:rPr>
      </w:pPr>
      <w:r w:rsidRPr="00AF59CD">
        <w:rPr>
          <w:szCs w:val="24"/>
        </w:rPr>
        <w:t>An analysis of variance was used in this assessment to quantify the relative contribution of uncertainties in ensemble projections arising from different modeling choices (main factors) and their interactions.</w:t>
      </w:r>
      <w:r>
        <w:rPr>
          <w:szCs w:val="24"/>
        </w:rPr>
        <w:t xml:space="preserve"> </w:t>
      </w:r>
      <w:r w:rsidRPr="00776855">
        <w:rPr>
          <w:szCs w:val="24"/>
        </w:rPr>
        <w:t xml:space="preserve">Specifically for runoff and generation, the selection of </w:t>
      </w:r>
      <w:r w:rsidR="00104F58">
        <w:rPr>
          <w:szCs w:val="24"/>
        </w:rPr>
        <w:t>climate model</w:t>
      </w:r>
      <w:r w:rsidRPr="00776855">
        <w:rPr>
          <w:szCs w:val="24"/>
        </w:rPr>
        <w:t xml:space="preserve"> remains the dominant factor in many parts of the CONUS, but the role of </w:t>
      </w:r>
      <w:r w:rsidR="00D97479">
        <w:rPr>
          <w:szCs w:val="24"/>
        </w:rPr>
        <w:t xml:space="preserve">hydrologic </w:t>
      </w:r>
      <w:r w:rsidRPr="00776855">
        <w:rPr>
          <w:szCs w:val="24"/>
        </w:rPr>
        <w:t xml:space="preserve">and </w:t>
      </w:r>
      <w:r w:rsidR="00D97479">
        <w:rPr>
          <w:szCs w:val="24"/>
        </w:rPr>
        <w:t xml:space="preserve">hydropower models </w:t>
      </w:r>
      <w:r w:rsidRPr="00776855">
        <w:rPr>
          <w:szCs w:val="24"/>
        </w:rPr>
        <w:t xml:space="preserve">(along with other factors) can be more important in some locations and seasons. This </w:t>
      </w:r>
      <w:r w:rsidR="009B31CD" w:rsidRPr="00AF59CD">
        <w:rPr>
          <w:szCs w:val="24"/>
        </w:rPr>
        <w:t xml:space="preserve">analysis </w:t>
      </w:r>
      <w:r w:rsidRPr="00776855">
        <w:rPr>
          <w:szCs w:val="24"/>
        </w:rPr>
        <w:t>addresses the needs for a comprehensive evaluation across all components in the modeling chain for a more informed hydroclimate impact assessment</w:t>
      </w:r>
      <w:r w:rsidR="00954F44">
        <w:rPr>
          <w:szCs w:val="24"/>
        </w:rPr>
        <w:t>.</w:t>
      </w:r>
    </w:p>
    <w:p w14:paraId="0AD543CE" w14:textId="5A49EE5A" w:rsidR="005E1ABD" w:rsidRPr="00C66720" w:rsidRDefault="00642B66" w:rsidP="00A348A7">
      <w:pPr>
        <w:pStyle w:val="Headingnonumber"/>
      </w:pPr>
      <w:r w:rsidRPr="00642B66">
        <w:t xml:space="preserve">Overview of </w:t>
      </w:r>
      <w:r w:rsidR="00925971" w:rsidRPr="00642B66">
        <w:t>Potential Risks</w:t>
      </w:r>
    </w:p>
    <w:p w14:paraId="08D84455" w14:textId="7ABD6A92" w:rsidR="00642B66" w:rsidRDefault="00642B66" w:rsidP="00A348A7">
      <w:pPr>
        <w:pStyle w:val="BodyText"/>
      </w:pPr>
      <w:r>
        <w:t>Overall, several potential risks that may impact the resilience of future federal hydropower generation were identified. They include</w:t>
      </w:r>
      <w:r w:rsidR="00494EAB" w:rsidRPr="00494EAB">
        <w:t xml:space="preserve"> </w:t>
      </w:r>
      <w:r w:rsidR="00494EAB">
        <w:t>the following</w:t>
      </w:r>
      <w:r>
        <w:t>:</w:t>
      </w:r>
    </w:p>
    <w:p w14:paraId="6838A5DD" w14:textId="4AA280EE" w:rsidR="00642B66" w:rsidRDefault="00642B66" w:rsidP="00A348A7">
      <w:pPr>
        <w:pStyle w:val="BulletListspace"/>
        <w:rPr>
          <w:szCs w:val="24"/>
        </w:rPr>
      </w:pPr>
      <w:r w:rsidRPr="00642B66">
        <w:rPr>
          <w:b/>
          <w:bCs/>
        </w:rPr>
        <w:t>Hydrologic extremes</w:t>
      </w:r>
      <w:r>
        <w:t>: T</w:t>
      </w:r>
      <w:r w:rsidRPr="00FA505D">
        <w:t>he intensification of future hydrologic cycle</w:t>
      </w:r>
      <w:r w:rsidR="006900AF">
        <w:t>s</w:t>
      </w:r>
      <w:r w:rsidRPr="00FA505D">
        <w:t xml:space="preserve"> and extreme events is one</w:t>
      </w:r>
      <w:r>
        <w:t xml:space="preserve"> of the</w:t>
      </w:r>
      <w:r w:rsidRPr="00FA505D">
        <w:t xml:space="preserve"> most critical issue</w:t>
      </w:r>
      <w:r>
        <w:t>s</w:t>
      </w:r>
      <w:r w:rsidRPr="00FA505D">
        <w:t xml:space="preserve"> threatening the resilience of</w:t>
      </w:r>
      <w:r>
        <w:t xml:space="preserve"> power systems</w:t>
      </w:r>
      <w:r w:rsidRPr="00FA505D">
        <w:t xml:space="preserve"> </w:t>
      </w:r>
      <w:r>
        <w:t xml:space="preserve">and infrastructure as suggested by the projected high/low precipitation and runoff. This is consistent with findings in other scientific literature. </w:t>
      </w:r>
      <w:r w:rsidRPr="00FA505D">
        <w:t xml:space="preserve">Both historical observations and model projections suggest that the intensity, frequency, and magnitude of extreme rainfall events will continue to increase, which will likely challenge conventional reservoir management practices. Although the reservoirs have been traditionally designed using </w:t>
      </w:r>
      <w:r>
        <w:t xml:space="preserve">relatively </w:t>
      </w:r>
      <w:r w:rsidRPr="00FA505D">
        <w:t>conservative rainfall estimates (i.e., probable maximum precipitation), recent extreme event</w:t>
      </w:r>
      <w:r>
        <w:t>s,</w:t>
      </w:r>
      <w:r w:rsidRPr="00FA505D">
        <w:t xml:space="preserve"> such as the 2017 Hurricane Harvey near Houston, </w:t>
      </w:r>
      <w:r w:rsidR="00906BFB">
        <w:t>Texas</w:t>
      </w:r>
      <w:r>
        <w:t>,</w:t>
      </w:r>
      <w:r w:rsidRPr="00FA505D">
        <w:t xml:space="preserve"> </w:t>
      </w:r>
      <w:r>
        <w:t xml:space="preserve">demonstrated that such </w:t>
      </w:r>
      <w:r w:rsidRPr="00FA505D">
        <w:t xml:space="preserve">an extremely large </w:t>
      </w:r>
      <w:r w:rsidR="00906BFB" w:rsidRPr="00FA505D">
        <w:t xml:space="preserve">probable maximum precipitation </w:t>
      </w:r>
      <w:r>
        <w:t>estimate can still be exceeded</w:t>
      </w:r>
      <w:r w:rsidR="000C64D8">
        <w:t xml:space="preserve"> (Kao et al., 2019)</w:t>
      </w:r>
      <w:r>
        <w:t>, suggesting the potential need for more comprehensive evaluations</w:t>
      </w:r>
      <w:r w:rsidRPr="00AF59CD">
        <w:rPr>
          <w:szCs w:val="24"/>
        </w:rPr>
        <w:t>.</w:t>
      </w:r>
    </w:p>
    <w:p w14:paraId="036EF3FF" w14:textId="3F3368FE" w:rsidR="00642B66" w:rsidRDefault="00642B66" w:rsidP="00A348A7">
      <w:pPr>
        <w:pStyle w:val="BulletListspace"/>
        <w:numPr>
          <w:ilvl w:val="0"/>
          <w:numId w:val="0"/>
        </w:numPr>
        <w:ind w:left="360"/>
        <w:rPr>
          <w:szCs w:val="24"/>
        </w:rPr>
      </w:pPr>
      <w:r>
        <w:lastRenderedPageBreak/>
        <w:t xml:space="preserve">On the other hand, the duration and severity of extreme drought events are also projected to increase in many parts of the </w:t>
      </w:r>
      <w:r w:rsidR="00906BFB">
        <w:t>United States</w:t>
      </w:r>
      <w:r>
        <w:t xml:space="preserve">. Although the annual precipitation and runoff are generally projected to increase in a warming environment, the distribution is not uniform in space and time. </w:t>
      </w:r>
      <w:r w:rsidRPr="00FA505D">
        <w:t>Reclamation</w:t>
      </w:r>
      <w:r>
        <w:t xml:space="preserve"> </w:t>
      </w:r>
      <w:r w:rsidR="00407F19">
        <w:t xml:space="preserve">(2021) </w:t>
      </w:r>
      <w:r>
        <w:t xml:space="preserve">conducted a comprehensive drought assessment for the western </w:t>
      </w:r>
      <w:r w:rsidR="00906BFB">
        <w:t xml:space="preserve">United States </w:t>
      </w:r>
      <w:r>
        <w:t xml:space="preserve">using historical streamflow observations, future projections, and </w:t>
      </w:r>
      <w:r w:rsidRPr="007473DE">
        <w:t>paleohydrology</w:t>
      </w:r>
      <w:r>
        <w:t xml:space="preserve">. </w:t>
      </w:r>
      <w:r w:rsidR="0052552B">
        <w:t>T</w:t>
      </w:r>
      <w:r>
        <w:t>he results suggested that the severity of the drought events may not be sufficiently captured, based on limited historical streamflow observations. The ongoing severe drought in the western states resulted in an unprecedent disruption to the water supply and hydropower generation, demonstrating the dire impacts of drought.</w:t>
      </w:r>
    </w:p>
    <w:p w14:paraId="60400CF0" w14:textId="36B0115D" w:rsidR="00642B66" w:rsidRDefault="00642B66" w:rsidP="00A348A7">
      <w:pPr>
        <w:pStyle w:val="BulletListspace"/>
        <w:rPr>
          <w:szCs w:val="24"/>
        </w:rPr>
      </w:pPr>
      <w:r w:rsidRPr="00642B66">
        <w:rPr>
          <w:b/>
          <w:bCs/>
        </w:rPr>
        <w:t>Conflicting timing of supply/demand changes</w:t>
      </w:r>
      <w:r>
        <w:t>: Similar to</w:t>
      </w:r>
      <w:r w:rsidR="006C6778">
        <w:t xml:space="preserve"> in</w:t>
      </w:r>
      <w:r>
        <w:t xml:space="preserve"> the previous assessments, temperature-driven early snowmelt is projected in most of the western </w:t>
      </w:r>
      <w:r w:rsidR="006C6778">
        <w:t>United States</w:t>
      </w:r>
      <w:r>
        <w:t xml:space="preserve">, suggesting that the bulk of runoff may arrive earlier in spring. However, as informed by the demand analysis, more temperature-driven water and energy demand is expected to shift from winter to summer, and hence creates a conflict. </w:t>
      </w:r>
      <w:r w:rsidR="006C6778">
        <w:t xml:space="preserve">Although </w:t>
      </w:r>
      <w:r>
        <w:t xml:space="preserve">ideally one may expect to mitigate this conflict through reservoir management, the intensified hydrologic extremes combined with all other competing water management objectives limit the ability and flexibility in storing more water resources to meet the peak demand. Furthermore, in arid regions, the enhanced reservoir evaporation may result in a sizable storage reduction and further </w:t>
      </w:r>
      <w:r w:rsidRPr="004C5A0B">
        <w:t>exacerbate</w:t>
      </w:r>
      <w:r>
        <w:t xml:space="preserve"> the nexus of electricity demand and water availability</w:t>
      </w:r>
      <w:r>
        <w:rPr>
          <w:szCs w:val="24"/>
        </w:rPr>
        <w:t>.</w:t>
      </w:r>
    </w:p>
    <w:p w14:paraId="3809B4AD" w14:textId="1B96E83E" w:rsidR="00367A12" w:rsidRDefault="00367A12" w:rsidP="00A348A7">
      <w:pPr>
        <w:pStyle w:val="BulletListspace"/>
        <w:rPr>
          <w:szCs w:val="24"/>
        </w:rPr>
      </w:pPr>
      <w:r w:rsidRPr="005556BE">
        <w:rPr>
          <w:b/>
          <w:bCs/>
        </w:rPr>
        <w:t>Other</w:t>
      </w:r>
      <w:r w:rsidR="00494EAB" w:rsidRPr="005556BE">
        <w:rPr>
          <w:b/>
          <w:bCs/>
        </w:rPr>
        <w:t xml:space="preserve"> indirect i</w:t>
      </w:r>
      <w:r w:rsidRPr="005556BE">
        <w:rPr>
          <w:b/>
          <w:bCs/>
        </w:rPr>
        <w:t>mpacts</w:t>
      </w:r>
      <w:r>
        <w:t xml:space="preserve">: Given the specific </w:t>
      </w:r>
      <w:r w:rsidRPr="00985042">
        <w:t xml:space="preserve">legislative language </w:t>
      </w:r>
      <w:r>
        <w:t xml:space="preserve">of </w:t>
      </w:r>
      <w:r w:rsidR="00906BFB">
        <w:t xml:space="preserve">the </w:t>
      </w:r>
      <w:r>
        <w:t xml:space="preserve">SWA, this assessment focuses on understanding how climate change may affect </w:t>
      </w:r>
      <w:r w:rsidRPr="00C12DAF">
        <w:rPr>
          <w:rFonts w:eastAsia="Times New Roman"/>
        </w:rPr>
        <w:t xml:space="preserve">water </w:t>
      </w:r>
      <w:r>
        <w:rPr>
          <w:rFonts w:eastAsia="Times New Roman"/>
        </w:rPr>
        <w:t xml:space="preserve">availability </w:t>
      </w:r>
      <w:r w:rsidRPr="00C12DAF">
        <w:rPr>
          <w:rFonts w:eastAsia="Times New Roman"/>
        </w:rPr>
        <w:t>for hydroelectric power generation</w:t>
      </w:r>
      <w:r>
        <w:rPr>
          <w:rFonts w:eastAsia="Times New Roman"/>
        </w:rPr>
        <w:t xml:space="preserve"> and federal hydropower marketing. However, </w:t>
      </w:r>
      <w:r w:rsidRPr="00903932">
        <w:rPr>
          <w:rFonts w:eastAsia="Times New Roman"/>
        </w:rPr>
        <w:t xml:space="preserve">climate change can </w:t>
      </w:r>
      <w:r>
        <w:rPr>
          <w:rFonts w:eastAsia="Times New Roman"/>
        </w:rPr>
        <w:t>result in even broader impacts, such as the disruptions due to wildfire, increasing</w:t>
      </w:r>
      <w:r w:rsidRPr="00903932">
        <w:rPr>
          <w:rFonts w:eastAsia="Times New Roman"/>
        </w:rPr>
        <w:t xml:space="preserve"> water demands</w:t>
      </w:r>
      <w:r>
        <w:rPr>
          <w:rFonts w:eastAsia="Times New Roman"/>
        </w:rPr>
        <w:t>,</w:t>
      </w:r>
      <w:r w:rsidRPr="00903932">
        <w:rPr>
          <w:rFonts w:eastAsia="Times New Roman"/>
        </w:rPr>
        <w:t xml:space="preserve"> and </w:t>
      </w:r>
      <w:r>
        <w:rPr>
          <w:rFonts w:eastAsia="Times New Roman"/>
        </w:rPr>
        <w:t xml:space="preserve">more difficulties to meet </w:t>
      </w:r>
      <w:r w:rsidRPr="00903932">
        <w:rPr>
          <w:rFonts w:eastAsia="Times New Roman"/>
        </w:rPr>
        <w:t>environmental</w:t>
      </w:r>
      <w:r>
        <w:rPr>
          <w:rFonts w:eastAsia="Times New Roman"/>
        </w:rPr>
        <w:t xml:space="preserve"> objectives</w:t>
      </w:r>
      <w:r w:rsidRPr="00903932">
        <w:rPr>
          <w:rFonts w:eastAsia="Times New Roman"/>
        </w:rPr>
        <w:t>.</w:t>
      </w:r>
      <w:r>
        <w:rPr>
          <w:rFonts w:eastAsia="Times New Roman"/>
        </w:rPr>
        <w:t xml:space="preserve"> Additionally, the issue of aging infrastructures </w:t>
      </w:r>
      <w:r w:rsidRPr="00903932">
        <w:rPr>
          <w:rFonts w:eastAsia="Times New Roman"/>
        </w:rPr>
        <w:t xml:space="preserve">may </w:t>
      </w:r>
      <w:r>
        <w:rPr>
          <w:rFonts w:eastAsia="Times New Roman"/>
        </w:rPr>
        <w:t xml:space="preserve">also </w:t>
      </w:r>
      <w:r w:rsidRPr="00903932">
        <w:rPr>
          <w:rFonts w:eastAsia="Times New Roman"/>
        </w:rPr>
        <w:t>reduce the system</w:t>
      </w:r>
      <w:r w:rsidR="00805545">
        <w:rPr>
          <w:rFonts w:eastAsia="Times New Roman"/>
        </w:rPr>
        <w:t>’</w:t>
      </w:r>
      <w:r w:rsidRPr="00903932">
        <w:rPr>
          <w:rFonts w:eastAsia="Times New Roman"/>
        </w:rPr>
        <w:t xml:space="preserve">s ability to mitigate runoff variability and increase the difficulty of future operation. </w:t>
      </w:r>
      <w:r w:rsidR="00906BFB">
        <w:rPr>
          <w:rFonts w:eastAsia="Times New Roman"/>
        </w:rPr>
        <w:t xml:space="preserve">Although </w:t>
      </w:r>
      <w:r>
        <w:rPr>
          <w:rFonts w:eastAsia="Times New Roman"/>
        </w:rPr>
        <w:t>t</w:t>
      </w:r>
      <w:r w:rsidRPr="00903932">
        <w:rPr>
          <w:rFonts w:eastAsia="Times New Roman"/>
        </w:rPr>
        <w:t xml:space="preserve">hese issues </w:t>
      </w:r>
      <w:r>
        <w:rPr>
          <w:rFonts w:eastAsia="Times New Roman"/>
        </w:rPr>
        <w:t xml:space="preserve">were </w:t>
      </w:r>
      <w:r w:rsidRPr="00903932">
        <w:rPr>
          <w:rFonts w:eastAsia="Times New Roman"/>
        </w:rPr>
        <w:t xml:space="preserve">not quantitatively analyzed in this </w:t>
      </w:r>
      <w:r>
        <w:rPr>
          <w:rFonts w:eastAsia="Times New Roman"/>
        </w:rPr>
        <w:t>assessment, they can be further investigated in future studies</w:t>
      </w:r>
      <w:r w:rsidRPr="00903932">
        <w:rPr>
          <w:rFonts w:eastAsia="Times New Roman"/>
        </w:rPr>
        <w:t>.</w:t>
      </w:r>
    </w:p>
    <w:p w14:paraId="1735E552" w14:textId="68100BBD" w:rsidR="00642B66" w:rsidRPr="00C66720" w:rsidRDefault="00642B66" w:rsidP="00A348A7">
      <w:pPr>
        <w:pStyle w:val="Headingnonumber"/>
      </w:pPr>
      <w:r w:rsidRPr="00C90373">
        <w:t xml:space="preserve">Assessment </w:t>
      </w:r>
      <w:r w:rsidR="00925971" w:rsidRPr="00C90373">
        <w:t>Limitations</w:t>
      </w:r>
    </w:p>
    <w:p w14:paraId="67238953" w14:textId="6000E57D" w:rsidR="00DA1D85" w:rsidRDefault="00494EAB" w:rsidP="00A348A7">
      <w:pPr>
        <w:pStyle w:val="BodyText"/>
      </w:pPr>
      <w:r>
        <w:t xml:space="preserve">Although </w:t>
      </w:r>
      <w:r w:rsidR="0052552B">
        <w:t xml:space="preserve">the assessment </w:t>
      </w:r>
      <w:r>
        <w:t xml:space="preserve">uses </w:t>
      </w:r>
      <w:r w:rsidR="0052552B">
        <w:t>state-of-the-art data and models, assessment limitations remain. They include</w:t>
      </w:r>
      <w:r>
        <w:t xml:space="preserve"> the following</w:t>
      </w:r>
      <w:r w:rsidR="00407F19">
        <w:t>:</w:t>
      </w:r>
    </w:p>
    <w:p w14:paraId="01A58305" w14:textId="4A046F54" w:rsidR="0052552B" w:rsidRDefault="0052552B" w:rsidP="00A348A7">
      <w:pPr>
        <w:pStyle w:val="BulletListspace"/>
        <w:rPr>
          <w:szCs w:val="24"/>
        </w:rPr>
      </w:pPr>
      <w:r w:rsidRPr="0052552B">
        <w:rPr>
          <w:b/>
          <w:bCs/>
        </w:rPr>
        <w:t>Interpretation of future projections</w:t>
      </w:r>
      <w:r>
        <w:t xml:space="preserve">: </w:t>
      </w:r>
      <w:r w:rsidRPr="00D535D8">
        <w:t>Although GCM-driven dynamical/statistical downscaling may provide the most scientifically defensible regional</w:t>
      </w:r>
      <w:r>
        <w:t>-</w:t>
      </w:r>
      <w:r w:rsidRPr="00D535D8">
        <w:t>scale climate projections, it should not be considered an absolute, day-to-day weather prediction. The main purpose of climate modeling is to simulate how general climate statistics may evolve with respect to the specified future emission scenarios—not to provide an exact prediction of future weather and hydrolog</w:t>
      </w:r>
      <w:r>
        <w:t>y</w:t>
      </w:r>
      <w:r w:rsidRPr="00D535D8">
        <w:t>.</w:t>
      </w:r>
      <w:r>
        <w:t xml:space="preserve"> Also, a simulation is only one of the tools that one may use to evaluate the potential impacts and system vulnerabilities. Other observation-based assessment approaches are equally valuable and should not be omitted for a more holistic understanding</w:t>
      </w:r>
      <w:r>
        <w:rPr>
          <w:szCs w:val="24"/>
        </w:rPr>
        <w:t>.</w:t>
      </w:r>
    </w:p>
    <w:p w14:paraId="45A00978" w14:textId="57AC174B" w:rsidR="0052552B" w:rsidRDefault="00BF54E4" w:rsidP="00A348A7">
      <w:pPr>
        <w:pStyle w:val="BulletListspace"/>
        <w:rPr>
          <w:szCs w:val="24"/>
        </w:rPr>
      </w:pPr>
      <w:r w:rsidRPr="00BF54E4">
        <w:rPr>
          <w:b/>
          <w:bCs/>
        </w:rPr>
        <w:t>Broader characterization of uncertainty</w:t>
      </w:r>
      <w:r>
        <w:t xml:space="preserve">: </w:t>
      </w:r>
      <w:r w:rsidR="007F5630">
        <w:t xml:space="preserve">Although </w:t>
      </w:r>
      <w:r>
        <w:t xml:space="preserve">the </w:t>
      </w:r>
      <w:r w:rsidRPr="00D535D8">
        <w:t>multimodel framework provide</w:t>
      </w:r>
      <w:r>
        <w:t>s</w:t>
      </w:r>
      <w:r w:rsidRPr="00D535D8">
        <w:t xml:space="preserve"> a more comprehensive projection of future US federal hydropower generation, multimodel projections still do not represent the full range of uncertainties related to all possible modeling choices.</w:t>
      </w:r>
      <w:r>
        <w:t xml:space="preserve"> The extent of warmer temperatures causing increasingly drier soils and greater </w:t>
      </w:r>
      <w:r w:rsidRPr="00175E53">
        <w:t>evapotranspiration</w:t>
      </w:r>
      <w:r>
        <w:t xml:space="preserve"> is a significant additional uncertainty. Even in the case of higher average precipitation, drier soils and greater </w:t>
      </w:r>
      <w:r w:rsidRPr="00175E53">
        <w:t>evapotranspiration</w:t>
      </w:r>
      <w:r>
        <w:t xml:space="preserve"> will lead to </w:t>
      </w:r>
      <w:r w:rsidR="007F5630">
        <w:t xml:space="preserve">reduced </w:t>
      </w:r>
      <w:r>
        <w:t>water availability and lower average generation.</w:t>
      </w:r>
      <w:r w:rsidRPr="00D535D8">
        <w:t xml:space="preserve"> </w:t>
      </w:r>
      <w:r w:rsidRPr="009E1FA1">
        <w:t xml:space="preserve">The true uncertainties </w:t>
      </w:r>
      <w:r>
        <w:t xml:space="preserve">are </w:t>
      </w:r>
      <w:r w:rsidRPr="009E1FA1">
        <w:t xml:space="preserve">more comprehensive </w:t>
      </w:r>
      <w:r>
        <w:t>and may not</w:t>
      </w:r>
      <w:r w:rsidRPr="009E1FA1">
        <w:t xml:space="preserve"> be fully captured </w:t>
      </w:r>
      <w:r>
        <w:t>because of limited</w:t>
      </w:r>
      <w:r w:rsidRPr="009E1FA1">
        <w:t xml:space="preserve"> </w:t>
      </w:r>
      <w:r>
        <w:t xml:space="preserve">knowledge, </w:t>
      </w:r>
      <w:r>
        <w:lastRenderedPageBreak/>
        <w:t xml:space="preserve">tools, and </w:t>
      </w:r>
      <w:r w:rsidRPr="009E1FA1">
        <w:t>resource</w:t>
      </w:r>
      <w:r>
        <w:t>s</w:t>
      </w:r>
      <w:r w:rsidRPr="009E1FA1">
        <w:t>.</w:t>
      </w:r>
      <w:r>
        <w:t xml:space="preserve"> The ensemble-based approach adopted in this study can serve as an initial example for the systematic analysis of broader uncertainties.</w:t>
      </w:r>
    </w:p>
    <w:p w14:paraId="27981258" w14:textId="000685DF" w:rsidR="0052552B" w:rsidRDefault="00FB1F12" w:rsidP="00A348A7">
      <w:pPr>
        <w:pStyle w:val="BulletListspace"/>
        <w:rPr>
          <w:szCs w:val="24"/>
        </w:rPr>
      </w:pPr>
      <w:r w:rsidRPr="00FB1F12">
        <w:rPr>
          <w:b/>
          <w:bCs/>
        </w:rPr>
        <w:t>Progression of climate science</w:t>
      </w:r>
      <w:r>
        <w:t>: A</w:t>
      </w:r>
      <w:r w:rsidRPr="00D535D8">
        <w:t xml:space="preserve">lthough the capabilities of GCMs have continuously improved through the years, many </w:t>
      </w:r>
      <w:r>
        <w:t xml:space="preserve">open </w:t>
      </w:r>
      <w:r w:rsidRPr="00D535D8">
        <w:t>challenges</w:t>
      </w:r>
      <w:r>
        <w:t xml:space="preserve"> have not been resolved</w:t>
      </w:r>
      <w:r w:rsidRPr="00D535D8">
        <w:t xml:space="preserve">. For instance, although human activities play an important role in the Earth system environment, many of the GCM simulations were conducted without considering the potential human influence on land use </w:t>
      </w:r>
      <w:r w:rsidR="007F5630">
        <w:t xml:space="preserve">and </w:t>
      </w:r>
      <w:r w:rsidRPr="00D535D8">
        <w:t>land cover change, and surface hydrologic alterations. Therefore, recurring climate impact assessments based on the best available climate science remain necessary</w:t>
      </w:r>
      <w:r w:rsidR="0052552B">
        <w:rPr>
          <w:szCs w:val="24"/>
        </w:rPr>
        <w:t>.</w:t>
      </w:r>
    </w:p>
    <w:p w14:paraId="10047F6E" w14:textId="62259148" w:rsidR="0052552B" w:rsidRDefault="00FB1F12" w:rsidP="00A348A7">
      <w:pPr>
        <w:pStyle w:val="BulletListspace"/>
        <w:rPr>
          <w:szCs w:val="24"/>
        </w:rPr>
      </w:pPr>
      <w:r w:rsidRPr="00FB1F12">
        <w:rPr>
          <w:b/>
          <w:bCs/>
        </w:rPr>
        <w:t>Regional assessment focus</w:t>
      </w:r>
      <w:r w:rsidRPr="00C66180">
        <w:rPr>
          <w:i/>
          <w:iCs/>
        </w:rPr>
        <w:t xml:space="preserve">: </w:t>
      </w:r>
      <w:r w:rsidRPr="00D535D8">
        <w:t>Overall, this study focuse</w:t>
      </w:r>
      <w:r w:rsidR="007F5630">
        <w:t>d</w:t>
      </w:r>
      <w:r w:rsidRPr="00D535D8">
        <w:t xml:space="preserve"> on 18 PMA study areas rather than individual reservoirs or power plants. </w:t>
      </w:r>
      <w:r>
        <w:t>Impacts on s</w:t>
      </w:r>
      <w:r w:rsidRPr="00D535D8">
        <w:t xml:space="preserve">ite-specific features, such as reservoir operation rules, water withdrawal/return, environmental flow requirements, and energy generation, were not explicitly modeled at each power plant. </w:t>
      </w:r>
      <w:r>
        <w:t>In other words, t</w:t>
      </w:r>
      <w:r w:rsidRPr="00D535D8">
        <w:t>his study provide</w:t>
      </w:r>
      <w:r w:rsidR="007F5630">
        <w:t>s</w:t>
      </w:r>
      <w:r w:rsidRPr="00D535D8">
        <w:t xml:space="preserve"> a first-order assessment to identify areas with the highest risk under projected climate conditions.</w:t>
      </w:r>
      <w:r>
        <w:t xml:space="preserve"> </w:t>
      </w:r>
      <w:r w:rsidRPr="00D535D8">
        <w:t xml:space="preserve">If a concern is identified for a specific region (e.g., change of streamflow seasonality), a </w:t>
      </w:r>
      <w:r>
        <w:t xml:space="preserve">regionally focused study </w:t>
      </w:r>
      <w:r w:rsidRPr="00D535D8">
        <w:t xml:space="preserve">can </w:t>
      </w:r>
      <w:r>
        <w:t xml:space="preserve">then </w:t>
      </w:r>
      <w:r w:rsidRPr="00D535D8">
        <w:t xml:space="preserve">be </w:t>
      </w:r>
      <w:r>
        <w:t>conducted</w:t>
      </w:r>
      <w:r w:rsidRPr="00D535D8">
        <w:t xml:space="preserve">. The assessment </w:t>
      </w:r>
      <w:r>
        <w:t xml:space="preserve">itself </w:t>
      </w:r>
      <w:r w:rsidRPr="00D535D8">
        <w:t>does not replace the existing site-specific models and tools used by</w:t>
      </w:r>
      <w:r>
        <w:t xml:space="preserve"> the PMA</w:t>
      </w:r>
      <w:r w:rsidR="00805545">
        <w:t>’</w:t>
      </w:r>
      <w:r>
        <w:t xml:space="preserve">s </w:t>
      </w:r>
      <w:r w:rsidRPr="00D535D8">
        <w:t>water and energy resource managers</w:t>
      </w:r>
      <w:r w:rsidR="0052552B">
        <w:rPr>
          <w:szCs w:val="24"/>
        </w:rPr>
        <w:t>.</w:t>
      </w:r>
    </w:p>
    <w:p w14:paraId="6471E05E" w14:textId="4E33E4E0" w:rsidR="00D83AD3" w:rsidRPr="00C66720" w:rsidRDefault="00D83AD3" w:rsidP="00A348A7">
      <w:pPr>
        <w:pStyle w:val="Headingnonumber"/>
      </w:pPr>
      <w:r w:rsidRPr="00D83AD3">
        <w:t xml:space="preserve">Future </w:t>
      </w:r>
      <w:r w:rsidR="00925971">
        <w:t>Assessment</w:t>
      </w:r>
      <w:r w:rsidR="00925971" w:rsidRPr="00D83AD3">
        <w:t xml:space="preserve"> Needs</w:t>
      </w:r>
    </w:p>
    <w:p w14:paraId="7FB96856" w14:textId="56436937" w:rsidR="00D83AD3" w:rsidRDefault="00D83AD3" w:rsidP="00A348A7">
      <w:pPr>
        <w:pStyle w:val="BodyText"/>
      </w:pPr>
      <w:r>
        <w:t xml:space="preserve">Through the series of 9505 assessments, a quantitively modeling framework has been established to </w:t>
      </w:r>
      <w:r w:rsidRPr="00067463">
        <w:t xml:space="preserve">gradually downscale the </w:t>
      </w:r>
      <w:r>
        <w:t xml:space="preserve">latest CMIP findings </w:t>
      </w:r>
      <w:r w:rsidRPr="00067463">
        <w:t xml:space="preserve">into </w:t>
      </w:r>
      <w:r>
        <w:t xml:space="preserve">regional, </w:t>
      </w:r>
      <w:r w:rsidRPr="00067463">
        <w:t>watershed-scale hydrologic and hydropower projections</w:t>
      </w:r>
      <w:r>
        <w:t xml:space="preserve"> to support the understanding of risks for federal hydropower generation and marketing. Although this framework has successfully achieved the anticipated SWA objectives, the climate change impacts are much broader and </w:t>
      </w:r>
      <w:r w:rsidR="007F5630">
        <w:t xml:space="preserve">more </w:t>
      </w:r>
      <w:r>
        <w:t>complex. Moving forward, additional studies and data support should be beneficial to the broader US hydropower community</w:t>
      </w:r>
      <w:r w:rsidR="009D04CB">
        <w:t>;</w:t>
      </w:r>
      <w:r>
        <w:t xml:space="preserve"> they include</w:t>
      </w:r>
      <w:r w:rsidR="00494EAB" w:rsidRPr="00494EAB">
        <w:t xml:space="preserve"> </w:t>
      </w:r>
      <w:r w:rsidR="00494EAB">
        <w:t>the following</w:t>
      </w:r>
      <w:r w:rsidR="00D86AE8">
        <w:t>:</w:t>
      </w:r>
    </w:p>
    <w:p w14:paraId="06E4A48E" w14:textId="62BE5498" w:rsidR="00D83AD3" w:rsidRDefault="00D86AE8" w:rsidP="00C82290">
      <w:pPr>
        <w:pStyle w:val="BulletListspace"/>
        <w:rPr>
          <w:szCs w:val="24"/>
        </w:rPr>
      </w:pPr>
      <w:r w:rsidRPr="00D86AE8">
        <w:rPr>
          <w:b/>
          <w:bCs/>
        </w:rPr>
        <w:t>Need to conduct basin-specific studies</w:t>
      </w:r>
      <w:r w:rsidRPr="009D04CB">
        <w:t>:</w:t>
      </w:r>
      <w:r w:rsidRPr="00C66180">
        <w:rPr>
          <w:i/>
          <w:iCs/>
        </w:rPr>
        <w:t xml:space="preserve"> </w:t>
      </w:r>
      <w:r>
        <w:t xml:space="preserve">Considering the varying geographical and </w:t>
      </w:r>
      <w:r w:rsidRPr="00A22830">
        <w:t>socioeconomic</w:t>
      </w:r>
      <w:r>
        <w:t>al</w:t>
      </w:r>
      <w:r w:rsidRPr="00A22830">
        <w:t xml:space="preserve"> </w:t>
      </w:r>
      <w:r>
        <w:t>challenges in different river basins, reservoir-specific studies may be required for basins with high water and energy interests.</w:t>
      </w:r>
      <w:r w:rsidRPr="00A62399">
        <w:t xml:space="preserve"> </w:t>
      </w:r>
      <w:r>
        <w:t>S</w:t>
      </w:r>
      <w:r w:rsidRPr="00EB2046">
        <w:t>tudies using operational models forced by up-to-date hydroclimate projections, such as the recent RMJOC assessments</w:t>
      </w:r>
      <w:r w:rsidR="00407F19">
        <w:t xml:space="preserve"> (</w:t>
      </w:r>
      <w:r w:rsidR="00407F19" w:rsidRPr="00976056">
        <w:rPr>
          <w:lang w:eastAsia="zh-TW"/>
        </w:rPr>
        <w:t xml:space="preserve">Pytlak </w:t>
      </w:r>
      <w:r w:rsidR="00407F19">
        <w:rPr>
          <w:lang w:eastAsia="zh-TW"/>
        </w:rPr>
        <w:t xml:space="preserve">et al., 2018; </w:t>
      </w:r>
      <w:r w:rsidR="00407F19" w:rsidRPr="00976056">
        <w:rPr>
          <w:lang w:eastAsia="zh-TW"/>
        </w:rPr>
        <w:t>Glabau</w:t>
      </w:r>
      <w:r w:rsidR="00407F19">
        <w:rPr>
          <w:lang w:eastAsia="zh-TW"/>
        </w:rPr>
        <w:t xml:space="preserve"> et al., 2020</w:t>
      </w:r>
      <w:r w:rsidR="00407F19">
        <w:t>)</w:t>
      </w:r>
      <w:r w:rsidRPr="00EB2046">
        <w:t xml:space="preserve">, </w:t>
      </w:r>
      <w:r>
        <w:t xml:space="preserve">are </w:t>
      </w:r>
      <w:r w:rsidRPr="00EB2046">
        <w:t xml:space="preserve">one way to evaluate the risks and identify </w:t>
      </w:r>
      <w:r>
        <w:t>possible</w:t>
      </w:r>
      <w:r w:rsidRPr="00EB2046">
        <w:t xml:space="preserve"> mitigation actions</w:t>
      </w:r>
      <w:r>
        <w:t>.</w:t>
      </w:r>
    </w:p>
    <w:p w14:paraId="0C899210" w14:textId="6B24E547" w:rsidR="00D83AD3" w:rsidRDefault="00D86AE8" w:rsidP="00A348A7">
      <w:pPr>
        <w:pStyle w:val="BulletListspace"/>
        <w:rPr>
          <w:szCs w:val="24"/>
        </w:rPr>
      </w:pPr>
      <w:r w:rsidRPr="00D86AE8">
        <w:rPr>
          <w:b/>
          <w:bCs/>
        </w:rPr>
        <w:t>Need to better understand the characteristics and impacts of future drought conditions</w:t>
      </w:r>
      <w:r>
        <w:t>:</w:t>
      </w:r>
      <w:r w:rsidRPr="0083115E">
        <w:t xml:space="preserve"> As </w:t>
      </w:r>
      <w:r>
        <w:t>reported</w:t>
      </w:r>
      <w:r w:rsidR="00407F19">
        <w:t xml:space="preserve"> by </w:t>
      </w:r>
      <w:r w:rsidR="00407F19" w:rsidRPr="00931052">
        <w:rPr>
          <w:lang w:eastAsia="zh-TW"/>
        </w:rPr>
        <w:t>Williams</w:t>
      </w:r>
      <w:r w:rsidR="00407F19">
        <w:rPr>
          <w:lang w:eastAsia="zh-TW"/>
        </w:rPr>
        <w:t xml:space="preserve"> et al. (2022)</w:t>
      </w:r>
      <w:r w:rsidRPr="0083115E">
        <w:t xml:space="preserve">, </w:t>
      </w:r>
      <w:r w:rsidRPr="00111D8D">
        <w:t>2000–2021 was the driest 22</w:t>
      </w:r>
      <w:r w:rsidR="006900AF">
        <w:t> </w:t>
      </w:r>
      <w:r w:rsidRPr="00111D8D">
        <w:t>y</w:t>
      </w:r>
      <w:r w:rsidR="006900AF">
        <w:t>ea</w:t>
      </w:r>
      <w:r w:rsidRPr="00111D8D">
        <w:t xml:space="preserve">r period </w:t>
      </w:r>
      <w:r>
        <w:t xml:space="preserve">in the </w:t>
      </w:r>
      <w:r w:rsidRPr="0083115E">
        <w:t>southwest</w:t>
      </w:r>
      <w:r w:rsidR="006900AF">
        <w:t>ern</w:t>
      </w:r>
      <w:r w:rsidRPr="0083115E">
        <w:t xml:space="preserve"> </w:t>
      </w:r>
      <w:r w:rsidR="006900AF">
        <w:t xml:space="preserve">United States </w:t>
      </w:r>
      <w:r>
        <w:t>in the past 1,200 years</w:t>
      </w:r>
      <w:r w:rsidRPr="0083115E">
        <w:t xml:space="preserve">. </w:t>
      </w:r>
      <w:r>
        <w:t>This prolonged megadrought highlights the need to better understand the characteristics (e.g., severity, timing, duration) and impacts of droughts for the resilience of our long-term energy and water supply</w:t>
      </w:r>
      <w:r w:rsidRPr="0083115E">
        <w:t>.</w:t>
      </w:r>
      <w:r>
        <w:t xml:space="preserve"> In particular, efforts should focus on improving the understanding, modeling</w:t>
      </w:r>
      <w:r w:rsidR="006900AF">
        <w:t>,</w:t>
      </w:r>
      <w:r>
        <w:t xml:space="preserve"> and analytics associated with future drought events</w:t>
      </w:r>
      <w:r w:rsidR="00D83AD3">
        <w:t>.</w:t>
      </w:r>
    </w:p>
    <w:p w14:paraId="14B52550" w14:textId="7FF20E26" w:rsidR="00D83AD3" w:rsidRDefault="00D86AE8" w:rsidP="00A348A7">
      <w:pPr>
        <w:pStyle w:val="BulletListspace"/>
        <w:rPr>
          <w:szCs w:val="24"/>
        </w:rPr>
      </w:pPr>
      <w:r w:rsidRPr="00D86AE8">
        <w:rPr>
          <w:b/>
          <w:bCs/>
        </w:rPr>
        <w:t>Need actionable, climate-informed data support</w:t>
      </w:r>
      <w:r>
        <w:t>: S</w:t>
      </w:r>
      <w:r>
        <w:rPr>
          <w:color w:val="000000"/>
        </w:rPr>
        <w:t>ince hydroclimate modeling is not within a utility</w:t>
      </w:r>
      <w:r w:rsidR="00805545">
        <w:rPr>
          <w:color w:val="000000"/>
        </w:rPr>
        <w:t>’</w:t>
      </w:r>
      <w:r>
        <w:rPr>
          <w:color w:val="000000"/>
        </w:rPr>
        <w:t>s original mission space, a utility may not have sufficient resources or dedicated in-house expertise to evaluate the risks due to long-term climate change. To reduce a utility</w:t>
      </w:r>
      <w:r w:rsidR="00805545">
        <w:rPr>
          <w:color w:val="000000"/>
        </w:rPr>
        <w:t>’</w:t>
      </w:r>
      <w:r>
        <w:rPr>
          <w:color w:val="000000"/>
        </w:rPr>
        <w:t xml:space="preserve">s burden in conducting a full-scale hydroclimate study (i.e., from GCM selection all the way to river management simulation), it will be beneficial to provide </w:t>
      </w:r>
      <w:r w:rsidRPr="00721642">
        <w:rPr>
          <w:color w:val="000000"/>
        </w:rPr>
        <w:t>actionable, climate-informed data support</w:t>
      </w:r>
      <w:r>
        <w:rPr>
          <w:color w:val="000000"/>
        </w:rPr>
        <w:t xml:space="preserve"> to the broader energy and water communities. The capabilities established through this federal 9505 assessment may serve as a starting point</w:t>
      </w:r>
      <w:r w:rsidR="00D83AD3">
        <w:rPr>
          <w:szCs w:val="24"/>
        </w:rPr>
        <w:t>.</w:t>
      </w:r>
    </w:p>
    <w:p w14:paraId="04653C11" w14:textId="017CB3BB" w:rsidR="00D83AD3" w:rsidRDefault="00D86AE8" w:rsidP="00A348A7">
      <w:pPr>
        <w:pStyle w:val="BulletListspace"/>
        <w:rPr>
          <w:szCs w:val="24"/>
        </w:rPr>
      </w:pPr>
      <w:r w:rsidRPr="00D86AE8">
        <w:rPr>
          <w:b/>
          <w:bCs/>
        </w:rPr>
        <w:t>Need to address the broader risks</w:t>
      </w:r>
      <w:r>
        <w:t xml:space="preserve">: Further </w:t>
      </w:r>
      <w:r>
        <w:rPr>
          <w:rFonts w:eastAsia="Times New Roman"/>
        </w:rPr>
        <w:t xml:space="preserve">disruptions due to wildfire, </w:t>
      </w:r>
      <w:r>
        <w:t>environmental requirements</w:t>
      </w:r>
      <w:r>
        <w:rPr>
          <w:rFonts w:eastAsia="Times New Roman"/>
        </w:rPr>
        <w:t>,</w:t>
      </w:r>
      <w:r w:rsidRPr="00903932">
        <w:rPr>
          <w:rFonts w:eastAsia="Times New Roman"/>
        </w:rPr>
        <w:t xml:space="preserve"> and </w:t>
      </w:r>
      <w:r>
        <w:rPr>
          <w:rFonts w:eastAsia="Times New Roman"/>
        </w:rPr>
        <w:t xml:space="preserve">reduced operational flexibilities should be jointly considered. Additionally, the issue of aging </w:t>
      </w:r>
      <w:r>
        <w:rPr>
          <w:rFonts w:eastAsia="Times New Roman"/>
        </w:rPr>
        <w:lastRenderedPageBreak/>
        <w:t xml:space="preserve">infrastructure </w:t>
      </w:r>
      <w:r w:rsidRPr="00903932">
        <w:rPr>
          <w:rFonts w:eastAsia="Times New Roman"/>
        </w:rPr>
        <w:t>may reduce the system</w:t>
      </w:r>
      <w:r w:rsidR="00805545">
        <w:rPr>
          <w:rFonts w:eastAsia="Times New Roman"/>
        </w:rPr>
        <w:t>’</w:t>
      </w:r>
      <w:r w:rsidRPr="00903932">
        <w:rPr>
          <w:rFonts w:eastAsia="Times New Roman"/>
        </w:rPr>
        <w:t xml:space="preserve">s ability to mitigate runoff variability and increase the difficulty of future operation. </w:t>
      </w:r>
      <w:r w:rsidR="006900AF">
        <w:rPr>
          <w:rFonts w:eastAsia="Times New Roman"/>
        </w:rPr>
        <w:t xml:space="preserve">Although </w:t>
      </w:r>
      <w:r>
        <w:rPr>
          <w:rFonts w:eastAsia="Times New Roman"/>
        </w:rPr>
        <w:t>t</w:t>
      </w:r>
      <w:r w:rsidRPr="00903932">
        <w:rPr>
          <w:rFonts w:eastAsia="Times New Roman"/>
        </w:rPr>
        <w:t xml:space="preserve">hese issues </w:t>
      </w:r>
      <w:r>
        <w:rPr>
          <w:rFonts w:eastAsia="Times New Roman"/>
        </w:rPr>
        <w:t xml:space="preserve">were </w:t>
      </w:r>
      <w:r w:rsidRPr="00903932">
        <w:rPr>
          <w:rFonts w:eastAsia="Times New Roman"/>
        </w:rPr>
        <w:t xml:space="preserve">not </w:t>
      </w:r>
      <w:r>
        <w:rPr>
          <w:rFonts w:eastAsia="Times New Roman"/>
        </w:rPr>
        <w:t>within the scope of this assessment, they should be further investigated in future studies</w:t>
      </w:r>
      <w:r w:rsidR="00D83AD3">
        <w:rPr>
          <w:szCs w:val="24"/>
        </w:rPr>
        <w:t>.</w:t>
      </w:r>
    </w:p>
    <w:p w14:paraId="3D976549" w14:textId="37E0516C" w:rsidR="00EA4CEF" w:rsidRPr="00C90373" w:rsidRDefault="000E61CC" w:rsidP="00A348A7">
      <w:pPr>
        <w:pStyle w:val="Headingnonumber"/>
        <w:rPr>
          <w:lang w:eastAsia="zh-TW"/>
        </w:rPr>
      </w:pPr>
      <w:r>
        <w:rPr>
          <w:lang w:eastAsia="zh-TW"/>
        </w:rPr>
        <w:t>C</w:t>
      </w:r>
      <w:r w:rsidR="005E1ABD">
        <w:rPr>
          <w:lang w:eastAsia="zh-TW"/>
        </w:rPr>
        <w:t>onclusion</w:t>
      </w:r>
      <w:r w:rsidR="00925971">
        <w:rPr>
          <w:lang w:eastAsia="zh-TW"/>
        </w:rPr>
        <w:t>s</w:t>
      </w:r>
    </w:p>
    <w:p w14:paraId="37B306B1" w14:textId="0715C0C9" w:rsidR="00DA1D85" w:rsidRDefault="00DA1D85" w:rsidP="00A348A7">
      <w:pPr>
        <w:pStyle w:val="BodyText"/>
      </w:pPr>
      <w:r>
        <w:t xml:space="preserve">This third 9505 assessment builds from the previous two assessments </w:t>
      </w:r>
      <w:r w:rsidR="00C03500">
        <w:t xml:space="preserve">(Sale et al., 2012; Kao et al., 2016) </w:t>
      </w:r>
      <w:r>
        <w:t xml:space="preserve">by analyzing the effects of climate change on </w:t>
      </w:r>
      <w:r w:rsidR="00F469BE">
        <w:t xml:space="preserve">annual and seasonal </w:t>
      </w:r>
      <w:r>
        <w:t xml:space="preserve">federal hydropower </w:t>
      </w:r>
      <w:r w:rsidR="00F469BE">
        <w:t>generation</w:t>
      </w:r>
      <w:r w:rsidR="009E0013">
        <w:t xml:space="preserve"> and other related risks</w:t>
      </w:r>
      <w:r w:rsidR="00F469BE">
        <w:t>.</w:t>
      </w:r>
      <w:r>
        <w:t xml:space="preserve"> </w:t>
      </w:r>
      <w:r w:rsidR="00D97479" w:rsidRPr="00D97479">
        <w:t xml:space="preserve">A spatially consistent assessment approach was designed to evaluate hydropower generation from 132 federal hydropower plants that are marketed by 4 PMAs. </w:t>
      </w:r>
      <w:r w:rsidR="00F469BE">
        <w:t xml:space="preserve">The assessment </w:t>
      </w:r>
      <w:r>
        <w:t>incorporates a new multimodel</w:t>
      </w:r>
      <w:r w:rsidR="00F469BE">
        <w:t xml:space="preserve"> </w:t>
      </w:r>
      <w:r>
        <w:t>framework that examined to what extent the methodolog</w:t>
      </w:r>
      <w:r w:rsidR="00F469BE">
        <w:t>ical choices may</w:t>
      </w:r>
      <w:r>
        <w:t xml:space="preserve"> influence the full range of projected hydropower generation in the near-term (2020–2039) and mid-term (2040–2059) future periods. Additionally, this assessment provides a </w:t>
      </w:r>
      <w:r w:rsidR="00F469BE">
        <w:t>more comprehensive</w:t>
      </w:r>
      <w:r>
        <w:t xml:space="preserve"> understanding of how </w:t>
      </w:r>
      <w:r w:rsidR="00F469BE">
        <w:t xml:space="preserve">the </w:t>
      </w:r>
      <w:r>
        <w:t>electricity demand or load from the PMA preference customers that have historically relied on long-term contracts at low-cost rates are sensitive to changes in temperature, both annually and seasonally</w:t>
      </w:r>
      <w:r w:rsidR="009B31CD">
        <w:t>,</w:t>
      </w:r>
      <w:r>
        <w:t xml:space="preserve"> </w:t>
      </w:r>
      <w:r w:rsidR="00F469BE">
        <w:t>in</w:t>
      </w:r>
      <w:r>
        <w:t xml:space="preserve"> each PMA region.</w:t>
      </w:r>
    </w:p>
    <w:p w14:paraId="30F15483" w14:textId="334D0A13" w:rsidR="00DA1D85" w:rsidRDefault="00DA1D85" w:rsidP="00A348A7">
      <w:pPr>
        <w:pStyle w:val="BodyText"/>
      </w:pPr>
      <w:r>
        <w:t xml:space="preserve">In support of the two previous assessments, </w:t>
      </w:r>
      <w:r w:rsidR="00D97479">
        <w:t xml:space="preserve">maintaining </w:t>
      </w:r>
      <w:r w:rsidR="00DB7A27">
        <w:t xml:space="preserve">the </w:t>
      </w:r>
      <w:r w:rsidR="00D97479">
        <w:t xml:space="preserve">operational flexibilities </w:t>
      </w:r>
      <w:r w:rsidR="004A4F42">
        <w:t xml:space="preserve">will still be the key </w:t>
      </w:r>
      <w:r w:rsidR="00DB7A27">
        <w:t xml:space="preserve">challenge </w:t>
      </w:r>
      <w:r w:rsidR="004A4F42">
        <w:t>for federal hydropower reservoirs that are projected to experience seasonal supply and demand</w:t>
      </w:r>
      <w:r w:rsidR="00DB7A27">
        <w:t xml:space="preserve"> changes</w:t>
      </w:r>
      <w:r w:rsidR="004A4F42">
        <w:t>. E</w:t>
      </w:r>
      <w:r w:rsidR="004A4F42" w:rsidRPr="004A4F42">
        <w:t>arly snowmelt and change of runoff seasonality</w:t>
      </w:r>
      <w:r w:rsidR="004A4F42">
        <w:t xml:space="preserve"> remain the </w:t>
      </w:r>
      <w:r w:rsidR="004A4F42" w:rsidRPr="004A4F42">
        <w:t xml:space="preserve">most important climate change effects </w:t>
      </w:r>
      <w:r w:rsidR="00DB7A27">
        <w:t>for</w:t>
      </w:r>
      <w:r w:rsidR="004A4F42" w:rsidRPr="004A4F42">
        <w:t xml:space="preserve"> </w:t>
      </w:r>
      <w:r w:rsidR="00DB7A27">
        <w:t xml:space="preserve">federal </w:t>
      </w:r>
      <w:r w:rsidR="004A4F42" w:rsidRPr="004A4F42">
        <w:t>hydropower generation</w:t>
      </w:r>
      <w:r w:rsidR="00A5563E">
        <w:t>.</w:t>
      </w:r>
      <w:r>
        <w:t xml:space="preserve"> </w:t>
      </w:r>
      <w:r w:rsidR="00806447">
        <w:t>Overall, the t</w:t>
      </w:r>
      <w:r>
        <w:t>otal annual runoff, streamflow, and hydropower generation in the near</w:t>
      </w:r>
      <w:r w:rsidR="00265624">
        <w:t>-term</w:t>
      </w:r>
      <w:r>
        <w:t xml:space="preserve"> and mid-term future periods is projected to increase across the CONUS. Winter and spring runoff is </w:t>
      </w:r>
      <w:r w:rsidR="00B47244">
        <w:t>projected</w:t>
      </w:r>
      <w:r>
        <w:t xml:space="preserve"> to increase </w:t>
      </w:r>
      <w:r w:rsidR="00B47244">
        <w:t xml:space="preserve">in </w:t>
      </w:r>
      <w:r>
        <w:t xml:space="preserve">most PMA regions, </w:t>
      </w:r>
      <w:r w:rsidR="009B31CD">
        <w:t xml:space="preserve">and </w:t>
      </w:r>
      <w:r>
        <w:t xml:space="preserve">summer </w:t>
      </w:r>
      <w:r w:rsidR="00B47244">
        <w:t>runoff</w:t>
      </w:r>
      <w:r>
        <w:t xml:space="preserve"> </w:t>
      </w:r>
      <w:r w:rsidR="00B47244">
        <w:t xml:space="preserve">is </w:t>
      </w:r>
      <w:r>
        <w:t xml:space="preserve">projected to decrease </w:t>
      </w:r>
      <w:r w:rsidR="00B47244">
        <w:t xml:space="preserve">across </w:t>
      </w:r>
      <w:r>
        <w:t>much of the CONUS.</w:t>
      </w:r>
      <w:r w:rsidR="00B47244" w:rsidRPr="00B47244">
        <w:t xml:space="preserve"> </w:t>
      </w:r>
      <w:r w:rsidR="00B47244">
        <w:t>Regarding hydrologic extremes, h</w:t>
      </w:r>
      <w:r w:rsidR="00B47244" w:rsidRPr="00A17190">
        <w:t xml:space="preserve">igh runoff is projected to increase </w:t>
      </w:r>
      <w:r w:rsidR="00B47244">
        <w:t>in the majority of CONUS watersheds; however, low</w:t>
      </w:r>
      <w:r w:rsidR="00B47244" w:rsidRPr="00A17190">
        <w:t xml:space="preserve"> runoff is projected to decrease in the eastern/central and western coastal areas of the CONUS.</w:t>
      </w:r>
      <w:r w:rsidR="00B47244" w:rsidRPr="006C2F96">
        <w:t xml:space="preserve"> </w:t>
      </w:r>
      <w:r w:rsidR="00B47244">
        <w:t>The regions experiencing increase</w:t>
      </w:r>
      <w:r w:rsidR="009B31CD">
        <w:t>s</w:t>
      </w:r>
      <w:r w:rsidR="00B47244">
        <w:t xml:space="preserve"> in high runoff and decrease</w:t>
      </w:r>
      <w:r w:rsidR="009B31CD">
        <w:t>s</w:t>
      </w:r>
      <w:r w:rsidR="00B47244">
        <w:t xml:space="preserve"> in low runoff are projected to observe intensification of hydrologic cycle</w:t>
      </w:r>
      <w:r w:rsidR="006900AF">
        <w:t>s</w:t>
      </w:r>
      <w:r w:rsidR="00B47244">
        <w:t xml:space="preserve"> under future climate conditions.</w:t>
      </w:r>
    </w:p>
    <w:p w14:paraId="74158758" w14:textId="3A1B5116" w:rsidR="000E61CC" w:rsidRPr="000E61CC" w:rsidRDefault="008D095A" w:rsidP="000E61CC">
      <w:pPr>
        <w:pStyle w:val="BodyText"/>
        <w:rPr>
          <w:rFonts w:eastAsia="PMingLiU"/>
          <w:lang w:eastAsia="zh-TW"/>
        </w:rPr>
      </w:pPr>
      <w:r>
        <w:t xml:space="preserve">The most notable trends </w:t>
      </w:r>
      <w:r w:rsidR="00D91DCD">
        <w:t>of</w:t>
      </w:r>
      <w:r>
        <w:t xml:space="preserve"> PMA customer demand from the CMIP6</w:t>
      </w:r>
      <w:r w:rsidR="00DA1D85">
        <w:t xml:space="preserve">-based </w:t>
      </w:r>
      <w:r w:rsidR="00806447">
        <w:t xml:space="preserve">climate </w:t>
      </w:r>
      <w:r w:rsidR="00DA1D85">
        <w:t xml:space="preserve">projections </w:t>
      </w:r>
      <w:r w:rsidR="009E0013">
        <w:t xml:space="preserve">are the </w:t>
      </w:r>
      <w:r w:rsidR="00DA1D85">
        <w:t xml:space="preserve">warmer </w:t>
      </w:r>
      <w:r w:rsidR="009E0013">
        <w:t xml:space="preserve">winter </w:t>
      </w:r>
      <w:r w:rsidR="00DA1D85">
        <w:t xml:space="preserve">temperatures that result in reduced load for heating and increased load for cooling in the summer that </w:t>
      </w:r>
      <w:r w:rsidR="009B31CD">
        <w:t xml:space="preserve">suggests </w:t>
      </w:r>
      <w:r w:rsidR="00DA1D85">
        <w:t>a prominent, emerging load trend for air conditioning. This seasonal temperature-load dynamic results in reduced winter hydropower sales from the preference customers to their end-use</w:t>
      </w:r>
      <w:r w:rsidR="009B31CD">
        <w:t xml:space="preserve"> customers</w:t>
      </w:r>
      <w:r w:rsidR="00DA1D85">
        <w:t xml:space="preserve"> and increased sales in the summer. Thus, the ability to shift the timing and volume of water allocated for hydropower production on a seasonal basis would be valuable for the federal hydropower fleet, particularly for reservoirs experiencing drier conditions/constrained streamflow periods and increased electricity demand. From an annual perspective, a larger storage capacity or more flexible operating practices would be highly beneficial to maintain consistent, low-cost electricity prices for the PMA preference customers. Meeting long-term marketing plan goals for the PMAs is vital, and some</w:t>
      </w:r>
      <w:r w:rsidR="009B31CD">
        <w:t xml:space="preserve"> PMAs</w:t>
      </w:r>
      <w:r w:rsidR="00DA1D85">
        <w:t xml:space="preserve"> have considered joining other electricity market options as a strategy to improve their ability to provide electricity reliably and economically to their customers.</w:t>
      </w:r>
    </w:p>
    <w:p w14:paraId="186B82C4" w14:textId="77777777" w:rsidR="004001BA" w:rsidRDefault="004001BA" w:rsidP="00442D31">
      <w:pPr>
        <w:spacing w:line="240" w:lineRule="auto"/>
        <w:ind w:firstLine="0"/>
        <w:sectPr w:rsidR="004001BA" w:rsidSect="00CC3514">
          <w:pgSz w:w="12240" w:h="15840" w:code="1"/>
          <w:pgMar w:top="1440" w:right="1440" w:bottom="1440" w:left="1440" w:header="720" w:footer="720" w:gutter="0"/>
          <w:pgNumType w:fmt="lowerRoman"/>
          <w:cols w:space="720"/>
          <w:docGrid w:linePitch="360"/>
        </w:sectPr>
      </w:pPr>
    </w:p>
    <w:p w14:paraId="052794A8" w14:textId="175EF646" w:rsidR="00D665C6" w:rsidRPr="008A5AE5" w:rsidRDefault="00CD3542" w:rsidP="00A348A7">
      <w:pPr>
        <w:pStyle w:val="Heading1frontsections"/>
      </w:pPr>
      <w:bookmarkStart w:id="28" w:name="_Toc377479253"/>
      <w:bookmarkStart w:id="29" w:name="_Toc377479376"/>
      <w:bookmarkStart w:id="30" w:name="_Toc377480584"/>
      <w:bookmarkStart w:id="31" w:name="_Toc113380755"/>
      <w:bookmarkStart w:id="32" w:name="_Toc305153726"/>
      <w:r w:rsidRPr="00D52BE0">
        <w:lastRenderedPageBreak/>
        <w:t>ABBREVIAT</w:t>
      </w:r>
      <w:r>
        <w:t>IONS</w:t>
      </w:r>
      <w:bookmarkEnd w:id="28"/>
      <w:bookmarkEnd w:id="29"/>
      <w:bookmarkEnd w:id="30"/>
      <w:bookmarkEnd w:id="31"/>
    </w:p>
    <w:p w14:paraId="26D788A7" w14:textId="0ECBC6D0" w:rsidR="004C5E8B" w:rsidRDefault="004C5E8B" w:rsidP="00976056">
      <w:pPr>
        <w:spacing w:before="0" w:after="0" w:line="276" w:lineRule="auto"/>
        <w:ind w:left="2160" w:hanging="2160"/>
        <w:rPr>
          <w:rFonts w:eastAsia="Times New Roman"/>
        </w:rPr>
      </w:pPr>
      <w:r>
        <w:rPr>
          <w:rFonts w:eastAsia="Times New Roman"/>
        </w:rPr>
        <w:t>AC</w:t>
      </w:r>
      <w:r>
        <w:rPr>
          <w:rFonts w:eastAsia="Times New Roman"/>
        </w:rPr>
        <w:tab/>
      </w:r>
      <w:r>
        <w:t xml:space="preserve">air </w:t>
      </w:r>
      <w:r w:rsidR="00A06AC6">
        <w:t>conditioning</w:t>
      </w:r>
    </w:p>
    <w:p w14:paraId="26796452" w14:textId="1BF1D07A" w:rsidR="00472CB5" w:rsidRPr="003D6F00" w:rsidRDefault="00472CB5" w:rsidP="00976056">
      <w:pPr>
        <w:spacing w:before="0" w:after="0" w:line="276" w:lineRule="auto"/>
        <w:ind w:left="2160" w:hanging="2160"/>
        <w:rPr>
          <w:rFonts w:eastAsia="Times New Roman"/>
        </w:rPr>
      </w:pPr>
      <w:r w:rsidRPr="003D6F00">
        <w:rPr>
          <w:rFonts w:eastAsia="Times New Roman"/>
        </w:rPr>
        <w:t>ACCESS-CM2</w:t>
      </w:r>
      <w:r w:rsidRPr="003D6F00">
        <w:rPr>
          <w:rFonts w:eastAsia="Times New Roman"/>
        </w:rPr>
        <w:tab/>
        <w:t>Australian Community Climate and Earth System Simulator Coupled Climate Model</w:t>
      </w:r>
    </w:p>
    <w:p w14:paraId="1A0A5610"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ANOVA</w:t>
      </w:r>
      <w:r w:rsidRPr="003D6F00">
        <w:rPr>
          <w:rFonts w:eastAsia="Times New Roman"/>
        </w:rPr>
        <w:tab/>
        <w:t>analysis of variance</w:t>
      </w:r>
    </w:p>
    <w:p w14:paraId="1994671A"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A-V</w:t>
      </w:r>
      <w:r w:rsidRPr="003D6F00">
        <w:tab/>
      </w:r>
      <w:r w:rsidRPr="003D6F00">
        <w:rPr>
          <w:rFonts w:eastAsia="Times New Roman"/>
        </w:rPr>
        <w:t>area-volume</w:t>
      </w:r>
    </w:p>
    <w:p w14:paraId="6D440844"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BCCA</w:t>
      </w:r>
      <w:r w:rsidRPr="003D6F00">
        <w:tab/>
      </w:r>
      <w:r w:rsidRPr="003D6F00">
        <w:rPr>
          <w:rFonts w:eastAsia="Times New Roman"/>
        </w:rPr>
        <w:t>Bias Correction Constructed Analogues</w:t>
      </w:r>
    </w:p>
    <w:p w14:paraId="65FDFEE7" w14:textId="46C3175D" w:rsidR="00472CB5" w:rsidRDefault="00472CB5" w:rsidP="00976056">
      <w:pPr>
        <w:spacing w:before="0" w:after="0" w:line="276" w:lineRule="auto"/>
        <w:ind w:left="2160" w:hanging="2160"/>
        <w:rPr>
          <w:rFonts w:eastAsia="Times New Roman"/>
        </w:rPr>
      </w:pPr>
      <w:r w:rsidRPr="003D6F00">
        <w:rPr>
          <w:rFonts w:eastAsia="Times New Roman"/>
        </w:rPr>
        <w:t>BCC-CSM2-MR</w:t>
      </w:r>
      <w:r w:rsidRPr="003D6F00">
        <w:rPr>
          <w:rFonts w:eastAsia="Times New Roman"/>
        </w:rPr>
        <w:tab/>
        <w:t>Beijing Climate Center Climate System Model running on medium resolution</w:t>
      </w:r>
    </w:p>
    <w:p w14:paraId="456437CE" w14:textId="0972994C" w:rsidR="00FB7A82" w:rsidRPr="003D6F00" w:rsidRDefault="00FB7A82" w:rsidP="00976056">
      <w:pPr>
        <w:spacing w:before="0" w:after="0" w:line="276" w:lineRule="auto"/>
        <w:ind w:left="2160" w:hanging="2160"/>
      </w:pPr>
      <w:r>
        <w:rPr>
          <w:rFonts w:eastAsia="Times New Roman"/>
        </w:rPr>
        <w:t>BCSD</w:t>
      </w:r>
      <w:r>
        <w:rPr>
          <w:rFonts w:eastAsia="Times New Roman"/>
        </w:rPr>
        <w:tab/>
      </w:r>
      <w:r w:rsidRPr="00E303D7">
        <w:t>bias</w:t>
      </w:r>
      <w:r>
        <w:t>-</w:t>
      </w:r>
      <w:r w:rsidRPr="00E303D7">
        <w:t>corrected spatial disaggregation</w:t>
      </w:r>
    </w:p>
    <w:p w14:paraId="265FDAF9"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BPA</w:t>
      </w:r>
      <w:r w:rsidRPr="003D6F00">
        <w:rPr>
          <w:rFonts w:eastAsia="Times New Roman"/>
        </w:rPr>
        <w:tab/>
        <w:t xml:space="preserve">Bonneville Power Administration </w:t>
      </w:r>
    </w:p>
    <w:p w14:paraId="466041C5"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CAISO</w:t>
      </w:r>
      <w:r w:rsidRPr="003D6F00">
        <w:rPr>
          <w:rFonts w:eastAsia="Times New Roman"/>
        </w:rPr>
        <w:tab/>
        <w:t>California Independent System Operator</w:t>
      </w:r>
    </w:p>
    <w:p w14:paraId="75C80F0F"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CDD</w:t>
      </w:r>
      <w:r w:rsidRPr="003D6F00">
        <w:tab/>
      </w:r>
      <w:r w:rsidRPr="003D6F00">
        <w:rPr>
          <w:rFonts w:eastAsia="Times New Roman"/>
        </w:rPr>
        <w:t>cooling degree days</w:t>
      </w:r>
    </w:p>
    <w:p w14:paraId="16F6B341" w14:textId="77777777" w:rsidR="00472CB5" w:rsidRPr="003D6F00" w:rsidRDefault="00472CB5" w:rsidP="00976056">
      <w:pPr>
        <w:spacing w:before="0" w:after="0" w:line="276" w:lineRule="auto"/>
        <w:ind w:left="2160" w:hanging="2160"/>
        <w:rPr>
          <w:rFonts w:eastAsia="Times New Roman"/>
        </w:rPr>
      </w:pPr>
      <w:r w:rsidRPr="003D6F00">
        <w:rPr>
          <w:rFonts w:eastAsia="Times New Roman"/>
        </w:rPr>
        <w:t>CM</w:t>
      </w:r>
      <w:r w:rsidRPr="003D6F00">
        <w:tab/>
      </w:r>
      <w:r w:rsidRPr="003D6F00">
        <w:rPr>
          <w:rFonts w:eastAsia="Times New Roman"/>
        </w:rPr>
        <w:t>climate model</w:t>
      </w:r>
    </w:p>
    <w:p w14:paraId="02656D2F" w14:textId="37931141" w:rsidR="00FC5CDE" w:rsidRDefault="00FC5CDE" w:rsidP="00976056">
      <w:pPr>
        <w:spacing w:before="0" w:after="0" w:line="276" w:lineRule="auto"/>
        <w:ind w:left="2160" w:hanging="2160"/>
      </w:pPr>
      <w:r w:rsidRPr="00C1420E">
        <w:t>CMIP</w:t>
      </w:r>
      <w:r w:rsidRPr="00C1420E">
        <w:tab/>
        <w:t>Coupled Model Intercomparison Project</w:t>
      </w:r>
    </w:p>
    <w:p w14:paraId="1A6FA1C4" w14:textId="77777777" w:rsidR="00787AB2" w:rsidRPr="003D6F00" w:rsidRDefault="00787AB2" w:rsidP="00976056">
      <w:pPr>
        <w:spacing w:before="0" w:after="0" w:line="276" w:lineRule="auto"/>
        <w:ind w:left="2160" w:hanging="2160"/>
        <w:rPr>
          <w:rFonts w:eastAsia="Times New Roman"/>
        </w:rPr>
      </w:pPr>
      <w:r w:rsidRPr="003D6F00">
        <w:rPr>
          <w:rFonts w:eastAsia="Times New Roman"/>
        </w:rPr>
        <w:t>CNRM-ESM2-1</w:t>
      </w:r>
      <w:r w:rsidRPr="003D6F00">
        <w:rPr>
          <w:rFonts w:eastAsia="Times New Roman"/>
        </w:rPr>
        <w:tab/>
        <w:t>National Centre for Meteorological Research Earth System Model of second generation</w:t>
      </w:r>
    </w:p>
    <w:p w14:paraId="081A5DD9" w14:textId="15FB3CC4" w:rsidR="00FC5CDE" w:rsidRDefault="00FB2ABF" w:rsidP="00976056">
      <w:pPr>
        <w:spacing w:before="0" w:after="0" w:line="276" w:lineRule="auto"/>
        <w:ind w:left="2160" w:hanging="2160"/>
      </w:pPr>
      <w:r>
        <w:t>CONUS</w:t>
      </w:r>
      <w:r w:rsidR="00FC5CDE" w:rsidRPr="00084528">
        <w:tab/>
      </w:r>
      <w:r w:rsidR="00705674">
        <w:t>c</w:t>
      </w:r>
      <w:r w:rsidR="00705674" w:rsidRPr="00084528">
        <w:t>onterminous</w:t>
      </w:r>
      <w:r w:rsidR="00FC5CDE" w:rsidRPr="00084528">
        <w:t xml:space="preserve"> U</w:t>
      </w:r>
      <w:r w:rsidR="008C1F98">
        <w:t>nited States</w:t>
      </w:r>
    </w:p>
    <w:p w14:paraId="5C84CA4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CRSP</w:t>
      </w:r>
      <w:r w:rsidRPr="003D6F00">
        <w:rPr>
          <w:rFonts w:eastAsia="Times New Roman"/>
        </w:rPr>
        <w:tab/>
        <w:t>Colorado River Storage Project</w:t>
      </w:r>
    </w:p>
    <w:p w14:paraId="6D521D1A"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DBCCA</w:t>
      </w:r>
      <w:r w:rsidRPr="003D6F00">
        <w:tab/>
      </w:r>
      <w:r w:rsidRPr="003D6F00">
        <w:rPr>
          <w:rFonts w:eastAsia="Times New Roman"/>
        </w:rPr>
        <w:t>Double Bias Correction Constructed Analogues</w:t>
      </w:r>
    </w:p>
    <w:p w14:paraId="02335793"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DJF</w:t>
      </w:r>
      <w:r w:rsidRPr="003D6F00">
        <w:rPr>
          <w:rFonts w:eastAsia="Times New Roman"/>
        </w:rPr>
        <w:tab/>
        <w:t>December-January-February</w:t>
      </w:r>
    </w:p>
    <w:p w14:paraId="06B34FE3"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DOE</w:t>
      </w:r>
      <w:r w:rsidRPr="003D6F00">
        <w:rPr>
          <w:rFonts w:eastAsia="Times New Roman"/>
        </w:rPr>
        <w:tab/>
        <w:t>US Department of Energy</w:t>
      </w:r>
    </w:p>
    <w:p w14:paraId="280C74C3"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DS</w:t>
      </w:r>
      <w:r w:rsidRPr="003D6F00">
        <w:tab/>
      </w:r>
      <w:r w:rsidRPr="003D6F00">
        <w:rPr>
          <w:rFonts w:eastAsia="Times New Roman"/>
        </w:rPr>
        <w:t>downscaling method</w:t>
      </w:r>
    </w:p>
    <w:p w14:paraId="00E81747"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DSW</w:t>
      </w:r>
      <w:r w:rsidRPr="003D6F00">
        <w:tab/>
      </w:r>
      <w:r w:rsidRPr="003D6F00">
        <w:rPr>
          <w:rFonts w:eastAsia="Times New Roman"/>
        </w:rPr>
        <w:t>Desert Southwest</w:t>
      </w:r>
    </w:p>
    <w:p w14:paraId="2350300E"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EIA</w:t>
      </w:r>
      <w:r w:rsidRPr="003D6F00">
        <w:rPr>
          <w:rFonts w:eastAsia="Times New Roman"/>
        </w:rPr>
        <w:tab/>
        <w:t>US Energy Information Administration</w:t>
      </w:r>
    </w:p>
    <w:p w14:paraId="565046C0" w14:textId="09B26060" w:rsidR="00976056" w:rsidRPr="003D6F00" w:rsidRDefault="00976056" w:rsidP="00976056">
      <w:pPr>
        <w:spacing w:before="0" w:after="0" w:line="276" w:lineRule="auto"/>
        <w:ind w:left="2160" w:hanging="2160"/>
        <w:rPr>
          <w:rFonts w:eastAsia="Times New Roman"/>
        </w:rPr>
      </w:pPr>
      <w:r w:rsidRPr="003D6F00">
        <w:rPr>
          <w:rFonts w:eastAsia="Times New Roman"/>
        </w:rPr>
        <w:t>EIM</w:t>
      </w:r>
      <w:r w:rsidRPr="003D6F00">
        <w:rPr>
          <w:rFonts w:eastAsia="Times New Roman"/>
        </w:rPr>
        <w:tab/>
      </w:r>
      <w:r w:rsidR="00E80222" w:rsidRPr="003D6F00">
        <w:rPr>
          <w:rFonts w:eastAsia="Times New Roman"/>
        </w:rPr>
        <w:t>energy imbalance market</w:t>
      </w:r>
    </w:p>
    <w:p w14:paraId="60B72065"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EOF</w:t>
      </w:r>
      <w:r w:rsidRPr="003D6F00">
        <w:rPr>
          <w:rFonts w:eastAsia="Times New Roman"/>
        </w:rPr>
        <w:tab/>
        <w:t>empirical orthogonal function</w:t>
      </w:r>
    </w:p>
    <w:p w14:paraId="6C62AB1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FCRPS</w:t>
      </w:r>
      <w:r w:rsidRPr="003D6F00">
        <w:rPr>
          <w:rFonts w:eastAsia="Times New Roman"/>
        </w:rPr>
        <w:tab/>
        <w:t>Federal Columbia River Power System</w:t>
      </w:r>
    </w:p>
    <w:p w14:paraId="204985FE"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FERC</w:t>
      </w:r>
      <w:r w:rsidRPr="003D6F00">
        <w:rPr>
          <w:rFonts w:eastAsia="Times New Roman"/>
        </w:rPr>
        <w:tab/>
        <w:t>Federal Energy Regulatory Commission</w:t>
      </w:r>
    </w:p>
    <w:p w14:paraId="3FA61A72"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GA/AL/SC/JW</w:t>
      </w:r>
      <w:r w:rsidRPr="003D6F00">
        <w:tab/>
      </w:r>
      <w:r w:rsidRPr="003D6F00">
        <w:rPr>
          <w:rFonts w:eastAsia="Times New Roman"/>
        </w:rPr>
        <w:t>Georgia/Alabama/South Carolina/Jim Woodruff</w:t>
      </w:r>
    </w:p>
    <w:p w14:paraId="62515197"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GCM</w:t>
      </w:r>
      <w:r w:rsidRPr="003D6F00">
        <w:rPr>
          <w:rFonts w:eastAsia="Times New Roman"/>
        </w:rPr>
        <w:tab/>
        <w:t>global climate model</w:t>
      </w:r>
    </w:p>
    <w:p w14:paraId="698972C2"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GRanD</w:t>
      </w:r>
      <w:r w:rsidRPr="003D6F00">
        <w:rPr>
          <w:rFonts w:eastAsia="Times New Roman"/>
        </w:rPr>
        <w:tab/>
        <w:t>Global Reservoir and Dam Database</w:t>
      </w:r>
    </w:p>
    <w:p w14:paraId="1A3607A6"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HDD</w:t>
      </w:r>
      <w:r w:rsidRPr="003D6F00">
        <w:tab/>
      </w:r>
      <w:r w:rsidRPr="003D6F00">
        <w:rPr>
          <w:rFonts w:eastAsia="Times New Roman"/>
        </w:rPr>
        <w:t>heating degree days</w:t>
      </w:r>
    </w:p>
    <w:p w14:paraId="25D01ABC" w14:textId="01F7790B" w:rsidR="00976056" w:rsidRDefault="00976056" w:rsidP="00976056">
      <w:pPr>
        <w:spacing w:before="0" w:after="0" w:line="276" w:lineRule="auto"/>
        <w:ind w:left="2160" w:hanging="2160"/>
        <w:rPr>
          <w:rFonts w:eastAsia="Times New Roman"/>
        </w:rPr>
      </w:pPr>
      <w:r w:rsidRPr="003D6F00">
        <w:rPr>
          <w:rFonts w:eastAsia="Times New Roman"/>
        </w:rPr>
        <w:t>HM</w:t>
      </w:r>
      <w:r w:rsidRPr="003D6F00">
        <w:tab/>
      </w:r>
      <w:r w:rsidRPr="003D6F00">
        <w:rPr>
          <w:rFonts w:eastAsia="Times New Roman"/>
        </w:rPr>
        <w:t>hydrologic model</w:t>
      </w:r>
    </w:p>
    <w:p w14:paraId="3B9E775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HRU</w:t>
      </w:r>
      <w:r w:rsidRPr="003D6F00">
        <w:rPr>
          <w:rFonts w:eastAsia="Times New Roman"/>
        </w:rPr>
        <w:tab/>
        <w:t>hydrologic response unit</w:t>
      </w:r>
    </w:p>
    <w:p w14:paraId="495409C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HUC</w:t>
      </w:r>
      <w:r w:rsidRPr="003D6F00">
        <w:tab/>
      </w:r>
      <w:r w:rsidRPr="003D6F00">
        <w:rPr>
          <w:rFonts w:eastAsia="Times New Roman"/>
        </w:rPr>
        <w:t>hydrologic unit code</w:t>
      </w:r>
    </w:p>
    <w:p w14:paraId="38092A8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IBWC</w:t>
      </w:r>
      <w:r w:rsidRPr="003D6F00">
        <w:rPr>
          <w:rFonts w:eastAsia="Times New Roman"/>
        </w:rPr>
        <w:tab/>
        <w:t>International Boundary and Water Commission</w:t>
      </w:r>
    </w:p>
    <w:p w14:paraId="52B27A0D"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IOU</w:t>
      </w:r>
      <w:r w:rsidRPr="003D6F00">
        <w:rPr>
          <w:rFonts w:eastAsia="Times New Roman"/>
        </w:rPr>
        <w:tab/>
        <w:t>investor-owned utility</w:t>
      </w:r>
    </w:p>
    <w:p w14:paraId="24013737"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ISO</w:t>
      </w:r>
      <w:r w:rsidRPr="003D6F00">
        <w:rPr>
          <w:rFonts w:eastAsia="Times New Roman"/>
        </w:rPr>
        <w:tab/>
      </w:r>
      <w:r w:rsidRPr="005E482E">
        <w:rPr>
          <w:rFonts w:eastAsia="Times New Roman"/>
        </w:rPr>
        <w:t>independent system operator</w:t>
      </w:r>
    </w:p>
    <w:p w14:paraId="5DB0016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JJA</w:t>
      </w:r>
      <w:r w:rsidRPr="003D6F00">
        <w:rPr>
          <w:rFonts w:eastAsia="Times New Roman"/>
        </w:rPr>
        <w:tab/>
        <w:t>June-July-August</w:t>
      </w:r>
    </w:p>
    <w:p w14:paraId="4433F1F7" w14:textId="2F84BDBC" w:rsidR="00976056" w:rsidRDefault="00976056" w:rsidP="00976056">
      <w:pPr>
        <w:spacing w:before="0" w:after="0" w:line="276" w:lineRule="auto"/>
        <w:ind w:left="2160" w:hanging="2160"/>
        <w:rPr>
          <w:rFonts w:eastAsia="Times New Roman"/>
        </w:rPr>
      </w:pPr>
      <w:r w:rsidRPr="003D6F00">
        <w:rPr>
          <w:rFonts w:eastAsia="Times New Roman"/>
        </w:rPr>
        <w:t>LEM</w:t>
      </w:r>
      <w:r w:rsidRPr="003D6F00">
        <w:tab/>
      </w:r>
      <w:r w:rsidRPr="003D6F00">
        <w:rPr>
          <w:rFonts w:eastAsia="Times New Roman"/>
        </w:rPr>
        <w:t>lake evaporation model</w:t>
      </w:r>
    </w:p>
    <w:p w14:paraId="126F9E5B" w14:textId="3BF3A155" w:rsidR="00FB7A82" w:rsidRDefault="00FB7A82" w:rsidP="00976056">
      <w:pPr>
        <w:spacing w:before="0" w:after="0" w:line="276" w:lineRule="auto"/>
        <w:ind w:left="2160" w:hanging="2160"/>
        <w:rPr>
          <w:rFonts w:eastAsia="Times New Roman"/>
        </w:rPr>
      </w:pPr>
      <w:r>
        <w:rPr>
          <w:rFonts w:eastAsia="Times New Roman"/>
        </w:rPr>
        <w:t>LOCA</w:t>
      </w:r>
      <w:r>
        <w:rPr>
          <w:rFonts w:eastAsia="Times New Roman"/>
        </w:rPr>
        <w:tab/>
      </w:r>
      <w:r w:rsidRPr="00D83614">
        <w:t>localized constructed analogs</w:t>
      </w:r>
    </w:p>
    <w:p w14:paraId="680A1BD5" w14:textId="44F1C3B9" w:rsidR="00FB7A82" w:rsidRPr="003D6F00" w:rsidRDefault="00FB7A82" w:rsidP="00976056">
      <w:pPr>
        <w:spacing w:before="0" w:after="0" w:line="276" w:lineRule="auto"/>
        <w:ind w:left="2160" w:hanging="2160"/>
        <w:rPr>
          <w:rFonts w:eastAsia="Times New Roman"/>
        </w:rPr>
      </w:pPr>
      <w:r>
        <w:rPr>
          <w:rFonts w:eastAsia="Times New Roman"/>
        </w:rPr>
        <w:t>MACA</w:t>
      </w:r>
      <w:r>
        <w:rPr>
          <w:rFonts w:eastAsia="Times New Roman"/>
        </w:rPr>
        <w:tab/>
      </w:r>
      <w:r w:rsidRPr="00E303D7">
        <w:t>multivariate adaptive constructed analogs</w:t>
      </w:r>
    </w:p>
    <w:p w14:paraId="17D6672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MAM</w:t>
      </w:r>
      <w:r w:rsidRPr="003D6F00">
        <w:rPr>
          <w:rFonts w:eastAsia="Times New Roman"/>
        </w:rPr>
        <w:tab/>
        <w:t>March-April-May</w:t>
      </w:r>
    </w:p>
    <w:p w14:paraId="173EFAAA" w14:textId="06B2DB44" w:rsidR="00976056" w:rsidRPr="003D6F00" w:rsidRDefault="00976056" w:rsidP="00976056">
      <w:pPr>
        <w:spacing w:before="0" w:after="0" w:line="276" w:lineRule="auto"/>
        <w:ind w:left="2160" w:hanging="2160"/>
        <w:rPr>
          <w:rFonts w:eastAsia="Times New Roman"/>
        </w:rPr>
      </w:pPr>
      <w:r w:rsidRPr="003D6F00">
        <w:rPr>
          <w:rFonts w:eastAsia="Times New Roman"/>
        </w:rPr>
        <w:lastRenderedPageBreak/>
        <w:t>MetF</w:t>
      </w:r>
      <w:r w:rsidRPr="003D6F00">
        <w:tab/>
      </w:r>
      <w:r w:rsidR="00995476">
        <w:t xml:space="preserve">reference </w:t>
      </w:r>
      <w:r w:rsidR="00995476" w:rsidRPr="003D6F00">
        <w:rPr>
          <w:rFonts w:eastAsia="Times New Roman"/>
        </w:rPr>
        <w:t xml:space="preserve">meteorological </w:t>
      </w:r>
      <w:r w:rsidR="00995476">
        <w:rPr>
          <w:rFonts w:eastAsia="Times New Roman"/>
        </w:rPr>
        <w:t>forcing (meteorological observation)</w:t>
      </w:r>
    </w:p>
    <w:p w14:paraId="6622FC8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MOSART-WM</w:t>
      </w:r>
      <w:r w:rsidRPr="003D6F00">
        <w:tab/>
      </w:r>
      <w:r w:rsidRPr="003D6F00">
        <w:rPr>
          <w:rFonts w:eastAsia="Times New Roman"/>
        </w:rPr>
        <w:t>Model for Scale Adaptive River Transport water management component</w:t>
      </w:r>
    </w:p>
    <w:p w14:paraId="673EF71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 xml:space="preserve">MPI-ESM1-2-HR </w:t>
      </w:r>
      <w:r w:rsidRPr="003D6F00">
        <w:rPr>
          <w:rFonts w:eastAsia="Times New Roman"/>
        </w:rPr>
        <w:tab/>
        <w:t>Max Planck Institute Earth System Model run at high resolution</w:t>
      </w:r>
    </w:p>
    <w:p w14:paraId="759B5AEB"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MRI-ESM2-0</w:t>
      </w:r>
      <w:r w:rsidRPr="003D6F00">
        <w:rPr>
          <w:rFonts w:eastAsia="Times New Roman"/>
        </w:rPr>
        <w:tab/>
        <w:t>Meteorological Research Institute Earth System Model version 2.0</w:t>
      </w:r>
    </w:p>
    <w:p w14:paraId="63FBD078" w14:textId="5C899086" w:rsidR="00976056" w:rsidRPr="003D6F00" w:rsidRDefault="00976056" w:rsidP="00976056">
      <w:pPr>
        <w:spacing w:before="0" w:after="0" w:line="276" w:lineRule="auto"/>
        <w:ind w:left="2160" w:hanging="2160"/>
        <w:rPr>
          <w:rFonts w:eastAsia="Times New Roman"/>
        </w:rPr>
      </w:pPr>
      <w:r w:rsidRPr="003D6F00">
        <w:rPr>
          <w:rFonts w:eastAsia="Times New Roman"/>
        </w:rPr>
        <w:t>MTCLIM</w:t>
      </w:r>
      <w:r w:rsidRPr="003D6F00">
        <w:tab/>
      </w:r>
      <w:r w:rsidR="00C41331" w:rsidRPr="003D6F00">
        <w:rPr>
          <w:rFonts w:eastAsia="Times New Roman"/>
        </w:rPr>
        <w:t xml:space="preserve">Mountain Microclimate </w:t>
      </w:r>
      <w:r w:rsidR="00C41331">
        <w:rPr>
          <w:rFonts w:eastAsia="Times New Roman"/>
        </w:rPr>
        <w:t>Simulation Model</w:t>
      </w:r>
    </w:p>
    <w:p w14:paraId="4E798966" w14:textId="247A567F" w:rsidR="00976056" w:rsidRPr="003D6F00" w:rsidRDefault="00976056" w:rsidP="00976056">
      <w:pPr>
        <w:spacing w:before="0" w:after="0" w:line="276" w:lineRule="auto"/>
        <w:ind w:left="2160" w:hanging="2160"/>
        <w:rPr>
          <w:rFonts w:eastAsia="Times New Roman"/>
        </w:rPr>
      </w:pPr>
      <w:r w:rsidRPr="003D6F00">
        <w:rPr>
          <w:rFonts w:eastAsia="Times New Roman"/>
        </w:rPr>
        <w:t>NA</w:t>
      </w:r>
      <w:r w:rsidR="00187E2F">
        <w:rPr>
          <w:rFonts w:eastAsia="Times New Roman"/>
        </w:rPr>
        <w:t>R</w:t>
      </w:r>
      <w:r w:rsidRPr="003D6F00">
        <w:rPr>
          <w:rFonts w:eastAsia="Times New Roman"/>
        </w:rPr>
        <w:t>R</w:t>
      </w:r>
      <w:r w:rsidRPr="003D6F00">
        <w:rPr>
          <w:rFonts w:eastAsia="Times New Roman"/>
        </w:rPr>
        <w:tab/>
        <w:t>North American Regional Reanalysis</w:t>
      </w:r>
    </w:p>
    <w:p w14:paraId="2798E6EC"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NCEI</w:t>
      </w:r>
      <w:r w:rsidRPr="003D6F00">
        <w:rPr>
          <w:rFonts w:eastAsia="Times New Roman"/>
        </w:rPr>
        <w:tab/>
        <w:t>National Center for Environmental Information</w:t>
      </w:r>
    </w:p>
    <w:p w14:paraId="2FDFAF8C" w14:textId="78CB7696" w:rsidR="00976056" w:rsidRPr="003D6F00" w:rsidRDefault="00976056" w:rsidP="00976056">
      <w:pPr>
        <w:spacing w:before="0" w:after="0" w:line="276" w:lineRule="auto"/>
        <w:ind w:left="2160" w:hanging="2160"/>
        <w:rPr>
          <w:rFonts w:eastAsia="Times New Roman"/>
        </w:rPr>
      </w:pPr>
      <w:r w:rsidRPr="003D6F00">
        <w:rPr>
          <w:rFonts w:eastAsia="Times New Roman"/>
        </w:rPr>
        <w:t>NCEP1</w:t>
      </w:r>
      <w:r w:rsidRPr="003D6F00">
        <w:tab/>
      </w:r>
      <w:r w:rsidRPr="003D6F00">
        <w:rPr>
          <w:rFonts w:eastAsia="Times New Roman"/>
        </w:rPr>
        <w:t xml:space="preserve">National Center for Environmental Prediction reanalysis </w:t>
      </w:r>
      <w:r w:rsidR="00586130">
        <w:rPr>
          <w:rFonts w:eastAsia="Times New Roman"/>
        </w:rPr>
        <w:t>data</w:t>
      </w:r>
      <w:r w:rsidR="005606E5">
        <w:rPr>
          <w:rFonts w:eastAsia="Times New Roman"/>
        </w:rPr>
        <w:t xml:space="preserve"> </w:t>
      </w:r>
      <w:r w:rsidR="00586130">
        <w:rPr>
          <w:rFonts w:eastAsia="Times New Roman"/>
        </w:rPr>
        <w:t>se</w:t>
      </w:r>
      <w:r w:rsidRPr="003D6F00">
        <w:rPr>
          <w:rFonts w:eastAsia="Times New Roman"/>
        </w:rPr>
        <w:t>t</w:t>
      </w:r>
    </w:p>
    <w:p w14:paraId="335E501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NID</w:t>
      </w:r>
      <w:r w:rsidRPr="003D6F00">
        <w:rPr>
          <w:rFonts w:eastAsia="Times New Roman"/>
        </w:rPr>
        <w:tab/>
        <w:t>National Inventory of Dams</w:t>
      </w:r>
    </w:p>
    <w:p w14:paraId="4433987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NLDAS</w:t>
      </w:r>
      <w:r w:rsidRPr="003D6F00">
        <w:tab/>
      </w:r>
      <w:r w:rsidRPr="003D6F00">
        <w:rPr>
          <w:rFonts w:eastAsia="Times New Roman"/>
        </w:rPr>
        <w:t>North American Land Data Assimilation System</w:t>
      </w:r>
    </w:p>
    <w:p w14:paraId="0A6BD3DD"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NorESM2-MM</w:t>
      </w:r>
      <w:r w:rsidRPr="003D6F00">
        <w:rPr>
          <w:rFonts w:eastAsia="Times New Roman"/>
        </w:rPr>
        <w:tab/>
        <w:t>Norwegian Earth System Model</w:t>
      </w:r>
    </w:p>
    <w:p w14:paraId="65AB6A3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NRMSE</w:t>
      </w:r>
      <w:r w:rsidRPr="003D6F00">
        <w:tab/>
      </w:r>
      <w:r w:rsidRPr="003D6F00">
        <w:rPr>
          <w:rFonts w:eastAsia="Times New Roman"/>
        </w:rPr>
        <w:t>normalized root mean square error</w:t>
      </w:r>
    </w:p>
    <w:p w14:paraId="7C16FB9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NSE</w:t>
      </w:r>
      <w:r w:rsidRPr="003D6F00">
        <w:tab/>
      </w:r>
      <w:r w:rsidRPr="003D6F00">
        <w:rPr>
          <w:rFonts w:eastAsia="Times New Roman"/>
        </w:rPr>
        <w:t>Nash–Sutcliffe efficiency</w:t>
      </w:r>
    </w:p>
    <w:p w14:paraId="18BF1632"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NWIS</w:t>
      </w:r>
      <w:r w:rsidRPr="003D6F00">
        <w:rPr>
          <w:rFonts w:eastAsia="Times New Roman"/>
        </w:rPr>
        <w:tab/>
        <w:t>National Water Information System</w:t>
      </w:r>
    </w:p>
    <w:p w14:paraId="75C32825"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O&amp;M</w:t>
      </w:r>
      <w:r w:rsidRPr="003D6F00">
        <w:rPr>
          <w:rFonts w:eastAsia="Times New Roman"/>
        </w:rPr>
        <w:tab/>
        <w:t>operation</w:t>
      </w:r>
      <w:r>
        <w:rPr>
          <w:rFonts w:eastAsia="Times New Roman"/>
        </w:rPr>
        <w:t>s</w:t>
      </w:r>
      <w:r w:rsidRPr="003D6F00">
        <w:rPr>
          <w:rFonts w:eastAsia="Times New Roman"/>
        </w:rPr>
        <w:t xml:space="preserve"> and maintenance</w:t>
      </w:r>
    </w:p>
    <w:p w14:paraId="5AE8052E"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ORNL</w:t>
      </w:r>
      <w:r w:rsidRPr="003D6F00">
        <w:rPr>
          <w:rFonts w:eastAsia="Times New Roman"/>
        </w:rPr>
        <w:tab/>
        <w:t>Oak Ridge National Laboratory</w:t>
      </w:r>
    </w:p>
    <w:p w14:paraId="121BABBA"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PC</w:t>
      </w:r>
      <w:r w:rsidRPr="003D6F00">
        <w:rPr>
          <w:rFonts w:eastAsia="Times New Roman"/>
        </w:rPr>
        <w:tab/>
        <w:t>principal component</w:t>
      </w:r>
    </w:p>
    <w:p w14:paraId="4A97B545"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PM</w:t>
      </w:r>
      <w:r w:rsidRPr="003D6F00">
        <w:tab/>
      </w:r>
      <w:r w:rsidRPr="003D6F00">
        <w:rPr>
          <w:rFonts w:eastAsia="Times New Roman"/>
        </w:rPr>
        <w:t>hydropower model</w:t>
      </w:r>
    </w:p>
    <w:p w14:paraId="3911E27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PMA</w:t>
      </w:r>
      <w:r w:rsidRPr="003D6F00">
        <w:rPr>
          <w:rFonts w:eastAsia="Times New Roman"/>
        </w:rPr>
        <w:tab/>
        <w:t>Power Marketing Administration</w:t>
      </w:r>
    </w:p>
    <w:p w14:paraId="7E29FD97"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PRISM</w:t>
      </w:r>
      <w:r w:rsidRPr="003D6F00">
        <w:rPr>
          <w:rFonts w:eastAsia="Times New Roman"/>
        </w:rPr>
        <w:tab/>
        <w:t>Parameter-elevation Regressions on Independent Slopes Model</w:t>
      </w:r>
    </w:p>
    <w:p w14:paraId="2BF28E8E"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PRMS</w:t>
      </w:r>
      <w:r w:rsidRPr="003D6F00">
        <w:rPr>
          <w:rFonts w:eastAsia="Times New Roman"/>
        </w:rPr>
        <w:tab/>
        <w:t>Precipitation Runoff Modeling System</w:t>
      </w:r>
    </w:p>
    <w:p w14:paraId="1353AB71"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PSO</w:t>
      </w:r>
      <w:r w:rsidRPr="003D6F00">
        <w:tab/>
      </w:r>
      <w:r w:rsidRPr="003D6F00">
        <w:rPr>
          <w:rFonts w:eastAsia="Times New Roman"/>
        </w:rPr>
        <w:t>particle swarm optimization</w:t>
      </w:r>
    </w:p>
    <w:p w14:paraId="604BDBF3"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RCM</w:t>
      </w:r>
      <w:r w:rsidRPr="003D6F00">
        <w:tab/>
      </w:r>
      <w:r w:rsidRPr="003D6F00">
        <w:rPr>
          <w:rFonts w:eastAsia="Times New Roman"/>
        </w:rPr>
        <w:t>regional climate model</w:t>
      </w:r>
    </w:p>
    <w:p w14:paraId="5941D84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RCP</w:t>
      </w:r>
      <w:r w:rsidRPr="003D6F00">
        <w:rPr>
          <w:rFonts w:eastAsia="Times New Roman"/>
        </w:rPr>
        <w:tab/>
        <w:t>Representative Concentration Pathway</w:t>
      </w:r>
    </w:p>
    <w:p w14:paraId="4E134EA5"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Reclamation</w:t>
      </w:r>
      <w:r w:rsidRPr="003D6F00">
        <w:rPr>
          <w:rFonts w:eastAsia="Times New Roman"/>
        </w:rPr>
        <w:tab/>
        <w:t>US Bureau of Reclamation</w:t>
      </w:r>
    </w:p>
    <w:p w14:paraId="55BCFFE2"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RegCM4</w:t>
      </w:r>
      <w:r w:rsidRPr="003D6F00">
        <w:tab/>
      </w:r>
      <w:r w:rsidRPr="003D6F00">
        <w:rPr>
          <w:rFonts w:eastAsia="Times New Roman"/>
        </w:rPr>
        <w:t>Regional Climate Model version 4</w:t>
      </w:r>
    </w:p>
    <w:p w14:paraId="4EB1692D"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RMJOC</w:t>
      </w:r>
      <w:r w:rsidRPr="003D6F00">
        <w:rPr>
          <w:rFonts w:eastAsia="Times New Roman"/>
        </w:rPr>
        <w:tab/>
        <w:t>River Management Joint Operations Committee</w:t>
      </w:r>
    </w:p>
    <w:p w14:paraId="071CC8A8"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RMSE</w:t>
      </w:r>
      <w:r w:rsidRPr="003D6F00">
        <w:tab/>
      </w:r>
      <w:r w:rsidRPr="003D6F00">
        <w:rPr>
          <w:rFonts w:eastAsia="Times New Roman"/>
        </w:rPr>
        <w:t>root mean square error</w:t>
      </w:r>
    </w:p>
    <w:p w14:paraId="764A7852"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ROR</w:t>
      </w:r>
      <w:r w:rsidRPr="003D6F00">
        <w:tab/>
      </w:r>
      <w:r w:rsidRPr="003D6F00">
        <w:rPr>
          <w:rFonts w:eastAsia="Times New Roman"/>
        </w:rPr>
        <w:t>run-of-the-river</w:t>
      </w:r>
    </w:p>
    <w:p w14:paraId="21F6D0D6" w14:textId="03A4E77A" w:rsidR="00976056" w:rsidRPr="003D6F00" w:rsidRDefault="00976056" w:rsidP="00976056">
      <w:pPr>
        <w:spacing w:before="0" w:after="0" w:line="276" w:lineRule="auto"/>
        <w:ind w:left="2160" w:hanging="2160"/>
        <w:rPr>
          <w:rFonts w:eastAsia="Times New Roman"/>
        </w:rPr>
      </w:pPr>
      <w:r w:rsidRPr="003D6F00">
        <w:rPr>
          <w:rFonts w:eastAsia="Times New Roman"/>
        </w:rPr>
        <w:t>ROS</w:t>
      </w:r>
      <w:r w:rsidRPr="003D6F00">
        <w:tab/>
      </w:r>
      <w:r w:rsidR="008C3834">
        <w:t xml:space="preserve">ratio of </w:t>
      </w:r>
      <w:r w:rsidRPr="003D6F00">
        <w:rPr>
          <w:rFonts w:eastAsia="Times New Roman"/>
        </w:rPr>
        <w:t>spatial standard deviation</w:t>
      </w:r>
    </w:p>
    <w:p w14:paraId="14B65CB7" w14:textId="77777777" w:rsidR="00976056" w:rsidRPr="003D6F00" w:rsidRDefault="00976056" w:rsidP="00976056">
      <w:pPr>
        <w:spacing w:before="0" w:after="0" w:line="276" w:lineRule="auto"/>
        <w:ind w:left="2160" w:hanging="2160"/>
      </w:pPr>
      <w:r w:rsidRPr="003D6F00">
        <w:rPr>
          <w:rFonts w:eastAsia="Times New Roman"/>
        </w:rPr>
        <w:t>RTO</w:t>
      </w:r>
      <w:r>
        <w:tab/>
      </w:r>
      <w:r w:rsidRPr="00205B66">
        <w:rPr>
          <w:rFonts w:eastAsia="Times New Roman"/>
        </w:rPr>
        <w:t>regional transmission organization</w:t>
      </w:r>
    </w:p>
    <w:p w14:paraId="330F8A16"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SEPA</w:t>
      </w:r>
      <w:r w:rsidRPr="003D6F00">
        <w:rPr>
          <w:rFonts w:eastAsia="Times New Roman"/>
        </w:rPr>
        <w:tab/>
        <w:t>Southeastern Power Administration</w:t>
      </w:r>
    </w:p>
    <w:p w14:paraId="76312AE8"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SN/RM</w:t>
      </w:r>
      <w:r w:rsidRPr="003D6F00">
        <w:tab/>
      </w:r>
      <w:r w:rsidRPr="003D6F00">
        <w:rPr>
          <w:rFonts w:eastAsia="Times New Roman"/>
        </w:rPr>
        <w:t>Sierra Nevada/Rocky Mountains</w:t>
      </w:r>
    </w:p>
    <w:p w14:paraId="5747F9F8"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SON</w:t>
      </w:r>
      <w:r w:rsidRPr="003D6F00">
        <w:rPr>
          <w:rFonts w:eastAsia="Times New Roman"/>
        </w:rPr>
        <w:tab/>
        <w:t>September-October-November</w:t>
      </w:r>
    </w:p>
    <w:p w14:paraId="7F4D8A5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SPP</w:t>
      </w:r>
      <w:r w:rsidRPr="003D6F00">
        <w:rPr>
          <w:rFonts w:eastAsia="Times New Roman"/>
        </w:rPr>
        <w:tab/>
        <w:t>Southwest Power Pool</w:t>
      </w:r>
    </w:p>
    <w:p w14:paraId="5CC01C7E"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SS</w:t>
      </w:r>
      <w:r w:rsidRPr="003D6F00">
        <w:tab/>
      </w:r>
      <w:r w:rsidRPr="003D6F00">
        <w:rPr>
          <w:rFonts w:eastAsia="Times New Roman"/>
        </w:rPr>
        <w:t>sum of squares</w:t>
      </w:r>
    </w:p>
    <w:p w14:paraId="5111EA4F"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SSP</w:t>
      </w:r>
      <w:r w:rsidRPr="003D6F00">
        <w:rPr>
          <w:rFonts w:eastAsia="Times New Roman"/>
        </w:rPr>
        <w:tab/>
        <w:t>Shared Socioeconomic Pathway</w:t>
      </w:r>
    </w:p>
    <w:p w14:paraId="3756BF0D"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SWA</w:t>
      </w:r>
      <w:r w:rsidRPr="003D6F00">
        <w:rPr>
          <w:rFonts w:eastAsia="Times New Roman"/>
        </w:rPr>
        <w:tab/>
        <w:t>SECURE Water Act</w:t>
      </w:r>
    </w:p>
    <w:p w14:paraId="15EC3436"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SWE</w:t>
      </w:r>
      <w:r w:rsidRPr="003D6F00">
        <w:rPr>
          <w:rFonts w:eastAsia="Times New Roman"/>
        </w:rPr>
        <w:tab/>
        <w:t>snow water equivalent</w:t>
      </w:r>
    </w:p>
    <w:p w14:paraId="219BB0F8"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SWPA</w:t>
      </w:r>
      <w:r w:rsidRPr="003D6F00">
        <w:rPr>
          <w:rFonts w:eastAsia="Times New Roman"/>
        </w:rPr>
        <w:tab/>
        <w:t>Southwestern Power Administration</w:t>
      </w:r>
    </w:p>
    <w:p w14:paraId="6CE0DA28"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TIGER</w:t>
      </w:r>
      <w:r w:rsidRPr="003D6F00">
        <w:rPr>
          <w:rFonts w:eastAsia="Times New Roman"/>
        </w:rPr>
        <w:tab/>
        <w:t>Topologically Integrated Geographic Encoding and Referencing</w:t>
      </w:r>
    </w:p>
    <w:p w14:paraId="091E15FD"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TVA</w:t>
      </w:r>
      <w:r w:rsidRPr="003D6F00">
        <w:rPr>
          <w:rFonts w:eastAsia="Times New Roman"/>
        </w:rPr>
        <w:tab/>
        <w:t>Tennessee Valley Authority</w:t>
      </w:r>
    </w:p>
    <w:p w14:paraId="623E3C49"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UGP</w:t>
      </w:r>
      <w:r w:rsidRPr="003D6F00">
        <w:rPr>
          <w:rFonts w:eastAsia="Times New Roman"/>
        </w:rPr>
        <w:tab/>
        <w:t>upper Great Plains</w:t>
      </w:r>
    </w:p>
    <w:p w14:paraId="089BB143"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USACE</w:t>
      </w:r>
      <w:r w:rsidRPr="003D6F00">
        <w:rPr>
          <w:rFonts w:eastAsia="Times New Roman"/>
        </w:rPr>
        <w:tab/>
        <w:t>US Army Corps of Engineers</w:t>
      </w:r>
    </w:p>
    <w:p w14:paraId="57EC0AAA"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lastRenderedPageBreak/>
        <w:t>USGS</w:t>
      </w:r>
      <w:r w:rsidRPr="003D6F00">
        <w:rPr>
          <w:rFonts w:eastAsia="Times New Roman"/>
        </w:rPr>
        <w:tab/>
        <w:t>US Geological Survey</w:t>
      </w:r>
    </w:p>
    <w:p w14:paraId="156205DC"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VIC</w:t>
      </w:r>
      <w:r w:rsidRPr="003D6F00">
        <w:rPr>
          <w:rFonts w:eastAsia="Times New Roman"/>
        </w:rPr>
        <w:tab/>
        <w:t>Variable Infiltration Capacity</w:t>
      </w:r>
    </w:p>
    <w:p w14:paraId="6C878430"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WAPA</w:t>
      </w:r>
      <w:r w:rsidRPr="003D6F00">
        <w:rPr>
          <w:rFonts w:eastAsia="Times New Roman"/>
        </w:rPr>
        <w:tab/>
        <w:t>Western Area Power Administration</w:t>
      </w:r>
    </w:p>
    <w:p w14:paraId="25E71947"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WEIS</w:t>
      </w:r>
      <w:r w:rsidRPr="003D6F00">
        <w:tab/>
      </w:r>
      <w:r w:rsidRPr="003D6F00">
        <w:rPr>
          <w:rFonts w:eastAsia="Times New Roman"/>
        </w:rPr>
        <w:t>Western Energy Imbalance Service</w:t>
      </w:r>
    </w:p>
    <w:p w14:paraId="751AAE6B" w14:textId="77777777" w:rsidR="00976056" w:rsidRPr="003D6F00" w:rsidRDefault="00976056" w:rsidP="00976056">
      <w:pPr>
        <w:spacing w:before="0" w:after="0" w:line="276" w:lineRule="auto"/>
        <w:ind w:left="2160" w:hanging="2160"/>
        <w:rPr>
          <w:rFonts w:eastAsia="Times New Roman"/>
        </w:rPr>
      </w:pPr>
      <w:r w:rsidRPr="003D6F00">
        <w:rPr>
          <w:rFonts w:eastAsia="Times New Roman"/>
        </w:rPr>
        <w:t>WMP</w:t>
      </w:r>
      <w:r w:rsidRPr="003D6F00">
        <w:tab/>
      </w:r>
      <w:r w:rsidRPr="003D6F00">
        <w:rPr>
          <w:rFonts w:eastAsia="Times New Roman"/>
        </w:rPr>
        <w:t>Water Management Hydropower</w:t>
      </w:r>
    </w:p>
    <w:p w14:paraId="4ACE0439" w14:textId="270FE524" w:rsidR="00976056" w:rsidRPr="009F6C4E" w:rsidRDefault="00976056" w:rsidP="009F6C4E">
      <w:pPr>
        <w:spacing w:before="0" w:after="0" w:line="276" w:lineRule="auto"/>
        <w:ind w:left="2160" w:hanging="2160"/>
        <w:rPr>
          <w:rFonts w:eastAsia="Times New Roman"/>
        </w:rPr>
      </w:pPr>
      <w:r w:rsidRPr="003D6F00">
        <w:rPr>
          <w:rFonts w:eastAsia="Times New Roman"/>
        </w:rPr>
        <w:t>WRES</w:t>
      </w:r>
      <w:r w:rsidRPr="003D6F00">
        <w:tab/>
      </w:r>
      <w:r w:rsidRPr="003D6F00">
        <w:rPr>
          <w:rFonts w:eastAsia="Times New Roman"/>
        </w:rPr>
        <w:t>Watershed Runoff-Energy Storage</w:t>
      </w:r>
    </w:p>
    <w:p w14:paraId="13B6B59B" w14:textId="77777777" w:rsidR="003555D2" w:rsidRPr="00084528" w:rsidRDefault="003555D2" w:rsidP="00241C48">
      <w:pPr>
        <w:tabs>
          <w:tab w:val="left" w:pos="2250"/>
        </w:tabs>
        <w:spacing w:before="0" w:after="0" w:line="276" w:lineRule="auto"/>
        <w:ind w:firstLine="0"/>
      </w:pPr>
    </w:p>
    <w:p w14:paraId="2673C94F" w14:textId="77777777" w:rsidR="00414179" w:rsidRDefault="00414179">
      <w:pPr>
        <w:spacing w:before="0" w:after="200" w:line="276" w:lineRule="auto"/>
        <w:ind w:firstLine="0"/>
      </w:pPr>
    </w:p>
    <w:p w14:paraId="42FEA7E7" w14:textId="77777777" w:rsidR="00414179" w:rsidRDefault="00414179">
      <w:pPr>
        <w:spacing w:before="0" w:after="200" w:line="276" w:lineRule="auto"/>
        <w:ind w:firstLine="0"/>
        <w:sectPr w:rsidR="00414179" w:rsidSect="00CC3514">
          <w:pgSz w:w="12240" w:h="15840" w:code="1"/>
          <w:pgMar w:top="1440" w:right="1440" w:bottom="1440" w:left="1440" w:header="720" w:footer="720" w:gutter="0"/>
          <w:pgNumType w:fmt="lowerRoman"/>
          <w:cols w:space="720"/>
          <w:docGrid w:linePitch="360"/>
        </w:sectPr>
      </w:pPr>
    </w:p>
    <w:p w14:paraId="3E7C1858" w14:textId="678DF04F" w:rsidR="000C3472" w:rsidRDefault="000C3472" w:rsidP="000C3472">
      <w:pPr>
        <w:tabs>
          <w:tab w:val="left" w:pos="2145"/>
        </w:tabs>
        <w:spacing w:before="0" w:after="0"/>
        <w:ind w:firstLine="0"/>
        <w:jc w:val="center"/>
      </w:pPr>
      <w:bookmarkStart w:id="33" w:name="_Toc377479254"/>
      <w:bookmarkStart w:id="34" w:name="_Toc377479377"/>
      <w:bookmarkStart w:id="35" w:name="_Toc377480585"/>
      <w:r>
        <w:lastRenderedPageBreak/>
        <w:t>(This</w:t>
      </w:r>
      <w:r w:rsidR="00343DBC">
        <w:t xml:space="preserve"> page intentionally left blank</w:t>
      </w:r>
      <w:r>
        <w:t>)</w:t>
      </w:r>
    </w:p>
    <w:p w14:paraId="39BEB020" w14:textId="77777777" w:rsidR="000C3472" w:rsidRDefault="000C3472" w:rsidP="000C3472">
      <w:pPr>
        <w:tabs>
          <w:tab w:val="left" w:pos="2145"/>
        </w:tabs>
        <w:spacing w:before="0" w:after="0"/>
        <w:ind w:firstLine="0"/>
        <w:jc w:val="center"/>
        <w:sectPr w:rsidR="000C3472" w:rsidSect="00343DBC">
          <w:pgSz w:w="12240" w:h="15840" w:code="1"/>
          <w:pgMar w:top="1440" w:right="1440" w:bottom="1440" w:left="1440" w:header="720" w:footer="720" w:gutter="0"/>
          <w:pgNumType w:fmt="lowerRoman"/>
          <w:cols w:space="720"/>
          <w:vAlign w:val="center"/>
          <w:docGrid w:linePitch="360"/>
        </w:sectPr>
      </w:pPr>
    </w:p>
    <w:p w14:paraId="40C4E50C" w14:textId="77777777" w:rsidR="00414179" w:rsidRPr="00925971" w:rsidRDefault="00414179" w:rsidP="00925971">
      <w:pPr>
        <w:pStyle w:val="Heading1"/>
      </w:pPr>
      <w:bookmarkStart w:id="36" w:name="_Toc113380756"/>
      <w:bookmarkEnd w:id="32"/>
      <w:bookmarkEnd w:id="33"/>
      <w:bookmarkEnd w:id="34"/>
      <w:bookmarkEnd w:id="35"/>
      <w:r w:rsidRPr="00925971">
        <w:lastRenderedPageBreak/>
        <w:t>INTRODUCTION</w:t>
      </w:r>
      <w:bookmarkEnd w:id="36"/>
    </w:p>
    <w:p w14:paraId="5C93CFDB" w14:textId="6B7C9C6E" w:rsidR="00072369" w:rsidRPr="00E33F6D" w:rsidRDefault="004B1005" w:rsidP="00A33CBF">
      <w:pPr>
        <w:pStyle w:val="BodyText"/>
        <w:rPr>
          <w:snapToGrid/>
        </w:rPr>
      </w:pPr>
      <w:r w:rsidRPr="00E33F6D">
        <w:rPr>
          <w:snapToGrid/>
        </w:rPr>
        <w:t xml:space="preserve">This study, </w:t>
      </w:r>
      <w:r w:rsidRPr="008D2E17">
        <w:rPr>
          <w:i/>
          <w:iCs/>
          <w:snapToGrid/>
        </w:rPr>
        <w:t>The Third Assessment of the Effects of Climate Change on Federal Hydropower</w:t>
      </w:r>
      <w:r w:rsidRPr="00E33F6D">
        <w:rPr>
          <w:snapToGrid/>
        </w:rPr>
        <w:t xml:space="preserve">, directed by Section 9505 of </w:t>
      </w:r>
      <w:r>
        <w:rPr>
          <w:snapToGrid/>
        </w:rPr>
        <w:t xml:space="preserve">the </w:t>
      </w:r>
      <w:r w:rsidRPr="00E33F6D">
        <w:rPr>
          <w:rFonts w:hint="eastAsia"/>
          <w:snapToGrid/>
        </w:rPr>
        <w:t>SECURE</w:t>
      </w:r>
      <w:r w:rsidRPr="00E33F6D">
        <w:rPr>
          <w:snapToGrid/>
        </w:rPr>
        <w:t xml:space="preserve"> Water Act </w:t>
      </w:r>
      <w:r w:rsidRPr="00E33F6D">
        <w:rPr>
          <w:rFonts w:hint="eastAsia"/>
          <w:snapToGrid/>
        </w:rPr>
        <w:t xml:space="preserve">(SWA) </w:t>
      </w:r>
      <w:r w:rsidRPr="00E33F6D">
        <w:rPr>
          <w:snapToGrid/>
        </w:rPr>
        <w:t>of 2009</w:t>
      </w:r>
      <w:r w:rsidRPr="00E33F6D">
        <w:rPr>
          <w:rFonts w:hint="eastAsia"/>
          <w:snapToGrid/>
        </w:rPr>
        <w:t xml:space="preserve">, </w:t>
      </w:r>
      <w:r w:rsidRPr="00E33F6D">
        <w:rPr>
          <w:snapToGrid/>
        </w:rPr>
        <w:t xml:space="preserve">is the </w:t>
      </w:r>
      <w:r>
        <w:rPr>
          <w:snapToGrid/>
        </w:rPr>
        <w:t>third</w:t>
      </w:r>
      <w:r w:rsidRPr="00E33F6D">
        <w:rPr>
          <w:snapToGrid/>
        </w:rPr>
        <w:t xml:space="preserve"> quinquennial report on evaluating the </w:t>
      </w:r>
      <w:r>
        <w:rPr>
          <w:snapToGrid/>
        </w:rPr>
        <w:t>effects of</w:t>
      </w:r>
      <w:r w:rsidRPr="00E33F6D">
        <w:rPr>
          <w:snapToGrid/>
        </w:rPr>
        <w:t xml:space="preserve"> climate change on hydroelectric energy generated from 132 </w:t>
      </w:r>
      <w:r w:rsidR="004F718B">
        <w:rPr>
          <w:snapToGrid/>
        </w:rPr>
        <w:t>US</w:t>
      </w:r>
      <w:r>
        <w:rPr>
          <w:snapToGrid/>
        </w:rPr>
        <w:t xml:space="preserve"> </w:t>
      </w:r>
      <w:r w:rsidRPr="00E33F6D">
        <w:rPr>
          <w:snapToGrid/>
        </w:rPr>
        <w:t>federal hydropower plants</w:t>
      </w:r>
      <w:r>
        <w:rPr>
          <w:snapToGrid/>
        </w:rPr>
        <w:t xml:space="preserve"> marketed by four </w:t>
      </w:r>
      <w:r w:rsidR="00A12FDF">
        <w:rPr>
          <w:snapToGrid/>
        </w:rPr>
        <w:t>US</w:t>
      </w:r>
      <w:r>
        <w:rPr>
          <w:snapToGrid/>
        </w:rPr>
        <w:t xml:space="preserve"> Department of Energy (DOE) </w:t>
      </w:r>
      <w:r w:rsidRPr="00E33F6D">
        <w:rPr>
          <w:snapToGrid/>
        </w:rPr>
        <w:t xml:space="preserve">Power Marketing Administrations (PMAs). The technical assessment is conducted by </w:t>
      </w:r>
      <w:r w:rsidR="00F316D2">
        <w:rPr>
          <w:snapToGrid/>
        </w:rPr>
        <w:t>DOE</w:t>
      </w:r>
      <w:r w:rsidR="00805545">
        <w:rPr>
          <w:snapToGrid/>
        </w:rPr>
        <w:t>’</w:t>
      </w:r>
      <w:r w:rsidR="00F316D2">
        <w:rPr>
          <w:snapToGrid/>
        </w:rPr>
        <w:t xml:space="preserve">s </w:t>
      </w:r>
      <w:r w:rsidRPr="00E33F6D">
        <w:rPr>
          <w:snapToGrid/>
        </w:rPr>
        <w:t>Oak Ridge National Laboratory (ORNL)</w:t>
      </w:r>
      <w:r>
        <w:rPr>
          <w:snapToGrid/>
        </w:rPr>
        <w:t>, Pacific Northwest National Laboratory</w:t>
      </w:r>
      <w:r w:rsidR="003542AC">
        <w:rPr>
          <w:snapToGrid/>
        </w:rPr>
        <w:t>,</w:t>
      </w:r>
      <w:r>
        <w:rPr>
          <w:snapToGrid/>
        </w:rPr>
        <w:t xml:space="preserve"> and Texas A&amp;M University </w:t>
      </w:r>
      <w:r w:rsidRPr="00E33F6D">
        <w:rPr>
          <w:snapToGrid/>
        </w:rPr>
        <w:t xml:space="preserve">under the guidance of </w:t>
      </w:r>
      <w:r>
        <w:rPr>
          <w:snapToGrid/>
        </w:rPr>
        <w:t>DOE</w:t>
      </w:r>
      <w:r w:rsidR="00805545">
        <w:rPr>
          <w:snapToGrid/>
        </w:rPr>
        <w:t>’</w:t>
      </w:r>
      <w:r w:rsidR="006A5694">
        <w:rPr>
          <w:snapToGrid/>
        </w:rPr>
        <w:t>s</w:t>
      </w:r>
      <w:r>
        <w:rPr>
          <w:snapToGrid/>
        </w:rPr>
        <w:t xml:space="preserve"> </w:t>
      </w:r>
      <w:r w:rsidRPr="00E33F6D">
        <w:rPr>
          <w:snapToGrid/>
        </w:rPr>
        <w:t xml:space="preserve">Water Power Technologies Office. </w:t>
      </w:r>
      <w:r w:rsidRPr="00E33F6D">
        <w:rPr>
          <w:rFonts w:hint="eastAsia"/>
          <w:snapToGrid/>
        </w:rPr>
        <w:t>This study</w:t>
      </w:r>
      <w:r w:rsidRPr="00E33F6D">
        <w:rPr>
          <w:snapToGrid/>
        </w:rPr>
        <w:t xml:space="preserve"> is the result of extensive consultation with the </w:t>
      </w:r>
      <w:r>
        <w:rPr>
          <w:snapToGrid/>
        </w:rPr>
        <w:t xml:space="preserve">four </w:t>
      </w:r>
      <w:r w:rsidRPr="00E33F6D">
        <w:rPr>
          <w:snapToGrid/>
        </w:rPr>
        <w:t>federal PMAs</w:t>
      </w:r>
      <w:r>
        <w:rPr>
          <w:snapToGrid/>
        </w:rPr>
        <w:t xml:space="preserve"> (Bonneville Power Administration [BPA], Western Area Power Administration [WAPA], Southwestern Power Administration [SWPA], and Southeastern Power Administration [SEPA])</w:t>
      </w:r>
      <w:r w:rsidRPr="00E33F6D">
        <w:rPr>
          <w:snapToGrid/>
        </w:rPr>
        <w:t>, as well as other agencies, including federal hydropower owners</w:t>
      </w:r>
      <w:r>
        <w:rPr>
          <w:snapToGrid/>
        </w:rPr>
        <w:t>/operators</w:t>
      </w:r>
      <w:r w:rsidRPr="00E33F6D">
        <w:rPr>
          <w:snapToGrid/>
        </w:rPr>
        <w:t xml:space="preserve"> (the </w:t>
      </w:r>
      <w:r w:rsidR="00A12FDF">
        <w:rPr>
          <w:snapToGrid/>
        </w:rPr>
        <w:t>US</w:t>
      </w:r>
      <w:r w:rsidRPr="00E33F6D">
        <w:rPr>
          <w:snapToGrid/>
        </w:rPr>
        <w:t xml:space="preserve"> Army Corps of Engineers [USACE]</w:t>
      </w:r>
      <w:r>
        <w:rPr>
          <w:snapToGrid/>
        </w:rPr>
        <w:t xml:space="preserve">, </w:t>
      </w:r>
      <w:r w:rsidR="004218F9">
        <w:rPr>
          <w:snapToGrid/>
        </w:rPr>
        <w:t xml:space="preserve">US </w:t>
      </w:r>
      <w:r w:rsidRPr="00E33F6D">
        <w:rPr>
          <w:snapToGrid/>
        </w:rPr>
        <w:t>Bureau of Reclamation [Reclamation])</w:t>
      </w:r>
      <w:r>
        <w:rPr>
          <w:snapToGrid/>
        </w:rPr>
        <w:t xml:space="preserve">, </w:t>
      </w:r>
      <w:r w:rsidR="00A12FDF">
        <w:rPr>
          <w:snapToGrid/>
        </w:rPr>
        <w:t>US</w:t>
      </w:r>
      <w:r>
        <w:rPr>
          <w:snapToGrid/>
        </w:rPr>
        <w:t xml:space="preserve"> Geological Survey (USGS), and </w:t>
      </w:r>
      <w:r w:rsidRPr="008F3877">
        <w:rPr>
          <w:snapToGrid/>
        </w:rPr>
        <w:t>National Oceanic and Atmospheric Administration</w:t>
      </w:r>
      <w:r w:rsidRPr="00E33F6D">
        <w:rPr>
          <w:snapToGrid/>
        </w:rPr>
        <w:t>.</w:t>
      </w:r>
      <w:r w:rsidRPr="00E33F6D">
        <w:rPr>
          <w:rFonts w:hint="eastAsia"/>
          <w:snapToGrid/>
        </w:rPr>
        <w:t xml:space="preserve"> </w:t>
      </w:r>
      <w:r w:rsidRPr="00E33F6D">
        <w:rPr>
          <w:snapToGrid/>
        </w:rPr>
        <w:t xml:space="preserve">The main findings of this assessment, along with </w:t>
      </w:r>
      <w:r>
        <w:rPr>
          <w:snapToGrid/>
        </w:rPr>
        <w:t xml:space="preserve">the </w:t>
      </w:r>
      <w:r w:rsidRPr="00E33F6D">
        <w:rPr>
          <w:snapToGrid/>
        </w:rPr>
        <w:t xml:space="preserve">PMA </w:t>
      </w:r>
      <w:r w:rsidR="0003073E" w:rsidRPr="00E33F6D">
        <w:rPr>
          <w:snapToGrid/>
        </w:rPr>
        <w:t>administrators</w:t>
      </w:r>
      <w:r w:rsidR="00805545">
        <w:rPr>
          <w:snapToGrid/>
        </w:rPr>
        <w:t>’</w:t>
      </w:r>
      <w:r w:rsidR="0003073E" w:rsidRPr="00E33F6D">
        <w:rPr>
          <w:snapToGrid/>
        </w:rPr>
        <w:t xml:space="preserve"> </w:t>
      </w:r>
      <w:r w:rsidRPr="00E33F6D">
        <w:rPr>
          <w:snapToGrid/>
        </w:rPr>
        <w:t>Recommendation</w:t>
      </w:r>
      <w:r w:rsidR="00C65511">
        <w:rPr>
          <w:snapToGrid/>
        </w:rPr>
        <w:t>s</w:t>
      </w:r>
      <w:r w:rsidRPr="00E33F6D">
        <w:rPr>
          <w:snapToGrid/>
        </w:rPr>
        <w:t xml:space="preserve">, will be included in a subsequent DOE </w:t>
      </w:r>
      <w:r w:rsidR="00B061ED">
        <w:rPr>
          <w:snapToGrid/>
        </w:rPr>
        <w:t>r</w:t>
      </w:r>
      <w:r w:rsidRPr="00E33F6D">
        <w:rPr>
          <w:snapToGrid/>
        </w:rPr>
        <w:t>eport to Congress. The assessment method and the technical findings are described in this report.</w:t>
      </w:r>
    </w:p>
    <w:p w14:paraId="2D99DDE0" w14:textId="77777777" w:rsidR="00414179" w:rsidRPr="00925971" w:rsidRDefault="00414179" w:rsidP="00925971">
      <w:pPr>
        <w:pStyle w:val="Heading2"/>
        <w:rPr>
          <w:bCs/>
          <w:iCs/>
          <w:snapToGrid/>
        </w:rPr>
      </w:pPr>
      <w:bookmarkStart w:id="37" w:name="_Toc113380757"/>
      <w:r w:rsidRPr="00925971">
        <w:rPr>
          <w:bCs/>
          <w:iCs/>
          <w:snapToGrid/>
        </w:rPr>
        <w:t>Background</w:t>
      </w:r>
      <w:bookmarkEnd w:id="37"/>
    </w:p>
    <w:p w14:paraId="320AEFBA" w14:textId="5F9B449B" w:rsidR="00E61034" w:rsidRPr="00E33F6D" w:rsidRDefault="004B1005" w:rsidP="00A33CBF">
      <w:pPr>
        <w:pStyle w:val="BodyText"/>
        <w:rPr>
          <w:snapToGrid/>
        </w:rPr>
      </w:pPr>
      <w:r>
        <w:t>The Omnibus Public Land Management Act of 2009 (Public Law 111-11)</w:t>
      </w:r>
      <w:r w:rsidRPr="00C205DC">
        <w:t xml:space="preserve"> </w:t>
      </w:r>
      <w:r>
        <w:t xml:space="preserve">Subtitle F – SECURE Water </w:t>
      </w:r>
      <w:r w:rsidR="000A3FF3">
        <w:t xml:space="preserve">Act </w:t>
      </w:r>
      <w:r>
        <w:t>(SWA) was passed into law on March 30, 2009</w:t>
      </w:r>
      <w:r w:rsidRPr="00E33F6D">
        <w:rPr>
          <w:snapToGrid/>
        </w:rPr>
        <w:t xml:space="preserve">. </w:t>
      </w:r>
      <w:r>
        <w:rPr>
          <w:snapToGrid/>
        </w:rPr>
        <w:t xml:space="preserve">The </w:t>
      </w:r>
      <w:r w:rsidRPr="00E33F6D">
        <w:rPr>
          <w:snapToGrid/>
        </w:rPr>
        <w:t xml:space="preserve">SWA authorizes federal agencies to study and improve water management and to increase the acquisition and analysis of data describing water resources used for irrigation, hydropower, municipal uses, environmental conservation, and other purposes. A primary purpose of </w:t>
      </w:r>
      <w:r>
        <w:rPr>
          <w:snapToGrid/>
        </w:rPr>
        <w:t xml:space="preserve">the </w:t>
      </w:r>
      <w:r w:rsidRPr="00E33F6D">
        <w:rPr>
          <w:snapToGrid/>
        </w:rPr>
        <w:t xml:space="preserve">SWA was to facilitate an analysis and plan for potential effects that climate change may have on the hydrologic cycle that provides water for communities, economic growth, and ecosystem protection in the </w:t>
      </w:r>
      <w:r w:rsidR="00A12FDF">
        <w:rPr>
          <w:snapToGrid/>
        </w:rPr>
        <w:t>United States</w:t>
      </w:r>
      <w:r w:rsidRPr="00E33F6D">
        <w:rPr>
          <w:snapToGrid/>
        </w:rPr>
        <w:t xml:space="preserve">. </w:t>
      </w:r>
      <w:r w:rsidR="00292442">
        <w:rPr>
          <w:snapToGrid/>
        </w:rPr>
        <w:t>T</w:t>
      </w:r>
      <w:r w:rsidRPr="00E33F6D">
        <w:rPr>
          <w:snapToGrid/>
        </w:rPr>
        <w:t>he SWA legislation</w:t>
      </w:r>
      <w:r w:rsidR="00292442">
        <w:rPr>
          <w:snapToGrid/>
        </w:rPr>
        <w:t xml:space="preserve"> has 10 sections</w:t>
      </w:r>
      <w:r w:rsidR="00E61034" w:rsidRPr="00E33F6D">
        <w:rPr>
          <w:snapToGrid/>
        </w:rPr>
        <w:t>:</w:t>
      </w:r>
    </w:p>
    <w:p w14:paraId="1A5C6A91" w14:textId="77777777" w:rsidR="003C4CBF" w:rsidRDefault="003C4CBF" w:rsidP="00746728">
      <w:pPr>
        <w:pStyle w:val="BodyText"/>
        <w:numPr>
          <w:ilvl w:val="0"/>
          <w:numId w:val="17"/>
        </w:numPr>
        <w:spacing w:after="0"/>
        <w:ind w:left="432" w:hanging="432"/>
      </w:pPr>
      <w:r>
        <w:t xml:space="preserve">9501, Findings </w:t>
      </w:r>
    </w:p>
    <w:p w14:paraId="66710B6C" w14:textId="77777777" w:rsidR="003C4CBF" w:rsidRDefault="003C4CBF" w:rsidP="00746728">
      <w:pPr>
        <w:pStyle w:val="BodyText"/>
        <w:numPr>
          <w:ilvl w:val="0"/>
          <w:numId w:val="17"/>
        </w:numPr>
        <w:spacing w:after="0"/>
        <w:ind w:left="432" w:hanging="432"/>
      </w:pPr>
      <w:r>
        <w:t xml:space="preserve">9502, Definitions </w:t>
      </w:r>
    </w:p>
    <w:p w14:paraId="19D02AC5" w14:textId="77777777" w:rsidR="003C4CBF" w:rsidRDefault="003C4CBF" w:rsidP="00746728">
      <w:pPr>
        <w:pStyle w:val="BodyText"/>
        <w:numPr>
          <w:ilvl w:val="0"/>
          <w:numId w:val="17"/>
        </w:numPr>
        <w:spacing w:after="0"/>
        <w:ind w:left="432" w:hanging="432"/>
      </w:pPr>
      <w:r>
        <w:t xml:space="preserve">9503, Reclamation Climate Change and Water Program </w:t>
      </w:r>
    </w:p>
    <w:p w14:paraId="620576B2" w14:textId="77777777" w:rsidR="003C4CBF" w:rsidRDefault="003C4CBF" w:rsidP="00746728">
      <w:pPr>
        <w:pStyle w:val="BodyText"/>
        <w:numPr>
          <w:ilvl w:val="0"/>
          <w:numId w:val="17"/>
        </w:numPr>
        <w:spacing w:after="0"/>
        <w:ind w:left="432" w:hanging="432"/>
      </w:pPr>
      <w:r>
        <w:t>9504, Water Management Improvement</w:t>
      </w:r>
    </w:p>
    <w:p w14:paraId="06A76E2C" w14:textId="77777777" w:rsidR="003C4CBF" w:rsidRDefault="003C4CBF" w:rsidP="00746728">
      <w:pPr>
        <w:pStyle w:val="BodyText"/>
        <w:numPr>
          <w:ilvl w:val="0"/>
          <w:numId w:val="17"/>
        </w:numPr>
        <w:spacing w:after="0"/>
        <w:ind w:left="432" w:hanging="432"/>
      </w:pPr>
      <w:r>
        <w:t>9505, Hydroelectric Power Assessment (this report)</w:t>
      </w:r>
    </w:p>
    <w:p w14:paraId="603A49DA" w14:textId="77777777" w:rsidR="003C4CBF" w:rsidRDefault="003C4CBF" w:rsidP="00746728">
      <w:pPr>
        <w:pStyle w:val="BodyText"/>
        <w:numPr>
          <w:ilvl w:val="0"/>
          <w:numId w:val="17"/>
        </w:numPr>
        <w:spacing w:after="0"/>
        <w:ind w:left="432" w:hanging="432"/>
      </w:pPr>
      <w:r>
        <w:t>9506, Climate Change and Water Intragovernmental Panel</w:t>
      </w:r>
    </w:p>
    <w:p w14:paraId="37300F0E" w14:textId="69009ED8" w:rsidR="003C4CBF" w:rsidRDefault="003C4CBF" w:rsidP="00746728">
      <w:pPr>
        <w:pStyle w:val="BodyText"/>
        <w:numPr>
          <w:ilvl w:val="0"/>
          <w:numId w:val="17"/>
        </w:numPr>
        <w:spacing w:after="0"/>
        <w:ind w:left="432" w:hanging="432"/>
      </w:pPr>
      <w:r>
        <w:t xml:space="preserve">9507, Water Data </w:t>
      </w:r>
      <w:r w:rsidR="0045311C">
        <w:t xml:space="preserve">Enhancement </w:t>
      </w:r>
      <w:r>
        <w:t xml:space="preserve">by the </w:t>
      </w:r>
      <w:r w:rsidR="0045311C">
        <w:t>United States</w:t>
      </w:r>
      <w:r>
        <w:t xml:space="preserve"> Geological Survey</w:t>
      </w:r>
    </w:p>
    <w:p w14:paraId="49BE6447" w14:textId="77777777" w:rsidR="003C4CBF" w:rsidRDefault="003C4CBF" w:rsidP="00746728">
      <w:pPr>
        <w:pStyle w:val="BodyText"/>
        <w:numPr>
          <w:ilvl w:val="0"/>
          <w:numId w:val="17"/>
        </w:numPr>
        <w:spacing w:after="0"/>
        <w:ind w:left="432" w:hanging="432"/>
      </w:pPr>
      <w:r>
        <w:t xml:space="preserve">9508, National Water Availability and Use Assessment Program </w:t>
      </w:r>
    </w:p>
    <w:p w14:paraId="2819C99E" w14:textId="77777777" w:rsidR="003C4CBF" w:rsidRDefault="003C4CBF" w:rsidP="00746728">
      <w:pPr>
        <w:pStyle w:val="BodyText"/>
        <w:numPr>
          <w:ilvl w:val="0"/>
          <w:numId w:val="17"/>
        </w:numPr>
        <w:spacing w:after="0"/>
        <w:ind w:left="432" w:hanging="432"/>
      </w:pPr>
      <w:r>
        <w:t>9509, Research Agreement Authority</w:t>
      </w:r>
    </w:p>
    <w:p w14:paraId="346CFDA2" w14:textId="45889D6A" w:rsidR="003C4CBF" w:rsidRDefault="003C4CBF" w:rsidP="00746728">
      <w:pPr>
        <w:pStyle w:val="BodyText"/>
        <w:numPr>
          <w:ilvl w:val="0"/>
          <w:numId w:val="17"/>
        </w:numPr>
        <w:ind w:left="432" w:hanging="432"/>
      </w:pPr>
      <w:r>
        <w:t>9510, Effect</w:t>
      </w:r>
    </w:p>
    <w:p w14:paraId="3B15C6C9" w14:textId="0796FA14" w:rsidR="00E61034" w:rsidRDefault="00E61034" w:rsidP="00E61034">
      <w:pPr>
        <w:pStyle w:val="BodyText"/>
        <w:rPr>
          <w:snapToGrid/>
        </w:rPr>
      </w:pPr>
      <w:r w:rsidRPr="00E33F6D">
        <w:rPr>
          <w:snapToGrid/>
        </w:rPr>
        <w:t xml:space="preserve">SWA Section 9505(c) directs the </w:t>
      </w:r>
      <w:r w:rsidR="00501693">
        <w:rPr>
          <w:snapToGrid/>
        </w:rPr>
        <w:t>s</w:t>
      </w:r>
      <w:r w:rsidRPr="00E33F6D">
        <w:rPr>
          <w:snapToGrid/>
        </w:rPr>
        <w:t xml:space="preserve">ecretary of </w:t>
      </w:r>
      <w:r w:rsidR="00851659">
        <w:rPr>
          <w:snapToGrid/>
        </w:rPr>
        <w:t>e</w:t>
      </w:r>
      <w:r w:rsidRPr="00E33F6D">
        <w:rPr>
          <w:snapToGrid/>
        </w:rPr>
        <w:t xml:space="preserve">nergy to assess the effects of global climate change on water supplies required for hydropower generation at federal water projects and to present the results in a </w:t>
      </w:r>
      <w:r w:rsidR="00B061ED">
        <w:rPr>
          <w:snapToGrid/>
        </w:rPr>
        <w:t>r</w:t>
      </w:r>
      <w:r w:rsidRPr="00E33F6D">
        <w:rPr>
          <w:snapToGrid/>
        </w:rPr>
        <w:t xml:space="preserve">eport to Congress (see </w:t>
      </w:r>
      <w:r w:rsidR="00006B74">
        <w:rPr>
          <w:snapToGrid/>
        </w:rPr>
        <w:fldChar w:fldCharType="begin"/>
      </w:r>
      <w:r w:rsidR="00006B74">
        <w:rPr>
          <w:snapToGrid/>
        </w:rPr>
        <w:instrText xml:space="preserve"> REF _Ref71181654 \r \h </w:instrText>
      </w:r>
      <w:r w:rsidR="00006B74">
        <w:rPr>
          <w:snapToGrid/>
        </w:rPr>
      </w:r>
      <w:r w:rsidR="00006B74">
        <w:rPr>
          <w:snapToGrid/>
        </w:rPr>
        <w:fldChar w:fldCharType="separate"/>
      </w:r>
      <w:r w:rsidR="00EE0BF5">
        <w:rPr>
          <w:snapToGrid/>
        </w:rPr>
        <w:t>APPENDIX A</w:t>
      </w:r>
      <w:r w:rsidR="00006B74">
        <w:rPr>
          <w:snapToGrid/>
        </w:rPr>
        <w:fldChar w:fldCharType="end"/>
      </w:r>
      <w:r w:rsidRPr="00E33F6D">
        <w:rPr>
          <w:snapToGrid/>
        </w:rPr>
        <w:t xml:space="preserve"> for the text of the original legislation). DOE is to repeat these assessments every </w:t>
      </w:r>
      <w:r w:rsidR="00397F15">
        <w:rPr>
          <w:snapToGrid/>
        </w:rPr>
        <w:t>five</w:t>
      </w:r>
      <w:r w:rsidR="00397F15" w:rsidRPr="00E33F6D">
        <w:rPr>
          <w:snapToGrid/>
        </w:rPr>
        <w:t xml:space="preserve"> </w:t>
      </w:r>
      <w:r w:rsidRPr="00E33F6D">
        <w:rPr>
          <w:snapToGrid/>
        </w:rPr>
        <w:t>years until 2023. The 9505 assessment has been conducted in coordination with each of the PMA administrators that sell and distribute hydroelectricity from federal projects, as well as with USACE and Reclamation</w:t>
      </w:r>
      <w:r w:rsidR="00851659">
        <w:rPr>
          <w:snapToGrid/>
        </w:rPr>
        <w:t>,</w:t>
      </w:r>
      <w:r w:rsidRPr="00E33F6D">
        <w:rPr>
          <w:snapToGrid/>
        </w:rPr>
        <w:t xml:space="preserve"> who own and operate federal hydropower dams.</w:t>
      </w:r>
    </w:p>
    <w:p w14:paraId="09C3EFE9" w14:textId="39537CF1" w:rsidR="00E61034" w:rsidRDefault="00E61034" w:rsidP="00E61034">
      <w:pPr>
        <w:pStyle w:val="BodyText"/>
        <w:rPr>
          <w:snapToGrid/>
        </w:rPr>
      </w:pPr>
      <w:r w:rsidRPr="00E33F6D">
        <w:rPr>
          <w:snapToGrid/>
        </w:rPr>
        <w:t xml:space="preserve">Sections 9503 and 9505 </w:t>
      </w:r>
      <w:r w:rsidR="00B26B43">
        <w:rPr>
          <w:snapToGrid/>
        </w:rPr>
        <w:t>address</w:t>
      </w:r>
      <w:r w:rsidRPr="00E33F6D">
        <w:rPr>
          <w:snapToGrid/>
        </w:rPr>
        <w:t xml:space="preserve"> climate change effects on </w:t>
      </w:r>
      <w:r w:rsidR="008D2E17" w:rsidRPr="00E33F6D">
        <w:rPr>
          <w:snapToGrid/>
        </w:rPr>
        <w:t>water resource</w:t>
      </w:r>
      <w:r w:rsidR="008D2E17">
        <w:rPr>
          <w:snapToGrid/>
        </w:rPr>
        <w:t>s</w:t>
      </w:r>
      <w:r w:rsidR="008D2E17" w:rsidRPr="00E33F6D">
        <w:rPr>
          <w:snapToGrid/>
        </w:rPr>
        <w:t xml:space="preserve"> </w:t>
      </w:r>
      <w:r w:rsidR="008D2E17">
        <w:rPr>
          <w:snapToGrid/>
        </w:rPr>
        <w:t>and hydroelectric generation</w:t>
      </w:r>
      <w:r w:rsidRPr="00E33F6D">
        <w:rPr>
          <w:snapToGrid/>
        </w:rPr>
        <w:t xml:space="preserve">. </w:t>
      </w:r>
      <w:r w:rsidR="007969BB" w:rsidRPr="00E33F6D">
        <w:rPr>
          <w:snapToGrid/>
        </w:rPr>
        <w:t>Section 9503</w:t>
      </w:r>
      <w:r w:rsidR="007969BB">
        <w:rPr>
          <w:snapToGrid/>
        </w:rPr>
        <w:t xml:space="preserve"> is</w:t>
      </w:r>
      <w:r w:rsidR="007969BB" w:rsidRPr="00E33F6D">
        <w:rPr>
          <w:snapToGrid/>
        </w:rPr>
        <w:t xml:space="preserve"> </w:t>
      </w:r>
      <w:r w:rsidR="007969BB">
        <w:rPr>
          <w:snapToGrid/>
        </w:rPr>
        <w:t xml:space="preserve">led by Reclamation and </w:t>
      </w:r>
      <w:r w:rsidR="007969BB" w:rsidRPr="00E33F6D">
        <w:rPr>
          <w:snapToGrid/>
        </w:rPr>
        <w:t xml:space="preserve">addresses a broad range of water resource issues but only in </w:t>
      </w:r>
      <w:r w:rsidR="007969BB">
        <w:rPr>
          <w:snapToGrid/>
        </w:rPr>
        <w:t xml:space="preserve">the </w:t>
      </w:r>
      <w:r w:rsidR="00D61238">
        <w:rPr>
          <w:snapToGrid/>
        </w:rPr>
        <w:t>w</w:t>
      </w:r>
      <w:r w:rsidR="00114524" w:rsidRPr="00E33F6D">
        <w:rPr>
          <w:snapToGrid/>
        </w:rPr>
        <w:t xml:space="preserve">estern </w:t>
      </w:r>
      <w:r w:rsidR="007969BB">
        <w:rPr>
          <w:snapToGrid/>
        </w:rPr>
        <w:t>United States</w:t>
      </w:r>
      <w:r w:rsidR="007969BB" w:rsidRPr="00E33F6D">
        <w:rPr>
          <w:snapToGrid/>
        </w:rPr>
        <w:t xml:space="preserve">. </w:t>
      </w:r>
      <w:r w:rsidRPr="00E33F6D">
        <w:rPr>
          <w:snapToGrid/>
        </w:rPr>
        <w:t xml:space="preserve">The 9505 assessment described in this report focuses specifically on federal hydropower </w:t>
      </w:r>
      <w:r w:rsidR="00456333">
        <w:rPr>
          <w:snapToGrid/>
        </w:rPr>
        <w:t xml:space="preserve">generation </w:t>
      </w:r>
      <w:r w:rsidRPr="00E33F6D">
        <w:rPr>
          <w:snapToGrid/>
        </w:rPr>
        <w:t xml:space="preserve">and marketing. </w:t>
      </w:r>
      <w:r w:rsidR="00456333">
        <w:rPr>
          <w:snapToGrid/>
        </w:rPr>
        <w:t xml:space="preserve">To ensure consistency </w:t>
      </w:r>
      <w:r w:rsidRPr="00E33F6D">
        <w:rPr>
          <w:snapToGrid/>
        </w:rPr>
        <w:t>between 9503 and 9505</w:t>
      </w:r>
      <w:r w:rsidR="000A3FF3">
        <w:rPr>
          <w:snapToGrid/>
        </w:rPr>
        <w:t xml:space="preserve"> assessments</w:t>
      </w:r>
      <w:r w:rsidRPr="00E33F6D">
        <w:rPr>
          <w:snapToGrid/>
        </w:rPr>
        <w:t xml:space="preserve">, DOE and </w:t>
      </w:r>
      <w:r w:rsidR="00924F06">
        <w:rPr>
          <w:snapToGrid/>
        </w:rPr>
        <w:t xml:space="preserve">the 9505 assessment team </w:t>
      </w:r>
      <w:r w:rsidRPr="00E33F6D">
        <w:rPr>
          <w:snapToGrid/>
        </w:rPr>
        <w:t>work</w:t>
      </w:r>
      <w:r>
        <w:rPr>
          <w:snapToGrid/>
        </w:rPr>
        <w:t>ed</w:t>
      </w:r>
      <w:r w:rsidRPr="00E33F6D">
        <w:rPr>
          <w:snapToGrid/>
        </w:rPr>
        <w:t xml:space="preserve"> closely with Reclamation </w:t>
      </w:r>
      <w:r w:rsidR="00456333">
        <w:rPr>
          <w:snapToGrid/>
        </w:rPr>
        <w:t>during the development of both studies</w:t>
      </w:r>
      <w:r w:rsidRPr="00E33F6D">
        <w:rPr>
          <w:snapToGrid/>
        </w:rPr>
        <w:t>. Although the method</w:t>
      </w:r>
      <w:r>
        <w:rPr>
          <w:snapToGrid/>
        </w:rPr>
        <w:t>s</w:t>
      </w:r>
      <w:r w:rsidRPr="00E33F6D">
        <w:rPr>
          <w:snapToGrid/>
        </w:rPr>
        <w:t xml:space="preserve"> used in this </w:t>
      </w:r>
      <w:r w:rsidR="00924F06">
        <w:rPr>
          <w:snapToGrid/>
        </w:rPr>
        <w:t>report</w:t>
      </w:r>
      <w:r w:rsidRPr="00E33F6D">
        <w:rPr>
          <w:snapToGrid/>
        </w:rPr>
        <w:t xml:space="preserve"> (Section </w:t>
      </w:r>
      <w:r>
        <w:rPr>
          <w:snapToGrid/>
        </w:rPr>
        <w:fldChar w:fldCharType="begin"/>
      </w:r>
      <w:r>
        <w:rPr>
          <w:snapToGrid/>
        </w:rPr>
        <w:instrText xml:space="preserve"> REF _Ref425755818 \n \h </w:instrText>
      </w:r>
      <w:r>
        <w:rPr>
          <w:snapToGrid/>
        </w:rPr>
      </w:r>
      <w:r>
        <w:rPr>
          <w:snapToGrid/>
        </w:rPr>
        <w:fldChar w:fldCharType="separate"/>
      </w:r>
      <w:r w:rsidR="00EE0BF5">
        <w:rPr>
          <w:snapToGrid/>
        </w:rPr>
        <w:t>2</w:t>
      </w:r>
      <w:r>
        <w:rPr>
          <w:snapToGrid/>
        </w:rPr>
        <w:fldChar w:fldCharType="end"/>
      </w:r>
      <w:r w:rsidRPr="00E33F6D">
        <w:rPr>
          <w:snapToGrid/>
        </w:rPr>
        <w:t xml:space="preserve">) </w:t>
      </w:r>
      <w:r>
        <w:rPr>
          <w:snapToGrid/>
        </w:rPr>
        <w:t>vary</w:t>
      </w:r>
      <w:r w:rsidRPr="00E33F6D">
        <w:rPr>
          <w:snapToGrid/>
        </w:rPr>
        <w:t xml:space="preserve"> from the 9503 assessment methods </w:t>
      </w:r>
      <w:r w:rsidR="001F3F31">
        <w:rPr>
          <w:snapToGrid/>
        </w:rPr>
        <w:t xml:space="preserve">owing </w:t>
      </w:r>
      <w:r>
        <w:rPr>
          <w:snapToGrid/>
        </w:rPr>
        <w:t xml:space="preserve">to </w:t>
      </w:r>
      <w:r w:rsidRPr="00E33F6D">
        <w:rPr>
          <w:snapToGrid/>
        </w:rPr>
        <w:lastRenderedPageBreak/>
        <w:t>differences in scope</w:t>
      </w:r>
      <w:r w:rsidR="00924F06">
        <w:rPr>
          <w:snapToGrid/>
        </w:rPr>
        <w:t xml:space="preserve"> and agency missions</w:t>
      </w:r>
      <w:r w:rsidRPr="00E33F6D">
        <w:rPr>
          <w:snapToGrid/>
        </w:rPr>
        <w:t xml:space="preserve">, the </w:t>
      </w:r>
      <w:r w:rsidR="00924F06">
        <w:rPr>
          <w:snapToGrid/>
        </w:rPr>
        <w:t xml:space="preserve">high-level </w:t>
      </w:r>
      <w:r w:rsidRPr="00E33F6D">
        <w:rPr>
          <w:snapToGrid/>
        </w:rPr>
        <w:t>conclusions of the two reports are generally consistent and complement each other.</w:t>
      </w:r>
    </w:p>
    <w:p w14:paraId="3CD7782A" w14:textId="04D0688F" w:rsidR="00E61034" w:rsidRDefault="00447A51" w:rsidP="00E61034">
      <w:pPr>
        <w:pStyle w:val="BodyText"/>
      </w:pPr>
      <w:r w:rsidRPr="00E33F6D">
        <w:rPr>
          <w:snapToGrid/>
        </w:rPr>
        <w:t xml:space="preserve">The first 9505 assessment </w:t>
      </w:r>
      <w:r w:rsidR="004B1005" w:rsidRPr="00E33F6D">
        <w:rPr>
          <w:snapToGrid/>
        </w:rPr>
        <w:t xml:space="preserve">was </w:t>
      </w:r>
      <w:r w:rsidR="004B1005">
        <w:rPr>
          <w:snapToGrid/>
        </w:rPr>
        <w:t>conducted during 2010–2012</w:t>
      </w:r>
      <w:r w:rsidR="004B1005" w:rsidRPr="00E33F6D">
        <w:rPr>
          <w:snapToGrid/>
        </w:rPr>
        <w:t xml:space="preserve"> (Sale et al.</w:t>
      </w:r>
      <w:r w:rsidR="004B1005">
        <w:rPr>
          <w:snapToGrid/>
        </w:rPr>
        <w:t>,</w:t>
      </w:r>
      <w:r w:rsidR="004B1005" w:rsidRPr="00E33F6D">
        <w:rPr>
          <w:snapToGrid/>
        </w:rPr>
        <w:t xml:space="preserve"> 2012)</w:t>
      </w:r>
      <w:r w:rsidR="004B1005">
        <w:rPr>
          <w:snapToGrid/>
        </w:rPr>
        <w:t xml:space="preserve">, and </w:t>
      </w:r>
      <w:r w:rsidR="004B1005" w:rsidRPr="00BC60A1">
        <w:t xml:space="preserve">the second </w:t>
      </w:r>
      <w:r w:rsidR="004B1005">
        <w:t xml:space="preserve">assessment was conducted </w:t>
      </w:r>
      <w:r w:rsidR="004B1005" w:rsidRPr="00BC60A1">
        <w:t>during 2013–2017</w:t>
      </w:r>
      <w:r w:rsidR="004B1005">
        <w:t xml:space="preserve"> (Kao et al., 2016)</w:t>
      </w:r>
      <w:r w:rsidR="004B1005" w:rsidRPr="00E33F6D">
        <w:rPr>
          <w:snapToGrid/>
        </w:rPr>
        <w:t xml:space="preserve">. To comprehensively evaluate all federal hydropower plants located at various geographical regions in the </w:t>
      </w:r>
      <w:r w:rsidR="0E797633">
        <w:rPr>
          <w:snapToGrid/>
        </w:rPr>
        <w:t>United States</w:t>
      </w:r>
      <w:r w:rsidR="004B1005" w:rsidRPr="00E33F6D">
        <w:rPr>
          <w:snapToGrid/>
        </w:rPr>
        <w:t>, a nationally consistent assessment framework was designed to allow</w:t>
      </w:r>
      <w:r w:rsidR="00EC0C57">
        <w:rPr>
          <w:snapToGrid/>
        </w:rPr>
        <w:t xml:space="preserve"> for </w:t>
      </w:r>
      <w:r w:rsidR="000979D0">
        <w:rPr>
          <w:snapToGrid/>
        </w:rPr>
        <w:t>the</w:t>
      </w:r>
      <w:r w:rsidR="004B1005" w:rsidRPr="00E33F6D">
        <w:rPr>
          <w:snapToGrid/>
        </w:rPr>
        <w:t xml:space="preserve"> interregional </w:t>
      </w:r>
      <w:r w:rsidR="004B1005">
        <w:rPr>
          <w:snapToGrid/>
        </w:rPr>
        <w:t>comparison</w:t>
      </w:r>
      <w:r w:rsidR="004B1005" w:rsidRPr="00E33F6D">
        <w:rPr>
          <w:snapToGrid/>
        </w:rPr>
        <w:t xml:space="preserve">. Various types of hydropower-related data—including project characteristics, generation </w:t>
      </w:r>
      <w:r w:rsidR="004B1005">
        <w:rPr>
          <w:snapToGrid/>
        </w:rPr>
        <w:t xml:space="preserve">and power marketing </w:t>
      </w:r>
      <w:r w:rsidR="004B1005" w:rsidRPr="00E33F6D">
        <w:rPr>
          <w:snapToGrid/>
        </w:rPr>
        <w:t xml:space="preserve">records, observed hydrology and meteorology data, </w:t>
      </w:r>
      <w:r w:rsidR="3E6C3B90" w:rsidRPr="00E33F6D">
        <w:rPr>
          <w:snapToGrid/>
        </w:rPr>
        <w:t xml:space="preserve">and </w:t>
      </w:r>
      <w:r w:rsidR="004B1005" w:rsidRPr="00E33F6D">
        <w:rPr>
          <w:snapToGrid/>
        </w:rPr>
        <w:t xml:space="preserve">watershed and land surface data—were </w:t>
      </w:r>
      <w:r w:rsidR="008153FD">
        <w:rPr>
          <w:snapToGrid/>
        </w:rPr>
        <w:t>assembled</w:t>
      </w:r>
      <w:r w:rsidR="004B1005">
        <w:rPr>
          <w:snapToGrid/>
        </w:rPr>
        <w:t xml:space="preserve"> </w:t>
      </w:r>
      <w:r w:rsidR="004B1005" w:rsidRPr="00E33F6D">
        <w:rPr>
          <w:snapToGrid/>
        </w:rPr>
        <w:t>to support</w:t>
      </w:r>
      <w:r w:rsidR="004B1005">
        <w:rPr>
          <w:snapToGrid/>
        </w:rPr>
        <w:t xml:space="preserve"> both assessments</w:t>
      </w:r>
      <w:r w:rsidR="004B1005" w:rsidRPr="00E33F6D">
        <w:rPr>
          <w:snapToGrid/>
        </w:rPr>
        <w:t>.</w:t>
      </w:r>
      <w:r w:rsidR="004B1005">
        <w:rPr>
          <w:snapToGrid/>
        </w:rPr>
        <w:t xml:space="preserve"> A</w:t>
      </w:r>
      <w:r w:rsidR="004B1005" w:rsidRPr="00E83052">
        <w:rPr>
          <w:snapToGrid/>
        </w:rPr>
        <w:t xml:space="preserve"> series of </w:t>
      </w:r>
      <w:r w:rsidR="004B1005">
        <w:rPr>
          <w:snapToGrid/>
        </w:rPr>
        <w:t xml:space="preserve">numerical </w:t>
      </w:r>
      <w:r w:rsidR="004B1005" w:rsidRPr="00E83052">
        <w:rPr>
          <w:snapToGrid/>
        </w:rPr>
        <w:t xml:space="preserve">models and </w:t>
      </w:r>
      <w:r w:rsidR="004B1005">
        <w:rPr>
          <w:snapToGrid/>
        </w:rPr>
        <w:t>analytic</w:t>
      </w:r>
      <w:r w:rsidR="40CE38EF">
        <w:rPr>
          <w:snapToGrid/>
        </w:rPr>
        <w:t>al</w:t>
      </w:r>
      <w:r w:rsidR="004B1005">
        <w:rPr>
          <w:snapToGrid/>
        </w:rPr>
        <w:t xml:space="preserve"> </w:t>
      </w:r>
      <w:r w:rsidR="004B1005" w:rsidRPr="00E83052">
        <w:rPr>
          <w:snapToGrid/>
        </w:rPr>
        <w:t xml:space="preserve">methods with different spatial resolutions </w:t>
      </w:r>
      <w:r w:rsidR="004B1005">
        <w:rPr>
          <w:snapToGrid/>
        </w:rPr>
        <w:t xml:space="preserve">were used </w:t>
      </w:r>
      <w:r w:rsidR="004B1005" w:rsidRPr="00E83052">
        <w:rPr>
          <w:snapToGrid/>
        </w:rPr>
        <w:t xml:space="preserve">to downscale the </w:t>
      </w:r>
      <w:r w:rsidR="004B1005">
        <w:rPr>
          <w:snapToGrid/>
        </w:rPr>
        <w:t xml:space="preserve">most current </w:t>
      </w:r>
      <w:r w:rsidR="004B1005" w:rsidRPr="00E83052">
        <w:rPr>
          <w:snapToGrid/>
        </w:rPr>
        <w:t xml:space="preserve">global climate </w:t>
      </w:r>
      <w:r w:rsidR="004B1005">
        <w:rPr>
          <w:snapToGrid/>
        </w:rPr>
        <w:t>model</w:t>
      </w:r>
      <w:r w:rsidR="004B1005" w:rsidRPr="00E83052">
        <w:rPr>
          <w:snapToGrid/>
        </w:rPr>
        <w:t xml:space="preserve"> </w:t>
      </w:r>
      <w:r w:rsidR="004B1005">
        <w:rPr>
          <w:snapToGrid/>
        </w:rPr>
        <w:t>(GCM) findings at that time (</w:t>
      </w:r>
      <w:r w:rsidR="004B1005" w:rsidRPr="00E83052">
        <w:rPr>
          <w:snapToGrid/>
        </w:rPr>
        <w:t xml:space="preserve">Coupled Model Intercomparison Project </w:t>
      </w:r>
      <w:r w:rsidR="00D61238">
        <w:rPr>
          <w:snapToGrid/>
        </w:rPr>
        <w:t xml:space="preserve">[CMIP] </w:t>
      </w:r>
      <w:r w:rsidR="004B1005" w:rsidRPr="00E83052">
        <w:rPr>
          <w:snapToGrid/>
        </w:rPr>
        <w:t xml:space="preserve">Phase 3 </w:t>
      </w:r>
      <w:r w:rsidR="004B1005">
        <w:rPr>
          <w:snapToGrid/>
        </w:rPr>
        <w:t>for the first 9505 assessment and</w:t>
      </w:r>
      <w:r w:rsidR="004B1005" w:rsidRPr="00933D4A">
        <w:rPr>
          <w:snapToGrid/>
        </w:rPr>
        <w:t xml:space="preserve"> </w:t>
      </w:r>
      <w:r w:rsidR="00D61238">
        <w:rPr>
          <w:snapToGrid/>
        </w:rPr>
        <w:t xml:space="preserve">CMIP </w:t>
      </w:r>
      <w:r w:rsidR="004B1005" w:rsidRPr="00E83052">
        <w:rPr>
          <w:snapToGrid/>
        </w:rPr>
        <w:t>Phase</w:t>
      </w:r>
      <w:r w:rsidR="00D61238">
        <w:rPr>
          <w:snapToGrid/>
        </w:rPr>
        <w:t> </w:t>
      </w:r>
      <w:r w:rsidR="004B1005">
        <w:rPr>
          <w:snapToGrid/>
        </w:rPr>
        <w:t>5</w:t>
      </w:r>
      <w:r w:rsidR="004B1005" w:rsidRPr="00E83052">
        <w:rPr>
          <w:snapToGrid/>
        </w:rPr>
        <w:t xml:space="preserve"> </w:t>
      </w:r>
      <w:r w:rsidR="004B1005">
        <w:rPr>
          <w:snapToGrid/>
        </w:rPr>
        <w:t>[</w:t>
      </w:r>
      <w:r w:rsidR="004B1005" w:rsidRPr="00E83052">
        <w:rPr>
          <w:snapToGrid/>
        </w:rPr>
        <w:t>CMIP</w:t>
      </w:r>
      <w:r w:rsidR="004B1005">
        <w:rPr>
          <w:snapToGrid/>
        </w:rPr>
        <w:t xml:space="preserve">5] for the second 9505 assessment) </w:t>
      </w:r>
      <w:r w:rsidR="004B1005" w:rsidRPr="00E83052">
        <w:rPr>
          <w:snapToGrid/>
        </w:rPr>
        <w:t xml:space="preserve">into watershed-scale hydrologic projections to support </w:t>
      </w:r>
      <w:r w:rsidR="000979D0">
        <w:rPr>
          <w:snapToGrid/>
        </w:rPr>
        <w:t xml:space="preserve">the </w:t>
      </w:r>
      <w:r w:rsidR="004B1005">
        <w:rPr>
          <w:snapToGrid/>
        </w:rPr>
        <w:t xml:space="preserve">regional </w:t>
      </w:r>
      <w:r w:rsidR="004B1005" w:rsidRPr="00E83052">
        <w:rPr>
          <w:snapToGrid/>
        </w:rPr>
        <w:t xml:space="preserve">hydropower </w:t>
      </w:r>
      <w:r w:rsidR="004B1005">
        <w:rPr>
          <w:snapToGrid/>
        </w:rPr>
        <w:t>evaluation. Based on the historical runoff and hydropower generation data, empirical hydropower models</w:t>
      </w:r>
      <w:r w:rsidR="00F033E9">
        <w:rPr>
          <w:snapToGrid/>
        </w:rPr>
        <w:t xml:space="preserve"> </w:t>
      </w:r>
      <w:r w:rsidR="008C3834">
        <w:rPr>
          <w:snapToGrid/>
        </w:rPr>
        <w:t xml:space="preserve">(PMs) </w:t>
      </w:r>
      <w:r w:rsidR="004B1005">
        <w:rPr>
          <w:snapToGrid/>
        </w:rPr>
        <w:t xml:space="preserve">were developed to project future annual and seasonal hydropower generation across various PMA study areas to support </w:t>
      </w:r>
      <w:r w:rsidR="005D29EC">
        <w:rPr>
          <w:snapToGrid/>
        </w:rPr>
        <w:t xml:space="preserve">the </w:t>
      </w:r>
      <w:r w:rsidR="004B1005">
        <w:rPr>
          <w:snapToGrid/>
        </w:rPr>
        <w:t xml:space="preserve">power marketing evaluation. </w:t>
      </w:r>
      <w:r w:rsidR="004B1005" w:rsidRPr="00E33F6D">
        <w:rPr>
          <w:snapToGrid/>
        </w:rPr>
        <w:t xml:space="preserve">The technical findings were </w:t>
      </w:r>
      <w:r w:rsidR="004B1005">
        <w:rPr>
          <w:snapToGrid/>
        </w:rPr>
        <w:t xml:space="preserve">eventually reviewed by </w:t>
      </w:r>
      <w:r w:rsidR="004B1005" w:rsidRPr="00E33F6D">
        <w:rPr>
          <w:snapToGrid/>
        </w:rPr>
        <w:t>federal and state power and water resource managers, climate and hydrologic researchers, and policy analysts</w:t>
      </w:r>
      <w:r w:rsidR="004B1005">
        <w:rPr>
          <w:snapToGrid/>
        </w:rPr>
        <w:t xml:space="preserve">, and </w:t>
      </w:r>
      <w:r w:rsidR="3D6BF88B">
        <w:rPr>
          <w:snapToGrid/>
        </w:rPr>
        <w:t>were</w:t>
      </w:r>
      <w:r w:rsidR="004B1005">
        <w:rPr>
          <w:snapToGrid/>
        </w:rPr>
        <w:t xml:space="preserve"> used to support the development of </w:t>
      </w:r>
      <w:r w:rsidR="004B1005" w:rsidRPr="00E33F6D">
        <w:rPr>
          <w:snapToGrid/>
        </w:rPr>
        <w:t>DOE report</w:t>
      </w:r>
      <w:r w:rsidR="004B1005">
        <w:rPr>
          <w:snapToGrid/>
        </w:rPr>
        <w:t>s</w:t>
      </w:r>
      <w:r w:rsidR="004B1005" w:rsidRPr="00E33F6D">
        <w:rPr>
          <w:snapToGrid/>
        </w:rPr>
        <w:t xml:space="preserve"> to Congress</w:t>
      </w:r>
      <w:r w:rsidR="004B1005">
        <w:rPr>
          <w:snapToGrid/>
        </w:rPr>
        <w:t xml:space="preserve"> (DOE, 2013; DOE, 2017)</w:t>
      </w:r>
      <w:r w:rsidR="004B1005" w:rsidRPr="00E33F6D">
        <w:rPr>
          <w:snapToGrid/>
        </w:rPr>
        <w:t>.</w:t>
      </w:r>
    </w:p>
    <w:p w14:paraId="3129B7C7" w14:textId="45CBD33F" w:rsidR="00E61034" w:rsidRPr="00E33F6D" w:rsidRDefault="00E61034" w:rsidP="00E61034">
      <w:pPr>
        <w:pStyle w:val="BodyText"/>
      </w:pPr>
      <w:r w:rsidRPr="00E33F6D">
        <w:rPr>
          <w:snapToGrid/>
        </w:rPr>
        <w:t xml:space="preserve">The </w:t>
      </w:r>
      <w:r w:rsidR="0ACE788B" w:rsidRPr="00E33F6D">
        <w:rPr>
          <w:snapToGrid/>
        </w:rPr>
        <w:t>key</w:t>
      </w:r>
      <w:r w:rsidRPr="00E33F6D">
        <w:rPr>
          <w:snapToGrid/>
        </w:rPr>
        <w:t xml:space="preserve"> findings from the</w:t>
      </w:r>
      <w:r w:rsidR="00B60335">
        <w:rPr>
          <w:snapToGrid/>
        </w:rPr>
        <w:t xml:space="preserve"> previous</w:t>
      </w:r>
      <w:r w:rsidRPr="00E33F6D">
        <w:rPr>
          <w:snapToGrid/>
        </w:rPr>
        <w:t xml:space="preserve"> </w:t>
      </w:r>
      <w:r w:rsidRPr="00E33F6D">
        <w:rPr>
          <w:rFonts w:hint="eastAsia"/>
          <w:snapToGrid/>
        </w:rPr>
        <w:t xml:space="preserve">9505 </w:t>
      </w:r>
      <w:r w:rsidRPr="00E33F6D">
        <w:rPr>
          <w:snapToGrid/>
        </w:rPr>
        <w:t>assessment</w:t>
      </w:r>
      <w:r w:rsidR="00B60335">
        <w:rPr>
          <w:snapToGrid/>
        </w:rPr>
        <w:t>s</w:t>
      </w:r>
      <w:r w:rsidRPr="00E33F6D">
        <w:rPr>
          <w:snapToGrid/>
        </w:rPr>
        <w:t xml:space="preserve"> (Sale et al.</w:t>
      </w:r>
      <w:r w:rsidR="00B60335">
        <w:rPr>
          <w:snapToGrid/>
        </w:rPr>
        <w:t>,</w:t>
      </w:r>
      <w:r w:rsidRPr="00E33F6D">
        <w:rPr>
          <w:snapToGrid/>
        </w:rPr>
        <w:t xml:space="preserve"> 2012</w:t>
      </w:r>
      <w:r w:rsidR="00B60335">
        <w:rPr>
          <w:snapToGrid/>
        </w:rPr>
        <w:t>; Kao et al., 2016</w:t>
      </w:r>
      <w:r w:rsidRPr="00E33F6D">
        <w:rPr>
          <w:snapToGrid/>
        </w:rPr>
        <w:t xml:space="preserve">) </w:t>
      </w:r>
      <w:r w:rsidR="00E7377E">
        <w:rPr>
          <w:snapToGrid/>
        </w:rPr>
        <w:t>include</w:t>
      </w:r>
      <w:r w:rsidR="45A2A14F">
        <w:rPr>
          <w:snapToGrid/>
        </w:rPr>
        <w:t xml:space="preserve"> the following</w:t>
      </w:r>
      <w:r w:rsidRPr="00E33F6D">
        <w:rPr>
          <w:snapToGrid/>
        </w:rPr>
        <w:t>:</w:t>
      </w:r>
    </w:p>
    <w:p w14:paraId="287C22F0" w14:textId="0F24721A" w:rsidR="00E61034" w:rsidRDefault="005B5EFE" w:rsidP="002954B7">
      <w:pPr>
        <w:pStyle w:val="BulletListspace"/>
      </w:pPr>
      <w:r>
        <w:t xml:space="preserve">Statistically </w:t>
      </w:r>
      <w:r w:rsidR="004B1005">
        <w:t>significant c</w:t>
      </w:r>
      <w:r w:rsidR="004B1005" w:rsidRPr="00AB51DD">
        <w:t>hange</w:t>
      </w:r>
      <w:r w:rsidR="005D29EC">
        <w:t>s</w:t>
      </w:r>
      <w:r w:rsidR="004B1005" w:rsidRPr="00AB51DD">
        <w:t xml:space="preserve"> </w:t>
      </w:r>
      <w:r w:rsidR="004B1005">
        <w:rPr>
          <w:rFonts w:hint="eastAsia"/>
        </w:rPr>
        <w:t>in future climate</w:t>
      </w:r>
      <w:r w:rsidR="004B1005">
        <w:t>,</w:t>
      </w:r>
      <w:r w:rsidR="004B1005">
        <w:rPr>
          <w:rFonts w:hint="eastAsia"/>
        </w:rPr>
        <w:t xml:space="preserve"> water availability</w:t>
      </w:r>
      <w:r w:rsidR="004B1005">
        <w:t>, and hydropower generation</w:t>
      </w:r>
      <w:r w:rsidR="004B1005">
        <w:rPr>
          <w:rFonts w:hint="eastAsia"/>
        </w:rPr>
        <w:t xml:space="preserve"> </w:t>
      </w:r>
      <w:r w:rsidR="004B1005">
        <w:t>are projected in many parts of the country</w:t>
      </w:r>
      <w:r w:rsidR="004B1005">
        <w:rPr>
          <w:rFonts w:hint="eastAsia"/>
        </w:rPr>
        <w:t>. The modeling results suggest that temperature is projected to increase across all study areas and all seasons</w:t>
      </w:r>
      <w:r w:rsidR="004B1005">
        <w:t>,</w:t>
      </w:r>
      <w:r w:rsidR="004B1005">
        <w:rPr>
          <w:rFonts w:hint="eastAsia"/>
        </w:rPr>
        <w:t xml:space="preserve"> </w:t>
      </w:r>
      <w:r w:rsidR="32516500">
        <w:t>whereas</w:t>
      </w:r>
      <w:r w:rsidR="004B1005">
        <w:rPr>
          <w:rFonts w:hint="eastAsia"/>
        </w:rPr>
        <w:t xml:space="preserve"> </w:t>
      </w:r>
      <w:r w:rsidR="004B1005">
        <w:t xml:space="preserve">changes in </w:t>
      </w:r>
      <w:r w:rsidR="004B1005">
        <w:rPr>
          <w:rFonts w:hint="eastAsia"/>
        </w:rPr>
        <w:t>precipitation</w:t>
      </w:r>
      <w:r w:rsidR="004B1005">
        <w:t>,</w:t>
      </w:r>
      <w:r w:rsidR="004B1005">
        <w:rPr>
          <w:rFonts w:hint="eastAsia"/>
        </w:rPr>
        <w:t xml:space="preserve"> runoff</w:t>
      </w:r>
      <w:r w:rsidR="004B1005">
        <w:t>, and hydropower</w:t>
      </w:r>
      <w:r w:rsidR="004B1005">
        <w:rPr>
          <w:rFonts w:hint="eastAsia"/>
        </w:rPr>
        <w:t xml:space="preserve"> </w:t>
      </w:r>
      <w:r w:rsidR="004B1005">
        <w:t xml:space="preserve">generation </w:t>
      </w:r>
      <w:r w:rsidR="49735DBC">
        <w:t>might increase or decrease</w:t>
      </w:r>
      <w:r w:rsidR="004B1005">
        <w:t xml:space="preserve"> depending on season and geographical location</w:t>
      </w:r>
      <w:r w:rsidR="004B1005">
        <w:rPr>
          <w:rFonts w:hint="eastAsia"/>
        </w:rPr>
        <w:t xml:space="preserve">. The </w:t>
      </w:r>
      <w:r w:rsidR="004B1005">
        <w:t>results</w:t>
      </w:r>
      <w:r w:rsidR="004B1005">
        <w:rPr>
          <w:rFonts w:hint="eastAsia"/>
        </w:rPr>
        <w:t xml:space="preserve"> </w:t>
      </w:r>
      <w:r w:rsidR="1CBE3BFE">
        <w:t>were</w:t>
      </w:r>
      <w:r w:rsidR="004B1005">
        <w:rPr>
          <w:rFonts w:hint="eastAsia"/>
        </w:rPr>
        <w:t xml:space="preserve"> generally consistent with other concurrent hydroclimate studies</w:t>
      </w:r>
      <w:r w:rsidR="00E61034">
        <w:rPr>
          <w:rFonts w:hint="eastAsia"/>
        </w:rPr>
        <w:t>.</w:t>
      </w:r>
    </w:p>
    <w:p w14:paraId="6F560C7E" w14:textId="29B20650" w:rsidR="00C13927" w:rsidRDefault="0DFAA730" w:rsidP="002954B7">
      <w:pPr>
        <w:pStyle w:val="BulletListspace"/>
      </w:pPr>
      <w:r>
        <w:t>For</w:t>
      </w:r>
      <w:r w:rsidR="00C13927">
        <w:t xml:space="preserve"> the </w:t>
      </w:r>
      <w:r w:rsidR="005E23BA">
        <w:t>multimodel</w:t>
      </w:r>
      <w:r w:rsidR="008324F1">
        <w:t xml:space="preserve"> </w:t>
      </w:r>
      <w:r w:rsidR="00C13927">
        <w:t>median, precipitation is projected to increase</w:t>
      </w:r>
      <w:r w:rsidR="14613D94">
        <w:t xml:space="preserve"> slightly</w:t>
      </w:r>
      <w:r w:rsidR="00C13927">
        <w:t xml:space="preserve">. A large </w:t>
      </w:r>
      <w:r w:rsidR="005E23BA">
        <w:t>multimodel</w:t>
      </w:r>
      <w:r w:rsidR="00C13927">
        <w:t xml:space="preserve"> uncertainty and regional variability of precipitation projections </w:t>
      </w:r>
      <w:r w:rsidR="0B342C37">
        <w:t>was</w:t>
      </w:r>
      <w:r w:rsidR="00C13927">
        <w:t xml:space="preserve"> also identified. Overall, more precipitation is projected in the mid</w:t>
      </w:r>
      <w:r w:rsidR="008D7377">
        <w:t>-</w:t>
      </w:r>
      <w:r w:rsidR="00C13927">
        <w:t xml:space="preserve">term </w:t>
      </w:r>
      <w:r w:rsidR="00FA458A">
        <w:t xml:space="preserve">future period </w:t>
      </w:r>
      <w:r w:rsidR="00C13927">
        <w:t xml:space="preserve">than </w:t>
      </w:r>
      <w:r w:rsidR="3E047FB4">
        <w:t>in the</w:t>
      </w:r>
      <w:r w:rsidR="00C13927">
        <w:t xml:space="preserve"> near-term future period. </w:t>
      </w:r>
      <w:r w:rsidR="005D29EC">
        <w:t>A h</w:t>
      </w:r>
      <w:r w:rsidR="00C13927">
        <w:t xml:space="preserve">igher increase </w:t>
      </w:r>
      <w:r w:rsidR="005D29EC">
        <w:t>in</w:t>
      </w:r>
      <w:r w:rsidR="00C13927">
        <w:t xml:space="preserve"> precipitation is projected in the SWPA and SEPA regions</w:t>
      </w:r>
      <w:r w:rsidR="004A158B">
        <w:t>,</w:t>
      </w:r>
      <w:r w:rsidR="00C13927">
        <w:t xml:space="preserve"> as well as in the Upper Missouri River </w:t>
      </w:r>
      <w:r w:rsidR="006C1753">
        <w:t xml:space="preserve">basin </w:t>
      </w:r>
      <w:r w:rsidR="00C13927">
        <w:t>in the WAPA region.</w:t>
      </w:r>
    </w:p>
    <w:p w14:paraId="42CDCAA5" w14:textId="0DF53260" w:rsidR="00AA7E91" w:rsidRDefault="004B1005" w:rsidP="002954B7">
      <w:pPr>
        <w:pStyle w:val="BulletListspace"/>
      </w:pPr>
      <w:r w:rsidRPr="0089028A">
        <w:t xml:space="preserve">The projection of future runoff </w:t>
      </w:r>
      <w:r w:rsidR="003E481C">
        <w:t>varies substantially by regions</w:t>
      </w:r>
      <w:r w:rsidRPr="0089028A">
        <w:t xml:space="preserve">. </w:t>
      </w:r>
      <w:r>
        <w:t>I</w:t>
      </w:r>
      <w:r w:rsidRPr="0089028A">
        <w:t>n the snowmelt</w:t>
      </w:r>
      <w:r>
        <w:t>-</w:t>
      </w:r>
      <w:r w:rsidRPr="0089028A">
        <w:t>dominated regions (</w:t>
      </w:r>
      <w:r w:rsidR="1A2B173F">
        <w:t>e.g.,</w:t>
      </w:r>
      <w:r>
        <w:t xml:space="preserve"> </w:t>
      </w:r>
      <w:r w:rsidRPr="0089028A">
        <w:t xml:space="preserve">most of </w:t>
      </w:r>
      <w:r>
        <w:t>the BPA</w:t>
      </w:r>
      <w:r w:rsidRPr="0089028A">
        <w:t xml:space="preserve"> and </w:t>
      </w:r>
      <w:r>
        <w:t>WAPA regions</w:t>
      </w:r>
      <w:r w:rsidRPr="0089028A">
        <w:t>), the winter and spring runoff is projected to increase</w:t>
      </w:r>
      <w:r>
        <w:t>,</w:t>
      </w:r>
      <w:r w:rsidRPr="0089028A">
        <w:t xml:space="preserve"> </w:t>
      </w:r>
      <w:r w:rsidR="32B20FC3">
        <w:t>whereas</w:t>
      </w:r>
      <w:r w:rsidRPr="0089028A">
        <w:t xml:space="preserve"> the summer and fall runoff is projected to decrease.</w:t>
      </w:r>
      <w:r>
        <w:t xml:space="preserve"> Such a shift </w:t>
      </w:r>
      <w:r w:rsidR="007E0D58">
        <w:t>in</w:t>
      </w:r>
      <w:r>
        <w:t xml:space="preserve"> runoff seasonality is likely caused by the increasing air temperature and earlier snowmelt. In the rainfall-</w:t>
      </w:r>
      <w:r w:rsidRPr="0089028A">
        <w:t>dominated regions (</w:t>
      </w:r>
      <w:r w:rsidR="37E72423">
        <w:t xml:space="preserve">e.g., </w:t>
      </w:r>
      <w:r>
        <w:t>SWPA</w:t>
      </w:r>
      <w:r w:rsidRPr="0089028A">
        <w:t xml:space="preserve">, </w:t>
      </w:r>
      <w:r>
        <w:t>SEPA</w:t>
      </w:r>
      <w:r w:rsidRPr="0089028A">
        <w:t xml:space="preserve">, and some areas of </w:t>
      </w:r>
      <w:r>
        <w:t>BPA</w:t>
      </w:r>
      <w:r w:rsidRPr="0089028A">
        <w:t xml:space="preserve"> and</w:t>
      </w:r>
      <w:r>
        <w:t xml:space="preserve"> WAPA</w:t>
      </w:r>
      <w:r w:rsidRPr="0089028A">
        <w:t xml:space="preserve">), the change </w:t>
      </w:r>
      <w:r>
        <w:t>in</w:t>
      </w:r>
      <w:r w:rsidRPr="0089028A">
        <w:t xml:space="preserve"> runoff is mainly </w:t>
      </w:r>
      <w:r w:rsidR="25F4F147">
        <w:t>caused</w:t>
      </w:r>
      <w:r w:rsidRPr="0089028A">
        <w:t xml:space="preserve"> by the change </w:t>
      </w:r>
      <w:r w:rsidR="007E0D58">
        <w:t>in</w:t>
      </w:r>
      <w:r w:rsidRPr="0089028A">
        <w:t xml:space="preserve"> precipitation.</w:t>
      </w:r>
      <w:r w:rsidRPr="00B01E74">
        <w:t xml:space="preserve"> </w:t>
      </w:r>
      <w:r w:rsidR="00C616C1">
        <w:t>T</w:t>
      </w:r>
      <w:r>
        <w:t xml:space="preserve">he percentage change of future </w:t>
      </w:r>
      <w:r w:rsidRPr="0089028A">
        <w:t xml:space="preserve">runoff is larger than </w:t>
      </w:r>
      <w:r>
        <w:t xml:space="preserve">the percentage change of </w:t>
      </w:r>
      <w:r w:rsidRPr="0089028A">
        <w:t>precipitation</w:t>
      </w:r>
      <w:r w:rsidR="00AA7E91" w:rsidRPr="0089028A">
        <w:t>.</w:t>
      </w:r>
    </w:p>
    <w:p w14:paraId="0163D5F3" w14:textId="401485E9" w:rsidR="004C6AF0" w:rsidRDefault="00951C33" w:rsidP="002954B7">
      <w:pPr>
        <w:pStyle w:val="BulletListspace"/>
      </w:pPr>
      <w:r>
        <w:t>The change</w:t>
      </w:r>
      <w:r w:rsidR="007E0D58">
        <w:t xml:space="preserve"> in</w:t>
      </w:r>
      <w:r>
        <w:t xml:space="preserve"> future hydropower generation is mainly </w:t>
      </w:r>
      <w:r w:rsidR="479688E7">
        <w:t>influenced</w:t>
      </w:r>
      <w:r>
        <w:t xml:space="preserve"> by the change </w:t>
      </w:r>
      <w:r w:rsidR="007E0D58">
        <w:t>in</w:t>
      </w:r>
      <w:r>
        <w:t xml:space="preserve"> future runoff and precipitation. </w:t>
      </w:r>
      <w:r w:rsidR="50365324">
        <w:t>Because</w:t>
      </w:r>
      <w:r>
        <w:t xml:space="preserve"> the combined reservoir storage may provide a buffer to help absorb part of the runoff variability, the projected change </w:t>
      </w:r>
      <w:r w:rsidR="007E0D58">
        <w:t>in</w:t>
      </w:r>
      <w:r>
        <w:t xml:space="preserve"> future hydropower generation is smaller than the projected change </w:t>
      </w:r>
      <w:r w:rsidR="007E0D58">
        <w:t>in</w:t>
      </w:r>
      <w:r>
        <w:t xml:space="preserve"> future runoff. </w:t>
      </w:r>
      <w:r w:rsidRPr="00E30CE0">
        <w:t>The impact of runoff variability on hydropower generation</w:t>
      </w:r>
      <w:r>
        <w:t xml:space="preserve"> is less noticeable in regions with relatively larger reservoir storage capacities (</w:t>
      </w:r>
      <w:r w:rsidR="7EE6423E">
        <w:t>e.g.,</w:t>
      </w:r>
      <w:r>
        <w:t xml:space="preserve"> BPA and WAPA). For regions with smaller storage capacities (</w:t>
      </w:r>
      <w:r w:rsidR="2F52BE26">
        <w:t>e.g.,</w:t>
      </w:r>
      <w:r>
        <w:t xml:space="preserve"> SWPA and SEPA), the change in future hydropower generation will follow the change in future runoff more closely</w:t>
      </w:r>
      <w:r w:rsidR="00AA7E91">
        <w:t>.</w:t>
      </w:r>
    </w:p>
    <w:p w14:paraId="537FD2CA" w14:textId="338E72C0" w:rsidR="00E61034" w:rsidRDefault="00E61034" w:rsidP="002954B7">
      <w:pPr>
        <w:pStyle w:val="BulletListspace"/>
      </w:pPr>
      <w:r w:rsidRPr="00AB51DD">
        <w:lastRenderedPageBreak/>
        <w:t xml:space="preserve">Water management and investments in new equipment should focus on maintaining operational flexibility to preserve current </w:t>
      </w:r>
      <w:r>
        <w:t xml:space="preserve">hydropower </w:t>
      </w:r>
      <w:r w:rsidRPr="00AB51DD">
        <w:t>generation</w:t>
      </w:r>
      <w:r>
        <w:t>.</w:t>
      </w:r>
      <w:r w:rsidR="00541878">
        <w:t xml:space="preserve"> </w:t>
      </w:r>
      <w:r w:rsidRPr="00466D1A">
        <w:t xml:space="preserve">Continued monitoring of climate data and </w:t>
      </w:r>
      <w:r>
        <w:t>research</w:t>
      </w:r>
      <w:r w:rsidRPr="00466D1A">
        <w:t xml:space="preserve"> advancements </w:t>
      </w:r>
      <w:r>
        <w:t>are</w:t>
      </w:r>
      <w:r w:rsidRPr="00466D1A">
        <w:t xml:space="preserve"> needed to determine</w:t>
      </w:r>
      <w:r>
        <w:t xml:space="preserve"> </w:t>
      </w:r>
      <w:r w:rsidRPr="00466D1A">
        <w:t>if</w:t>
      </w:r>
      <w:r>
        <w:t xml:space="preserve"> and when </w:t>
      </w:r>
      <w:r w:rsidRPr="00466D1A">
        <w:t>current practices need to change</w:t>
      </w:r>
      <w:r w:rsidRPr="00466D1A">
        <w:rPr>
          <w:rFonts w:hint="eastAsia"/>
        </w:rPr>
        <w:t>.</w:t>
      </w:r>
    </w:p>
    <w:p w14:paraId="719A68DA" w14:textId="3B8036F3" w:rsidR="005A55F0" w:rsidRPr="00E33F6D" w:rsidRDefault="00951C33" w:rsidP="00E61034">
      <w:pPr>
        <w:pStyle w:val="BodyText"/>
        <w:rPr>
          <w:snapToGrid/>
        </w:rPr>
      </w:pPr>
      <w:r w:rsidRPr="00E33F6D">
        <w:rPr>
          <w:snapToGrid/>
        </w:rPr>
        <w:t>T</w:t>
      </w:r>
      <w:r w:rsidRPr="00E33F6D">
        <w:rPr>
          <w:rFonts w:hint="eastAsia"/>
          <w:snapToGrid/>
        </w:rPr>
        <w:t xml:space="preserve">his </w:t>
      </w:r>
      <w:r>
        <w:rPr>
          <w:snapToGrid/>
        </w:rPr>
        <w:t>third</w:t>
      </w:r>
      <w:r w:rsidRPr="00E33F6D">
        <w:rPr>
          <w:rFonts w:hint="eastAsia"/>
          <w:snapToGrid/>
        </w:rPr>
        <w:t xml:space="preserve"> 9505 </w:t>
      </w:r>
      <w:r w:rsidRPr="00E33F6D">
        <w:rPr>
          <w:snapToGrid/>
        </w:rPr>
        <w:t>a</w:t>
      </w:r>
      <w:r w:rsidRPr="00E33F6D">
        <w:rPr>
          <w:rFonts w:hint="eastAsia"/>
          <w:snapToGrid/>
        </w:rPr>
        <w:t xml:space="preserve">ssessment </w:t>
      </w:r>
      <w:r w:rsidRPr="00E33F6D">
        <w:rPr>
          <w:snapToGrid/>
        </w:rPr>
        <w:t xml:space="preserve">builds upon the framework established in the first </w:t>
      </w:r>
      <w:r>
        <w:rPr>
          <w:snapToGrid/>
        </w:rPr>
        <w:t xml:space="preserve">two </w:t>
      </w:r>
      <w:r w:rsidRPr="00E33F6D">
        <w:rPr>
          <w:snapToGrid/>
        </w:rPr>
        <w:t>assessment</w:t>
      </w:r>
      <w:r>
        <w:rPr>
          <w:snapToGrid/>
        </w:rPr>
        <w:t>s</w:t>
      </w:r>
      <w:r w:rsidRPr="00E33F6D">
        <w:rPr>
          <w:snapToGrid/>
        </w:rPr>
        <w:t xml:space="preserve"> </w:t>
      </w:r>
      <w:r>
        <w:rPr>
          <w:snapToGrid/>
        </w:rPr>
        <w:t>and leverages t</w:t>
      </w:r>
      <w:r w:rsidRPr="00E33F6D">
        <w:rPr>
          <w:snapToGrid/>
        </w:rPr>
        <w:t>he latest global climate projections from the</w:t>
      </w:r>
      <w:r>
        <w:t xml:space="preserve"> </w:t>
      </w:r>
      <w:r w:rsidR="00D61238">
        <w:rPr>
          <w:snapToGrid/>
        </w:rPr>
        <w:t>CMIP</w:t>
      </w:r>
      <w:r w:rsidRPr="00E33F6D">
        <w:rPr>
          <w:snapToGrid/>
        </w:rPr>
        <w:t xml:space="preserve"> </w:t>
      </w:r>
      <w:r w:rsidR="008D4833">
        <w:rPr>
          <w:snapToGrid/>
        </w:rPr>
        <w:t xml:space="preserve">Phase 6 </w:t>
      </w:r>
      <w:r w:rsidRPr="00E33F6D">
        <w:rPr>
          <w:snapToGrid/>
        </w:rPr>
        <w:t>(CMIP</w:t>
      </w:r>
      <w:r>
        <w:rPr>
          <w:snapToGrid/>
        </w:rPr>
        <w:t>6</w:t>
      </w:r>
      <w:r w:rsidRPr="00E33F6D">
        <w:rPr>
          <w:snapToGrid/>
        </w:rPr>
        <w:t>)</w:t>
      </w:r>
      <w:r>
        <w:rPr>
          <w:snapToGrid/>
        </w:rPr>
        <w:t xml:space="preserve">. In particular, to understand how the choice of modeling and analytical approaches may affect the projections of future hydroclimate conditions and hydropower generation, a </w:t>
      </w:r>
      <w:r w:rsidR="005E23BA">
        <w:rPr>
          <w:snapToGrid/>
        </w:rPr>
        <w:t>multimodel</w:t>
      </w:r>
      <w:r>
        <w:rPr>
          <w:snapToGrid/>
        </w:rPr>
        <w:t xml:space="preserve"> assessment framework</w:t>
      </w:r>
      <w:r w:rsidR="750BC780">
        <w:rPr>
          <w:snapToGrid/>
        </w:rPr>
        <w:t xml:space="preserve"> has been introduced</w:t>
      </w:r>
      <w:r w:rsidR="00237543">
        <w:rPr>
          <w:snapToGrid/>
        </w:rPr>
        <w:t xml:space="preserve">. This </w:t>
      </w:r>
      <w:r w:rsidR="005E23BA">
        <w:rPr>
          <w:snapToGrid/>
        </w:rPr>
        <w:t>multimodel</w:t>
      </w:r>
      <w:r w:rsidR="00237543">
        <w:rPr>
          <w:snapToGrid/>
        </w:rPr>
        <w:t xml:space="preserve"> assessment framework</w:t>
      </w:r>
      <w:r>
        <w:rPr>
          <w:snapToGrid/>
        </w:rPr>
        <w:t xml:space="preserve"> includes two downscaling </w:t>
      </w:r>
      <w:r w:rsidR="00C84FBC">
        <w:rPr>
          <w:snapToGrid/>
        </w:rPr>
        <w:t>methods (DSs)</w:t>
      </w:r>
      <w:r>
        <w:rPr>
          <w:snapToGrid/>
        </w:rPr>
        <w:t xml:space="preserve">, two </w:t>
      </w:r>
      <w:r w:rsidR="008D4833">
        <w:rPr>
          <w:snapToGrid/>
        </w:rPr>
        <w:t xml:space="preserve">reference </w:t>
      </w:r>
      <w:r>
        <w:rPr>
          <w:snapToGrid/>
        </w:rPr>
        <w:t xml:space="preserve">meteorological </w:t>
      </w:r>
      <w:r w:rsidR="008D4833">
        <w:rPr>
          <w:snapToGrid/>
        </w:rPr>
        <w:t xml:space="preserve">observations </w:t>
      </w:r>
      <w:r w:rsidR="00E23803">
        <w:rPr>
          <w:snapToGrid/>
        </w:rPr>
        <w:t>(MetFs)</w:t>
      </w:r>
      <w:r>
        <w:rPr>
          <w:snapToGrid/>
        </w:rPr>
        <w:t>, two calibrated hydrologic models</w:t>
      </w:r>
      <w:r w:rsidR="00EB7D73">
        <w:rPr>
          <w:snapToGrid/>
        </w:rPr>
        <w:t xml:space="preserve"> (HMs)</w:t>
      </w:r>
      <w:r>
        <w:rPr>
          <w:snapToGrid/>
        </w:rPr>
        <w:t xml:space="preserve">, and two regional </w:t>
      </w:r>
      <w:r w:rsidR="008D4833">
        <w:rPr>
          <w:snapToGrid/>
        </w:rPr>
        <w:t xml:space="preserve">PMs </w:t>
      </w:r>
      <w:r w:rsidRPr="00E33F6D">
        <w:rPr>
          <w:snapToGrid/>
        </w:rPr>
        <w:t xml:space="preserve">to </w:t>
      </w:r>
      <w:r>
        <w:rPr>
          <w:snapToGrid/>
        </w:rPr>
        <w:t xml:space="preserve">simulate ensemble </w:t>
      </w:r>
      <w:r w:rsidRPr="00E33F6D">
        <w:rPr>
          <w:snapToGrid/>
        </w:rPr>
        <w:t xml:space="preserve">meteorological, </w:t>
      </w:r>
      <w:r w:rsidR="00C01F68">
        <w:rPr>
          <w:snapToGrid/>
        </w:rPr>
        <w:t>hydrologic</w:t>
      </w:r>
      <w:r w:rsidRPr="00E33F6D">
        <w:rPr>
          <w:snapToGrid/>
        </w:rPr>
        <w:t xml:space="preserve">, and hydropower </w:t>
      </w:r>
      <w:r>
        <w:rPr>
          <w:snapToGrid/>
        </w:rPr>
        <w:t xml:space="preserve">projections </w:t>
      </w:r>
      <w:r w:rsidRPr="00E33F6D">
        <w:rPr>
          <w:snapToGrid/>
        </w:rPr>
        <w:t>in the near-term (20</w:t>
      </w:r>
      <w:r>
        <w:rPr>
          <w:snapToGrid/>
        </w:rPr>
        <w:t>20</w:t>
      </w:r>
      <w:r w:rsidRPr="00E33F6D">
        <w:rPr>
          <w:snapToGrid/>
        </w:rPr>
        <w:t>–203</w:t>
      </w:r>
      <w:r>
        <w:rPr>
          <w:snapToGrid/>
        </w:rPr>
        <w:t>9</w:t>
      </w:r>
      <w:r w:rsidRPr="00E33F6D">
        <w:rPr>
          <w:snapToGrid/>
        </w:rPr>
        <w:t xml:space="preserve">) and </w:t>
      </w:r>
      <w:r>
        <w:rPr>
          <w:snapToGrid/>
        </w:rPr>
        <w:t>mid-</w:t>
      </w:r>
      <w:r w:rsidRPr="00E33F6D">
        <w:rPr>
          <w:snapToGrid/>
        </w:rPr>
        <w:t>term (20</w:t>
      </w:r>
      <w:r>
        <w:rPr>
          <w:snapToGrid/>
        </w:rPr>
        <w:t>40</w:t>
      </w:r>
      <w:r w:rsidRPr="00E33F6D">
        <w:rPr>
          <w:snapToGrid/>
        </w:rPr>
        <w:t>–205</w:t>
      </w:r>
      <w:r>
        <w:rPr>
          <w:snapToGrid/>
        </w:rPr>
        <w:t>9</w:t>
      </w:r>
      <w:r w:rsidRPr="00E33F6D">
        <w:rPr>
          <w:snapToGrid/>
        </w:rPr>
        <w:t>) future</w:t>
      </w:r>
      <w:r>
        <w:t xml:space="preserve"> periods</w:t>
      </w:r>
      <w:r>
        <w:rPr>
          <w:snapToGrid/>
        </w:rPr>
        <w:t xml:space="preserve">. By analyzing the contribution of variance associated with these factors, </w:t>
      </w:r>
      <w:r w:rsidR="418D5A21">
        <w:rPr>
          <w:snapToGrid/>
        </w:rPr>
        <w:t>this study</w:t>
      </w:r>
      <w:r>
        <w:rPr>
          <w:snapToGrid/>
        </w:rPr>
        <w:t xml:space="preserve"> </w:t>
      </w:r>
      <w:r w:rsidR="7178B8F1">
        <w:rPr>
          <w:snapToGrid/>
        </w:rPr>
        <w:t>identifies</w:t>
      </w:r>
      <w:r>
        <w:rPr>
          <w:snapToGrid/>
        </w:rPr>
        <w:t xml:space="preserve"> the key controlling factor in each variable and study area, </w:t>
      </w:r>
      <w:r w:rsidR="3927C5D5">
        <w:rPr>
          <w:snapToGrid/>
        </w:rPr>
        <w:t>thereby</w:t>
      </w:r>
      <w:r>
        <w:rPr>
          <w:snapToGrid/>
        </w:rPr>
        <w:t xml:space="preserve"> </w:t>
      </w:r>
      <w:r w:rsidR="007629F8">
        <w:rPr>
          <w:snapToGrid/>
        </w:rPr>
        <w:t xml:space="preserve">demonstrating </w:t>
      </w:r>
      <w:r>
        <w:rPr>
          <w:snapToGrid/>
        </w:rPr>
        <w:t>the sensitivity</w:t>
      </w:r>
      <w:r w:rsidR="00FB105F">
        <w:rPr>
          <w:snapToGrid/>
        </w:rPr>
        <w:t xml:space="preserve"> </w:t>
      </w:r>
      <w:r w:rsidR="6F081450">
        <w:rPr>
          <w:snapToGrid/>
        </w:rPr>
        <w:t>of</w:t>
      </w:r>
      <w:r w:rsidR="00FB105F">
        <w:rPr>
          <w:snapToGrid/>
        </w:rPr>
        <w:t xml:space="preserve"> these modeling/analytical approaches</w:t>
      </w:r>
      <w:r>
        <w:rPr>
          <w:snapToGrid/>
        </w:rPr>
        <w:t xml:space="preserve"> and </w:t>
      </w:r>
      <w:r w:rsidR="006613AC">
        <w:rPr>
          <w:snapToGrid/>
        </w:rPr>
        <w:t xml:space="preserve">identifying </w:t>
      </w:r>
      <w:r w:rsidR="007629F8">
        <w:rPr>
          <w:snapToGrid/>
        </w:rPr>
        <w:t xml:space="preserve">potential </w:t>
      </w:r>
      <w:r>
        <w:rPr>
          <w:snapToGrid/>
        </w:rPr>
        <w:t>future research efforts. Additionally, how climate change may affect direct reservoir evaporation and customer energy demand in each PMA region</w:t>
      </w:r>
      <w:r w:rsidR="738ED60D">
        <w:rPr>
          <w:snapToGrid/>
        </w:rPr>
        <w:t xml:space="preserve"> is also analyzed</w:t>
      </w:r>
      <w:r>
        <w:rPr>
          <w:snapToGrid/>
        </w:rPr>
        <w:t xml:space="preserve">. </w:t>
      </w:r>
      <w:r w:rsidRPr="00E33F6D">
        <w:rPr>
          <w:snapToGrid/>
        </w:rPr>
        <w:t>The potential climate change impacts on federal power marketing are also extensively discussed in this study</w:t>
      </w:r>
      <w:r w:rsidR="00E61034" w:rsidRPr="00E33F6D">
        <w:rPr>
          <w:snapToGrid/>
        </w:rPr>
        <w:t>.</w:t>
      </w:r>
    </w:p>
    <w:p w14:paraId="60686B72" w14:textId="40C8E94F" w:rsidR="00414179" w:rsidRPr="00D60E14" w:rsidRDefault="00414179" w:rsidP="00AD0C1C">
      <w:pPr>
        <w:pStyle w:val="Heading2"/>
        <w:rPr>
          <w:caps w:val="0"/>
        </w:rPr>
      </w:pPr>
      <w:bookmarkStart w:id="38" w:name="_Toc113380758"/>
      <w:r w:rsidRPr="00D60E14">
        <w:t xml:space="preserve">The </w:t>
      </w:r>
      <w:r w:rsidR="006D3D10">
        <w:t xml:space="preserve">US </w:t>
      </w:r>
      <w:r>
        <w:t>Federal Hydropower System</w:t>
      </w:r>
      <w:bookmarkEnd w:id="38"/>
    </w:p>
    <w:p w14:paraId="082E59F7" w14:textId="1891BF2B" w:rsidR="00414179" w:rsidRPr="00414179" w:rsidRDefault="00414179" w:rsidP="00357BBE">
      <w:pPr>
        <w:pStyle w:val="Heading3"/>
      </w:pPr>
      <w:bookmarkStart w:id="39" w:name="_Toc113380759"/>
      <w:r w:rsidRPr="00414179">
        <w:t xml:space="preserve">Federal Hydropower </w:t>
      </w:r>
      <w:r w:rsidR="00BC4CA2">
        <w:t>Generation</w:t>
      </w:r>
      <w:bookmarkEnd w:id="39"/>
    </w:p>
    <w:p w14:paraId="762051CE" w14:textId="76629E7B" w:rsidR="009932EA" w:rsidRDefault="00924FD0" w:rsidP="00924FD0">
      <w:pPr>
        <w:pStyle w:val="BodyText"/>
      </w:pPr>
      <w:bookmarkStart w:id="40" w:name="_Ref421092991"/>
      <w:r>
        <w:rPr>
          <w:snapToGrid/>
        </w:rPr>
        <w:t xml:space="preserve">As of </w:t>
      </w:r>
      <w:r w:rsidRPr="00924FD0">
        <w:rPr>
          <w:snapToGrid/>
        </w:rPr>
        <w:t xml:space="preserve">2019, </w:t>
      </w:r>
      <w:r>
        <w:rPr>
          <w:snapToGrid/>
        </w:rPr>
        <w:t xml:space="preserve">there </w:t>
      </w:r>
      <w:r w:rsidR="5FFCC9CD">
        <w:rPr>
          <w:snapToGrid/>
        </w:rPr>
        <w:t>were</w:t>
      </w:r>
      <w:r>
        <w:rPr>
          <w:snapToGrid/>
        </w:rPr>
        <w:t xml:space="preserve"> </w:t>
      </w:r>
      <w:r w:rsidRPr="00924FD0">
        <w:rPr>
          <w:snapToGrid/>
        </w:rPr>
        <w:t>2,270</w:t>
      </w:r>
      <w:r w:rsidR="00FC4D0E">
        <w:rPr>
          <w:snapToGrid/>
        </w:rPr>
        <w:t xml:space="preserve"> conventional (i.e., once-through) </w:t>
      </w:r>
      <w:r w:rsidRPr="00924FD0">
        <w:rPr>
          <w:snapToGrid/>
        </w:rPr>
        <w:t xml:space="preserve">hydropower plants in the </w:t>
      </w:r>
      <w:r w:rsidR="575CFF90">
        <w:rPr>
          <w:snapToGrid/>
        </w:rPr>
        <w:t>United States</w:t>
      </w:r>
      <w:r>
        <w:rPr>
          <w:snapToGrid/>
        </w:rPr>
        <w:t xml:space="preserve"> </w:t>
      </w:r>
      <w:r w:rsidRPr="00924FD0">
        <w:rPr>
          <w:snapToGrid/>
        </w:rPr>
        <w:t xml:space="preserve">with a total </w:t>
      </w:r>
      <w:r>
        <w:rPr>
          <w:snapToGrid/>
        </w:rPr>
        <w:t xml:space="preserve">of 80.25 GW </w:t>
      </w:r>
      <w:r w:rsidR="0688E102">
        <w:rPr>
          <w:snapToGrid/>
        </w:rPr>
        <w:t xml:space="preserve">of </w:t>
      </w:r>
      <w:r w:rsidR="00290D98">
        <w:rPr>
          <w:snapToGrid/>
        </w:rPr>
        <w:t xml:space="preserve">generating </w:t>
      </w:r>
      <w:r w:rsidRPr="00924FD0">
        <w:rPr>
          <w:snapToGrid/>
        </w:rPr>
        <w:t>capacity produc</w:t>
      </w:r>
      <w:r>
        <w:rPr>
          <w:snapToGrid/>
        </w:rPr>
        <w:t>ing</w:t>
      </w:r>
      <w:r w:rsidRPr="00924FD0">
        <w:rPr>
          <w:snapToGrid/>
        </w:rPr>
        <w:t xml:space="preserve"> 6.6% of all electricity and 38% of electricity from renewables</w:t>
      </w:r>
      <w:r w:rsidR="00290D98">
        <w:rPr>
          <w:snapToGrid/>
        </w:rPr>
        <w:t xml:space="preserve"> </w:t>
      </w:r>
      <w:r w:rsidR="00290D98" w:rsidRPr="006E55F4">
        <w:rPr>
          <w:snapToGrid/>
        </w:rPr>
        <w:t>(Uría Martínez et al.</w:t>
      </w:r>
      <w:r w:rsidR="00290D98">
        <w:rPr>
          <w:snapToGrid/>
        </w:rPr>
        <w:t>,</w:t>
      </w:r>
      <w:r w:rsidR="00290D98" w:rsidRPr="006E55F4">
        <w:rPr>
          <w:snapToGrid/>
        </w:rPr>
        <w:t xml:space="preserve"> 20</w:t>
      </w:r>
      <w:r w:rsidR="00290D98">
        <w:rPr>
          <w:snapToGrid/>
        </w:rPr>
        <w:t>21</w:t>
      </w:r>
      <w:r w:rsidR="00290D98" w:rsidRPr="006E55F4">
        <w:rPr>
          <w:snapToGrid/>
        </w:rPr>
        <w:t>)</w:t>
      </w:r>
      <w:r>
        <w:rPr>
          <w:snapToGrid/>
        </w:rPr>
        <w:t xml:space="preserve">. </w:t>
      </w:r>
      <w:r w:rsidRPr="00924FD0">
        <w:rPr>
          <w:snapToGrid/>
        </w:rPr>
        <w:t xml:space="preserve">Additionally, </w:t>
      </w:r>
      <w:r>
        <w:rPr>
          <w:snapToGrid/>
        </w:rPr>
        <w:t xml:space="preserve">there </w:t>
      </w:r>
      <w:r w:rsidR="63C5DCCD">
        <w:rPr>
          <w:snapToGrid/>
        </w:rPr>
        <w:t>were</w:t>
      </w:r>
      <w:r>
        <w:rPr>
          <w:snapToGrid/>
        </w:rPr>
        <w:t xml:space="preserve"> </w:t>
      </w:r>
      <w:r w:rsidRPr="00924FD0">
        <w:rPr>
          <w:snapToGrid/>
        </w:rPr>
        <w:t xml:space="preserve">43 </w:t>
      </w:r>
      <w:r>
        <w:rPr>
          <w:snapToGrid/>
        </w:rPr>
        <w:t>pump</w:t>
      </w:r>
      <w:r w:rsidR="00E43B57">
        <w:rPr>
          <w:snapToGrid/>
        </w:rPr>
        <w:t xml:space="preserve">ed </w:t>
      </w:r>
      <w:r>
        <w:rPr>
          <w:snapToGrid/>
        </w:rPr>
        <w:t xml:space="preserve">storage hydropower </w:t>
      </w:r>
      <w:r w:rsidRPr="00924FD0">
        <w:rPr>
          <w:snapToGrid/>
        </w:rPr>
        <w:t xml:space="preserve">plants with a total </w:t>
      </w:r>
      <w:r>
        <w:rPr>
          <w:snapToGrid/>
        </w:rPr>
        <w:t xml:space="preserve">of </w:t>
      </w:r>
      <w:r w:rsidRPr="00924FD0">
        <w:rPr>
          <w:snapToGrid/>
        </w:rPr>
        <w:t xml:space="preserve">21.9 GW </w:t>
      </w:r>
      <w:r w:rsidR="54CF023B" w:rsidRPr="00924FD0">
        <w:rPr>
          <w:snapToGrid/>
        </w:rPr>
        <w:t xml:space="preserve">of </w:t>
      </w:r>
      <w:r w:rsidRPr="00924FD0">
        <w:rPr>
          <w:snapToGrid/>
        </w:rPr>
        <w:t>generating capacity provid</w:t>
      </w:r>
      <w:r w:rsidR="00290D98">
        <w:rPr>
          <w:snapToGrid/>
        </w:rPr>
        <w:t>ing</w:t>
      </w:r>
      <w:r w:rsidRPr="00924FD0">
        <w:rPr>
          <w:snapToGrid/>
        </w:rPr>
        <w:t xml:space="preserve"> </w:t>
      </w:r>
      <w:r w:rsidR="008D095A" w:rsidRPr="00924FD0">
        <w:rPr>
          <w:snapToGrid/>
        </w:rPr>
        <w:t>94% of utility-scale electrical energy</w:t>
      </w:r>
      <w:r w:rsidR="008D095A">
        <w:rPr>
          <w:snapToGrid/>
        </w:rPr>
        <w:t xml:space="preserve"> storage</w:t>
      </w:r>
      <w:r w:rsidR="001E2053">
        <w:rPr>
          <w:snapToGrid/>
        </w:rPr>
        <w:t>.</w:t>
      </w:r>
      <w:r w:rsidR="007848B7">
        <w:rPr>
          <w:snapToGrid/>
        </w:rPr>
        <w:t xml:space="preserve"> Among the</w:t>
      </w:r>
      <w:r w:rsidR="07C8461D">
        <w:rPr>
          <w:snapToGrid/>
        </w:rPr>
        <w:t>se hydropower plants</w:t>
      </w:r>
      <w:r w:rsidR="007848B7">
        <w:rPr>
          <w:snapToGrid/>
        </w:rPr>
        <w:t xml:space="preserve">, around </w:t>
      </w:r>
      <w:r w:rsidR="00FC4D0E">
        <w:rPr>
          <w:snapToGrid/>
        </w:rPr>
        <w:t>40%</w:t>
      </w:r>
      <w:r w:rsidR="007848B7">
        <w:rPr>
          <w:snapToGrid/>
        </w:rPr>
        <w:t xml:space="preserve"> of the generating </w:t>
      </w:r>
      <w:r w:rsidR="007848B7" w:rsidRPr="00924FD0">
        <w:rPr>
          <w:snapToGrid/>
        </w:rPr>
        <w:t>capacity</w:t>
      </w:r>
      <w:r w:rsidR="007848B7">
        <w:rPr>
          <w:snapToGrid/>
        </w:rPr>
        <w:t xml:space="preserve"> </w:t>
      </w:r>
      <w:r w:rsidR="003638EC">
        <w:rPr>
          <w:snapToGrid/>
        </w:rPr>
        <w:t xml:space="preserve">(42.5 GW) </w:t>
      </w:r>
      <w:r w:rsidR="68148773">
        <w:rPr>
          <w:snapToGrid/>
        </w:rPr>
        <w:t>was</w:t>
      </w:r>
      <w:r w:rsidR="007848B7">
        <w:rPr>
          <w:snapToGrid/>
        </w:rPr>
        <w:t xml:space="preserve"> provided by federal projects</w:t>
      </w:r>
      <w:r w:rsidR="003638EC">
        <w:rPr>
          <w:snapToGrid/>
        </w:rPr>
        <w:t xml:space="preserve"> </w:t>
      </w:r>
      <w:r w:rsidR="7F0A180D">
        <w:rPr>
          <w:snapToGrid/>
        </w:rPr>
        <w:t xml:space="preserve">and </w:t>
      </w:r>
      <w:r w:rsidR="003638EC" w:rsidRPr="006E55F4">
        <w:rPr>
          <w:snapToGrid/>
        </w:rPr>
        <w:t>built and/or operated by one of four agencies: USACE, Reclamation, the Tennessee Valley Authority (TVA), and the International Boundary and Water Commission (IBWC)</w:t>
      </w:r>
      <w:r w:rsidR="003638EC">
        <w:rPr>
          <w:snapToGrid/>
        </w:rPr>
        <w:t xml:space="preserve">. Other </w:t>
      </w:r>
      <w:r w:rsidR="003638EC" w:rsidRPr="006E55F4">
        <w:rPr>
          <w:snapToGrid/>
        </w:rPr>
        <w:t>nonfederal hydropower is regulated by the Federal Energy Regulatory Commission (FERC) under the authority of the Federal Power Act</w:t>
      </w:r>
      <w:r w:rsidR="003638EC">
        <w:rPr>
          <w:snapToGrid/>
        </w:rPr>
        <w:t xml:space="preserve"> </w:t>
      </w:r>
      <w:r w:rsidR="7E531D2E">
        <w:rPr>
          <w:snapToGrid/>
        </w:rPr>
        <w:t>and</w:t>
      </w:r>
      <w:r w:rsidR="003638EC">
        <w:rPr>
          <w:snapToGrid/>
        </w:rPr>
        <w:t xml:space="preserve"> owned and/or operated </w:t>
      </w:r>
      <w:r w:rsidR="00282AE7">
        <w:rPr>
          <w:snapToGrid/>
        </w:rPr>
        <w:t xml:space="preserve">by </w:t>
      </w:r>
      <w:r w:rsidR="003638EC" w:rsidRPr="006E55F4">
        <w:rPr>
          <w:snapToGrid/>
        </w:rPr>
        <w:t>investor-owned utilities (IOUs)</w:t>
      </w:r>
      <w:r w:rsidR="003638EC">
        <w:rPr>
          <w:snapToGrid/>
        </w:rPr>
        <w:t xml:space="preserve">, </w:t>
      </w:r>
      <w:r w:rsidR="003638EC" w:rsidRPr="006E55F4">
        <w:rPr>
          <w:snapToGrid/>
        </w:rPr>
        <w:t>publicly owned utilities</w:t>
      </w:r>
      <w:r w:rsidR="003638EC">
        <w:rPr>
          <w:snapToGrid/>
        </w:rPr>
        <w:t xml:space="preserve">, </w:t>
      </w:r>
      <w:r w:rsidR="003638EC" w:rsidRPr="006E55F4">
        <w:rPr>
          <w:snapToGrid/>
        </w:rPr>
        <w:t>state agencies</w:t>
      </w:r>
      <w:r w:rsidR="003638EC">
        <w:rPr>
          <w:snapToGrid/>
        </w:rPr>
        <w:t xml:space="preserve">, </w:t>
      </w:r>
      <w:r w:rsidR="00FB7262">
        <w:rPr>
          <w:snapToGrid/>
        </w:rPr>
        <w:t xml:space="preserve">and </w:t>
      </w:r>
      <w:r w:rsidR="00FB7262" w:rsidRPr="006E55F4">
        <w:rPr>
          <w:snapToGrid/>
        </w:rPr>
        <w:t>nonutilities (Uría Martínez et al.</w:t>
      </w:r>
      <w:r w:rsidR="00FB7262">
        <w:rPr>
          <w:snapToGrid/>
        </w:rPr>
        <w:t>,</w:t>
      </w:r>
      <w:r w:rsidR="00FB7262" w:rsidRPr="006E55F4">
        <w:rPr>
          <w:snapToGrid/>
        </w:rPr>
        <w:t xml:space="preserve"> 2015).</w:t>
      </w:r>
      <w:r w:rsidR="009932EA">
        <w:rPr>
          <w:snapToGrid/>
        </w:rPr>
        <w:t xml:space="preserve"> Several a</w:t>
      </w:r>
      <w:r w:rsidR="009932EA" w:rsidRPr="009932EA">
        <w:rPr>
          <w:snapToGrid/>
        </w:rPr>
        <w:t>dditional nonfederal hydropower facilities</w:t>
      </w:r>
      <w:r w:rsidR="009932EA">
        <w:rPr>
          <w:snapToGrid/>
        </w:rPr>
        <w:t xml:space="preserve"> that are</w:t>
      </w:r>
      <w:r w:rsidR="009932EA" w:rsidRPr="009932EA">
        <w:rPr>
          <w:snapToGrid/>
        </w:rPr>
        <w:t xml:space="preserve"> outside FERC jurisdiction have </w:t>
      </w:r>
      <w:r w:rsidR="009932EA">
        <w:rPr>
          <w:snapToGrid/>
        </w:rPr>
        <w:t xml:space="preserve">also </w:t>
      </w:r>
      <w:r w:rsidR="009932EA" w:rsidRPr="009932EA">
        <w:rPr>
          <w:snapToGrid/>
        </w:rPr>
        <w:t xml:space="preserve">been authorized by Reclamation </w:t>
      </w:r>
      <w:r w:rsidR="009932EA">
        <w:rPr>
          <w:snapToGrid/>
        </w:rPr>
        <w:t xml:space="preserve">through the </w:t>
      </w:r>
      <w:r w:rsidR="00D61238" w:rsidRPr="009932EA">
        <w:rPr>
          <w:snapToGrid/>
        </w:rPr>
        <w:t>lease of power privilege</w:t>
      </w:r>
      <w:r w:rsidR="009932EA" w:rsidRPr="009932EA">
        <w:rPr>
          <w:snapToGrid/>
        </w:rPr>
        <w:t xml:space="preserve"> </w:t>
      </w:r>
      <w:r w:rsidR="009932EA">
        <w:rPr>
          <w:snapToGrid/>
        </w:rPr>
        <w:t>process</w:t>
      </w:r>
      <w:r w:rsidR="009932EA" w:rsidRPr="009932EA">
        <w:rPr>
          <w:snapToGrid/>
        </w:rPr>
        <w:t>.</w:t>
      </w:r>
    </w:p>
    <w:p w14:paraId="00F78390" w14:textId="4066D3B0" w:rsidR="00FB7262" w:rsidRDefault="707C33C6" w:rsidP="00FB7262">
      <w:pPr>
        <w:pStyle w:val="BodyText"/>
      </w:pPr>
      <w:r>
        <w:rPr>
          <w:snapToGrid/>
        </w:rPr>
        <w:t>Although</w:t>
      </w:r>
      <w:r w:rsidR="00FB7262">
        <w:rPr>
          <w:snapToGrid/>
        </w:rPr>
        <w:t xml:space="preserve"> the</w:t>
      </w:r>
      <w:r w:rsidR="0A99746F">
        <w:rPr>
          <w:snapToGrid/>
        </w:rPr>
        <w:t>re are fewer</w:t>
      </w:r>
      <w:r w:rsidR="00FB7262">
        <w:rPr>
          <w:snapToGrid/>
        </w:rPr>
        <w:t xml:space="preserve"> federal hydropower plants than nonfederal </w:t>
      </w:r>
      <w:r w:rsidR="763AF113">
        <w:rPr>
          <w:snapToGrid/>
        </w:rPr>
        <w:t>plants</w:t>
      </w:r>
      <w:r w:rsidR="00FB7262">
        <w:rPr>
          <w:snapToGrid/>
        </w:rPr>
        <w:t xml:space="preserve">, the </w:t>
      </w:r>
      <w:r w:rsidR="54AA1909">
        <w:rPr>
          <w:snapToGrid/>
        </w:rPr>
        <w:t>federal plants</w:t>
      </w:r>
      <w:r w:rsidR="00FB7262">
        <w:rPr>
          <w:snapToGrid/>
        </w:rPr>
        <w:t xml:space="preserve"> </w:t>
      </w:r>
      <w:r w:rsidR="00FC4D0E">
        <w:t xml:space="preserve">have, on </w:t>
      </w:r>
      <w:r w:rsidR="0057182C">
        <w:t xml:space="preserve">average, </w:t>
      </w:r>
      <w:r w:rsidR="0003073E">
        <w:t xml:space="preserve">10 </w:t>
      </w:r>
      <w:r w:rsidR="0057182C">
        <w:t>times more generating capacity</w:t>
      </w:r>
      <w:r w:rsidR="00FC4D0E">
        <w:t xml:space="preserve"> per plant</w:t>
      </w:r>
      <w:r w:rsidR="00FB7262">
        <w:rPr>
          <w:snapToGrid/>
        </w:rPr>
        <w:t xml:space="preserve">. Most of these federal hydropower plants are located at multipurpose reservoirs that also provide nonpower services, such as </w:t>
      </w:r>
      <w:r w:rsidR="00FB7262" w:rsidRPr="00282AE7">
        <w:rPr>
          <w:snapToGrid/>
        </w:rPr>
        <w:t>flood control; navigation; water supply for municipalities, industries, agriculture</w:t>
      </w:r>
      <w:r w:rsidR="00C2399D">
        <w:rPr>
          <w:snapToGrid/>
        </w:rPr>
        <w:t>;</w:t>
      </w:r>
      <w:r w:rsidR="00FB7262" w:rsidRPr="00282AE7">
        <w:rPr>
          <w:snapToGrid/>
        </w:rPr>
        <w:t xml:space="preserve"> recreation; and protection of environmental resources</w:t>
      </w:r>
      <w:r w:rsidR="7BB73418" w:rsidRPr="00282AE7">
        <w:rPr>
          <w:snapToGrid/>
        </w:rPr>
        <w:t>,</w:t>
      </w:r>
      <w:r w:rsidR="00FB7262" w:rsidRPr="00282AE7">
        <w:rPr>
          <w:snapToGrid/>
        </w:rPr>
        <w:t xml:space="preserve"> </w:t>
      </w:r>
      <w:r w:rsidR="00FB7262">
        <w:rPr>
          <w:snapToGrid/>
        </w:rPr>
        <w:t xml:space="preserve">including </w:t>
      </w:r>
      <w:r w:rsidR="00FB7262" w:rsidRPr="00282AE7">
        <w:rPr>
          <w:snapToGrid/>
        </w:rPr>
        <w:t>water quality, fish, and wildlife</w:t>
      </w:r>
      <w:r w:rsidR="00FB7262">
        <w:rPr>
          <w:snapToGrid/>
        </w:rPr>
        <w:t>.</w:t>
      </w:r>
      <w:r w:rsidR="00FB7262" w:rsidRPr="00792C32">
        <w:rPr>
          <w:snapToGrid/>
        </w:rPr>
        <w:t xml:space="preserve"> </w:t>
      </w:r>
      <w:r w:rsidR="00FB7262">
        <w:rPr>
          <w:snapToGrid/>
        </w:rPr>
        <w:t xml:space="preserve">Since many </w:t>
      </w:r>
      <w:r w:rsidR="00FB7262" w:rsidRPr="006E55F4">
        <w:rPr>
          <w:snapToGrid/>
        </w:rPr>
        <w:t xml:space="preserve">nonpower </w:t>
      </w:r>
      <w:r w:rsidR="00FB7262">
        <w:rPr>
          <w:snapToGrid/>
        </w:rPr>
        <w:t xml:space="preserve">services </w:t>
      </w:r>
      <w:r w:rsidR="00FB7262" w:rsidRPr="006E55F4">
        <w:rPr>
          <w:snapToGrid/>
        </w:rPr>
        <w:t xml:space="preserve">have higher priority than </w:t>
      </w:r>
      <w:r w:rsidR="00FB7262">
        <w:rPr>
          <w:snapToGrid/>
        </w:rPr>
        <w:t>hydro</w:t>
      </w:r>
      <w:r w:rsidR="00FB7262" w:rsidRPr="006E55F4">
        <w:rPr>
          <w:snapToGrid/>
        </w:rPr>
        <w:t xml:space="preserve">power, </w:t>
      </w:r>
      <w:r w:rsidR="00FB7262">
        <w:rPr>
          <w:snapToGrid/>
        </w:rPr>
        <w:t xml:space="preserve">the generation of federal hydropower is under a variety of competing constraints and may not be as </w:t>
      </w:r>
      <w:r w:rsidR="001C1584">
        <w:rPr>
          <w:snapToGrid/>
        </w:rPr>
        <w:t>flexible, despite the large water storage capacity in federal reservoirs</w:t>
      </w:r>
      <w:r w:rsidR="00FB7262">
        <w:rPr>
          <w:snapToGrid/>
        </w:rPr>
        <w:t>.</w:t>
      </w:r>
    </w:p>
    <w:p w14:paraId="22885F8B" w14:textId="4537AC2B" w:rsidR="004C69E9" w:rsidRDefault="0020221F" w:rsidP="00AF13D7">
      <w:pPr>
        <w:pStyle w:val="BodyText"/>
      </w:pPr>
      <w:r w:rsidRPr="006E55F4">
        <w:t>Although federal hydropower projects are owned and operated by federal water development agencies (</w:t>
      </w:r>
      <w:r w:rsidR="3061BBF5" w:rsidRPr="006E55F4">
        <w:t xml:space="preserve">e.g., </w:t>
      </w:r>
      <w:r w:rsidRPr="006E55F4">
        <w:t xml:space="preserve">USACE, Reclamation, TVA, IBWC), </w:t>
      </w:r>
      <w:r w:rsidR="09BC60D4" w:rsidRPr="006E55F4">
        <w:t xml:space="preserve">the </w:t>
      </w:r>
      <w:r w:rsidRPr="006E55F4">
        <w:t xml:space="preserve">electricity produced at USACE, Reclamation, and IBWC projects is </w:t>
      </w:r>
      <w:r>
        <w:t xml:space="preserve">mostly </w:t>
      </w:r>
      <w:r w:rsidRPr="006E55F4">
        <w:t>marketed and distributed by the PMAs</w:t>
      </w:r>
      <w:r>
        <w:t xml:space="preserve"> (</w:t>
      </w:r>
      <w:r w:rsidR="005E3984">
        <w:t>i</w:t>
      </w:r>
      <w:r w:rsidR="31944B68">
        <w:t xml:space="preserve">.e., </w:t>
      </w:r>
      <w:r>
        <w:t>BPA, WAPA, SWPA, and SEPA)</w:t>
      </w:r>
      <w:r w:rsidRPr="006E55F4">
        <w:t>.</w:t>
      </w:r>
      <w:r w:rsidRPr="00C10A26">
        <w:rPr>
          <w:snapToGrid/>
        </w:rPr>
        <w:t xml:space="preserve"> </w:t>
      </w:r>
      <w:r>
        <w:rPr>
          <w:snapToGrid/>
        </w:rPr>
        <w:t xml:space="preserve">Given the specific </w:t>
      </w:r>
      <w:r w:rsidRPr="0038342D">
        <w:t xml:space="preserve">legislative language </w:t>
      </w:r>
      <w:r>
        <w:rPr>
          <w:snapToGrid/>
        </w:rPr>
        <w:t xml:space="preserve">of </w:t>
      </w:r>
      <w:r w:rsidRPr="00E33F6D">
        <w:rPr>
          <w:snapToGrid/>
        </w:rPr>
        <w:t>SWA Section 9505</w:t>
      </w:r>
      <w:r>
        <w:rPr>
          <w:snapToGrid/>
        </w:rPr>
        <w:t xml:space="preserve">, only </w:t>
      </w:r>
      <w:r w:rsidRPr="006E55F4">
        <w:t>the 132 hydropower plants marketed through</w:t>
      </w:r>
      <w:r>
        <w:t xml:space="preserve"> the</w:t>
      </w:r>
      <w:r w:rsidRPr="006E55F4">
        <w:t xml:space="preserve"> PMAs</w:t>
      </w:r>
      <w:r>
        <w:t xml:space="preserve"> as </w:t>
      </w:r>
      <w:r w:rsidRPr="00D40364">
        <w:rPr>
          <w:i/>
        </w:rPr>
        <w:t>federal hydropower</w:t>
      </w:r>
      <w:r>
        <w:t xml:space="preserve"> </w:t>
      </w:r>
      <w:r w:rsidR="09D0BADF">
        <w:t xml:space="preserve">are considered </w:t>
      </w:r>
      <w:r>
        <w:t xml:space="preserve">in this study. </w:t>
      </w:r>
      <w:r w:rsidR="69232D77" w:rsidRPr="006E55F4">
        <w:t>Because</w:t>
      </w:r>
      <w:r w:rsidRPr="006E55F4">
        <w:t xml:space="preserve"> TVA is not a PMA</w:t>
      </w:r>
      <w:r w:rsidR="25797558" w:rsidRPr="006E55F4">
        <w:t>,</w:t>
      </w:r>
      <w:r w:rsidRPr="006E55F4">
        <w:t xml:space="preserve"> and the hydropower generated from TVA facilities is not marketed by a PMA, the 30 TVA hydropower plants are not included in this assessment. Similarly, the assessment does not include USACE </w:t>
      </w:r>
      <w:r>
        <w:t>St.</w:t>
      </w:r>
      <w:r w:rsidRPr="006E55F4">
        <w:t xml:space="preserve"> Mary</w:t>
      </w:r>
      <w:r w:rsidR="00805545">
        <w:t>’</w:t>
      </w:r>
      <w:r w:rsidRPr="006E55F4">
        <w:t>s Falls or St. Stephen</w:t>
      </w:r>
      <w:r w:rsidR="682B4ED6" w:rsidRPr="006E55F4">
        <w:t xml:space="preserve"> because</w:t>
      </w:r>
      <w:r w:rsidRPr="006E55F4">
        <w:t xml:space="preserve"> the electricity generated from these </w:t>
      </w:r>
      <w:r>
        <w:t>two hydropower plants</w:t>
      </w:r>
      <w:r w:rsidRPr="006E55F4">
        <w:t xml:space="preserve"> is not marketed through </w:t>
      </w:r>
      <w:r w:rsidRPr="006E55F4">
        <w:lastRenderedPageBreak/>
        <w:t>PMAs.</w:t>
      </w:r>
      <w:r w:rsidRPr="009420CC">
        <w:rPr>
          <w:snapToGrid/>
        </w:rPr>
        <w:t xml:space="preserve"> </w:t>
      </w:r>
      <w:r>
        <w:rPr>
          <w:snapToGrid/>
        </w:rPr>
        <w:t xml:space="preserve">A detailed list of these </w:t>
      </w:r>
      <w:r w:rsidRPr="006E55F4">
        <w:rPr>
          <w:snapToGrid/>
        </w:rPr>
        <w:t>132 federal hydropower plants</w:t>
      </w:r>
      <w:r>
        <w:rPr>
          <w:snapToGrid/>
        </w:rPr>
        <w:t xml:space="preserve"> is provided in </w:t>
      </w:r>
      <w:r w:rsidR="00896F84">
        <w:fldChar w:fldCharType="begin"/>
      </w:r>
      <w:r w:rsidR="00896F84">
        <w:rPr>
          <w:snapToGrid/>
        </w:rPr>
        <w:instrText xml:space="preserve"> REF _Ref75948519 \n \h </w:instrText>
      </w:r>
      <w:r w:rsidR="00896F84">
        <w:fldChar w:fldCharType="separate"/>
      </w:r>
      <w:r w:rsidR="00EE0BF5">
        <w:rPr>
          <w:snapToGrid/>
        </w:rPr>
        <w:t>APPENDIX B</w:t>
      </w:r>
      <w:r w:rsidR="00896F84">
        <w:fldChar w:fldCharType="end"/>
      </w:r>
      <w:r w:rsidR="00AC06CD">
        <w:rPr>
          <w:snapToGrid/>
        </w:rPr>
        <w:t xml:space="preserve"> and illustrated in </w:t>
      </w:r>
      <w:r w:rsidR="006D7D55">
        <w:fldChar w:fldCharType="begin"/>
      </w:r>
      <w:r w:rsidR="006D7D55">
        <w:rPr>
          <w:snapToGrid/>
        </w:rPr>
        <w:instrText xml:space="preserve"> REF _Ref83536737 \h </w:instrText>
      </w:r>
      <w:r w:rsidR="006D7D55">
        <w:fldChar w:fldCharType="separate"/>
      </w:r>
      <w:r w:rsidR="00EE0BF5" w:rsidRPr="006869CA">
        <w:rPr>
          <w:lang w:eastAsia="zh-TW"/>
        </w:rPr>
        <w:t>Fig</w:t>
      </w:r>
      <w:r w:rsidR="00EE0BF5">
        <w:rPr>
          <w:lang w:eastAsia="zh-TW"/>
        </w:rPr>
        <w:t xml:space="preserve">ure </w:t>
      </w:r>
      <w:r w:rsidR="00EE0BF5">
        <w:rPr>
          <w:noProof/>
          <w:lang w:eastAsia="zh-TW"/>
        </w:rPr>
        <w:t>1</w:t>
      </w:r>
      <w:r w:rsidR="00EE0BF5">
        <w:rPr>
          <w:lang w:eastAsia="zh-TW"/>
        </w:rPr>
        <w:t>.</w:t>
      </w:r>
      <w:r w:rsidR="00EE0BF5">
        <w:rPr>
          <w:noProof/>
          <w:lang w:eastAsia="zh-TW"/>
        </w:rPr>
        <w:t>1</w:t>
      </w:r>
      <w:r w:rsidR="006D7D55">
        <w:fldChar w:fldCharType="end"/>
      </w:r>
      <w:r w:rsidR="00AC06CD">
        <w:rPr>
          <w:snapToGrid/>
        </w:rPr>
        <w:t>.</w:t>
      </w:r>
      <w:r w:rsidR="00D04998">
        <w:rPr>
          <w:snapToGrid/>
        </w:rPr>
        <w:t xml:space="preserve"> </w:t>
      </w:r>
      <w:r>
        <w:fldChar w:fldCharType="begin"/>
      </w:r>
      <w:r>
        <w:instrText xml:space="preserve"> REF _Ref71787893 \h </w:instrText>
      </w:r>
      <w:r>
        <w:fldChar w:fldCharType="separate"/>
      </w:r>
      <w:r w:rsidR="00EE0BF5" w:rsidRPr="004C5793">
        <w:rPr>
          <w:rFonts w:eastAsia="PMingLiU"/>
          <w:lang w:bidi="en-US"/>
        </w:rPr>
        <w:t xml:space="preserve">Table </w:t>
      </w:r>
      <w:r w:rsidR="00EE0BF5">
        <w:rPr>
          <w:rFonts w:eastAsia="PMingLiU"/>
          <w:noProof/>
          <w:lang w:bidi="en-US"/>
        </w:rPr>
        <w:t>1</w:t>
      </w:r>
      <w:r w:rsidR="00EE0BF5">
        <w:rPr>
          <w:rFonts w:eastAsia="PMingLiU"/>
          <w:lang w:bidi="en-US"/>
        </w:rPr>
        <w:t>.</w:t>
      </w:r>
      <w:r w:rsidR="00EE0BF5">
        <w:rPr>
          <w:rFonts w:eastAsia="PMingLiU"/>
          <w:noProof/>
          <w:lang w:bidi="en-US"/>
        </w:rPr>
        <w:t>1</w:t>
      </w:r>
      <w:r>
        <w:fldChar w:fldCharType="end"/>
      </w:r>
      <w:r w:rsidR="11335FAA" w:rsidRPr="47E6C8DF">
        <w:rPr>
          <w:rFonts w:eastAsia="PMingLiU"/>
          <w:noProof/>
          <w:lang w:bidi="en-US"/>
        </w:rPr>
        <w:t xml:space="preserve"> contains a</w:t>
      </w:r>
      <w:r w:rsidR="00D04998">
        <w:rPr>
          <w:snapToGrid/>
        </w:rPr>
        <w:t xml:space="preserve"> summary of the </w:t>
      </w:r>
      <w:r w:rsidR="70940B5C">
        <w:rPr>
          <w:snapToGrid/>
        </w:rPr>
        <w:t xml:space="preserve">federal hydropower plants </w:t>
      </w:r>
      <w:r w:rsidR="49EEB03B">
        <w:rPr>
          <w:snapToGrid/>
        </w:rPr>
        <w:t>evaluated</w:t>
      </w:r>
      <w:r w:rsidR="70940B5C">
        <w:rPr>
          <w:snapToGrid/>
        </w:rPr>
        <w:t xml:space="preserve"> in this assessment broken down by</w:t>
      </w:r>
      <w:r w:rsidR="00D04998">
        <w:rPr>
          <w:snapToGrid/>
        </w:rPr>
        <w:t xml:space="preserve"> the number of plants, capacity, and </w:t>
      </w:r>
      <w:r>
        <w:rPr>
          <w:snapToGrid/>
        </w:rPr>
        <w:t xml:space="preserve">the </w:t>
      </w:r>
      <w:r w:rsidR="00D04998">
        <w:rPr>
          <w:snapToGrid/>
        </w:rPr>
        <w:t xml:space="preserve">1980–2019 average annual generation </w:t>
      </w:r>
      <w:r w:rsidR="55BAA91D">
        <w:rPr>
          <w:snapToGrid/>
        </w:rPr>
        <w:t>for</w:t>
      </w:r>
      <w:r w:rsidR="00D04998">
        <w:rPr>
          <w:snapToGrid/>
        </w:rPr>
        <w:t xml:space="preserve"> </w:t>
      </w:r>
      <w:r w:rsidR="3E047066">
        <w:rPr>
          <w:snapToGrid/>
        </w:rPr>
        <w:t>each</w:t>
      </w:r>
      <w:r w:rsidR="00D04998">
        <w:rPr>
          <w:snapToGrid/>
        </w:rPr>
        <w:t xml:space="preserve"> operating agency</w:t>
      </w:r>
      <w:r w:rsidR="055DC0DC">
        <w:rPr>
          <w:snapToGrid/>
        </w:rPr>
        <w:t>.</w:t>
      </w:r>
    </w:p>
    <w:p w14:paraId="59BBDD19" w14:textId="1C96ACBD" w:rsidR="00DC1A39" w:rsidRPr="00A33CBF" w:rsidRDefault="0041564D" w:rsidP="00A33CBF">
      <w:pPr>
        <w:pStyle w:val="FIGUREposition"/>
      </w:pPr>
      <w:r w:rsidRPr="00A33CBF">
        <w:rPr>
          <w:noProof/>
        </w:rPr>
        <mc:AlternateContent>
          <mc:Choice Requires="wpg">
            <w:drawing>
              <wp:inline distT="0" distB="0" distL="0" distR="0" wp14:anchorId="5B6D82BC" wp14:editId="6566429F">
                <wp:extent cx="5029200" cy="4320987"/>
                <wp:effectExtent l="0" t="0" r="0" b="3810"/>
                <wp:docPr id="38" name="Group 38"/>
                <wp:cNvGraphicFramePr/>
                <a:graphic xmlns:a="http://schemas.openxmlformats.org/drawingml/2006/main">
                  <a:graphicData uri="http://schemas.microsoft.com/office/word/2010/wordprocessingGroup">
                    <wpg:wgp>
                      <wpg:cNvGrpSpPr/>
                      <wpg:grpSpPr>
                        <a:xfrm>
                          <a:off x="0" y="0"/>
                          <a:ext cx="5029200" cy="4320987"/>
                          <a:chOff x="-1" y="-1"/>
                          <a:chExt cx="6177341" cy="5106321"/>
                        </a:xfrm>
                      </wpg:grpSpPr>
                      <pic:pic xmlns:pic="http://schemas.openxmlformats.org/drawingml/2006/picture">
                        <pic:nvPicPr>
                          <pic:cNvPr id="39" name="Picture 39"/>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 y="-1"/>
                            <a:ext cx="6177341" cy="5106321"/>
                          </a:xfrm>
                          <a:prstGeom prst="rect">
                            <a:avLst/>
                          </a:prstGeom>
                          <a:noFill/>
                        </pic:spPr>
                      </pic:pic>
                      <wps:wsp>
                        <wps:cNvPr id="40" name="Rectangle 40"/>
                        <wps:cNvSpPr/>
                        <wps:spPr>
                          <a:xfrm>
                            <a:off x="3616657" y="4217158"/>
                            <a:ext cx="464024" cy="2388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D40E7B" id="Group 38" o:spid="_x0000_s1026" style="width:396pt;height:340.25pt;mso-position-horizontal-relative:char;mso-position-vertical-relative:line" coordorigin="" coordsize="61773,51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style="position:absolute;width:61773;height:5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">
                  <v:imagedata r:id="rId34" o:title=""/>
                </v:shape>
                <v:rect id="Rectangle 40" o:spid="_x0000_s1028" style="position:absolute;left:36166;top:42171;width:4640;height: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" fillcolor="white [3212]" stroked="f" strokeweight="2pt"/>
                <w10:anchorlock/>
              </v:group>
            </w:pict>
          </mc:Fallback>
        </mc:AlternateContent>
      </w:r>
    </w:p>
    <w:p w14:paraId="160837E3" w14:textId="2CE56D88" w:rsidR="00A33CBF" w:rsidRPr="00A33CBF" w:rsidRDefault="00DC1A39" w:rsidP="00A33CBF">
      <w:pPr>
        <w:pStyle w:val="FigureCaption"/>
        <w:rPr>
          <w:vanish/>
          <w:lang w:eastAsia="zh-TW"/>
          <w:specVanish/>
        </w:rPr>
      </w:pPr>
      <w:bookmarkStart w:id="41" w:name="_Ref83536737"/>
      <w:bookmarkStart w:id="42" w:name="_Toc113380864"/>
      <w:r w:rsidRPr="006869CA">
        <w:rPr>
          <w:lang w:eastAsia="zh-TW"/>
        </w:rPr>
        <w:t>Fig</w:t>
      </w:r>
      <w:r>
        <w:rPr>
          <w:lang w:eastAsia="zh-TW"/>
        </w:rPr>
        <w:t xml:space="preserve">ure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1</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w:t>
      </w:r>
      <w:r w:rsidRPr="006869CA">
        <w:rPr>
          <w:lang w:eastAsia="zh-TW"/>
        </w:rPr>
        <w:fldChar w:fldCharType="end"/>
      </w:r>
      <w:bookmarkEnd w:id="41"/>
      <w:r w:rsidRPr="006869CA">
        <w:rPr>
          <w:lang w:eastAsia="zh-TW"/>
        </w:rPr>
        <w:t xml:space="preserve">. </w:t>
      </w:r>
      <w:r>
        <w:rPr>
          <w:lang w:eastAsia="zh-TW"/>
        </w:rPr>
        <w:t>F</w:t>
      </w:r>
      <w:r w:rsidRPr="0044307D">
        <w:rPr>
          <w:lang w:eastAsia="zh-TW"/>
        </w:rPr>
        <w:t xml:space="preserve">ederal hydropower facilities </w:t>
      </w:r>
      <w:r>
        <w:rPr>
          <w:lang w:eastAsia="zh-TW"/>
        </w:rPr>
        <w:t>and</w:t>
      </w:r>
      <w:r w:rsidRPr="00D410BA">
        <w:rPr>
          <w:lang w:eastAsia="zh-TW"/>
        </w:rPr>
        <w:t xml:space="preserve"> federal power marketing regions in the U</w:t>
      </w:r>
      <w:r>
        <w:rPr>
          <w:lang w:eastAsia="zh-TW"/>
        </w:rPr>
        <w:t xml:space="preserve">nited </w:t>
      </w:r>
      <w:r w:rsidRPr="00D410BA">
        <w:rPr>
          <w:lang w:eastAsia="zh-TW"/>
        </w:rPr>
        <w:t>S</w:t>
      </w:r>
      <w:r>
        <w:rPr>
          <w:lang w:eastAsia="zh-TW"/>
        </w:rPr>
        <w:t>tates</w:t>
      </w:r>
      <w:r w:rsidRPr="00D410BA">
        <w:rPr>
          <w:lang w:eastAsia="zh-TW"/>
        </w:rPr>
        <w:t>.</w:t>
      </w:r>
      <w:bookmarkEnd w:id="42"/>
      <w:r w:rsidRPr="00D410BA">
        <w:rPr>
          <w:lang w:eastAsia="zh-TW"/>
        </w:rPr>
        <w:t xml:space="preserve"> </w:t>
      </w:r>
    </w:p>
    <w:p w14:paraId="171DE512" w14:textId="69EE8A5A" w:rsidR="00DC1A39" w:rsidRDefault="00DC1A39" w:rsidP="00A33CBF">
      <w:pPr>
        <w:pStyle w:val="FigureCaptionSeparator"/>
      </w:pPr>
      <w:r w:rsidRPr="00D410BA">
        <w:t xml:space="preserve">Note that part of Kansas is supplied by both </w:t>
      </w:r>
      <w:r>
        <w:t>WAPA</w:t>
      </w:r>
      <w:r w:rsidRPr="00D410BA">
        <w:t xml:space="preserve"> and</w:t>
      </w:r>
      <w:r>
        <w:t xml:space="preserve"> SWPA</w:t>
      </w:r>
      <w:r w:rsidRPr="00D410BA">
        <w:t>.</w:t>
      </w:r>
    </w:p>
    <w:p w14:paraId="7F3E8FFC" w14:textId="24C843D2" w:rsidR="00A33CBF" w:rsidRDefault="00A33CBF" w:rsidP="00575FAF">
      <w:pPr>
        <w:pStyle w:val="BodyText"/>
        <w:rPr>
          <w:snapToGrid/>
        </w:rPr>
      </w:pPr>
      <w:r w:rsidRPr="006E55F4">
        <w:t xml:space="preserve">Based on river basin hydrology and power systems, the 132 federal hydropower plants are further grouped into 18 assessment areas, labeled </w:t>
      </w:r>
      <w:r>
        <w:t xml:space="preserve">as </w:t>
      </w:r>
      <w:r w:rsidRPr="006E55F4">
        <w:t>BPA-1</w:t>
      </w:r>
      <w:r>
        <w:t>–4</w:t>
      </w:r>
      <w:r w:rsidRPr="006E55F4">
        <w:t xml:space="preserve">, </w:t>
      </w:r>
      <w:r>
        <w:t>WAPA-1–6</w:t>
      </w:r>
      <w:r w:rsidRPr="006E55F4">
        <w:t xml:space="preserve">, </w:t>
      </w:r>
      <w:r>
        <w:t xml:space="preserve">SWPA-1–4, and </w:t>
      </w:r>
      <w:r w:rsidRPr="006E55F4">
        <w:t>SEPA-</w:t>
      </w:r>
      <w:r>
        <w:t xml:space="preserve">1–4 (see </w:t>
      </w:r>
      <w:r>
        <w:rPr>
          <w:snapToGrid/>
        </w:rPr>
        <w:fldChar w:fldCharType="begin"/>
      </w:r>
      <w:r>
        <w:rPr>
          <w:snapToGrid/>
        </w:rPr>
        <w:instrText xml:space="preserve"> REF _Ref75948519 \n \h </w:instrText>
      </w:r>
      <w:r>
        <w:rPr>
          <w:snapToGrid/>
        </w:rPr>
      </w:r>
      <w:r>
        <w:rPr>
          <w:snapToGrid/>
        </w:rPr>
        <w:fldChar w:fldCharType="separate"/>
      </w:r>
      <w:r w:rsidR="00EE0BF5">
        <w:rPr>
          <w:snapToGrid/>
        </w:rPr>
        <w:t>APPENDIX B</w:t>
      </w:r>
      <w:r>
        <w:rPr>
          <w:snapToGrid/>
        </w:rPr>
        <w:fldChar w:fldCharType="end"/>
      </w:r>
      <w:r>
        <w:t>)</w:t>
      </w:r>
      <w:r w:rsidRPr="006E55F4">
        <w:t>.</w:t>
      </w:r>
      <w:r w:rsidRPr="006E55F4">
        <w:rPr>
          <w:snapToGrid/>
        </w:rPr>
        <w:t xml:space="preserve"> USACE has the most </w:t>
      </w:r>
      <w:r>
        <w:rPr>
          <w:snapToGrid/>
        </w:rPr>
        <w:t>hydropower plants</w:t>
      </w:r>
      <w:r w:rsidRPr="006E55F4">
        <w:rPr>
          <w:snapToGrid/>
        </w:rPr>
        <w:t xml:space="preserve">, followed by Reclamation, and then IBWC. </w:t>
      </w:r>
      <w:r>
        <w:rPr>
          <w:snapToGrid/>
        </w:rPr>
        <w:t xml:space="preserve">The 75 PMA-marketed USACE </w:t>
      </w:r>
      <w:r w:rsidRPr="006E55F4">
        <w:rPr>
          <w:snapToGrid/>
        </w:rPr>
        <w:t>hydropower plants</w:t>
      </w:r>
      <w:r>
        <w:rPr>
          <w:snapToGrid/>
        </w:rPr>
        <w:t xml:space="preserve"> are in</w:t>
      </w:r>
      <w:r w:rsidRPr="006E55F4">
        <w:rPr>
          <w:snapToGrid/>
        </w:rPr>
        <w:t xml:space="preserve"> 16 states</w:t>
      </w:r>
      <w:r>
        <w:rPr>
          <w:snapToGrid/>
        </w:rPr>
        <w:t xml:space="preserve"> across the United States</w:t>
      </w:r>
      <w:r w:rsidRPr="006E55F4">
        <w:rPr>
          <w:snapToGrid/>
        </w:rPr>
        <w:t xml:space="preserve"> (</w:t>
      </w:r>
      <w:r>
        <w:rPr>
          <w:snapToGrid/>
        </w:rPr>
        <w:fldChar w:fldCharType="begin"/>
      </w:r>
      <w:r>
        <w:rPr>
          <w:snapToGrid/>
        </w:rPr>
        <w:instrText xml:space="preserve"> REF _Ref83536737 \h </w:instrText>
      </w:r>
      <w:r>
        <w:rPr>
          <w:snapToGrid/>
        </w:rPr>
      </w:r>
      <w:r>
        <w:rPr>
          <w:snapToGrid/>
        </w:rPr>
        <w:fldChar w:fldCharType="separate"/>
      </w:r>
      <w:r w:rsidR="00EE0BF5" w:rsidRPr="006869CA">
        <w:rPr>
          <w:lang w:eastAsia="zh-TW"/>
        </w:rPr>
        <w:t>Fig</w:t>
      </w:r>
      <w:r w:rsidR="00EE0BF5">
        <w:rPr>
          <w:lang w:eastAsia="zh-TW"/>
        </w:rPr>
        <w:t xml:space="preserve">ure </w:t>
      </w:r>
      <w:r w:rsidR="00EE0BF5">
        <w:rPr>
          <w:noProof/>
          <w:lang w:eastAsia="zh-TW"/>
        </w:rPr>
        <w:t>1</w:t>
      </w:r>
      <w:r w:rsidR="00EE0BF5">
        <w:rPr>
          <w:lang w:eastAsia="zh-TW"/>
        </w:rPr>
        <w:t>.</w:t>
      </w:r>
      <w:r w:rsidR="00EE0BF5">
        <w:rPr>
          <w:noProof/>
          <w:lang w:eastAsia="zh-TW"/>
        </w:rPr>
        <w:t>1</w:t>
      </w:r>
      <w:r>
        <w:rPr>
          <w:snapToGrid/>
        </w:rPr>
        <w:fldChar w:fldCharType="end"/>
      </w:r>
      <w:r w:rsidRPr="006E55F4">
        <w:rPr>
          <w:snapToGrid/>
        </w:rPr>
        <w:t xml:space="preserve">). </w:t>
      </w:r>
      <w:r>
        <w:rPr>
          <w:snapToGrid/>
        </w:rPr>
        <w:t>M</w:t>
      </w:r>
      <w:r w:rsidRPr="006E55F4">
        <w:rPr>
          <w:snapToGrid/>
        </w:rPr>
        <w:t xml:space="preserve">ore than </w:t>
      </w:r>
      <w:r>
        <w:rPr>
          <w:snapToGrid/>
        </w:rPr>
        <w:t>60</w:t>
      </w:r>
      <w:r w:rsidRPr="006E55F4">
        <w:rPr>
          <w:snapToGrid/>
        </w:rPr>
        <w:t xml:space="preserve"> </w:t>
      </w:r>
      <w:r>
        <w:rPr>
          <w:snapToGrid/>
        </w:rPr>
        <w:t xml:space="preserve">FERC-regulated, </w:t>
      </w:r>
      <w:r w:rsidRPr="006E55F4">
        <w:rPr>
          <w:snapToGrid/>
        </w:rPr>
        <w:t>nonfederal hydropower plants</w:t>
      </w:r>
      <w:r>
        <w:rPr>
          <w:snapToGrid/>
        </w:rPr>
        <w:t xml:space="preserve"> are</w:t>
      </w:r>
      <w:r w:rsidRPr="006E55F4">
        <w:rPr>
          <w:snapToGrid/>
        </w:rPr>
        <w:t xml:space="preserve"> located at USACE dams, with an additional 2,</w:t>
      </w:r>
      <w:r>
        <w:rPr>
          <w:snapToGrid/>
        </w:rPr>
        <w:t>7</w:t>
      </w:r>
      <w:r w:rsidRPr="006E55F4">
        <w:rPr>
          <w:snapToGrid/>
        </w:rPr>
        <w:t>00</w:t>
      </w:r>
      <w:r>
        <w:rPr>
          <w:snapToGrid/>
        </w:rPr>
        <w:t xml:space="preserve"> </w:t>
      </w:r>
      <w:r w:rsidRPr="006E55F4">
        <w:rPr>
          <w:snapToGrid/>
        </w:rPr>
        <w:t>MW of capacity (</w:t>
      </w:r>
      <w:r w:rsidRPr="00C473D6">
        <w:rPr>
          <w:szCs w:val="24"/>
          <w:lang w:eastAsia="zh-TW"/>
        </w:rPr>
        <w:t>Johnson</w:t>
      </w:r>
      <w:r>
        <w:rPr>
          <w:snapToGrid/>
        </w:rPr>
        <w:t>,</w:t>
      </w:r>
      <w:r w:rsidRPr="006E55F4">
        <w:rPr>
          <w:snapToGrid/>
        </w:rPr>
        <w:t xml:space="preserve"> 20</w:t>
      </w:r>
      <w:r>
        <w:rPr>
          <w:snapToGrid/>
        </w:rPr>
        <w:t>21</w:t>
      </w:r>
      <w:r w:rsidRPr="006E55F4">
        <w:rPr>
          <w:snapToGrid/>
        </w:rPr>
        <w:t xml:space="preserve">). The oldest USACE hydropower facility is at Bonneville Dam on the lower Columbia River, which came online in 1938. The most recent USACE project </w:t>
      </w:r>
      <w:r>
        <w:rPr>
          <w:snapToGrid/>
        </w:rPr>
        <w:t>is</w:t>
      </w:r>
      <w:r w:rsidRPr="006E55F4">
        <w:rPr>
          <w:snapToGrid/>
        </w:rPr>
        <w:t xml:space="preserve"> the </w:t>
      </w:r>
      <w:r w:rsidRPr="001D1F53">
        <w:rPr>
          <w:snapToGrid/>
        </w:rPr>
        <w:t>Robert D. Willis Hydropower Project</w:t>
      </w:r>
      <w:r w:rsidRPr="001D1F53" w:rsidDel="001D1F53">
        <w:rPr>
          <w:snapToGrid/>
        </w:rPr>
        <w:t xml:space="preserve"> </w:t>
      </w:r>
      <w:r w:rsidRPr="006E55F4">
        <w:rPr>
          <w:snapToGrid/>
        </w:rPr>
        <w:t>in Texas</w:t>
      </w:r>
      <w:r>
        <w:rPr>
          <w:snapToGrid/>
        </w:rPr>
        <w:t>, which came online</w:t>
      </w:r>
      <w:r w:rsidRPr="006E55F4">
        <w:rPr>
          <w:snapToGrid/>
        </w:rPr>
        <w:t xml:space="preserve"> in 1989.</w:t>
      </w:r>
    </w:p>
    <w:p w14:paraId="35FDFF11" w14:textId="6F3ACB5A" w:rsidR="0029487F" w:rsidRPr="00575FAF" w:rsidRDefault="0029487F" w:rsidP="00575FAF">
      <w:pPr>
        <w:pStyle w:val="BodyText"/>
        <w:rPr>
          <w:snapToGrid/>
        </w:rPr>
      </w:pPr>
      <w:r w:rsidRPr="006E55F4">
        <w:t xml:space="preserve">Reclamation owns 76 federal hydropower plants in 11 western states, with </w:t>
      </w:r>
      <w:r>
        <w:t>57</w:t>
      </w:r>
      <w:r w:rsidRPr="006E55F4">
        <w:t xml:space="preserve"> hydropower plants marketed through PMAs. </w:t>
      </w:r>
      <w:bookmarkStart w:id="43" w:name="_Hlk97731327"/>
      <w:r>
        <w:t>Additionally, t</w:t>
      </w:r>
      <w:r w:rsidRPr="00AA37B5">
        <w:t xml:space="preserve">here are </w:t>
      </w:r>
      <w:r>
        <w:t xml:space="preserve">more than </w:t>
      </w:r>
      <w:r w:rsidRPr="00AA37B5">
        <w:t xml:space="preserve">60 nonfederal hydropower plants on Reclamation dams and canals with a combined capacity of </w:t>
      </w:r>
      <w:r>
        <w:t xml:space="preserve">more than </w:t>
      </w:r>
      <w:r w:rsidRPr="00AA37B5">
        <w:t>500 MW</w:t>
      </w:r>
      <w:r>
        <w:t xml:space="preserve">, which are regulated by FERC or through Reclamation’s </w:t>
      </w:r>
      <w:r w:rsidRPr="009932EA">
        <w:rPr>
          <w:snapToGrid/>
        </w:rPr>
        <w:t>lease of power privilege</w:t>
      </w:r>
      <w:r>
        <w:t xml:space="preserve"> process</w:t>
      </w:r>
      <w:r w:rsidRPr="006E55F4">
        <w:t>.</w:t>
      </w:r>
      <w:bookmarkEnd w:id="43"/>
      <w:r w:rsidRPr="006E55F4">
        <w:t xml:space="preserve"> Reclamation</w:t>
      </w:r>
      <w:r>
        <w:t>’s mission</w:t>
      </w:r>
      <w:r w:rsidRPr="006E55F4">
        <w:t xml:space="preserve"> is to manage, develop, and protect water and related resources in an environmentally and economically sound manner in the interest of the American public. </w:t>
      </w:r>
      <w:r>
        <w:t xml:space="preserve">To this end, </w:t>
      </w:r>
      <w:r w:rsidRPr="006E55F4">
        <w:t>Reclamation</w:t>
      </w:r>
      <w:r>
        <w:t>’</w:t>
      </w:r>
      <w:r w:rsidRPr="006E55F4">
        <w:t xml:space="preserve">s primary mission is the delivery of water for irrigation to end users in the western states. Electricity produced at Reclamation facilities is either </w:t>
      </w:r>
      <w:r w:rsidRPr="006E55F4">
        <w:lastRenderedPageBreak/>
        <w:t>used internally at projects or sold to external users. The power is</w:t>
      </w:r>
      <w:r>
        <w:t xml:space="preserve"> used primarily</w:t>
      </w:r>
      <w:r w:rsidRPr="006E55F4">
        <w:t xml:space="preserve"> to deliver water to meet other authorized </w:t>
      </w:r>
      <w:r>
        <w:t>objectives</w:t>
      </w:r>
      <w:r w:rsidRPr="006E55F4">
        <w:t xml:space="preserve"> </w:t>
      </w:r>
      <w:r>
        <w:t>than hydropower generation</w:t>
      </w:r>
      <w:r w:rsidRPr="006E55F4">
        <w:t xml:space="preserve">. The oldest Reclamation hydropower plant is the Theodore Roosevelt facility on the Salt River in Arizona, which began operating in 1909. The largest Reclamation hydropower plant is </w:t>
      </w:r>
      <w:r>
        <w:t xml:space="preserve">at </w:t>
      </w:r>
      <w:r w:rsidRPr="006E55F4">
        <w:t xml:space="preserve">Grand Coulee Dam, which has an installed capacity </w:t>
      </w:r>
      <w:r>
        <w:t xml:space="preserve">exceeding </w:t>
      </w:r>
      <w:r w:rsidRPr="006E55F4">
        <w:t>6,800</w:t>
      </w:r>
      <w:r>
        <w:t> </w:t>
      </w:r>
      <w:r w:rsidRPr="006E55F4">
        <w:t xml:space="preserve">MW, making it among the </w:t>
      </w:r>
      <w:r>
        <w:t>10</w:t>
      </w:r>
      <w:r w:rsidRPr="006E55F4">
        <w:t xml:space="preserve"> largest hydropower plants in the world. IBWC owns and operates two small hydropower projects on the Rio Grande River. The hydropower from these two plants is marketed by WAPA.</w:t>
      </w:r>
    </w:p>
    <w:p w14:paraId="2279A12D" w14:textId="5D40A0FD" w:rsidR="0038342D" w:rsidRPr="004C5793" w:rsidRDefault="0038342D" w:rsidP="00575FAF">
      <w:pPr>
        <w:pStyle w:val="TableCaption"/>
        <w:rPr>
          <w:rFonts w:eastAsia="PMingLiU"/>
          <w:lang w:bidi="en-US"/>
        </w:rPr>
      </w:pPr>
      <w:bookmarkStart w:id="44" w:name="_Ref71787893"/>
      <w:bookmarkStart w:id="45" w:name="_Toc113380972"/>
      <w:r w:rsidRPr="004C5793">
        <w:rPr>
          <w:rFonts w:eastAsia="PMingLiU"/>
          <w:lang w:bidi="en-US"/>
        </w:rPr>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1</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1</w:t>
      </w:r>
      <w:r w:rsidRPr="004C5793">
        <w:rPr>
          <w:rFonts w:eastAsia="PMingLiU"/>
          <w:lang w:bidi="en-US"/>
        </w:rPr>
        <w:fldChar w:fldCharType="end"/>
      </w:r>
      <w:bookmarkEnd w:id="44"/>
      <w:r w:rsidRPr="004C5793">
        <w:rPr>
          <w:rFonts w:eastAsia="PMingLiU"/>
          <w:lang w:bidi="en-US"/>
        </w:rPr>
        <w:t>.</w:t>
      </w:r>
      <w:r w:rsidRPr="004C5793">
        <w:rPr>
          <w:rFonts w:eastAsia="PMingLiU"/>
          <w:b w:val="0"/>
          <w:lang w:bidi="en-US"/>
        </w:rPr>
        <w:t xml:space="preserve"> </w:t>
      </w:r>
      <w:r>
        <w:rPr>
          <w:rFonts w:eastAsia="PMingLiU"/>
          <w:lang w:eastAsia="zh-TW" w:bidi="en-US"/>
        </w:rPr>
        <w:t>F</w:t>
      </w:r>
      <w:r w:rsidRPr="004C5793">
        <w:rPr>
          <w:rFonts w:eastAsia="PMingLiU"/>
          <w:lang w:eastAsia="zh-TW" w:bidi="en-US"/>
        </w:rPr>
        <w:t>ederal hydropower plants evaluated in this assessment</w:t>
      </w:r>
      <w:bookmarkEnd w:id="45"/>
    </w:p>
    <w:tbl>
      <w:tblPr>
        <w:tblW w:w="7708" w:type="dxa"/>
        <w:jc w:val="center"/>
        <w:tblBorders>
          <w:top w:val="single" w:sz="12" w:space="0" w:color="000000"/>
          <w:bottom w:val="single" w:sz="12" w:space="0" w:color="000000"/>
        </w:tblBorders>
        <w:tblLayout w:type="fixed"/>
        <w:tblCellMar>
          <w:top w:w="29" w:type="dxa"/>
          <w:left w:w="58" w:type="dxa"/>
          <w:bottom w:w="29" w:type="dxa"/>
          <w:right w:w="58" w:type="dxa"/>
        </w:tblCellMar>
        <w:tblLook w:val="04A0" w:firstRow="1" w:lastRow="0" w:firstColumn="1" w:lastColumn="0" w:noHBand="0" w:noVBand="1"/>
      </w:tblPr>
      <w:tblGrid>
        <w:gridCol w:w="1680"/>
        <w:gridCol w:w="1890"/>
        <w:gridCol w:w="1980"/>
        <w:gridCol w:w="2158"/>
      </w:tblGrid>
      <w:tr w:rsidR="0038342D" w:rsidRPr="004C5793" w14:paraId="6F629C9F" w14:textId="77777777" w:rsidTr="00A33CBF">
        <w:trPr>
          <w:jc w:val="center"/>
        </w:trPr>
        <w:tc>
          <w:tcPr>
            <w:tcW w:w="1680" w:type="dxa"/>
            <w:tcBorders>
              <w:top w:val="single" w:sz="12" w:space="0" w:color="000000"/>
              <w:bottom w:val="single" w:sz="12" w:space="0" w:color="000000"/>
              <w:right w:val="nil"/>
            </w:tcBorders>
            <w:shd w:val="clear" w:color="auto" w:fill="auto"/>
            <w:vAlign w:val="center"/>
          </w:tcPr>
          <w:p w14:paraId="2F290108" w14:textId="186470D9" w:rsidR="0038342D" w:rsidRPr="00D04998" w:rsidRDefault="00D04998" w:rsidP="00575FAF">
            <w:pPr>
              <w:pStyle w:val="TableHeading"/>
              <w:keepNext/>
              <w:spacing w:before="0" w:after="0"/>
              <w:rPr>
                <w:bCs/>
                <w:szCs w:val="20"/>
              </w:rPr>
            </w:pPr>
            <w:r w:rsidRPr="00D04998">
              <w:rPr>
                <w:bCs/>
                <w:szCs w:val="20"/>
              </w:rPr>
              <w:t>Owner/</w:t>
            </w:r>
            <w:r w:rsidR="00435290">
              <w:rPr>
                <w:bCs/>
                <w:szCs w:val="20"/>
              </w:rPr>
              <w:t>o</w:t>
            </w:r>
            <w:r w:rsidRPr="00D04998">
              <w:rPr>
                <w:bCs/>
                <w:szCs w:val="20"/>
              </w:rPr>
              <w:t>perator</w:t>
            </w:r>
          </w:p>
        </w:tc>
        <w:tc>
          <w:tcPr>
            <w:tcW w:w="1890" w:type="dxa"/>
            <w:tcBorders>
              <w:top w:val="single" w:sz="12" w:space="0" w:color="000000"/>
              <w:left w:val="nil"/>
              <w:bottom w:val="single" w:sz="12" w:space="0" w:color="000000"/>
              <w:right w:val="nil"/>
            </w:tcBorders>
            <w:shd w:val="clear" w:color="auto" w:fill="auto"/>
            <w:vAlign w:val="center"/>
          </w:tcPr>
          <w:p w14:paraId="531966E6" w14:textId="77777777" w:rsidR="0038342D" w:rsidRPr="00AD5C91" w:rsidRDefault="0038342D" w:rsidP="00575FAF">
            <w:pPr>
              <w:pStyle w:val="TableHeading"/>
              <w:keepNext/>
              <w:spacing w:before="0" w:after="0"/>
              <w:rPr>
                <w:b w:val="0"/>
                <w:szCs w:val="20"/>
              </w:rPr>
            </w:pPr>
            <w:r>
              <w:rPr>
                <w:szCs w:val="20"/>
              </w:rPr>
              <w:t>Number</w:t>
            </w:r>
            <w:r w:rsidRPr="00AD5C91">
              <w:rPr>
                <w:szCs w:val="20"/>
              </w:rPr>
              <w:t xml:space="preserve"> of plants</w:t>
            </w:r>
          </w:p>
        </w:tc>
        <w:tc>
          <w:tcPr>
            <w:tcW w:w="1980" w:type="dxa"/>
            <w:tcBorders>
              <w:top w:val="single" w:sz="12" w:space="0" w:color="000000"/>
              <w:left w:val="nil"/>
              <w:bottom w:val="single" w:sz="12" w:space="0" w:color="000000"/>
            </w:tcBorders>
            <w:shd w:val="clear" w:color="auto" w:fill="auto"/>
            <w:vAlign w:val="center"/>
          </w:tcPr>
          <w:p w14:paraId="108D5AFA" w14:textId="77777777" w:rsidR="0038342D" w:rsidRPr="00AD5C91" w:rsidRDefault="0038342D" w:rsidP="00575FAF">
            <w:pPr>
              <w:pStyle w:val="TableHeading"/>
              <w:keepNext/>
              <w:spacing w:before="0" w:after="0"/>
              <w:rPr>
                <w:rFonts w:eastAsia="Calibri"/>
                <w:szCs w:val="20"/>
              </w:rPr>
            </w:pPr>
            <w:r>
              <w:rPr>
                <w:szCs w:val="20"/>
              </w:rPr>
              <w:t>C</w:t>
            </w:r>
            <w:r w:rsidRPr="00AD5C91">
              <w:rPr>
                <w:szCs w:val="20"/>
              </w:rPr>
              <w:t>apacity</w:t>
            </w:r>
            <w:r>
              <w:rPr>
                <w:rFonts w:ascii="Times New Roman Bold" w:hAnsi="Times New Roman Bold"/>
                <w:i/>
                <w:iCs/>
                <w:szCs w:val="20"/>
                <w:vertAlign w:val="superscript"/>
              </w:rPr>
              <w:t>a</w:t>
            </w:r>
            <w:r w:rsidRPr="00AD5C91">
              <w:rPr>
                <w:szCs w:val="20"/>
              </w:rPr>
              <w:t xml:space="preserve"> (MW)</w:t>
            </w:r>
          </w:p>
        </w:tc>
        <w:tc>
          <w:tcPr>
            <w:tcW w:w="2158" w:type="dxa"/>
            <w:tcBorders>
              <w:top w:val="single" w:sz="12" w:space="0" w:color="000000"/>
              <w:left w:val="nil"/>
              <w:bottom w:val="single" w:sz="12" w:space="0" w:color="000000"/>
            </w:tcBorders>
            <w:shd w:val="clear" w:color="auto" w:fill="auto"/>
            <w:vAlign w:val="center"/>
          </w:tcPr>
          <w:p w14:paraId="19E7DEFF" w14:textId="77777777" w:rsidR="0038342D" w:rsidRPr="00AD5C91" w:rsidRDefault="0038342D" w:rsidP="00575FAF">
            <w:pPr>
              <w:pStyle w:val="TableText"/>
              <w:keepNext/>
              <w:jc w:val="center"/>
              <w:rPr>
                <w:b/>
                <w:szCs w:val="20"/>
              </w:rPr>
            </w:pPr>
            <w:r>
              <w:rPr>
                <w:b/>
                <w:szCs w:val="20"/>
              </w:rPr>
              <w:t>1980–2019 generation</w:t>
            </w:r>
            <w:r w:rsidRPr="006F1AC0">
              <w:rPr>
                <w:b/>
                <w:i/>
                <w:iCs/>
                <w:szCs w:val="20"/>
                <w:vertAlign w:val="superscript"/>
              </w:rPr>
              <w:t>b</w:t>
            </w:r>
            <w:r>
              <w:rPr>
                <w:b/>
                <w:szCs w:val="20"/>
              </w:rPr>
              <w:t xml:space="preserve"> (GWh/year)</w:t>
            </w:r>
          </w:p>
        </w:tc>
      </w:tr>
      <w:tr w:rsidR="0038342D" w:rsidRPr="004C5793" w14:paraId="6C28A16E" w14:textId="77777777" w:rsidTr="00A33CBF">
        <w:trPr>
          <w:jc w:val="center"/>
        </w:trPr>
        <w:tc>
          <w:tcPr>
            <w:tcW w:w="1680" w:type="dxa"/>
            <w:tcBorders>
              <w:top w:val="single" w:sz="12" w:space="0" w:color="000000"/>
              <w:bottom w:val="single" w:sz="4" w:space="0" w:color="000000"/>
              <w:right w:val="nil"/>
            </w:tcBorders>
            <w:shd w:val="clear" w:color="auto" w:fill="auto"/>
            <w:vAlign w:val="center"/>
          </w:tcPr>
          <w:p w14:paraId="351F849C" w14:textId="77777777" w:rsidR="0038342D" w:rsidRPr="00AD5C91" w:rsidRDefault="0038342D" w:rsidP="00575FAF">
            <w:pPr>
              <w:pStyle w:val="TableText"/>
              <w:keepNext/>
              <w:jc w:val="center"/>
              <w:rPr>
                <w:szCs w:val="20"/>
              </w:rPr>
            </w:pPr>
            <w:r>
              <w:rPr>
                <w:szCs w:val="20"/>
              </w:rPr>
              <w:t>USACE</w:t>
            </w:r>
          </w:p>
        </w:tc>
        <w:tc>
          <w:tcPr>
            <w:tcW w:w="1890" w:type="dxa"/>
            <w:tcBorders>
              <w:top w:val="single" w:sz="12" w:space="0" w:color="000000"/>
              <w:left w:val="nil"/>
              <w:bottom w:val="single" w:sz="4" w:space="0" w:color="000000"/>
              <w:right w:val="nil"/>
            </w:tcBorders>
            <w:shd w:val="clear" w:color="auto" w:fill="auto"/>
            <w:vAlign w:val="center"/>
          </w:tcPr>
          <w:p w14:paraId="152F3076" w14:textId="77777777" w:rsidR="0038342D" w:rsidRPr="00AD5C91" w:rsidRDefault="0038342D" w:rsidP="00575FAF">
            <w:pPr>
              <w:pStyle w:val="TableText"/>
              <w:keepNext/>
              <w:tabs>
                <w:tab w:val="decimal" w:pos="1051"/>
              </w:tabs>
              <w:rPr>
                <w:rFonts w:eastAsia="Calibri"/>
                <w:szCs w:val="20"/>
              </w:rPr>
            </w:pPr>
            <w:r w:rsidRPr="00AD5C91">
              <w:rPr>
                <w:szCs w:val="20"/>
              </w:rPr>
              <w:t>73</w:t>
            </w:r>
            <w:r>
              <w:rPr>
                <w:i/>
                <w:szCs w:val="20"/>
                <w:vertAlign w:val="superscript"/>
              </w:rPr>
              <w:t>c</w:t>
            </w:r>
          </w:p>
        </w:tc>
        <w:tc>
          <w:tcPr>
            <w:tcW w:w="1980" w:type="dxa"/>
            <w:tcBorders>
              <w:top w:val="single" w:sz="12" w:space="0" w:color="000000"/>
              <w:left w:val="nil"/>
              <w:bottom w:val="single" w:sz="4" w:space="0" w:color="000000"/>
            </w:tcBorders>
            <w:shd w:val="clear" w:color="auto" w:fill="auto"/>
            <w:vAlign w:val="center"/>
          </w:tcPr>
          <w:p w14:paraId="4E62E5E6" w14:textId="77777777" w:rsidR="0038342D" w:rsidRPr="00AD5C91" w:rsidRDefault="0038342D" w:rsidP="00575FAF">
            <w:pPr>
              <w:pStyle w:val="TableText"/>
              <w:keepNext/>
              <w:tabs>
                <w:tab w:val="decimal" w:pos="1137"/>
              </w:tabs>
              <w:rPr>
                <w:rFonts w:eastAsia="Calibri"/>
                <w:szCs w:val="20"/>
              </w:rPr>
            </w:pPr>
            <w:r>
              <w:rPr>
                <w:szCs w:val="20"/>
              </w:rPr>
              <w:t>21,745</w:t>
            </w:r>
          </w:p>
        </w:tc>
        <w:tc>
          <w:tcPr>
            <w:tcW w:w="2158" w:type="dxa"/>
            <w:tcBorders>
              <w:top w:val="single" w:sz="12" w:space="0" w:color="000000"/>
              <w:left w:val="nil"/>
              <w:bottom w:val="single" w:sz="4" w:space="0" w:color="000000"/>
            </w:tcBorders>
            <w:shd w:val="clear" w:color="auto" w:fill="auto"/>
            <w:vAlign w:val="center"/>
          </w:tcPr>
          <w:p w14:paraId="431A89E3" w14:textId="77777777" w:rsidR="0038342D" w:rsidRPr="00AD5C91" w:rsidRDefault="0038342D" w:rsidP="00575FAF">
            <w:pPr>
              <w:pStyle w:val="TableText"/>
              <w:keepNext/>
              <w:tabs>
                <w:tab w:val="decimal" w:pos="1325"/>
              </w:tabs>
              <w:rPr>
                <w:rFonts w:eastAsia="Calibri"/>
                <w:szCs w:val="20"/>
              </w:rPr>
            </w:pPr>
            <w:r>
              <w:rPr>
                <w:color w:val="000000"/>
                <w:szCs w:val="20"/>
              </w:rPr>
              <w:t>75,947</w:t>
            </w:r>
          </w:p>
        </w:tc>
      </w:tr>
      <w:tr w:rsidR="0038342D" w:rsidRPr="004C5793" w14:paraId="03829DA7" w14:textId="77777777" w:rsidTr="00A33CBF">
        <w:trPr>
          <w:jc w:val="center"/>
        </w:trPr>
        <w:tc>
          <w:tcPr>
            <w:tcW w:w="1680" w:type="dxa"/>
            <w:tcBorders>
              <w:top w:val="single" w:sz="4" w:space="0" w:color="000000"/>
              <w:bottom w:val="single" w:sz="4" w:space="0" w:color="000000"/>
              <w:right w:val="nil"/>
            </w:tcBorders>
            <w:shd w:val="clear" w:color="auto" w:fill="auto"/>
            <w:vAlign w:val="center"/>
          </w:tcPr>
          <w:p w14:paraId="6DC5DC3D" w14:textId="77777777" w:rsidR="0038342D" w:rsidRPr="00AA4888" w:rsidRDefault="0038342D" w:rsidP="00575FAF">
            <w:pPr>
              <w:pStyle w:val="TableText"/>
              <w:keepNext/>
              <w:jc w:val="center"/>
            </w:pPr>
            <w:r w:rsidRPr="00AD5C91">
              <w:t>Reclamation</w:t>
            </w:r>
          </w:p>
        </w:tc>
        <w:tc>
          <w:tcPr>
            <w:tcW w:w="1890" w:type="dxa"/>
            <w:tcBorders>
              <w:top w:val="single" w:sz="4" w:space="0" w:color="000000"/>
              <w:left w:val="nil"/>
              <w:bottom w:val="single" w:sz="4" w:space="0" w:color="000000"/>
              <w:right w:val="nil"/>
            </w:tcBorders>
            <w:shd w:val="clear" w:color="auto" w:fill="auto"/>
            <w:vAlign w:val="center"/>
          </w:tcPr>
          <w:p w14:paraId="5A9F03EC" w14:textId="5483B8AC" w:rsidR="0038342D" w:rsidRPr="00AD5C91" w:rsidRDefault="00AA010A" w:rsidP="00575FAF">
            <w:pPr>
              <w:pStyle w:val="TableText"/>
              <w:keepNext/>
              <w:tabs>
                <w:tab w:val="decimal" w:pos="1051"/>
              </w:tabs>
              <w:rPr>
                <w:rFonts w:eastAsia="Calibri"/>
                <w:szCs w:val="20"/>
              </w:rPr>
            </w:pPr>
            <w:r w:rsidRPr="00AD5C91">
              <w:rPr>
                <w:szCs w:val="20"/>
              </w:rPr>
              <w:t>57</w:t>
            </w:r>
            <w:r w:rsidR="007C0E7C" w:rsidRPr="007C0E7C">
              <w:rPr>
                <w:i/>
                <w:iCs/>
                <w:szCs w:val="20"/>
                <w:vertAlign w:val="superscript"/>
              </w:rPr>
              <w:t>d</w:t>
            </w:r>
          </w:p>
        </w:tc>
        <w:tc>
          <w:tcPr>
            <w:tcW w:w="1980" w:type="dxa"/>
            <w:tcBorders>
              <w:top w:val="single" w:sz="4" w:space="0" w:color="000000"/>
              <w:left w:val="nil"/>
              <w:bottom w:val="single" w:sz="4" w:space="0" w:color="000000"/>
            </w:tcBorders>
            <w:shd w:val="clear" w:color="auto" w:fill="auto"/>
            <w:vAlign w:val="center"/>
          </w:tcPr>
          <w:p w14:paraId="21666701" w14:textId="77777777" w:rsidR="0038342D" w:rsidRPr="00AD5C91" w:rsidRDefault="0038342D" w:rsidP="00575FAF">
            <w:pPr>
              <w:pStyle w:val="TableText"/>
              <w:keepNext/>
              <w:tabs>
                <w:tab w:val="decimal" w:pos="1137"/>
              </w:tabs>
              <w:rPr>
                <w:rFonts w:eastAsia="Calibri"/>
                <w:szCs w:val="20"/>
              </w:rPr>
            </w:pPr>
            <w:r>
              <w:rPr>
                <w:szCs w:val="20"/>
              </w:rPr>
              <w:t>15,104</w:t>
            </w:r>
          </w:p>
        </w:tc>
        <w:tc>
          <w:tcPr>
            <w:tcW w:w="2158" w:type="dxa"/>
            <w:tcBorders>
              <w:top w:val="single" w:sz="4" w:space="0" w:color="000000"/>
              <w:left w:val="nil"/>
              <w:bottom w:val="single" w:sz="4" w:space="0" w:color="000000"/>
            </w:tcBorders>
            <w:shd w:val="clear" w:color="auto" w:fill="auto"/>
            <w:vAlign w:val="center"/>
          </w:tcPr>
          <w:p w14:paraId="708A44E9" w14:textId="77777777" w:rsidR="0038342D" w:rsidRPr="00AD5C91" w:rsidRDefault="0038342D" w:rsidP="00575FAF">
            <w:pPr>
              <w:pStyle w:val="TableText"/>
              <w:keepNext/>
              <w:tabs>
                <w:tab w:val="decimal" w:pos="1325"/>
              </w:tabs>
              <w:rPr>
                <w:rFonts w:eastAsia="Calibri"/>
                <w:szCs w:val="20"/>
              </w:rPr>
            </w:pPr>
            <w:r>
              <w:rPr>
                <w:color w:val="000000"/>
                <w:szCs w:val="20"/>
              </w:rPr>
              <w:t>41,831</w:t>
            </w:r>
          </w:p>
        </w:tc>
      </w:tr>
      <w:tr w:rsidR="0038342D" w:rsidRPr="004C5793" w14:paraId="1AAB08C5" w14:textId="77777777" w:rsidTr="00A33CBF">
        <w:trPr>
          <w:jc w:val="center"/>
        </w:trPr>
        <w:tc>
          <w:tcPr>
            <w:tcW w:w="1680" w:type="dxa"/>
            <w:tcBorders>
              <w:top w:val="single" w:sz="4" w:space="0" w:color="000000"/>
              <w:bottom w:val="single" w:sz="4" w:space="0" w:color="000000"/>
              <w:right w:val="nil"/>
            </w:tcBorders>
            <w:shd w:val="clear" w:color="auto" w:fill="auto"/>
            <w:vAlign w:val="center"/>
          </w:tcPr>
          <w:p w14:paraId="44E6BEA6" w14:textId="77777777" w:rsidR="0038342D" w:rsidRPr="00AD5C91" w:rsidRDefault="0038342D" w:rsidP="00575FAF">
            <w:pPr>
              <w:pStyle w:val="TableText"/>
              <w:keepNext/>
              <w:jc w:val="center"/>
              <w:rPr>
                <w:szCs w:val="20"/>
              </w:rPr>
            </w:pPr>
            <w:r>
              <w:rPr>
                <w:szCs w:val="20"/>
              </w:rPr>
              <w:t>IBWC</w:t>
            </w:r>
          </w:p>
        </w:tc>
        <w:tc>
          <w:tcPr>
            <w:tcW w:w="1890" w:type="dxa"/>
            <w:tcBorders>
              <w:top w:val="single" w:sz="4" w:space="0" w:color="000000"/>
              <w:left w:val="nil"/>
              <w:bottom w:val="single" w:sz="4" w:space="0" w:color="000000"/>
              <w:right w:val="nil"/>
            </w:tcBorders>
            <w:shd w:val="clear" w:color="auto" w:fill="auto"/>
            <w:vAlign w:val="center"/>
          </w:tcPr>
          <w:p w14:paraId="632CBBDF" w14:textId="77777777" w:rsidR="0038342D" w:rsidRPr="00AD5C91" w:rsidRDefault="0038342D" w:rsidP="00575FAF">
            <w:pPr>
              <w:pStyle w:val="TableText"/>
              <w:keepNext/>
              <w:tabs>
                <w:tab w:val="decimal" w:pos="1051"/>
              </w:tabs>
              <w:rPr>
                <w:rFonts w:eastAsia="Calibri"/>
              </w:rPr>
            </w:pPr>
            <w:r w:rsidRPr="00AD5C91">
              <w:t>2</w:t>
            </w:r>
          </w:p>
        </w:tc>
        <w:tc>
          <w:tcPr>
            <w:tcW w:w="1980" w:type="dxa"/>
            <w:tcBorders>
              <w:top w:val="single" w:sz="4" w:space="0" w:color="000000"/>
              <w:left w:val="nil"/>
              <w:bottom w:val="single" w:sz="4" w:space="0" w:color="000000"/>
            </w:tcBorders>
            <w:shd w:val="clear" w:color="auto" w:fill="auto"/>
            <w:vAlign w:val="center"/>
          </w:tcPr>
          <w:p w14:paraId="4630447C" w14:textId="77777777" w:rsidR="0038342D" w:rsidRPr="00AD5C91" w:rsidRDefault="0038342D" w:rsidP="00575FAF">
            <w:pPr>
              <w:pStyle w:val="TableText"/>
              <w:keepNext/>
              <w:tabs>
                <w:tab w:val="decimal" w:pos="1137"/>
              </w:tabs>
              <w:rPr>
                <w:rFonts w:eastAsia="Calibri"/>
                <w:szCs w:val="20"/>
              </w:rPr>
            </w:pPr>
            <w:r>
              <w:rPr>
                <w:szCs w:val="20"/>
              </w:rPr>
              <w:t>98</w:t>
            </w:r>
          </w:p>
        </w:tc>
        <w:tc>
          <w:tcPr>
            <w:tcW w:w="2158" w:type="dxa"/>
            <w:tcBorders>
              <w:top w:val="single" w:sz="4" w:space="0" w:color="000000"/>
              <w:left w:val="nil"/>
              <w:bottom w:val="single" w:sz="4" w:space="0" w:color="000000"/>
            </w:tcBorders>
            <w:shd w:val="clear" w:color="auto" w:fill="auto"/>
            <w:vAlign w:val="center"/>
          </w:tcPr>
          <w:p w14:paraId="44C02728" w14:textId="77777777" w:rsidR="0038342D" w:rsidRPr="00AD5C91" w:rsidRDefault="0038342D" w:rsidP="00575FAF">
            <w:pPr>
              <w:pStyle w:val="TableText"/>
              <w:keepNext/>
              <w:tabs>
                <w:tab w:val="decimal" w:pos="1325"/>
              </w:tabs>
              <w:rPr>
                <w:rFonts w:eastAsia="Calibri"/>
                <w:szCs w:val="20"/>
              </w:rPr>
            </w:pPr>
            <w:r>
              <w:rPr>
                <w:color w:val="000000"/>
                <w:szCs w:val="20"/>
              </w:rPr>
              <w:t>197</w:t>
            </w:r>
          </w:p>
        </w:tc>
      </w:tr>
      <w:tr w:rsidR="0038342D" w:rsidRPr="004C5793" w14:paraId="6A7CA937" w14:textId="77777777" w:rsidTr="00A33CBF">
        <w:trPr>
          <w:jc w:val="center"/>
        </w:trPr>
        <w:tc>
          <w:tcPr>
            <w:tcW w:w="1680" w:type="dxa"/>
            <w:tcBorders>
              <w:top w:val="single" w:sz="4" w:space="0" w:color="000000"/>
              <w:bottom w:val="single" w:sz="12" w:space="0" w:color="000000"/>
              <w:right w:val="nil"/>
            </w:tcBorders>
            <w:shd w:val="clear" w:color="auto" w:fill="auto"/>
            <w:vAlign w:val="center"/>
          </w:tcPr>
          <w:p w14:paraId="2E7C1BE0" w14:textId="5494B085" w:rsidR="0038342D" w:rsidRPr="000068B9" w:rsidRDefault="0038342D" w:rsidP="00575FAF">
            <w:pPr>
              <w:pStyle w:val="TableText"/>
              <w:keepNext/>
              <w:jc w:val="center"/>
              <w:rPr>
                <w:rFonts w:eastAsia="Calibri"/>
                <w:bCs/>
                <w:iCs/>
                <w:szCs w:val="20"/>
              </w:rPr>
            </w:pPr>
            <w:r w:rsidRPr="000068B9">
              <w:rPr>
                <w:bCs/>
                <w:iCs/>
                <w:szCs w:val="20"/>
              </w:rPr>
              <w:t>Total</w:t>
            </w:r>
            <w:r w:rsidR="007C0E7C">
              <w:rPr>
                <w:bCs/>
                <w:i/>
                <w:szCs w:val="20"/>
                <w:vertAlign w:val="superscript"/>
              </w:rPr>
              <w:t>e</w:t>
            </w:r>
          </w:p>
        </w:tc>
        <w:tc>
          <w:tcPr>
            <w:tcW w:w="1890" w:type="dxa"/>
            <w:tcBorders>
              <w:top w:val="single" w:sz="4" w:space="0" w:color="000000"/>
              <w:left w:val="nil"/>
              <w:bottom w:val="single" w:sz="12" w:space="0" w:color="000000"/>
              <w:right w:val="nil"/>
            </w:tcBorders>
            <w:shd w:val="clear" w:color="auto" w:fill="auto"/>
            <w:vAlign w:val="center"/>
          </w:tcPr>
          <w:p w14:paraId="6A461D97" w14:textId="77777777" w:rsidR="0038342D" w:rsidRPr="000068B9" w:rsidRDefault="0038342D" w:rsidP="00575FAF">
            <w:pPr>
              <w:pStyle w:val="TableText"/>
              <w:keepNext/>
              <w:tabs>
                <w:tab w:val="decimal" w:pos="1051"/>
              </w:tabs>
              <w:rPr>
                <w:rFonts w:eastAsia="Calibri"/>
                <w:bCs/>
                <w:iCs/>
                <w:szCs w:val="20"/>
              </w:rPr>
            </w:pPr>
            <w:r w:rsidRPr="000068B9">
              <w:rPr>
                <w:bCs/>
                <w:iCs/>
                <w:szCs w:val="20"/>
              </w:rPr>
              <w:t>132</w:t>
            </w:r>
          </w:p>
        </w:tc>
        <w:tc>
          <w:tcPr>
            <w:tcW w:w="1980" w:type="dxa"/>
            <w:tcBorders>
              <w:top w:val="single" w:sz="4" w:space="0" w:color="000000"/>
              <w:left w:val="nil"/>
              <w:bottom w:val="single" w:sz="12" w:space="0" w:color="000000"/>
            </w:tcBorders>
            <w:shd w:val="clear" w:color="auto" w:fill="auto"/>
            <w:vAlign w:val="center"/>
          </w:tcPr>
          <w:p w14:paraId="1EEA130F" w14:textId="77777777" w:rsidR="0038342D" w:rsidRPr="000068B9" w:rsidRDefault="0038342D" w:rsidP="00575FAF">
            <w:pPr>
              <w:pStyle w:val="TableText"/>
              <w:keepNext/>
              <w:tabs>
                <w:tab w:val="decimal" w:pos="1137"/>
              </w:tabs>
              <w:rPr>
                <w:rFonts w:eastAsia="Calibri"/>
                <w:bCs/>
                <w:iCs/>
                <w:szCs w:val="20"/>
              </w:rPr>
            </w:pPr>
            <w:r w:rsidRPr="000068B9">
              <w:rPr>
                <w:bCs/>
                <w:iCs/>
                <w:szCs w:val="20"/>
              </w:rPr>
              <w:t>36,947</w:t>
            </w:r>
          </w:p>
        </w:tc>
        <w:tc>
          <w:tcPr>
            <w:tcW w:w="2158" w:type="dxa"/>
            <w:tcBorders>
              <w:top w:val="single" w:sz="4" w:space="0" w:color="000000"/>
              <w:left w:val="nil"/>
              <w:bottom w:val="single" w:sz="12" w:space="0" w:color="000000"/>
            </w:tcBorders>
            <w:shd w:val="clear" w:color="auto" w:fill="auto"/>
            <w:vAlign w:val="center"/>
          </w:tcPr>
          <w:p w14:paraId="14E9DAD4" w14:textId="77777777" w:rsidR="0038342D" w:rsidRPr="000068B9" w:rsidRDefault="0038342D" w:rsidP="00575FAF">
            <w:pPr>
              <w:pStyle w:val="TableText"/>
              <w:keepNext/>
              <w:tabs>
                <w:tab w:val="decimal" w:pos="1325"/>
              </w:tabs>
              <w:rPr>
                <w:rFonts w:eastAsia="Calibri"/>
                <w:bCs/>
                <w:iCs/>
                <w:szCs w:val="20"/>
              </w:rPr>
            </w:pPr>
            <w:r w:rsidRPr="000068B9">
              <w:rPr>
                <w:bCs/>
                <w:iCs/>
                <w:szCs w:val="20"/>
              </w:rPr>
              <w:t>117,975</w:t>
            </w:r>
          </w:p>
        </w:tc>
      </w:tr>
    </w:tbl>
    <w:p w14:paraId="4B7497A5" w14:textId="6703EC9D" w:rsidR="0038342D" w:rsidRPr="00595663" w:rsidRDefault="0038342D" w:rsidP="00575FAF">
      <w:pPr>
        <w:pStyle w:val="TableFootnote"/>
        <w:keepNext/>
        <w:ind w:left="810"/>
        <w:rPr>
          <w:sz w:val="18"/>
        </w:rPr>
      </w:pPr>
      <w:r w:rsidRPr="00595663">
        <w:rPr>
          <w:i/>
          <w:sz w:val="18"/>
          <w:vertAlign w:val="superscript"/>
        </w:rPr>
        <w:t>a</w:t>
      </w:r>
      <w:r w:rsidRPr="00595663">
        <w:rPr>
          <w:sz w:val="18"/>
        </w:rPr>
        <w:t xml:space="preserve"> EIA 20</w:t>
      </w:r>
      <w:r w:rsidRPr="00595663">
        <w:rPr>
          <w:rFonts w:hint="eastAsia"/>
          <w:sz w:val="18"/>
          <w:lang w:eastAsia="zh-TW"/>
        </w:rPr>
        <w:t>1</w:t>
      </w:r>
      <w:r w:rsidRPr="00595663">
        <w:rPr>
          <w:sz w:val="18"/>
          <w:lang w:eastAsia="zh-TW"/>
        </w:rPr>
        <w:t>9</w:t>
      </w:r>
      <w:r w:rsidRPr="00595663">
        <w:rPr>
          <w:sz w:val="18"/>
        </w:rPr>
        <w:t xml:space="preserve"> total nameplate capacity, includes both conventional hydro and pumped</w:t>
      </w:r>
      <w:r w:rsidR="00767954">
        <w:rPr>
          <w:sz w:val="18"/>
        </w:rPr>
        <w:t xml:space="preserve"> </w:t>
      </w:r>
      <w:r w:rsidRPr="00595663">
        <w:rPr>
          <w:sz w:val="18"/>
        </w:rPr>
        <w:t>storage.</w:t>
      </w:r>
    </w:p>
    <w:p w14:paraId="52EA67A9" w14:textId="77777777" w:rsidR="0038342D" w:rsidRPr="00595663" w:rsidRDefault="0038342D" w:rsidP="00575FAF">
      <w:pPr>
        <w:pStyle w:val="TableFootnote"/>
        <w:keepNext/>
        <w:spacing w:before="0"/>
        <w:ind w:left="810"/>
        <w:rPr>
          <w:sz w:val="18"/>
        </w:rPr>
      </w:pPr>
      <w:r>
        <w:rPr>
          <w:i/>
          <w:sz w:val="18"/>
          <w:vertAlign w:val="superscript"/>
        </w:rPr>
        <w:t>b</w:t>
      </w:r>
      <w:r w:rsidRPr="00595663">
        <w:rPr>
          <w:sz w:val="18"/>
        </w:rPr>
        <w:t xml:space="preserve"> </w:t>
      </w:r>
      <w:r w:rsidRPr="006A3A0F">
        <w:rPr>
          <w:sz w:val="18"/>
        </w:rPr>
        <w:t xml:space="preserve">EIA and </w:t>
      </w:r>
      <w:r>
        <w:rPr>
          <w:sz w:val="18"/>
        </w:rPr>
        <w:t xml:space="preserve">PMA </w:t>
      </w:r>
      <w:r w:rsidRPr="006A3A0F">
        <w:rPr>
          <w:sz w:val="18"/>
        </w:rPr>
        <w:t>average annual generation from 19</w:t>
      </w:r>
      <w:r>
        <w:rPr>
          <w:sz w:val="18"/>
        </w:rPr>
        <w:t>8</w:t>
      </w:r>
      <w:r w:rsidRPr="006A3A0F">
        <w:rPr>
          <w:sz w:val="18"/>
        </w:rPr>
        <w:t>0 to 20</w:t>
      </w:r>
      <w:r w:rsidRPr="006A3A0F">
        <w:rPr>
          <w:rFonts w:hint="eastAsia"/>
          <w:sz w:val="18"/>
          <w:lang w:eastAsia="zh-TW"/>
        </w:rPr>
        <w:t>1</w:t>
      </w:r>
      <w:r>
        <w:rPr>
          <w:sz w:val="18"/>
          <w:lang w:eastAsia="zh-TW"/>
        </w:rPr>
        <w:t>9</w:t>
      </w:r>
      <w:r w:rsidRPr="006A3A0F">
        <w:rPr>
          <w:rFonts w:hint="eastAsia"/>
          <w:sz w:val="18"/>
          <w:lang w:eastAsia="zh-TW"/>
        </w:rPr>
        <w:t>,</w:t>
      </w:r>
      <w:r w:rsidRPr="006A3A0F">
        <w:rPr>
          <w:sz w:val="18"/>
        </w:rPr>
        <w:t xml:space="preserve"> </w:t>
      </w:r>
      <w:r w:rsidRPr="006A3A0F">
        <w:rPr>
          <w:rFonts w:hint="eastAsia"/>
          <w:sz w:val="18"/>
          <w:lang w:eastAsia="zh-TW"/>
        </w:rPr>
        <w:t>c</w:t>
      </w:r>
      <w:r w:rsidRPr="006A3A0F">
        <w:rPr>
          <w:sz w:val="18"/>
        </w:rPr>
        <w:t>onventional hydro only.</w:t>
      </w:r>
    </w:p>
    <w:p w14:paraId="0597AC9E" w14:textId="7DDC1AE3" w:rsidR="0038342D" w:rsidRPr="00595663" w:rsidRDefault="0038342D" w:rsidP="00575FAF">
      <w:pPr>
        <w:pStyle w:val="TableFootnote"/>
        <w:keepNext/>
        <w:spacing w:before="0"/>
        <w:ind w:left="810"/>
        <w:rPr>
          <w:sz w:val="18"/>
        </w:rPr>
      </w:pPr>
      <w:r>
        <w:rPr>
          <w:i/>
          <w:sz w:val="18"/>
          <w:vertAlign w:val="superscript"/>
        </w:rPr>
        <w:t>c</w:t>
      </w:r>
      <w:r w:rsidRPr="006A3A0F">
        <w:rPr>
          <w:sz w:val="18"/>
        </w:rPr>
        <w:t xml:space="preserve"> </w:t>
      </w:r>
      <w:r w:rsidRPr="00595663">
        <w:rPr>
          <w:sz w:val="18"/>
        </w:rPr>
        <w:t xml:space="preserve">Does not include USACE </w:t>
      </w:r>
      <w:r>
        <w:rPr>
          <w:sz w:val="18"/>
        </w:rPr>
        <w:t>St.</w:t>
      </w:r>
      <w:r w:rsidRPr="00595663">
        <w:rPr>
          <w:sz w:val="18"/>
        </w:rPr>
        <w:t xml:space="preserve"> Mary</w:t>
      </w:r>
      <w:r w:rsidR="00805545">
        <w:rPr>
          <w:sz w:val="18"/>
        </w:rPr>
        <w:t>’</w:t>
      </w:r>
      <w:r w:rsidRPr="00595663">
        <w:rPr>
          <w:sz w:val="18"/>
        </w:rPr>
        <w:t>s Falls and St. Stephen, which are not marketed through PMAs.</w:t>
      </w:r>
    </w:p>
    <w:p w14:paraId="265D7BC3" w14:textId="72917649" w:rsidR="007C0E7C" w:rsidRPr="00595663" w:rsidRDefault="007C0E7C" w:rsidP="00575FAF">
      <w:pPr>
        <w:pStyle w:val="TableFootnote"/>
        <w:keepNext/>
        <w:spacing w:before="0"/>
        <w:ind w:left="810"/>
        <w:rPr>
          <w:sz w:val="18"/>
        </w:rPr>
      </w:pPr>
      <w:r>
        <w:rPr>
          <w:i/>
          <w:sz w:val="18"/>
          <w:vertAlign w:val="superscript"/>
        </w:rPr>
        <w:t>d</w:t>
      </w:r>
      <w:r w:rsidRPr="006A3A0F">
        <w:rPr>
          <w:sz w:val="18"/>
        </w:rPr>
        <w:t xml:space="preserve"> </w:t>
      </w:r>
      <w:r>
        <w:rPr>
          <w:sz w:val="18"/>
        </w:rPr>
        <w:t xml:space="preserve">Does not include ~20 </w:t>
      </w:r>
      <w:r w:rsidR="001A629A">
        <w:rPr>
          <w:sz w:val="18"/>
        </w:rPr>
        <w:t xml:space="preserve">other </w:t>
      </w:r>
      <w:r>
        <w:rPr>
          <w:sz w:val="18"/>
        </w:rPr>
        <w:t xml:space="preserve">Reclamation plants that are </w:t>
      </w:r>
      <w:r w:rsidRPr="00595663">
        <w:rPr>
          <w:sz w:val="18"/>
        </w:rPr>
        <w:t>not marketed through PMAs.</w:t>
      </w:r>
    </w:p>
    <w:p w14:paraId="26C5E44B" w14:textId="1B528E0C" w:rsidR="0038342D" w:rsidRPr="00595663" w:rsidRDefault="007C0E7C" w:rsidP="00DC1A39">
      <w:pPr>
        <w:pStyle w:val="TableFootnote"/>
        <w:widowControl/>
        <w:spacing w:before="0" w:after="240"/>
        <w:ind w:left="810"/>
        <w:rPr>
          <w:sz w:val="18"/>
        </w:rPr>
      </w:pPr>
      <w:r>
        <w:rPr>
          <w:i/>
          <w:sz w:val="18"/>
          <w:vertAlign w:val="superscript"/>
        </w:rPr>
        <w:t>e</w:t>
      </w:r>
      <w:r w:rsidR="0038342D" w:rsidRPr="00595663">
        <w:rPr>
          <w:sz w:val="18"/>
        </w:rPr>
        <w:t xml:space="preserve"> Does not include 30 TVA plants </w:t>
      </w:r>
      <w:r w:rsidR="00767954">
        <w:rPr>
          <w:sz w:val="18"/>
        </w:rPr>
        <w:t>because</w:t>
      </w:r>
      <w:r w:rsidR="00767954" w:rsidRPr="00595663">
        <w:rPr>
          <w:sz w:val="18"/>
        </w:rPr>
        <w:t xml:space="preserve"> </w:t>
      </w:r>
      <w:r w:rsidR="0038342D" w:rsidRPr="00595663">
        <w:rPr>
          <w:sz w:val="18"/>
        </w:rPr>
        <w:t xml:space="preserve">TVA </w:t>
      </w:r>
      <w:r w:rsidR="0038342D">
        <w:rPr>
          <w:sz w:val="18"/>
        </w:rPr>
        <w:t>hydro</w:t>
      </w:r>
      <w:r w:rsidR="0038342D" w:rsidRPr="00595663">
        <w:rPr>
          <w:sz w:val="18"/>
        </w:rPr>
        <w:t>power is not marketed through PMAs.</w:t>
      </w:r>
    </w:p>
    <w:p w14:paraId="0D005FEC" w14:textId="77777777" w:rsidR="00414179" w:rsidRPr="00D60E14" w:rsidRDefault="00414179" w:rsidP="00357BBE">
      <w:pPr>
        <w:pStyle w:val="Heading3"/>
      </w:pPr>
      <w:bookmarkStart w:id="46" w:name="_Ref425756051"/>
      <w:bookmarkStart w:id="47" w:name="_Ref425756139"/>
      <w:bookmarkStart w:id="48" w:name="_Ref425756308"/>
      <w:bookmarkStart w:id="49" w:name="_Ref425756587"/>
      <w:bookmarkStart w:id="50" w:name="_Toc113380760"/>
      <w:bookmarkEnd w:id="40"/>
      <w:r w:rsidRPr="00D60E14">
        <w:t>Marketing Federal Hydropower</w:t>
      </w:r>
      <w:bookmarkEnd w:id="46"/>
      <w:bookmarkEnd w:id="47"/>
      <w:bookmarkEnd w:id="48"/>
      <w:bookmarkEnd w:id="49"/>
      <w:bookmarkEnd w:id="50"/>
    </w:p>
    <w:p w14:paraId="00034F1F" w14:textId="13588D9C" w:rsidR="00A27B38" w:rsidRDefault="00A27B38" w:rsidP="00A27B38">
      <w:pPr>
        <w:pStyle w:val="BodyText"/>
      </w:pPr>
      <w:r>
        <w:t xml:space="preserve">PMAs are federal agencies tasked with marketing power produced </w:t>
      </w:r>
      <w:r w:rsidR="00321389">
        <w:t xml:space="preserve">by </w:t>
      </w:r>
      <w:r>
        <w:t>132 federal hydropower plants owned or operated by USACE, Reclamation, or IBWC. The federal power marketing program started in the early 1900s when excess hydropower produced at federal projects was sold to repay the government</w:t>
      </w:r>
      <w:r w:rsidR="00805545">
        <w:t>’</w:t>
      </w:r>
      <w:r>
        <w:t xml:space="preserve">s investment in the projects. Four PMAs—BPA (1937), WAPA (1977), SWPA (1944), and SEPA (1950)—market federal hydropower in different regions of the country. </w:t>
      </w:r>
      <w:r w:rsidR="00A13C37">
        <w:t>F</w:t>
      </w:r>
      <w:r>
        <w:t>ederal laws enacted in the 1930s authorized construction of federal transmission to avoid relying on private companies to bring the electricity from federal plants to the public. All PMAs except SEPA own transmission assets.</w:t>
      </w:r>
    </w:p>
    <w:p w14:paraId="384A92D2" w14:textId="0CA592E6" w:rsidR="00A27B38" w:rsidRDefault="00A27B38" w:rsidP="00A27B38">
      <w:pPr>
        <w:pStyle w:val="BodyText"/>
      </w:pPr>
      <w:r>
        <w:t>By statute, PMAs priorit</w:t>
      </w:r>
      <w:r w:rsidR="009B78AC">
        <w:t>ize</w:t>
      </w:r>
      <w:r>
        <w:t xml:space="preserve"> access to the</w:t>
      </w:r>
      <w:r w:rsidR="0078420B">
        <w:t>ir</w:t>
      </w:r>
      <w:r>
        <w:t xml:space="preserve"> federal hydropower</w:t>
      </w:r>
      <w:r w:rsidR="001A08B5">
        <w:t xml:space="preserve"> resources</w:t>
      </w:r>
      <w:r>
        <w:t xml:space="preserve"> </w:t>
      </w:r>
      <w:r w:rsidR="00BC372C">
        <w:t>for</w:t>
      </w:r>
      <w:r>
        <w:t xml:space="preserve"> preference customers—mostly municipalities, political subdivisions, and cooperatives—over for-profit entities. The preference clauses, introduced in several pieces of legislation in the early 1900s, were</w:t>
      </w:r>
      <w:r w:rsidR="00D344BF">
        <w:t xml:space="preserve"> designed</w:t>
      </w:r>
      <w:r>
        <w:t xml:space="preserve"> to ensure that the operation of federal hydropower assets benefited the public, contribute</w:t>
      </w:r>
      <w:r w:rsidR="00D344BF">
        <w:t>d</w:t>
      </w:r>
      <w:r>
        <w:t xml:space="preserve"> to the economic development of rural areas, and avoid</w:t>
      </w:r>
      <w:r w:rsidR="00D344BF">
        <w:t>ed</w:t>
      </w:r>
      <w:r w:rsidR="00C47C91">
        <w:t xml:space="preserve"> a monopoly in</w:t>
      </w:r>
      <w:r>
        <w:t xml:space="preserve"> the nascent electric industry (GAO, 2001).</w:t>
      </w:r>
    </w:p>
    <w:p w14:paraId="00A622B8" w14:textId="2BA11341" w:rsidR="00A27B38" w:rsidRDefault="00A27B38" w:rsidP="00A27B38">
      <w:pPr>
        <w:pStyle w:val="BodyText"/>
      </w:pPr>
      <w:r>
        <w:t xml:space="preserve">Unlike privately owned utilities, PMAs must sell electricity </w:t>
      </w:r>
      <w:r w:rsidR="00930433">
        <w:t>“</w:t>
      </w:r>
      <w:r>
        <w:t>at the lowest possible rates consistent with sound business principles</w:t>
      </w:r>
      <w:r w:rsidR="00930433">
        <w:t>”</w:t>
      </w:r>
      <w:r>
        <w:t xml:space="preserve"> (Flood Control Act of 1944). The cost-based rates must be sufficient to repay the </w:t>
      </w:r>
      <w:r w:rsidR="001324FA">
        <w:t>US</w:t>
      </w:r>
      <w:r>
        <w:t xml:space="preserve"> Treasury for the initial investment to construct the power system (including transmission) within 50 years </w:t>
      </w:r>
      <w:r w:rsidR="00101ACD">
        <w:t xml:space="preserve">from </w:t>
      </w:r>
      <w:r>
        <w:t>start of operation.</w:t>
      </w:r>
      <w:r>
        <w:rPr>
          <w:rStyle w:val="FootnoteReference"/>
        </w:rPr>
        <w:footnoteReference w:id="2"/>
      </w:r>
      <w:r>
        <w:t xml:space="preserve"> Additionally, the rates must </w:t>
      </w:r>
      <w:r w:rsidR="00194770">
        <w:t xml:space="preserve">annually </w:t>
      </w:r>
      <w:r>
        <w:t xml:space="preserve">repay the expensed interest on the unamortized debt, </w:t>
      </w:r>
      <w:r w:rsidR="00194770">
        <w:t xml:space="preserve">the </w:t>
      </w:r>
      <w:r w:rsidR="00DA38D7">
        <w:t>operation</w:t>
      </w:r>
      <w:r w:rsidR="007D3170">
        <w:t>s</w:t>
      </w:r>
      <w:r w:rsidR="00DA38D7">
        <w:t xml:space="preserve"> and maintenance (</w:t>
      </w:r>
      <w:r>
        <w:t>O&amp;M</w:t>
      </w:r>
      <w:r w:rsidR="00DA38D7">
        <w:t>)</w:t>
      </w:r>
      <w:r>
        <w:t xml:space="preserve"> costs for the hydropower function of the power system, the cost of purchased power, a portion of O&amp;M for other system purposes (e.g., irrigation), and environmental project costs. DOE Order RA 6120.2 requires the PMAs to </w:t>
      </w:r>
      <w:r w:rsidRPr="00D52ED4">
        <w:t xml:space="preserve">conduct annual studies </w:t>
      </w:r>
      <w:r>
        <w:t xml:space="preserve">to assess whether the existing rates </w:t>
      </w:r>
      <w:r w:rsidR="00194770">
        <w:t>can</w:t>
      </w:r>
      <w:r>
        <w:t xml:space="preserve"> meet the revenue objectives. If the rates are not adequate, the PMA </w:t>
      </w:r>
      <w:r>
        <w:lastRenderedPageBreak/>
        <w:t xml:space="preserve">proposes a change in rates. Rate cases are a public process and must be approved by the </w:t>
      </w:r>
      <w:r w:rsidR="00441B56">
        <w:t>d</w:t>
      </w:r>
      <w:r>
        <w:t xml:space="preserve">eputy </w:t>
      </w:r>
      <w:r w:rsidR="00441B56">
        <w:t>e</w:t>
      </w:r>
      <w:r>
        <w:t xml:space="preserve">nergy </w:t>
      </w:r>
      <w:r w:rsidR="00441B56">
        <w:t>s</w:t>
      </w:r>
      <w:r>
        <w:t>ecretary and by FERC.</w:t>
      </w:r>
    </w:p>
    <w:p w14:paraId="2DC9D726" w14:textId="27C27A61" w:rsidR="00A27B38" w:rsidRDefault="004F3141" w:rsidP="00A27B38">
      <w:pPr>
        <w:pStyle w:val="BodyText"/>
      </w:pPr>
      <w:r>
        <w:t xml:space="preserve">Although </w:t>
      </w:r>
      <w:r w:rsidR="00A27B38">
        <w:t>rates can be revised annually, the capacity and energy allocations of federal hydropower are set with long-term contracts. Power marketing plans establish the marketing terms (e.g.</w:t>
      </w:r>
      <w:r w:rsidR="007138FE">
        <w:t>,</w:t>
      </w:r>
      <w:r w:rsidR="00A27B38">
        <w:t xml:space="preserve"> total marketable resource), the contract term (e.g., marketing firm </w:t>
      </w:r>
      <w:r w:rsidR="00112DCA">
        <w:t xml:space="preserve">vs. </w:t>
      </w:r>
      <w:r w:rsidR="00A27B38">
        <w:t xml:space="preserve">peaking power, contract length), resource pools, load factor limit, and water withdrawal provisions with input from customers and other interested stakeholders. Upon publication of the final marketing plan in the </w:t>
      </w:r>
      <w:r w:rsidR="00A27B38" w:rsidRPr="005735C1">
        <w:rPr>
          <w:i/>
          <w:iCs/>
        </w:rPr>
        <w:t>Federal Register</w:t>
      </w:r>
      <w:r w:rsidR="00A27B38">
        <w:t>, contracts are then signed with each individual customer for their proposed allocations. Contract terms vary across PMAs and across power systems within a PMA.</w:t>
      </w:r>
      <w:r w:rsidR="00A27B38">
        <w:rPr>
          <w:rStyle w:val="FootnoteReference"/>
        </w:rPr>
        <w:footnoteReference w:id="3"/>
      </w:r>
    </w:p>
    <w:p w14:paraId="3B23492E" w14:textId="2E215B4D" w:rsidR="00A27B38" w:rsidRDefault="00A27B38" w:rsidP="00A27B38">
      <w:pPr>
        <w:pStyle w:val="BodyText"/>
      </w:pPr>
      <w:r>
        <w:t>Since 1974, BPA has been a self-financed agency</w:t>
      </w:r>
      <w:r w:rsidR="004F3141">
        <w:t>, which</w:t>
      </w:r>
      <w:r>
        <w:t xml:space="preserve"> means it can directly apply the revenue from power and transmission sales to cover its costs, both O&amp;M and capital expenses, while meeting the repayment obligations to the federal government for the funds (interest included) used for the construction of the </w:t>
      </w:r>
      <w:r w:rsidRPr="00C64861">
        <w:t xml:space="preserve">Federal Columbia River Power System </w:t>
      </w:r>
      <w:r>
        <w:t>(FCRPS)</w:t>
      </w:r>
      <w:r w:rsidRPr="00D2725C">
        <w:t xml:space="preserve">. </w:t>
      </w:r>
      <w:r>
        <w:t xml:space="preserve">For the rest of </w:t>
      </w:r>
      <w:r w:rsidR="00D84AD7">
        <w:t xml:space="preserve">the </w:t>
      </w:r>
      <w:r>
        <w:t xml:space="preserve">PMAs, the Energy and Water Development and Related Agencies Appropriation Act of 2010 </w:t>
      </w:r>
      <w:r w:rsidR="00917480">
        <w:t>allows for</w:t>
      </w:r>
      <w:r>
        <w:t xml:space="preserve"> using the revenues from power and transmission sales to cover their O&amp;M expenditures starting in FY</w:t>
      </w:r>
      <w:r w:rsidR="006F4EF4">
        <w:t> 20</w:t>
      </w:r>
      <w:r>
        <w:t xml:space="preserve">11. Investments in rehabilitation or upgrades to the federal hydropower assets for those PMAs are funded by a combination of </w:t>
      </w:r>
      <w:r w:rsidR="00917480">
        <w:t xml:space="preserve">congressional </w:t>
      </w:r>
      <w:r>
        <w:t>appropriations and PMA customer funding agreements.</w:t>
      </w:r>
    </w:p>
    <w:p w14:paraId="27B671A9" w14:textId="4357CEC6" w:rsidR="00322E2C" w:rsidRDefault="00322E2C" w:rsidP="00322E2C">
      <w:pPr>
        <w:pStyle w:val="BodyText"/>
      </w:pPr>
      <w:r>
        <w:t>In their day-to-day project operations, the PMAs coordinate closely with USACE or Reclamation. These agencies determine the constraints governing water availability for hydropower and implement the generation schedules submitted by the preference customers to the PMA. Fernandez (2020) describes in more detail the interactions between the federal hydropower owners and the PMAs.</w:t>
      </w:r>
    </w:p>
    <w:p w14:paraId="3B6F74E6" w14:textId="66D666AE" w:rsidR="00575454" w:rsidRPr="00E33F6D" w:rsidRDefault="00D84AD7" w:rsidP="008404DB">
      <w:pPr>
        <w:pStyle w:val="BodyText"/>
        <w:rPr>
          <w:snapToGrid/>
        </w:rPr>
      </w:pPr>
      <w:r>
        <w:t xml:space="preserve">Because </w:t>
      </w:r>
      <w:r w:rsidR="00322E2C">
        <w:t xml:space="preserve">runoff availability changes from year to year, actual federal hydropower generation can be higher or lower than the amount needed to fulfill the contracted allocations of capacity and energy. To resolve imbalances, PMAs trade with other utilities or </w:t>
      </w:r>
      <w:r w:rsidR="009A1893">
        <w:t xml:space="preserve">trade </w:t>
      </w:r>
      <w:r w:rsidR="00322E2C">
        <w:t xml:space="preserve">in organized wholesale markets. The cost of </w:t>
      </w:r>
      <w:r w:rsidR="00AD5937">
        <w:t xml:space="preserve">power </w:t>
      </w:r>
      <w:r w:rsidR="00322E2C">
        <w:t xml:space="preserve">purchased to resolve deficits is passed </w:t>
      </w:r>
      <w:r w:rsidR="00AD5937">
        <w:t xml:space="preserve">on </w:t>
      </w:r>
      <w:r w:rsidR="00322E2C">
        <w:t xml:space="preserve">to customers. Traditionally, PMAs have resolved these imbalances mainly through trading hubs or bilateral trades with other utilities. Recently, BPA and multiple WAPA </w:t>
      </w:r>
      <w:r w:rsidR="00322E2C" w:rsidRPr="00F370FB">
        <w:t>power marketing regions</w:t>
      </w:r>
      <w:r w:rsidR="00322E2C">
        <w:t xml:space="preserve"> have joined or announced plans to join either the California Independent System Operator</w:t>
      </w:r>
      <w:r w:rsidR="00805545">
        <w:t>’</w:t>
      </w:r>
      <w:r w:rsidR="00D53353">
        <w:t>s</w:t>
      </w:r>
      <w:r w:rsidR="00322E2C">
        <w:t xml:space="preserve"> (CAISO</w:t>
      </w:r>
      <w:r w:rsidR="00805545">
        <w:t>’</w:t>
      </w:r>
      <w:r w:rsidR="00D53353">
        <w:t>s</w:t>
      </w:r>
      <w:r w:rsidR="00322E2C">
        <w:t>) Western Energy Imbalance Market</w:t>
      </w:r>
      <w:r w:rsidR="005735C1">
        <w:t xml:space="preserve"> </w:t>
      </w:r>
      <w:r w:rsidR="005B23FE">
        <w:t xml:space="preserve">(EIM) </w:t>
      </w:r>
      <w:r w:rsidR="00322E2C">
        <w:t>or the Southwest Power Pool</w:t>
      </w:r>
      <w:r w:rsidR="00805545">
        <w:t>’</w:t>
      </w:r>
      <w:r w:rsidR="00D53353">
        <w:t>s</w:t>
      </w:r>
      <w:r w:rsidR="00322E2C">
        <w:t xml:space="preserve"> (SPP</w:t>
      </w:r>
      <w:r w:rsidR="00805545">
        <w:t>’</w:t>
      </w:r>
      <w:r w:rsidR="00D53353">
        <w:t>s</w:t>
      </w:r>
      <w:r w:rsidR="00322E2C">
        <w:t xml:space="preserve">) Western Energy Imbalance Service </w:t>
      </w:r>
      <w:r w:rsidR="009554D9">
        <w:t xml:space="preserve">(WEIS) </w:t>
      </w:r>
      <w:r w:rsidR="00322E2C">
        <w:t>Market.</w:t>
      </w:r>
    </w:p>
    <w:p w14:paraId="6C8E5250" w14:textId="77777777" w:rsidR="00414179" w:rsidRPr="00D60E14" w:rsidRDefault="00414179" w:rsidP="00AD0C1C">
      <w:pPr>
        <w:pStyle w:val="Heading2"/>
        <w:rPr>
          <w:caps w:val="0"/>
        </w:rPr>
      </w:pPr>
      <w:bookmarkStart w:id="51" w:name="_Toc113380761"/>
      <w:r w:rsidRPr="00D60E14">
        <w:t>Organization of the Report</w:t>
      </w:r>
      <w:bookmarkEnd w:id="51"/>
    </w:p>
    <w:p w14:paraId="03A5DF00" w14:textId="59DAA109" w:rsidR="005735C1" w:rsidRDefault="00B61A2D" w:rsidP="00357BBE">
      <w:pPr>
        <w:pStyle w:val="BodyText"/>
      </w:pPr>
      <w:r>
        <w:rPr>
          <w:szCs w:val="24"/>
        </w:rPr>
        <w:t>The</w:t>
      </w:r>
      <w:r w:rsidRPr="00550403">
        <w:rPr>
          <w:szCs w:val="24"/>
        </w:rPr>
        <w:t xml:space="preserve"> methods, data sources, and analyses used in this report are described in </w:t>
      </w:r>
      <w:r w:rsidRPr="00386E1C">
        <w:rPr>
          <w:szCs w:val="24"/>
        </w:rPr>
        <w:t xml:space="preserve">Section </w:t>
      </w:r>
      <w:r>
        <w:rPr>
          <w:szCs w:val="24"/>
        </w:rPr>
        <w:fldChar w:fldCharType="begin"/>
      </w:r>
      <w:r>
        <w:rPr>
          <w:szCs w:val="24"/>
        </w:rPr>
        <w:instrText xml:space="preserve"> REF _Ref425755840 \n \h </w:instrText>
      </w:r>
      <w:r>
        <w:rPr>
          <w:szCs w:val="24"/>
        </w:rPr>
      </w:r>
      <w:r>
        <w:rPr>
          <w:szCs w:val="24"/>
        </w:rPr>
        <w:fldChar w:fldCharType="separate"/>
      </w:r>
      <w:r w:rsidR="00EE0BF5">
        <w:rPr>
          <w:szCs w:val="24"/>
        </w:rPr>
        <w:t>2</w:t>
      </w:r>
      <w:r>
        <w:rPr>
          <w:szCs w:val="24"/>
        </w:rPr>
        <w:fldChar w:fldCharType="end"/>
      </w:r>
      <w:r w:rsidRPr="00386E1C">
        <w:rPr>
          <w:szCs w:val="24"/>
        </w:rPr>
        <w:t>.</w:t>
      </w:r>
      <w:r>
        <w:rPr>
          <w:szCs w:val="24"/>
        </w:rPr>
        <w:t xml:space="preserve"> </w:t>
      </w:r>
      <w:r w:rsidRPr="00386E1C">
        <w:rPr>
          <w:szCs w:val="24"/>
        </w:rPr>
        <w:t xml:space="preserve">Sections </w:t>
      </w:r>
      <w:r>
        <w:rPr>
          <w:szCs w:val="24"/>
        </w:rPr>
        <w:fldChar w:fldCharType="begin"/>
      </w:r>
      <w:r>
        <w:rPr>
          <w:szCs w:val="24"/>
        </w:rPr>
        <w:instrText xml:space="preserve"> REF _Ref425755847 \n \h </w:instrText>
      </w:r>
      <w:r>
        <w:rPr>
          <w:szCs w:val="24"/>
        </w:rPr>
      </w:r>
      <w:r>
        <w:rPr>
          <w:szCs w:val="24"/>
        </w:rPr>
        <w:fldChar w:fldCharType="separate"/>
      </w:r>
      <w:r w:rsidR="00EE0BF5">
        <w:rPr>
          <w:szCs w:val="24"/>
        </w:rPr>
        <w:t>3</w:t>
      </w:r>
      <w:r>
        <w:rPr>
          <w:szCs w:val="24"/>
        </w:rPr>
        <w:fldChar w:fldCharType="end"/>
      </w:r>
      <w:r w:rsidRPr="00386E1C">
        <w:rPr>
          <w:szCs w:val="24"/>
        </w:rPr>
        <w:t xml:space="preserve">, </w:t>
      </w:r>
      <w:r>
        <w:rPr>
          <w:szCs w:val="24"/>
        </w:rPr>
        <w:fldChar w:fldCharType="begin"/>
      </w:r>
      <w:r>
        <w:rPr>
          <w:szCs w:val="24"/>
        </w:rPr>
        <w:instrText xml:space="preserve"> REF _Ref432168061 \r \h </w:instrText>
      </w:r>
      <w:r>
        <w:rPr>
          <w:szCs w:val="24"/>
        </w:rPr>
      </w:r>
      <w:r>
        <w:rPr>
          <w:szCs w:val="24"/>
        </w:rPr>
        <w:fldChar w:fldCharType="separate"/>
      </w:r>
      <w:r w:rsidR="00EE0BF5">
        <w:rPr>
          <w:szCs w:val="24"/>
        </w:rPr>
        <w:t>4</w:t>
      </w:r>
      <w:r>
        <w:rPr>
          <w:szCs w:val="24"/>
        </w:rPr>
        <w:fldChar w:fldCharType="end"/>
      </w:r>
      <w:r w:rsidRPr="00386E1C">
        <w:rPr>
          <w:szCs w:val="24"/>
        </w:rPr>
        <w:t xml:space="preserve">, </w:t>
      </w:r>
      <w:r>
        <w:rPr>
          <w:szCs w:val="24"/>
        </w:rPr>
        <w:fldChar w:fldCharType="begin"/>
      </w:r>
      <w:r>
        <w:rPr>
          <w:szCs w:val="24"/>
        </w:rPr>
        <w:instrText xml:space="preserve"> REF _Ref425755874 \n \h </w:instrText>
      </w:r>
      <w:r>
        <w:rPr>
          <w:szCs w:val="24"/>
        </w:rPr>
      </w:r>
      <w:r>
        <w:rPr>
          <w:szCs w:val="24"/>
        </w:rPr>
        <w:fldChar w:fldCharType="separate"/>
      </w:r>
      <w:r w:rsidR="00EE0BF5">
        <w:rPr>
          <w:szCs w:val="24"/>
        </w:rPr>
        <w:t>5</w:t>
      </w:r>
      <w:r>
        <w:rPr>
          <w:szCs w:val="24"/>
        </w:rPr>
        <w:fldChar w:fldCharType="end"/>
      </w:r>
      <w:r w:rsidRPr="00386E1C">
        <w:rPr>
          <w:szCs w:val="24"/>
        </w:rPr>
        <w:t xml:space="preserve">, and </w:t>
      </w:r>
      <w:r>
        <w:rPr>
          <w:szCs w:val="24"/>
        </w:rPr>
        <w:fldChar w:fldCharType="begin"/>
      </w:r>
      <w:r>
        <w:rPr>
          <w:szCs w:val="24"/>
        </w:rPr>
        <w:instrText xml:space="preserve"> REF _Ref432925465 \n \h </w:instrText>
      </w:r>
      <w:r>
        <w:rPr>
          <w:szCs w:val="24"/>
        </w:rPr>
      </w:r>
      <w:r>
        <w:rPr>
          <w:szCs w:val="24"/>
        </w:rPr>
        <w:fldChar w:fldCharType="separate"/>
      </w:r>
      <w:r w:rsidR="00EE0BF5">
        <w:rPr>
          <w:szCs w:val="24"/>
        </w:rPr>
        <w:t>6</w:t>
      </w:r>
      <w:r>
        <w:rPr>
          <w:szCs w:val="24"/>
        </w:rPr>
        <w:fldChar w:fldCharType="end"/>
      </w:r>
      <w:r w:rsidRPr="00386E1C">
        <w:rPr>
          <w:szCs w:val="24"/>
        </w:rPr>
        <w:t xml:space="preserve"> of this report contain </w:t>
      </w:r>
      <w:r>
        <w:rPr>
          <w:szCs w:val="24"/>
        </w:rPr>
        <w:t xml:space="preserve">the </w:t>
      </w:r>
      <w:r w:rsidRPr="00386E1C">
        <w:rPr>
          <w:szCs w:val="24"/>
        </w:rPr>
        <w:t xml:space="preserve">PMA-specific results for </w:t>
      </w:r>
      <w:r w:rsidR="00B36542">
        <w:rPr>
          <w:szCs w:val="24"/>
        </w:rPr>
        <w:t>BPA</w:t>
      </w:r>
      <w:r w:rsidRPr="00386E1C">
        <w:rPr>
          <w:szCs w:val="24"/>
        </w:rPr>
        <w:t xml:space="preserve">, </w:t>
      </w:r>
      <w:r w:rsidR="00B36542">
        <w:rPr>
          <w:szCs w:val="24"/>
        </w:rPr>
        <w:t>WAPA</w:t>
      </w:r>
      <w:r w:rsidRPr="00386E1C">
        <w:rPr>
          <w:szCs w:val="24"/>
        </w:rPr>
        <w:t xml:space="preserve">, </w:t>
      </w:r>
      <w:r w:rsidR="00B36542">
        <w:rPr>
          <w:szCs w:val="24"/>
        </w:rPr>
        <w:t>SWPA</w:t>
      </w:r>
      <w:r w:rsidRPr="00386E1C">
        <w:rPr>
          <w:szCs w:val="24"/>
        </w:rPr>
        <w:t xml:space="preserve">, and </w:t>
      </w:r>
      <w:r w:rsidR="00B36542">
        <w:rPr>
          <w:szCs w:val="24"/>
        </w:rPr>
        <w:t>SEPA</w:t>
      </w:r>
      <w:r w:rsidRPr="00386E1C">
        <w:rPr>
          <w:szCs w:val="24"/>
        </w:rPr>
        <w:t>, respectively. The final section</w:t>
      </w:r>
      <w:r w:rsidR="00524EF6">
        <w:rPr>
          <w:szCs w:val="24"/>
        </w:rPr>
        <w:t>s</w:t>
      </w:r>
      <w:r w:rsidRPr="00386E1C">
        <w:rPr>
          <w:szCs w:val="24"/>
        </w:rPr>
        <w:t xml:space="preserve"> of the report, </w:t>
      </w:r>
      <w:r w:rsidR="00B15FF1">
        <w:rPr>
          <w:szCs w:val="24"/>
        </w:rPr>
        <w:t>Section</w:t>
      </w:r>
      <w:r w:rsidR="00524EF6">
        <w:rPr>
          <w:szCs w:val="24"/>
        </w:rPr>
        <w:t>s</w:t>
      </w:r>
      <w:r w:rsidR="00B15FF1">
        <w:rPr>
          <w:szCs w:val="24"/>
        </w:rPr>
        <w:t xml:space="preserve"> </w:t>
      </w:r>
      <w:r w:rsidR="00B15FF1">
        <w:rPr>
          <w:szCs w:val="24"/>
        </w:rPr>
        <w:fldChar w:fldCharType="begin"/>
      </w:r>
      <w:r w:rsidR="00B15FF1">
        <w:rPr>
          <w:szCs w:val="24"/>
        </w:rPr>
        <w:instrText xml:space="preserve"> REF _Ref71804594 \r \h </w:instrText>
      </w:r>
      <w:r w:rsidR="00B15FF1">
        <w:rPr>
          <w:szCs w:val="24"/>
        </w:rPr>
      </w:r>
      <w:r w:rsidR="00B15FF1">
        <w:rPr>
          <w:szCs w:val="24"/>
        </w:rPr>
        <w:fldChar w:fldCharType="separate"/>
      </w:r>
      <w:r w:rsidR="00EE0BF5">
        <w:rPr>
          <w:szCs w:val="24"/>
        </w:rPr>
        <w:t>7</w:t>
      </w:r>
      <w:r w:rsidR="00B15FF1">
        <w:rPr>
          <w:szCs w:val="24"/>
        </w:rPr>
        <w:fldChar w:fldCharType="end"/>
      </w:r>
      <w:r w:rsidR="00524EF6">
        <w:rPr>
          <w:szCs w:val="24"/>
        </w:rPr>
        <w:t xml:space="preserve"> and </w:t>
      </w:r>
      <w:r w:rsidR="00524EF6">
        <w:rPr>
          <w:szCs w:val="24"/>
        </w:rPr>
        <w:fldChar w:fldCharType="begin"/>
      </w:r>
      <w:r w:rsidR="00524EF6">
        <w:rPr>
          <w:szCs w:val="24"/>
        </w:rPr>
        <w:instrText xml:space="preserve"> REF _Ref81567635 \n \h </w:instrText>
      </w:r>
      <w:r w:rsidR="00524EF6">
        <w:rPr>
          <w:szCs w:val="24"/>
        </w:rPr>
      </w:r>
      <w:r w:rsidR="00524EF6">
        <w:rPr>
          <w:szCs w:val="24"/>
        </w:rPr>
        <w:fldChar w:fldCharType="separate"/>
      </w:r>
      <w:r w:rsidR="00EE0BF5">
        <w:rPr>
          <w:szCs w:val="24"/>
        </w:rPr>
        <w:t>8</w:t>
      </w:r>
      <w:r w:rsidR="00524EF6">
        <w:rPr>
          <w:szCs w:val="24"/>
        </w:rPr>
        <w:fldChar w:fldCharType="end"/>
      </w:r>
      <w:r w:rsidRPr="00386E1C">
        <w:rPr>
          <w:szCs w:val="24"/>
        </w:rPr>
        <w:t xml:space="preserve">, </w:t>
      </w:r>
      <w:r w:rsidR="00524EF6">
        <w:rPr>
          <w:szCs w:val="24"/>
        </w:rPr>
        <w:t>provide</w:t>
      </w:r>
      <w:r w:rsidR="00F61DD4">
        <w:rPr>
          <w:szCs w:val="24"/>
        </w:rPr>
        <w:t xml:space="preserve"> an</w:t>
      </w:r>
      <w:r w:rsidR="00524EF6">
        <w:rPr>
          <w:szCs w:val="24"/>
        </w:rPr>
        <w:t xml:space="preserve"> interregional comparison and </w:t>
      </w:r>
      <w:r>
        <w:rPr>
          <w:szCs w:val="24"/>
        </w:rPr>
        <w:t>discuss the</w:t>
      </w:r>
      <w:r w:rsidRPr="00386E1C">
        <w:rPr>
          <w:szCs w:val="24"/>
        </w:rPr>
        <w:t xml:space="preserve"> summary and conclusions. </w:t>
      </w:r>
      <w:r>
        <w:rPr>
          <w:szCs w:val="24"/>
        </w:rPr>
        <w:t>The</w:t>
      </w:r>
      <w:r w:rsidRPr="00386E1C">
        <w:rPr>
          <w:szCs w:val="24"/>
        </w:rPr>
        <w:t xml:space="preserve"> SWA Section 9505 </w:t>
      </w:r>
      <w:r>
        <w:rPr>
          <w:szCs w:val="24"/>
        </w:rPr>
        <w:t xml:space="preserve">calls for a </w:t>
      </w:r>
      <w:r w:rsidR="004C109C">
        <w:rPr>
          <w:szCs w:val="24"/>
        </w:rPr>
        <w:t xml:space="preserve">DOE </w:t>
      </w:r>
      <w:r w:rsidR="0082241F">
        <w:rPr>
          <w:szCs w:val="24"/>
        </w:rPr>
        <w:t>r</w:t>
      </w:r>
      <w:r>
        <w:rPr>
          <w:szCs w:val="24"/>
        </w:rPr>
        <w:t xml:space="preserve">eport to Congress, which </w:t>
      </w:r>
      <w:r w:rsidRPr="00386E1C">
        <w:rPr>
          <w:szCs w:val="24"/>
        </w:rPr>
        <w:t xml:space="preserve">will be produced separately from this </w:t>
      </w:r>
      <w:r>
        <w:rPr>
          <w:szCs w:val="24"/>
        </w:rPr>
        <w:t>a</w:t>
      </w:r>
      <w:r w:rsidRPr="00386E1C">
        <w:rPr>
          <w:szCs w:val="24"/>
        </w:rPr>
        <w:t>ssessment report but will be based on the details and conclusions presented here</w:t>
      </w:r>
      <w:r w:rsidR="00524EF6">
        <w:rPr>
          <w:szCs w:val="24"/>
        </w:rPr>
        <w:t>in</w:t>
      </w:r>
      <w:r w:rsidRPr="00386E1C">
        <w:rPr>
          <w:szCs w:val="24"/>
        </w:rPr>
        <w:t xml:space="preserve">. Although not explicitly presented in this </w:t>
      </w:r>
      <w:r>
        <w:rPr>
          <w:szCs w:val="24"/>
        </w:rPr>
        <w:t>a</w:t>
      </w:r>
      <w:r w:rsidRPr="00386E1C">
        <w:rPr>
          <w:szCs w:val="24"/>
        </w:rPr>
        <w:t xml:space="preserve">ssessment report, the </w:t>
      </w:r>
      <w:r w:rsidR="009F2E38">
        <w:rPr>
          <w:szCs w:val="24"/>
        </w:rPr>
        <w:t>PMA a</w:t>
      </w:r>
      <w:r w:rsidR="00C65511" w:rsidRPr="00386E1C">
        <w:rPr>
          <w:szCs w:val="24"/>
        </w:rPr>
        <w:t>dministrator</w:t>
      </w:r>
      <w:r w:rsidR="00C65511">
        <w:rPr>
          <w:szCs w:val="24"/>
        </w:rPr>
        <w:t>s</w:t>
      </w:r>
      <w:r w:rsidR="00805545">
        <w:rPr>
          <w:szCs w:val="24"/>
        </w:rPr>
        <w:t>’</w:t>
      </w:r>
      <w:r w:rsidR="00C65511" w:rsidRPr="00386E1C">
        <w:rPr>
          <w:szCs w:val="24"/>
        </w:rPr>
        <w:t xml:space="preserve"> </w:t>
      </w:r>
      <w:r w:rsidR="009F2E38">
        <w:rPr>
          <w:szCs w:val="24"/>
        </w:rPr>
        <w:t>r</w:t>
      </w:r>
      <w:r w:rsidR="00C65511" w:rsidRPr="00386E1C">
        <w:rPr>
          <w:szCs w:val="24"/>
        </w:rPr>
        <w:t xml:space="preserve">ecommendations </w:t>
      </w:r>
      <w:r w:rsidRPr="00386E1C">
        <w:rPr>
          <w:szCs w:val="24"/>
        </w:rPr>
        <w:t xml:space="preserve">from each of the PMAs will be included in the subsequent </w:t>
      </w:r>
      <w:r w:rsidR="00E5502C">
        <w:rPr>
          <w:szCs w:val="24"/>
        </w:rPr>
        <w:t xml:space="preserve">DOE </w:t>
      </w:r>
      <w:r w:rsidR="00D53353">
        <w:rPr>
          <w:szCs w:val="24"/>
        </w:rPr>
        <w:t>r</w:t>
      </w:r>
      <w:r w:rsidRPr="00386E1C">
        <w:rPr>
          <w:szCs w:val="24"/>
        </w:rPr>
        <w:t>eport to Congress.</w:t>
      </w:r>
    </w:p>
    <w:p w14:paraId="36A7BF18" w14:textId="77777777" w:rsidR="00357BBE" w:rsidRDefault="00357BBE" w:rsidP="00357BBE">
      <w:pPr>
        <w:pStyle w:val="BodyText"/>
        <w:sectPr w:rsidR="00357BBE" w:rsidSect="00CC3514">
          <w:footerReference w:type="default" r:id="rId35"/>
          <w:pgSz w:w="12240" w:h="15840" w:code="1"/>
          <w:pgMar w:top="1440" w:right="1440" w:bottom="1440" w:left="1440" w:header="720" w:footer="720" w:gutter="0"/>
          <w:pgNumType w:start="1"/>
          <w:cols w:space="720"/>
          <w:docGrid w:linePitch="360"/>
        </w:sectPr>
      </w:pPr>
    </w:p>
    <w:p w14:paraId="428A5679" w14:textId="77777777" w:rsidR="00357BBE" w:rsidRPr="00357BBE" w:rsidRDefault="00357BBE" w:rsidP="00DE0A21">
      <w:pPr>
        <w:pStyle w:val="Heading1"/>
      </w:pPr>
      <w:bookmarkStart w:id="52" w:name="_Ref425755818"/>
      <w:bookmarkStart w:id="53" w:name="_Ref425755840"/>
      <w:bookmarkStart w:id="54" w:name="_Ref425756108"/>
      <w:bookmarkStart w:id="55" w:name="_Ref425756275"/>
      <w:bookmarkStart w:id="56" w:name="_Ref425756333"/>
      <w:bookmarkStart w:id="57" w:name="_Ref425756462"/>
      <w:bookmarkStart w:id="58" w:name="_Ref425756576"/>
      <w:bookmarkStart w:id="59" w:name="_Ref425756730"/>
      <w:bookmarkStart w:id="60" w:name="_Toc113380762"/>
      <w:r w:rsidRPr="00357BBE">
        <w:lastRenderedPageBreak/>
        <w:t>ASSESSMENT APPROACH</w:t>
      </w:r>
      <w:bookmarkEnd w:id="52"/>
      <w:bookmarkEnd w:id="53"/>
      <w:bookmarkEnd w:id="54"/>
      <w:bookmarkEnd w:id="55"/>
      <w:bookmarkEnd w:id="56"/>
      <w:bookmarkEnd w:id="57"/>
      <w:bookmarkEnd w:id="58"/>
      <w:bookmarkEnd w:id="59"/>
      <w:bookmarkEnd w:id="60"/>
    </w:p>
    <w:p w14:paraId="50242D35" w14:textId="77777777" w:rsidR="00357BBE" w:rsidRPr="00357BBE" w:rsidRDefault="00357BBE" w:rsidP="00AD0C1C">
      <w:pPr>
        <w:pStyle w:val="Heading2"/>
      </w:pPr>
      <w:bookmarkStart w:id="61" w:name="_Ref74567945"/>
      <w:bookmarkStart w:id="62" w:name="_Toc113380763"/>
      <w:r w:rsidRPr="00357BBE">
        <w:t>Scope and Objectives</w:t>
      </w:r>
      <w:bookmarkEnd w:id="61"/>
      <w:bookmarkEnd w:id="62"/>
    </w:p>
    <w:p w14:paraId="6D290A16" w14:textId="3C14CF07" w:rsidR="000D185C" w:rsidRDefault="000D185C" w:rsidP="000D185C">
      <w:pPr>
        <w:pStyle w:val="BodyText"/>
      </w:pPr>
      <w:r>
        <w:t>E</w:t>
      </w:r>
      <w:r w:rsidRPr="006F3537">
        <w:t>valuat</w:t>
      </w:r>
      <w:r>
        <w:t>ing</w:t>
      </w:r>
      <w:r w:rsidRPr="006F3537">
        <w:t xml:space="preserve"> the large-scale climate change effects on all federal hydropower plants across the</w:t>
      </w:r>
      <w:r>
        <w:t xml:space="preserve"> </w:t>
      </w:r>
      <w:r w:rsidR="00BA19DB">
        <w:t>United States</w:t>
      </w:r>
      <w:r>
        <w:t xml:space="preserve"> requires </w:t>
      </w:r>
      <w:r w:rsidRPr="006F3537">
        <w:t xml:space="preserve">a series of models </w:t>
      </w:r>
      <w:r>
        <w:t xml:space="preserve">and methods </w:t>
      </w:r>
      <w:r w:rsidRPr="006F3537">
        <w:t xml:space="preserve">to </w:t>
      </w:r>
      <w:r>
        <w:t xml:space="preserve">gradually </w:t>
      </w:r>
      <w:r w:rsidRPr="006F3537">
        <w:t xml:space="preserve">downscale the </w:t>
      </w:r>
      <w:r w:rsidR="00273EC7">
        <w:t>GCM</w:t>
      </w:r>
      <w:r>
        <w:t xml:space="preserve"> output </w:t>
      </w:r>
      <w:r w:rsidRPr="006F3537">
        <w:t>into watershed</w:t>
      </w:r>
      <w:r>
        <w:t>-</w:t>
      </w:r>
      <w:r w:rsidRPr="006F3537">
        <w:t xml:space="preserve">scale hydrologic </w:t>
      </w:r>
      <w:r>
        <w:t xml:space="preserve">and hydropower </w:t>
      </w:r>
      <w:r w:rsidRPr="006F3537">
        <w:t xml:space="preserve">projections to support </w:t>
      </w:r>
      <w:r>
        <w:t xml:space="preserve">this climate change </w:t>
      </w:r>
      <w:r w:rsidRPr="006F3537">
        <w:t>impact assessment</w:t>
      </w:r>
      <w:r>
        <w:t xml:space="preserve">. This assessment involves several major steps that </w:t>
      </w:r>
      <w:r w:rsidR="0042174D">
        <w:t xml:space="preserve">are </w:t>
      </w:r>
      <w:r>
        <w:t>discussed in the following sections</w:t>
      </w:r>
      <w:r w:rsidR="0021349A">
        <w:t>.</w:t>
      </w:r>
    </w:p>
    <w:p w14:paraId="0D498D4F" w14:textId="2064E76E" w:rsidR="004C303A" w:rsidRDefault="004C303A" w:rsidP="00A33CBF">
      <w:pPr>
        <w:pStyle w:val="BulletList"/>
      </w:pPr>
      <w:r w:rsidRPr="004C303A">
        <w:t>Climate Model Evaluation and Selection</w:t>
      </w:r>
      <w:r>
        <w:t xml:space="preserve"> (Section</w:t>
      </w:r>
      <w:r w:rsidR="00FF3DB7">
        <w:t xml:space="preserve"> </w:t>
      </w:r>
      <w:r w:rsidR="00FF3DB7">
        <w:fldChar w:fldCharType="begin"/>
      </w:r>
      <w:r w:rsidR="00FF3DB7">
        <w:instrText xml:space="preserve"> REF _Ref75810029 \n \h </w:instrText>
      </w:r>
      <w:r w:rsidR="00A33CBF">
        <w:instrText xml:space="preserve"> \* MERGEFORMAT </w:instrText>
      </w:r>
      <w:r w:rsidR="00FF3DB7">
        <w:fldChar w:fldCharType="separate"/>
      </w:r>
      <w:r w:rsidR="00EE0BF5">
        <w:t>2.3</w:t>
      </w:r>
      <w:r w:rsidR="00FF3DB7">
        <w:fldChar w:fldCharType="end"/>
      </w:r>
      <w:r>
        <w:t>)</w:t>
      </w:r>
      <w:r w:rsidR="00D727FC">
        <w:t>,</w:t>
      </w:r>
    </w:p>
    <w:p w14:paraId="75F25B1F" w14:textId="14589F9E" w:rsidR="004C303A" w:rsidRDefault="004C303A" w:rsidP="00A33CBF">
      <w:pPr>
        <w:pStyle w:val="BulletList"/>
      </w:pPr>
      <w:r w:rsidRPr="004C303A">
        <w:t>Climate Model Downscaling</w:t>
      </w:r>
      <w:r>
        <w:t xml:space="preserve"> (Section</w:t>
      </w:r>
      <w:r w:rsidR="00FF3DB7">
        <w:t xml:space="preserve"> </w:t>
      </w:r>
      <w:r w:rsidR="00FF3DB7">
        <w:fldChar w:fldCharType="begin"/>
      </w:r>
      <w:r w:rsidR="00FF3DB7">
        <w:instrText xml:space="preserve"> REF _Ref75788044 \n \h </w:instrText>
      </w:r>
      <w:r w:rsidR="00A33CBF">
        <w:instrText xml:space="preserve"> \* MERGEFORMAT </w:instrText>
      </w:r>
      <w:r w:rsidR="00FF3DB7">
        <w:fldChar w:fldCharType="separate"/>
      </w:r>
      <w:r w:rsidR="00EE0BF5">
        <w:t>2.4</w:t>
      </w:r>
      <w:r w:rsidR="00FF3DB7">
        <w:fldChar w:fldCharType="end"/>
      </w:r>
      <w:r>
        <w:t>)</w:t>
      </w:r>
      <w:r w:rsidR="00D727FC">
        <w:t>,</w:t>
      </w:r>
    </w:p>
    <w:p w14:paraId="24882E5F" w14:textId="6494A5F1" w:rsidR="004C303A" w:rsidRDefault="004C303A" w:rsidP="00A33CBF">
      <w:pPr>
        <w:pStyle w:val="BulletList"/>
      </w:pPr>
      <w:r w:rsidRPr="004C303A">
        <w:t>Hydrologic Modeling</w:t>
      </w:r>
      <w:r>
        <w:t xml:space="preserve"> (Section </w:t>
      </w:r>
      <w:r>
        <w:fldChar w:fldCharType="begin"/>
      </w:r>
      <w:r>
        <w:instrText xml:space="preserve"> REF _Ref425755949 \n \h </w:instrText>
      </w:r>
      <w:r w:rsidR="00A33CBF">
        <w:instrText xml:space="preserve"> \* MERGEFORMAT </w:instrText>
      </w:r>
      <w:r>
        <w:fldChar w:fldCharType="separate"/>
      </w:r>
      <w:r w:rsidR="00EE0BF5">
        <w:t>2.5</w:t>
      </w:r>
      <w:r>
        <w:fldChar w:fldCharType="end"/>
      </w:r>
      <w:r>
        <w:t>)</w:t>
      </w:r>
      <w:r w:rsidR="00D727FC">
        <w:t>,</w:t>
      </w:r>
    </w:p>
    <w:p w14:paraId="00EFC25E" w14:textId="17181C53" w:rsidR="004C303A" w:rsidRDefault="004C303A" w:rsidP="00A33CBF">
      <w:pPr>
        <w:pStyle w:val="BulletList"/>
      </w:pPr>
      <w:r>
        <w:t xml:space="preserve">Hydropower Simulation (Section </w:t>
      </w:r>
      <w:r>
        <w:fldChar w:fldCharType="begin"/>
      </w:r>
      <w:r>
        <w:instrText xml:space="preserve"> REF _Ref425755954 \n \h </w:instrText>
      </w:r>
      <w:r>
        <w:fldChar w:fldCharType="separate"/>
      </w:r>
      <w:r w:rsidR="00EE0BF5">
        <w:t>2.6</w:t>
      </w:r>
      <w:r>
        <w:fldChar w:fldCharType="end"/>
      </w:r>
      <w:r>
        <w:t>)</w:t>
      </w:r>
      <w:r w:rsidR="00D727FC">
        <w:t>, and</w:t>
      </w:r>
    </w:p>
    <w:p w14:paraId="1FA55E5A" w14:textId="7D1319DA" w:rsidR="004C303A" w:rsidRDefault="004C303A" w:rsidP="00A33CBF">
      <w:pPr>
        <w:pStyle w:val="BulletListspace"/>
      </w:pPr>
      <w:r>
        <w:t xml:space="preserve">Climate Change Impact Assessment (Sections </w:t>
      </w:r>
      <w:r>
        <w:fldChar w:fldCharType="begin"/>
      </w:r>
      <w:r>
        <w:instrText xml:space="preserve"> REF _Ref72487042 \n \h </w:instrText>
      </w:r>
      <w:r>
        <w:fldChar w:fldCharType="separate"/>
      </w:r>
      <w:r w:rsidR="00EE0BF5">
        <w:t>2.7</w:t>
      </w:r>
      <w:r>
        <w:fldChar w:fldCharType="end"/>
      </w:r>
      <w:r>
        <w:t xml:space="preserve"> and</w:t>
      </w:r>
      <w:r w:rsidR="003036AF">
        <w:t xml:space="preserve"> </w:t>
      </w:r>
      <w:r w:rsidR="003036AF">
        <w:fldChar w:fldCharType="begin"/>
      </w:r>
      <w:r w:rsidR="003036AF">
        <w:instrText xml:space="preserve"> REF _Ref72830506 \n \h </w:instrText>
      </w:r>
      <w:r w:rsidR="003036AF">
        <w:fldChar w:fldCharType="separate"/>
      </w:r>
      <w:r w:rsidR="00EE0BF5">
        <w:t>2.8</w:t>
      </w:r>
      <w:r w:rsidR="003036AF">
        <w:fldChar w:fldCharType="end"/>
      </w:r>
      <w:r>
        <w:t>)</w:t>
      </w:r>
      <w:r w:rsidR="00D727FC">
        <w:t>.</w:t>
      </w:r>
    </w:p>
    <w:p w14:paraId="01F51C6E" w14:textId="04FA8885" w:rsidR="008C7CA9" w:rsidRDefault="00755355" w:rsidP="00637699">
      <w:pPr>
        <w:pStyle w:val="BodyText"/>
      </w:pPr>
      <w:r>
        <w:t xml:space="preserve">Several recent hydroclimate studies have used a similar assessment framework with some variation (Chen et al., 2011; Bosshard et al., 2013; </w:t>
      </w:r>
      <w:r w:rsidRPr="64B33465">
        <w:rPr>
          <w:lang w:eastAsia="zh-TW"/>
        </w:rPr>
        <w:t xml:space="preserve">Meresa and Romanowicz, 2017; Pytlak et al., 2018; </w:t>
      </w:r>
      <w:r>
        <w:t xml:space="preserve">Chegwidden et al., 2019; Gangrade et al., 2020; Persad et al., 2020; </w:t>
      </w:r>
      <w:r w:rsidRPr="64B33465">
        <w:rPr>
          <w:lang w:eastAsia="zh-TW"/>
        </w:rPr>
        <w:t>Glabau</w:t>
      </w:r>
      <w:r>
        <w:t xml:space="preserve"> et al., 2020; Heidari et al., 2020). </w:t>
      </w:r>
      <w:r w:rsidR="008C7CA9">
        <w:t>Among these steps, GCM</w:t>
      </w:r>
      <w:r w:rsidR="008C7CA9" w:rsidRPr="006F2216">
        <w:t xml:space="preserve"> </w:t>
      </w:r>
      <w:r w:rsidR="008C7CA9">
        <w:t xml:space="preserve">selection is often </w:t>
      </w:r>
      <w:r w:rsidR="004870E7">
        <w:t xml:space="preserve">considered </w:t>
      </w:r>
      <w:r w:rsidR="008C7CA9">
        <w:t xml:space="preserve">the greatest source of uncertainty </w:t>
      </w:r>
      <w:r w:rsidR="004870E7">
        <w:t>and received most attention</w:t>
      </w:r>
      <w:r w:rsidR="008C7CA9">
        <w:t>.</w:t>
      </w:r>
      <w:r w:rsidR="004870E7">
        <w:t xml:space="preserve"> </w:t>
      </w:r>
      <w:r w:rsidR="00D64187">
        <w:t xml:space="preserve">Compared with </w:t>
      </w:r>
      <w:r w:rsidR="004870E7">
        <w:t xml:space="preserve">the selection of GCMs, other methodological choices are often overlooked </w:t>
      </w:r>
      <w:r w:rsidR="00764E33">
        <w:t xml:space="preserve">that </w:t>
      </w:r>
      <w:r w:rsidR="00637699">
        <w:t xml:space="preserve">should </w:t>
      </w:r>
      <w:r w:rsidR="004870E7">
        <w:t>require further evaluation (</w:t>
      </w:r>
      <w:r w:rsidR="004870E7" w:rsidRPr="007A3D9A">
        <w:t>Giuntoli et al.</w:t>
      </w:r>
      <w:r w:rsidR="004870E7">
        <w:t xml:space="preserve">, </w:t>
      </w:r>
      <w:r w:rsidR="004870E7" w:rsidRPr="007A3D9A">
        <w:t>2018)</w:t>
      </w:r>
      <w:r w:rsidR="004870E7">
        <w:t>. S</w:t>
      </w:r>
      <w:r w:rsidR="008C7CA9">
        <w:t xml:space="preserve">ome studies (e.g., </w:t>
      </w:r>
      <w:r w:rsidR="008C7CA9" w:rsidRPr="00961A3C">
        <w:rPr>
          <w:szCs w:val="24"/>
          <w:lang w:eastAsia="zh-TW"/>
        </w:rPr>
        <w:t>Chen</w:t>
      </w:r>
      <w:r w:rsidR="008C7CA9">
        <w:rPr>
          <w:szCs w:val="24"/>
          <w:lang w:eastAsia="zh-TW"/>
        </w:rPr>
        <w:t xml:space="preserve"> et al., 2011; </w:t>
      </w:r>
      <w:r w:rsidR="008C7CA9" w:rsidRPr="00961A3C">
        <w:rPr>
          <w:szCs w:val="24"/>
          <w:lang w:eastAsia="zh-TW"/>
        </w:rPr>
        <w:t>Bosshard</w:t>
      </w:r>
      <w:r w:rsidR="008C7CA9">
        <w:rPr>
          <w:szCs w:val="24"/>
          <w:lang w:eastAsia="zh-TW"/>
        </w:rPr>
        <w:t xml:space="preserve"> et al., 2013; </w:t>
      </w:r>
      <w:r w:rsidR="008C7CA9">
        <w:t xml:space="preserve">Clark et al., 2016; </w:t>
      </w:r>
      <w:r w:rsidR="008C7CA9" w:rsidRPr="00961A3C">
        <w:rPr>
          <w:szCs w:val="24"/>
          <w:lang w:eastAsia="zh-TW"/>
        </w:rPr>
        <w:t>Meresa and</w:t>
      </w:r>
      <w:r w:rsidR="008C7CA9">
        <w:rPr>
          <w:szCs w:val="24"/>
          <w:lang w:eastAsia="zh-TW"/>
        </w:rPr>
        <w:t xml:space="preserve"> </w:t>
      </w:r>
      <w:r w:rsidR="008C7CA9" w:rsidRPr="00961A3C">
        <w:rPr>
          <w:szCs w:val="24"/>
          <w:lang w:eastAsia="zh-TW"/>
        </w:rPr>
        <w:t>Romanowicz</w:t>
      </w:r>
      <w:r w:rsidR="008C7CA9">
        <w:rPr>
          <w:szCs w:val="24"/>
          <w:lang w:eastAsia="zh-TW"/>
        </w:rPr>
        <w:t xml:space="preserve">, 2017; </w:t>
      </w:r>
      <w:r w:rsidR="00F22D76" w:rsidRPr="007412CA">
        <w:rPr>
          <w:lang w:eastAsia="zh-TW"/>
        </w:rPr>
        <w:t xml:space="preserve">Alder </w:t>
      </w:r>
      <w:r w:rsidR="00F22D76">
        <w:rPr>
          <w:lang w:eastAsia="zh-TW"/>
        </w:rPr>
        <w:t xml:space="preserve">and </w:t>
      </w:r>
      <w:r w:rsidR="00F22D76" w:rsidRPr="007412CA">
        <w:rPr>
          <w:lang w:eastAsia="zh-TW"/>
        </w:rPr>
        <w:t>Hostetler</w:t>
      </w:r>
      <w:r w:rsidR="00F22D76">
        <w:rPr>
          <w:lang w:eastAsia="zh-TW"/>
        </w:rPr>
        <w:t>,</w:t>
      </w:r>
      <w:r w:rsidR="00F22D76" w:rsidRPr="007412CA">
        <w:rPr>
          <w:lang w:eastAsia="zh-TW"/>
        </w:rPr>
        <w:t xml:space="preserve"> 2019</w:t>
      </w:r>
      <w:r w:rsidR="00F22D76">
        <w:rPr>
          <w:lang w:eastAsia="zh-TW"/>
        </w:rPr>
        <w:t xml:space="preserve">; </w:t>
      </w:r>
      <w:r w:rsidR="008C7CA9" w:rsidRPr="00F51244">
        <w:t xml:space="preserve">Chegwidden </w:t>
      </w:r>
      <w:r w:rsidR="008C7CA9">
        <w:t xml:space="preserve">et al., 2019; and </w:t>
      </w:r>
      <w:r w:rsidR="008C7CA9" w:rsidRPr="006624D8">
        <w:t xml:space="preserve">Gangrade </w:t>
      </w:r>
      <w:r w:rsidR="008C7CA9">
        <w:t xml:space="preserve">et al., 2020) have </w:t>
      </w:r>
      <w:r w:rsidR="00637699">
        <w:t>explore</w:t>
      </w:r>
      <w:r w:rsidR="00D64187">
        <w:t>d</w:t>
      </w:r>
      <w:r w:rsidR="00637699">
        <w:t xml:space="preserve"> factors other than GCM selection and cautioned that</w:t>
      </w:r>
      <w:r w:rsidR="008C7CA9">
        <w:t xml:space="preserve"> these </w:t>
      </w:r>
      <w:r w:rsidR="008C7CA9" w:rsidRPr="00637699">
        <w:t>methodological choices</w:t>
      </w:r>
      <w:r w:rsidR="008C7CA9">
        <w:t xml:space="preserve"> may have a stronger influence than originally expected because they can be process/location specific and sometimes may control the direction of projected future hydroclimate conditions.</w:t>
      </w:r>
    </w:p>
    <w:p w14:paraId="2478D5A3" w14:textId="78AAEEFB" w:rsidR="000D185C" w:rsidRDefault="000D185C" w:rsidP="007A3F5E">
      <w:pPr>
        <w:pStyle w:val="BodyText"/>
      </w:pPr>
      <w:r>
        <w:rPr>
          <w:snapToGrid/>
        </w:rPr>
        <w:t>The previous 9505 assessments (</w:t>
      </w:r>
      <w:r w:rsidRPr="002F7217">
        <w:rPr>
          <w:snapToGrid/>
        </w:rPr>
        <w:t>Sale et al., 2012</w:t>
      </w:r>
      <w:r w:rsidR="009C20AA">
        <w:rPr>
          <w:snapToGrid/>
        </w:rPr>
        <w:t xml:space="preserve"> and </w:t>
      </w:r>
      <w:r w:rsidRPr="002F7217">
        <w:rPr>
          <w:snapToGrid/>
        </w:rPr>
        <w:t>Kao et al., 2016</w:t>
      </w:r>
      <w:r>
        <w:rPr>
          <w:snapToGrid/>
        </w:rPr>
        <w:t xml:space="preserve">) followed the conventional approach that only considered the </w:t>
      </w:r>
      <w:r w:rsidR="00DA0229">
        <w:rPr>
          <w:snapToGrid/>
        </w:rPr>
        <w:t>GCM-driven projections</w:t>
      </w:r>
      <w:r w:rsidR="001073FB">
        <w:rPr>
          <w:snapToGrid/>
        </w:rPr>
        <w:t xml:space="preserve"> as the source of uncertainty</w:t>
      </w:r>
      <w:r w:rsidR="007A3F5E">
        <w:rPr>
          <w:snapToGrid/>
        </w:rPr>
        <w:t xml:space="preserve">, </w:t>
      </w:r>
      <w:r w:rsidR="00D64187">
        <w:rPr>
          <w:snapToGrid/>
        </w:rPr>
        <w:t>using</w:t>
      </w:r>
      <w:r w:rsidR="007A3F5E" w:rsidRPr="007A3F5E">
        <w:rPr>
          <w:snapToGrid/>
        </w:rPr>
        <w:t xml:space="preserve"> variability </w:t>
      </w:r>
      <w:r w:rsidR="007A3F5E">
        <w:rPr>
          <w:snapToGrid/>
        </w:rPr>
        <w:t xml:space="preserve">among different GCM-driven </w:t>
      </w:r>
      <w:r w:rsidR="007A3F5E" w:rsidRPr="007A3F5E">
        <w:rPr>
          <w:snapToGrid/>
        </w:rPr>
        <w:t>projection</w:t>
      </w:r>
      <w:r w:rsidR="007A3F5E">
        <w:rPr>
          <w:snapToGrid/>
        </w:rPr>
        <w:t>s</w:t>
      </w:r>
      <w:r w:rsidR="007A3F5E" w:rsidRPr="007A3F5E">
        <w:rPr>
          <w:snapToGrid/>
        </w:rPr>
        <w:t xml:space="preserve"> as a proxy for uncertainty</w:t>
      </w:r>
      <w:r w:rsidR="007A3F5E">
        <w:rPr>
          <w:snapToGrid/>
        </w:rPr>
        <w:t>. T</w:t>
      </w:r>
      <w:r w:rsidR="00DA0229">
        <w:rPr>
          <w:snapToGrid/>
        </w:rPr>
        <w:t xml:space="preserve">he results were </w:t>
      </w:r>
      <w:r w:rsidR="007A3F5E">
        <w:rPr>
          <w:snapToGrid/>
        </w:rPr>
        <w:t xml:space="preserve">then </w:t>
      </w:r>
      <w:r w:rsidR="00DA0229">
        <w:rPr>
          <w:snapToGrid/>
        </w:rPr>
        <w:t xml:space="preserve">derived based on only one </w:t>
      </w:r>
      <w:r w:rsidR="00E80222">
        <w:rPr>
          <w:snapToGrid/>
        </w:rPr>
        <w:t>DS</w:t>
      </w:r>
      <w:r w:rsidR="00DA0229">
        <w:rPr>
          <w:snapToGrid/>
        </w:rPr>
        <w:t xml:space="preserve">, one </w:t>
      </w:r>
      <w:r w:rsidR="001073FB">
        <w:rPr>
          <w:snapToGrid/>
        </w:rPr>
        <w:t xml:space="preserve">reference </w:t>
      </w:r>
      <w:r w:rsidR="00DA0229">
        <w:rPr>
          <w:snapToGrid/>
        </w:rPr>
        <w:t xml:space="preserve">meteorological observation, one </w:t>
      </w:r>
      <w:r w:rsidR="00E80222">
        <w:rPr>
          <w:snapToGrid/>
        </w:rPr>
        <w:t>HM</w:t>
      </w:r>
      <w:r w:rsidR="00D64187">
        <w:rPr>
          <w:snapToGrid/>
        </w:rPr>
        <w:t>,</w:t>
      </w:r>
      <w:r w:rsidR="00DA0229">
        <w:rPr>
          <w:snapToGrid/>
        </w:rPr>
        <w:t xml:space="preserve"> and one </w:t>
      </w:r>
      <w:r w:rsidR="008C3834">
        <w:rPr>
          <w:snapToGrid/>
        </w:rPr>
        <w:t>PM</w:t>
      </w:r>
      <w:r>
        <w:rPr>
          <w:snapToGrid/>
        </w:rPr>
        <w:t xml:space="preserve">. Although these models were calibrated based on the best available observations, </w:t>
      </w:r>
      <w:r w:rsidR="00377078" w:rsidRPr="00377078">
        <w:rPr>
          <w:snapToGrid/>
        </w:rPr>
        <w:t>it was unknown whether a different model</w:t>
      </w:r>
      <w:r w:rsidR="00377078">
        <w:rPr>
          <w:snapToGrid/>
        </w:rPr>
        <w:t>,</w:t>
      </w:r>
      <w:r w:rsidR="00377078" w:rsidRPr="00377078">
        <w:rPr>
          <w:snapToGrid/>
        </w:rPr>
        <w:t xml:space="preserve"> calibration</w:t>
      </w:r>
      <w:r w:rsidR="00D64187">
        <w:rPr>
          <w:snapToGrid/>
        </w:rPr>
        <w:t>,</w:t>
      </w:r>
      <w:r w:rsidR="00377078" w:rsidRPr="00377078">
        <w:rPr>
          <w:snapToGrid/>
        </w:rPr>
        <w:t xml:space="preserve"> or downscaling</w:t>
      </w:r>
      <w:r w:rsidR="00377078">
        <w:rPr>
          <w:snapToGrid/>
        </w:rPr>
        <w:t xml:space="preserve"> approach</w:t>
      </w:r>
      <w:r w:rsidR="00377078" w:rsidRPr="00377078">
        <w:rPr>
          <w:snapToGrid/>
        </w:rPr>
        <w:t xml:space="preserve"> would have led to a considerably different projection.</w:t>
      </w:r>
      <w:r w:rsidR="00377078">
        <w:rPr>
          <w:snapToGrid/>
        </w:rPr>
        <w:t xml:space="preserve"> </w:t>
      </w:r>
      <w:r>
        <w:rPr>
          <w:snapToGrid/>
        </w:rPr>
        <w:t xml:space="preserve">This lack of clarity could lower the confidence of the assessment findings and lead to a biased interpretation of climate </w:t>
      </w:r>
      <w:r w:rsidR="00E625C9">
        <w:rPr>
          <w:snapToGrid/>
        </w:rPr>
        <w:t>change–</w:t>
      </w:r>
      <w:r>
        <w:rPr>
          <w:snapToGrid/>
        </w:rPr>
        <w:t xml:space="preserve">induced risks </w:t>
      </w:r>
      <w:r w:rsidR="00E625C9">
        <w:rPr>
          <w:snapToGrid/>
        </w:rPr>
        <w:t xml:space="preserve">to </w:t>
      </w:r>
      <w:r>
        <w:rPr>
          <w:snapToGrid/>
        </w:rPr>
        <w:t>future federal hydropower generation.</w:t>
      </w:r>
    </w:p>
    <w:p w14:paraId="1A513F67" w14:textId="3AEC1DA8" w:rsidR="002E1F4D" w:rsidRDefault="00AA010A" w:rsidP="002E1F4D">
      <w:pPr>
        <w:pStyle w:val="BodyText"/>
      </w:pPr>
      <w:r>
        <w:rPr>
          <w:snapToGrid/>
        </w:rPr>
        <w:t>Overall, an ensemble assessment approach was required to better understand how the choice of downscaling, hydrologic, and hydropower modeling approaches affected the projection of future federal hydropower generation and improved the confidence of the assessment findings. This approach involved alternative models,</w:t>
      </w:r>
      <w:r w:rsidR="00D64187">
        <w:rPr>
          <w:snapToGrid/>
        </w:rPr>
        <w:t xml:space="preserve"> data sets,</w:t>
      </w:r>
      <w:r>
        <w:rPr>
          <w:snapToGrid/>
        </w:rPr>
        <w:t xml:space="preserve"> and analytical methods. By creating an ensemble of future hydrologic and hydropower projections with varying controlling factors, a further statistical analysis was conducted to quantify the relative contribution of each factor. This further insight helped identify the key controlling processes and also suggested areas of improvement in future research and development efforts.</w:t>
      </w:r>
    </w:p>
    <w:p w14:paraId="5727BB47" w14:textId="22C049CB" w:rsidR="002E1F4D" w:rsidRDefault="002E1F4D" w:rsidP="002E1F4D">
      <w:pPr>
        <w:pStyle w:val="BodyText"/>
      </w:pPr>
      <w:r>
        <w:rPr>
          <w:snapToGrid/>
        </w:rPr>
        <w:t xml:space="preserve">Based on extensive consultation with several federal hydropower stakeholder groups, </w:t>
      </w:r>
      <w:r w:rsidR="002C51BA">
        <w:rPr>
          <w:snapToGrid/>
        </w:rPr>
        <w:t xml:space="preserve">a </w:t>
      </w:r>
      <w:r>
        <w:rPr>
          <w:snapToGrid/>
        </w:rPr>
        <w:t xml:space="preserve">design </w:t>
      </w:r>
      <w:r w:rsidR="002C51BA">
        <w:rPr>
          <w:snapToGrid/>
        </w:rPr>
        <w:t xml:space="preserve">for </w:t>
      </w:r>
      <w:r w:rsidR="003D4EF8">
        <w:rPr>
          <w:snapToGrid/>
        </w:rPr>
        <w:t xml:space="preserve">the </w:t>
      </w:r>
      <w:r>
        <w:rPr>
          <w:snapToGrid/>
        </w:rPr>
        <w:t>ensemble simulation used in this assessment</w:t>
      </w:r>
      <w:r w:rsidR="00FE28A2">
        <w:rPr>
          <w:snapToGrid/>
        </w:rPr>
        <w:t xml:space="preserve"> was developed and</w:t>
      </w:r>
      <w:r>
        <w:rPr>
          <w:snapToGrid/>
        </w:rPr>
        <w:t xml:space="preserve"> is illustrated in </w:t>
      </w:r>
      <w:r>
        <w:rPr>
          <w:snapToGrid/>
        </w:rPr>
        <w:fldChar w:fldCharType="begin"/>
      </w:r>
      <w:r>
        <w:rPr>
          <w:snapToGrid/>
        </w:rPr>
        <w:instrText xml:space="preserve"> REF _Ref72830666 \h </w:instrText>
      </w:r>
      <w:r>
        <w:rPr>
          <w:snapToGrid/>
        </w:rPr>
      </w:r>
      <w:r>
        <w:rPr>
          <w:snapToGrid/>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w:t>
      </w:r>
      <w:r>
        <w:rPr>
          <w:snapToGrid/>
        </w:rPr>
        <w:fldChar w:fldCharType="end"/>
      </w:r>
      <w:r>
        <w:rPr>
          <w:snapToGrid/>
        </w:rPr>
        <w:t>. The ensemble include</w:t>
      </w:r>
      <w:r w:rsidR="00D64187">
        <w:rPr>
          <w:snapToGrid/>
        </w:rPr>
        <w:t>d</w:t>
      </w:r>
      <w:r>
        <w:rPr>
          <w:snapToGrid/>
        </w:rPr>
        <w:t xml:space="preserve"> six selected CMIP6 GCM outputs, two </w:t>
      </w:r>
      <w:r w:rsidR="00C84FBC">
        <w:rPr>
          <w:snapToGrid/>
        </w:rPr>
        <w:t>DSs</w:t>
      </w:r>
      <w:r>
        <w:rPr>
          <w:snapToGrid/>
        </w:rPr>
        <w:t xml:space="preserve">, two </w:t>
      </w:r>
      <w:r w:rsidR="00D83EC4">
        <w:rPr>
          <w:snapToGrid/>
        </w:rPr>
        <w:t>MetFs</w:t>
      </w:r>
      <w:r>
        <w:rPr>
          <w:snapToGrid/>
        </w:rPr>
        <w:t xml:space="preserve">, </w:t>
      </w:r>
      <w:r w:rsidR="00E81A60">
        <w:rPr>
          <w:snapToGrid/>
        </w:rPr>
        <w:t xml:space="preserve">two HMs, </w:t>
      </w:r>
      <w:r>
        <w:rPr>
          <w:snapToGrid/>
        </w:rPr>
        <w:t xml:space="preserve">and two regional </w:t>
      </w:r>
      <w:r w:rsidR="00533D84">
        <w:rPr>
          <w:snapToGrid/>
        </w:rPr>
        <w:t>PM</w:t>
      </w:r>
      <w:r>
        <w:rPr>
          <w:snapToGrid/>
        </w:rPr>
        <w:t xml:space="preserve">s. The </w:t>
      </w:r>
      <w:r w:rsidR="00632F51">
        <w:rPr>
          <w:snapToGrid/>
        </w:rPr>
        <w:t>alternative</w:t>
      </w:r>
      <w:r>
        <w:rPr>
          <w:snapToGrid/>
        </w:rPr>
        <w:t xml:space="preserve"> modeling components </w:t>
      </w:r>
      <w:r w:rsidR="00632F51">
        <w:rPr>
          <w:snapToGrid/>
        </w:rPr>
        <w:t>and supporting</w:t>
      </w:r>
      <w:r w:rsidR="00D64187">
        <w:rPr>
          <w:snapToGrid/>
        </w:rPr>
        <w:t xml:space="preserve"> </w:t>
      </w:r>
      <w:r w:rsidR="005606E5">
        <w:rPr>
          <w:snapToGrid/>
        </w:rPr>
        <w:t>data sets</w:t>
      </w:r>
      <w:r w:rsidR="00D64187">
        <w:rPr>
          <w:snapToGrid/>
        </w:rPr>
        <w:t xml:space="preserve"> were </w:t>
      </w:r>
      <w:r w:rsidR="00632F51">
        <w:rPr>
          <w:snapToGrid/>
        </w:rPr>
        <w:t xml:space="preserve">dissimilar by nature (e.g., dynamical </w:t>
      </w:r>
      <w:r w:rsidR="004C64B7">
        <w:rPr>
          <w:snapToGrid/>
        </w:rPr>
        <w:t xml:space="preserve">vs. </w:t>
      </w:r>
      <w:r w:rsidR="00632F51">
        <w:rPr>
          <w:snapToGrid/>
        </w:rPr>
        <w:t xml:space="preserve">statistical downscaling) but </w:t>
      </w:r>
      <w:r w:rsidR="00D64187">
        <w:rPr>
          <w:snapToGrid/>
        </w:rPr>
        <w:t xml:space="preserve">were </w:t>
      </w:r>
      <w:r w:rsidR="00632F51">
        <w:rPr>
          <w:snapToGrid/>
        </w:rPr>
        <w:t xml:space="preserve">all </w:t>
      </w:r>
      <w:r>
        <w:rPr>
          <w:snapToGrid/>
        </w:rPr>
        <w:t>commonly used in many hydroclimate studies</w:t>
      </w:r>
      <w:r w:rsidR="00632F51">
        <w:rPr>
          <w:snapToGrid/>
        </w:rPr>
        <w:t xml:space="preserve">. All selected models </w:t>
      </w:r>
      <w:r w:rsidR="00D64187">
        <w:rPr>
          <w:snapToGrid/>
        </w:rPr>
        <w:t xml:space="preserve">were </w:t>
      </w:r>
      <w:r>
        <w:rPr>
          <w:snapToGrid/>
        </w:rPr>
        <w:t xml:space="preserve">intensively calibrated/validated based on the best available historic observations before </w:t>
      </w:r>
      <w:r w:rsidR="00E50835">
        <w:rPr>
          <w:snapToGrid/>
        </w:rPr>
        <w:t xml:space="preserve">being </w:t>
      </w:r>
      <w:r w:rsidR="00E50835">
        <w:rPr>
          <w:snapToGrid/>
        </w:rPr>
        <w:lastRenderedPageBreak/>
        <w:t xml:space="preserve">incorporated </w:t>
      </w:r>
      <w:r>
        <w:rPr>
          <w:snapToGrid/>
        </w:rPr>
        <w:t>in</w:t>
      </w:r>
      <w:r w:rsidR="00E50835">
        <w:rPr>
          <w:snapToGrid/>
        </w:rPr>
        <w:t>to</w:t>
      </w:r>
      <w:r>
        <w:rPr>
          <w:snapToGrid/>
        </w:rPr>
        <w:t xml:space="preserve"> the assessment framework. When moving down the assessment chain, the size of</w:t>
      </w:r>
      <w:r w:rsidR="000A6B0D">
        <w:rPr>
          <w:snapToGrid/>
        </w:rPr>
        <w:t xml:space="preserve"> the</w:t>
      </w:r>
      <w:r>
        <w:rPr>
          <w:snapToGrid/>
        </w:rPr>
        <w:t xml:space="preserve"> ensemble increase</w:t>
      </w:r>
      <w:r w:rsidR="00D64187">
        <w:rPr>
          <w:snapToGrid/>
        </w:rPr>
        <w:t>d</w:t>
      </w:r>
      <w:r>
        <w:rPr>
          <w:snapToGrid/>
        </w:rPr>
        <w:t xml:space="preserve"> and eventually result</w:t>
      </w:r>
      <w:r w:rsidR="00D64187">
        <w:rPr>
          <w:snapToGrid/>
        </w:rPr>
        <w:t>ed</w:t>
      </w:r>
      <w:r>
        <w:rPr>
          <w:snapToGrid/>
        </w:rPr>
        <w:t xml:space="preserve"> in 96 sets of future hydropower generation</w:t>
      </w:r>
      <w:r w:rsidR="000A6B0D">
        <w:rPr>
          <w:snapToGrid/>
        </w:rPr>
        <w:t xml:space="preserve"> projections</w:t>
      </w:r>
      <w:r>
        <w:rPr>
          <w:snapToGrid/>
        </w:rPr>
        <w:t xml:space="preserve">. Although including additional models and factors in the ensemble mix would be a desirable option, it would also lead to an exponential increase </w:t>
      </w:r>
      <w:r w:rsidR="000A6B0D">
        <w:rPr>
          <w:snapToGrid/>
        </w:rPr>
        <w:t xml:space="preserve">in </w:t>
      </w:r>
      <w:r>
        <w:rPr>
          <w:snapToGrid/>
        </w:rPr>
        <w:t xml:space="preserve">the ensemble size and </w:t>
      </w:r>
      <w:r w:rsidR="00575FAF">
        <w:rPr>
          <w:snapToGrid/>
        </w:rPr>
        <w:t xml:space="preserve">was </w:t>
      </w:r>
      <w:r w:rsidR="00632F51">
        <w:rPr>
          <w:snapToGrid/>
        </w:rPr>
        <w:t xml:space="preserve">not </w:t>
      </w:r>
      <w:r>
        <w:rPr>
          <w:snapToGrid/>
        </w:rPr>
        <w:t>feasible given the assessment timeline and resource limitations</w:t>
      </w:r>
      <w:r w:rsidR="00750EBD">
        <w:rPr>
          <w:snapToGrid/>
        </w:rPr>
        <w:t xml:space="preserve"> (e.g., </w:t>
      </w:r>
      <w:r w:rsidR="00750EBD">
        <w:t>computational resources, time constraints</w:t>
      </w:r>
      <w:r w:rsidR="00750EBD">
        <w:rPr>
          <w:snapToGrid/>
        </w:rPr>
        <w:t>)</w:t>
      </w:r>
      <w:r>
        <w:rPr>
          <w:snapToGrid/>
        </w:rPr>
        <w:t>. The design of</w:t>
      </w:r>
      <w:r w:rsidR="00EE5E6C">
        <w:rPr>
          <w:snapToGrid/>
        </w:rPr>
        <w:t xml:space="preserve"> the</w:t>
      </w:r>
      <w:r>
        <w:rPr>
          <w:snapToGrid/>
        </w:rPr>
        <w:t xml:space="preserve"> ensemble simulation </w:t>
      </w:r>
      <w:r w:rsidR="00EE5E6C">
        <w:rPr>
          <w:snapToGrid/>
        </w:rPr>
        <w:t>(</w:t>
      </w:r>
      <w:r>
        <w:rPr>
          <w:snapToGrid/>
        </w:rPr>
        <w:fldChar w:fldCharType="begin"/>
      </w:r>
      <w:r>
        <w:rPr>
          <w:snapToGrid/>
        </w:rPr>
        <w:instrText xml:space="preserve"> REF _Ref72830666 \h </w:instrText>
      </w:r>
      <w:r>
        <w:rPr>
          <w:snapToGrid/>
        </w:rPr>
      </w:r>
      <w:r>
        <w:rPr>
          <w:snapToGrid/>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w:t>
      </w:r>
      <w:r>
        <w:rPr>
          <w:snapToGrid/>
        </w:rPr>
        <w:fldChar w:fldCharType="end"/>
      </w:r>
      <w:r w:rsidR="00EE5E6C">
        <w:rPr>
          <w:snapToGrid/>
        </w:rPr>
        <w:t>)</w:t>
      </w:r>
      <w:r>
        <w:rPr>
          <w:snapToGrid/>
        </w:rPr>
        <w:t xml:space="preserve"> represents the best effort to balance the comprehensiveness and feasibility of this assessment.</w:t>
      </w:r>
    </w:p>
    <w:p w14:paraId="7CED353A" w14:textId="1614BBC3" w:rsidR="00E6571C" w:rsidRDefault="0047567A" w:rsidP="00A33CBF">
      <w:pPr>
        <w:pStyle w:val="FIGUREposition"/>
        <w:rPr>
          <w:snapToGrid/>
        </w:rPr>
      </w:pPr>
      <w:r>
        <w:rPr>
          <w:noProof/>
          <w:snapToGrid/>
        </w:rPr>
        <w:drawing>
          <wp:inline distT="0" distB="0" distL="0" distR="0" wp14:anchorId="76BA9106" wp14:editId="2189E1B5">
            <wp:extent cx="5942764" cy="3082954"/>
            <wp:effectExtent l="0" t="0" r="127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221" b="-1"/>
                    <a:stretch/>
                  </pic:blipFill>
                  <pic:spPr bwMode="auto">
                    <a:xfrm>
                      <a:off x="0" y="0"/>
                      <a:ext cx="5943600" cy="3083387"/>
                    </a:xfrm>
                    <a:prstGeom prst="rect">
                      <a:avLst/>
                    </a:prstGeom>
                    <a:noFill/>
                    <a:ln>
                      <a:noFill/>
                    </a:ln>
                    <a:extLst>
                      <a:ext uri="{53640926-AAD7-44D8-BBD7-CCE9431645EC}">
                        <a14:shadowObscured xmlns:a14="http://schemas.microsoft.com/office/drawing/2010/main"/>
                      </a:ext>
                    </a:extLst>
                  </pic:spPr>
                </pic:pic>
              </a:graphicData>
            </a:graphic>
          </wp:inline>
        </w:drawing>
      </w:r>
    </w:p>
    <w:p w14:paraId="68EE9962" w14:textId="1A2EB824" w:rsidR="00E6571C" w:rsidRPr="006869CA" w:rsidRDefault="00E6571C" w:rsidP="00A33CBF">
      <w:pPr>
        <w:pStyle w:val="FigureCaption"/>
      </w:pPr>
      <w:bookmarkStart w:id="63" w:name="_Ref72830666"/>
      <w:bookmarkStart w:id="64" w:name="_Toc113380865"/>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w:t>
      </w:r>
      <w:r w:rsidRPr="006869CA">
        <w:rPr>
          <w:lang w:eastAsia="zh-TW"/>
        </w:rPr>
        <w:fldChar w:fldCharType="end"/>
      </w:r>
      <w:bookmarkEnd w:id="63"/>
      <w:r w:rsidRPr="006869CA">
        <w:rPr>
          <w:lang w:eastAsia="zh-TW"/>
        </w:rPr>
        <w:t xml:space="preserve">. </w:t>
      </w:r>
      <w:r w:rsidR="009D4892">
        <w:rPr>
          <w:lang w:eastAsia="zh-TW"/>
        </w:rPr>
        <w:t>Multimodel e</w:t>
      </w:r>
      <w:r w:rsidR="00FB7096">
        <w:rPr>
          <w:lang w:eastAsia="zh-TW"/>
        </w:rPr>
        <w:t xml:space="preserve">nsemble simulation conducted for </w:t>
      </w:r>
      <w:r>
        <w:rPr>
          <w:lang w:eastAsia="zh-TW"/>
        </w:rPr>
        <w:t>this assessment.</w:t>
      </w:r>
      <w:bookmarkEnd w:id="64"/>
    </w:p>
    <w:p w14:paraId="3DEE2006" w14:textId="191C6E5F" w:rsidR="00DA0229" w:rsidRPr="006F3537" w:rsidRDefault="00DA0229" w:rsidP="00DA0229">
      <w:pPr>
        <w:pStyle w:val="BodyText"/>
        <w:rPr>
          <w:szCs w:val="24"/>
        </w:rPr>
      </w:pPr>
      <w:r>
        <w:rPr>
          <w:snapToGrid/>
        </w:rPr>
        <w:t>Overall, t</w:t>
      </w:r>
      <w:r w:rsidRPr="006F3537">
        <w:rPr>
          <w:szCs w:val="24"/>
        </w:rPr>
        <w:t>his study focus</w:t>
      </w:r>
      <w:r>
        <w:rPr>
          <w:szCs w:val="24"/>
        </w:rPr>
        <w:t>e</w:t>
      </w:r>
      <w:r w:rsidR="007F5630">
        <w:rPr>
          <w:szCs w:val="24"/>
        </w:rPr>
        <w:t>d</w:t>
      </w:r>
      <w:r w:rsidRPr="006F3537">
        <w:rPr>
          <w:szCs w:val="24"/>
        </w:rPr>
        <w:t xml:space="preserve"> on </w:t>
      </w:r>
      <w:r>
        <w:rPr>
          <w:szCs w:val="24"/>
        </w:rPr>
        <w:t xml:space="preserve">a </w:t>
      </w:r>
      <w:r w:rsidRPr="006F3537">
        <w:rPr>
          <w:szCs w:val="24"/>
        </w:rPr>
        <w:t xml:space="preserve">regional assessment of the </w:t>
      </w:r>
      <w:r w:rsidR="009B31CD">
        <w:rPr>
          <w:szCs w:val="24"/>
        </w:rPr>
        <w:t>18</w:t>
      </w:r>
      <w:r w:rsidR="009B31CD" w:rsidRPr="006F3537">
        <w:rPr>
          <w:szCs w:val="24"/>
        </w:rPr>
        <w:t xml:space="preserve"> </w:t>
      </w:r>
      <w:r w:rsidRPr="006F3537">
        <w:rPr>
          <w:szCs w:val="24"/>
        </w:rPr>
        <w:t>PMA study areas rather than individual reservoir</w:t>
      </w:r>
      <w:r>
        <w:rPr>
          <w:szCs w:val="24"/>
        </w:rPr>
        <w:t xml:space="preserve">s or </w:t>
      </w:r>
      <w:r w:rsidRPr="006F3537">
        <w:rPr>
          <w:szCs w:val="24"/>
        </w:rPr>
        <w:t>power plant</w:t>
      </w:r>
      <w:r>
        <w:rPr>
          <w:szCs w:val="24"/>
        </w:rPr>
        <w:t>s. This</w:t>
      </w:r>
      <w:r w:rsidR="00427E54">
        <w:rPr>
          <w:szCs w:val="24"/>
        </w:rPr>
        <w:t xml:space="preserve"> approach</w:t>
      </w:r>
      <w:r>
        <w:rPr>
          <w:szCs w:val="24"/>
        </w:rPr>
        <w:t xml:space="preserve"> enable</w:t>
      </w:r>
      <w:r w:rsidR="00575FAF">
        <w:rPr>
          <w:szCs w:val="24"/>
        </w:rPr>
        <w:t>d</w:t>
      </w:r>
      <w:r>
        <w:rPr>
          <w:szCs w:val="24"/>
        </w:rPr>
        <w:t xml:space="preserve"> a comprehensive evaluation of climate change impacts across many hydropower plants along distinct river systems</w:t>
      </w:r>
      <w:r w:rsidRPr="006F3537">
        <w:rPr>
          <w:szCs w:val="24"/>
        </w:rPr>
        <w:t xml:space="preserve">. Regionally lumped models or generalized indices </w:t>
      </w:r>
      <w:r w:rsidR="00575FAF">
        <w:rPr>
          <w:szCs w:val="24"/>
        </w:rPr>
        <w:t xml:space="preserve">were </w:t>
      </w:r>
      <w:r w:rsidRPr="006F3537">
        <w:rPr>
          <w:szCs w:val="24"/>
        </w:rPr>
        <w:t>u</w:t>
      </w:r>
      <w:r>
        <w:rPr>
          <w:szCs w:val="24"/>
        </w:rPr>
        <w:t>s</w:t>
      </w:r>
      <w:r w:rsidRPr="006F3537">
        <w:rPr>
          <w:szCs w:val="24"/>
        </w:rPr>
        <w:t xml:space="preserve">ed to evaluate the </w:t>
      </w:r>
      <w:r>
        <w:rPr>
          <w:szCs w:val="24"/>
        </w:rPr>
        <w:t>likelihood</w:t>
      </w:r>
      <w:r w:rsidRPr="006F3537">
        <w:rPr>
          <w:szCs w:val="24"/>
        </w:rPr>
        <w:t xml:space="preserve"> </w:t>
      </w:r>
      <w:r w:rsidR="00D909A0">
        <w:rPr>
          <w:szCs w:val="24"/>
        </w:rPr>
        <w:t xml:space="preserve">and relative spread </w:t>
      </w:r>
      <w:r>
        <w:rPr>
          <w:szCs w:val="24"/>
        </w:rPr>
        <w:t xml:space="preserve">of </w:t>
      </w:r>
      <w:r w:rsidR="00086332">
        <w:rPr>
          <w:szCs w:val="24"/>
        </w:rPr>
        <w:t xml:space="preserve">projected </w:t>
      </w:r>
      <w:r>
        <w:rPr>
          <w:szCs w:val="24"/>
        </w:rPr>
        <w:t>change</w:t>
      </w:r>
      <w:r w:rsidR="00086332">
        <w:rPr>
          <w:szCs w:val="24"/>
        </w:rPr>
        <w:t>s</w:t>
      </w:r>
      <w:r>
        <w:rPr>
          <w:szCs w:val="24"/>
        </w:rPr>
        <w:t xml:space="preserve"> regarding future </w:t>
      </w:r>
      <w:r w:rsidRPr="006F3537">
        <w:rPr>
          <w:szCs w:val="24"/>
        </w:rPr>
        <w:t>water availability,</w:t>
      </w:r>
      <w:r w:rsidRPr="00491DC3">
        <w:rPr>
          <w:rStyle w:val="BodyTextChar"/>
        </w:rPr>
        <w:t xml:space="preserve"> extreme high and low runoff events, hydropower generation, </w:t>
      </w:r>
      <w:r>
        <w:rPr>
          <w:rStyle w:val="BodyTextChar"/>
        </w:rPr>
        <w:t xml:space="preserve">reservoir evaporation loss, </w:t>
      </w:r>
      <w:r w:rsidRPr="00491DC3">
        <w:rPr>
          <w:rStyle w:val="BodyTextChar"/>
        </w:rPr>
        <w:t xml:space="preserve">and </w:t>
      </w:r>
      <w:r>
        <w:rPr>
          <w:rStyle w:val="BodyTextChar"/>
        </w:rPr>
        <w:t>change in temperature-driven energy demand</w:t>
      </w:r>
      <w:r w:rsidRPr="00491DC3">
        <w:rPr>
          <w:rStyle w:val="BodyTextChar"/>
        </w:rPr>
        <w:t xml:space="preserve"> within each </w:t>
      </w:r>
      <w:r>
        <w:rPr>
          <w:rStyle w:val="BodyTextChar"/>
        </w:rPr>
        <w:t xml:space="preserve">PMA </w:t>
      </w:r>
      <w:r w:rsidRPr="00491DC3">
        <w:rPr>
          <w:rStyle w:val="BodyTextChar"/>
        </w:rPr>
        <w:t>study area. Site-specific features</w:t>
      </w:r>
      <w:r>
        <w:rPr>
          <w:rStyle w:val="BodyTextChar"/>
        </w:rPr>
        <w:t>,</w:t>
      </w:r>
      <w:r w:rsidRPr="00491DC3">
        <w:rPr>
          <w:rStyle w:val="BodyTextChar"/>
        </w:rPr>
        <w:t xml:space="preserve"> such as reservoir operation rules, water withdraw</w:t>
      </w:r>
      <w:r>
        <w:rPr>
          <w:rStyle w:val="BodyTextChar"/>
        </w:rPr>
        <w:t>al</w:t>
      </w:r>
      <w:r w:rsidRPr="00491DC3">
        <w:rPr>
          <w:rStyle w:val="BodyTextChar"/>
        </w:rPr>
        <w:t>/return, environmental flow requirements, and energy generation</w:t>
      </w:r>
      <w:r w:rsidR="009D65DE">
        <w:rPr>
          <w:rStyle w:val="BodyTextChar"/>
        </w:rPr>
        <w:t>,</w:t>
      </w:r>
      <w:r w:rsidRPr="00491DC3">
        <w:rPr>
          <w:rStyle w:val="BodyTextChar"/>
        </w:rPr>
        <w:t xml:space="preserve"> </w:t>
      </w:r>
      <w:r w:rsidR="00575FAF">
        <w:rPr>
          <w:rStyle w:val="BodyTextChar"/>
        </w:rPr>
        <w:t xml:space="preserve">were </w:t>
      </w:r>
      <w:r w:rsidRPr="00491DC3">
        <w:rPr>
          <w:rStyle w:val="BodyTextChar"/>
        </w:rPr>
        <w:t>not explicitly modeled at each power plant. This generalized approach allow</w:t>
      </w:r>
      <w:r w:rsidR="00575FAF">
        <w:rPr>
          <w:rStyle w:val="BodyTextChar"/>
        </w:rPr>
        <w:t>ed</w:t>
      </w:r>
      <w:r w:rsidRPr="00491DC3">
        <w:rPr>
          <w:rStyle w:val="BodyTextChar"/>
        </w:rPr>
        <w:t xml:space="preserve"> for spatial consistency throughout all study areas, </w:t>
      </w:r>
      <w:r>
        <w:rPr>
          <w:rStyle w:val="BodyTextChar"/>
        </w:rPr>
        <w:t>helping</w:t>
      </w:r>
      <w:r w:rsidRPr="00491DC3">
        <w:rPr>
          <w:rStyle w:val="BodyTextChar"/>
        </w:rPr>
        <w:t xml:space="preserve"> policymakers evaluate</w:t>
      </w:r>
      <w:r>
        <w:rPr>
          <w:rStyle w:val="BodyTextChar"/>
        </w:rPr>
        <w:t xml:space="preserve"> and understand </w:t>
      </w:r>
      <w:r w:rsidRPr="00491DC3">
        <w:rPr>
          <w:rStyle w:val="BodyTextChar"/>
        </w:rPr>
        <w:t>potential climate change impacts across the entire federal hydropower portfolio. If an issue of concern is identified for a specific region (e.g., change of streamflow seasonality), a site-specific evalu</w:t>
      </w:r>
      <w:r w:rsidRPr="006F3537">
        <w:rPr>
          <w:szCs w:val="24"/>
        </w:rPr>
        <w:t xml:space="preserve">ation can be </w:t>
      </w:r>
      <w:r>
        <w:rPr>
          <w:szCs w:val="24"/>
        </w:rPr>
        <w:t xml:space="preserve">planned through other, future local studies. </w:t>
      </w:r>
      <w:r w:rsidRPr="006F3537">
        <w:rPr>
          <w:szCs w:val="24"/>
        </w:rPr>
        <w:t>T</w:t>
      </w:r>
      <w:r>
        <w:rPr>
          <w:szCs w:val="24"/>
        </w:rPr>
        <w:t>he</w:t>
      </w:r>
      <w:r w:rsidRPr="006F3537">
        <w:rPr>
          <w:szCs w:val="24"/>
        </w:rPr>
        <w:t xml:space="preserve"> proposed assessment method </w:t>
      </w:r>
      <w:r>
        <w:rPr>
          <w:szCs w:val="24"/>
        </w:rPr>
        <w:t>does</w:t>
      </w:r>
      <w:r w:rsidRPr="006F3537">
        <w:rPr>
          <w:szCs w:val="24"/>
        </w:rPr>
        <w:t xml:space="preserve"> not replace the existing </w:t>
      </w:r>
      <w:r>
        <w:rPr>
          <w:szCs w:val="24"/>
        </w:rPr>
        <w:t xml:space="preserve">site-specific </w:t>
      </w:r>
      <w:r w:rsidRPr="006F3537">
        <w:rPr>
          <w:szCs w:val="24"/>
        </w:rPr>
        <w:t>models</w:t>
      </w:r>
      <w:r>
        <w:rPr>
          <w:szCs w:val="24"/>
        </w:rPr>
        <w:t xml:space="preserve"> and</w:t>
      </w:r>
      <w:r w:rsidRPr="006F3537">
        <w:rPr>
          <w:szCs w:val="24"/>
        </w:rPr>
        <w:t xml:space="preserve"> tools </w:t>
      </w:r>
      <w:r>
        <w:rPr>
          <w:szCs w:val="24"/>
        </w:rPr>
        <w:t>now used</w:t>
      </w:r>
      <w:r w:rsidRPr="006F3537">
        <w:rPr>
          <w:szCs w:val="24"/>
        </w:rPr>
        <w:t xml:space="preserve"> by water</w:t>
      </w:r>
      <w:r>
        <w:rPr>
          <w:szCs w:val="24"/>
        </w:rPr>
        <w:t xml:space="preserve"> and energy resource managers. This </w:t>
      </w:r>
      <w:r w:rsidRPr="006F3537">
        <w:rPr>
          <w:szCs w:val="24"/>
        </w:rPr>
        <w:t>study provides a first</w:t>
      </w:r>
      <w:r>
        <w:rPr>
          <w:szCs w:val="24"/>
        </w:rPr>
        <w:t>-</w:t>
      </w:r>
      <w:r w:rsidRPr="006F3537">
        <w:rPr>
          <w:szCs w:val="24"/>
        </w:rPr>
        <w:t xml:space="preserve">order assessment to identify areas with </w:t>
      </w:r>
      <w:r>
        <w:rPr>
          <w:szCs w:val="24"/>
        </w:rPr>
        <w:t xml:space="preserve">the </w:t>
      </w:r>
      <w:r w:rsidRPr="006F3537">
        <w:rPr>
          <w:szCs w:val="24"/>
        </w:rPr>
        <w:t>highest risk under projected climate conditions.</w:t>
      </w:r>
    </w:p>
    <w:p w14:paraId="3AE35E95" w14:textId="77777777" w:rsidR="00357BBE" w:rsidRPr="00491DC3" w:rsidRDefault="00357BBE" w:rsidP="00AD0C1C">
      <w:pPr>
        <w:pStyle w:val="Heading2"/>
      </w:pPr>
      <w:bookmarkStart w:id="65" w:name="_Ref425755916"/>
      <w:bookmarkStart w:id="66" w:name="_Toc113380764"/>
      <w:r w:rsidRPr="00491DC3">
        <w:t>Data Sources</w:t>
      </w:r>
      <w:bookmarkEnd w:id="65"/>
      <w:bookmarkEnd w:id="66"/>
    </w:p>
    <w:p w14:paraId="2ED6813B" w14:textId="59080D0A" w:rsidR="00185D05" w:rsidRDefault="008556A6" w:rsidP="00185D05">
      <w:pPr>
        <w:pStyle w:val="BodyText"/>
        <w:rPr>
          <w:lang w:eastAsia="zh-TW"/>
        </w:rPr>
      </w:pPr>
      <w:r w:rsidRPr="00550886">
        <w:rPr>
          <w:lang w:eastAsia="zh-TW"/>
        </w:rPr>
        <w:t>To support model development and verification at various stages of the assessment, a variety of data and observation</w:t>
      </w:r>
      <w:r>
        <w:rPr>
          <w:lang w:eastAsia="zh-TW"/>
        </w:rPr>
        <w:t>s</w:t>
      </w:r>
      <w:r w:rsidRPr="00550886">
        <w:rPr>
          <w:lang w:eastAsia="zh-TW"/>
        </w:rPr>
        <w:t xml:space="preserve"> </w:t>
      </w:r>
      <w:r w:rsidR="00FB09F7">
        <w:rPr>
          <w:lang w:eastAsia="zh-TW"/>
        </w:rPr>
        <w:t>were</w:t>
      </w:r>
      <w:r w:rsidR="00FB09F7" w:rsidRPr="00550886">
        <w:rPr>
          <w:lang w:eastAsia="zh-TW"/>
        </w:rPr>
        <w:t xml:space="preserve"> </w:t>
      </w:r>
      <w:r w:rsidR="00FB09F7">
        <w:rPr>
          <w:lang w:eastAsia="zh-TW"/>
        </w:rPr>
        <w:t>assembled</w:t>
      </w:r>
      <w:r w:rsidR="00FB09F7" w:rsidRPr="00550886">
        <w:rPr>
          <w:lang w:eastAsia="zh-TW"/>
        </w:rPr>
        <w:t xml:space="preserve"> in this study</w:t>
      </w:r>
      <w:r w:rsidRPr="00550886">
        <w:rPr>
          <w:lang w:eastAsia="zh-TW"/>
        </w:rPr>
        <w:t xml:space="preserve"> (</w:t>
      </w:r>
      <w:r w:rsidR="00DA763C">
        <w:rPr>
          <w:lang w:eastAsia="zh-TW"/>
        </w:rPr>
        <w:fldChar w:fldCharType="begin"/>
      </w:r>
      <w:r w:rsidR="00DA763C">
        <w:rPr>
          <w:lang w:eastAsia="zh-TW"/>
        </w:rPr>
        <w:instrText xml:space="preserve"> REF _Ref83536819 \h </w:instrText>
      </w:r>
      <w:r w:rsidR="00DA763C">
        <w:rPr>
          <w:lang w:eastAsia="zh-TW"/>
        </w:rPr>
      </w:r>
      <w:r w:rsidR="00DA763C">
        <w:rPr>
          <w:lang w:eastAsia="zh-TW"/>
        </w:rPr>
        <w:fldChar w:fldCharType="separate"/>
      </w:r>
      <w:r w:rsidR="00EE0BF5" w:rsidRPr="004C5793">
        <w:rPr>
          <w:rFonts w:eastAsia="PMingLiU"/>
        </w:rPr>
        <w:t xml:space="preserve">Table </w:t>
      </w:r>
      <w:r w:rsidR="00EE0BF5">
        <w:rPr>
          <w:rFonts w:eastAsia="PMingLiU"/>
          <w:noProof/>
        </w:rPr>
        <w:t>2</w:t>
      </w:r>
      <w:r w:rsidR="00EE0BF5" w:rsidRPr="004C5793">
        <w:rPr>
          <w:rFonts w:eastAsia="PMingLiU"/>
        </w:rPr>
        <w:t>.</w:t>
      </w:r>
      <w:r w:rsidR="00EE0BF5">
        <w:rPr>
          <w:rFonts w:eastAsia="PMingLiU"/>
          <w:noProof/>
        </w:rPr>
        <w:t>1</w:t>
      </w:r>
      <w:r w:rsidR="00DA763C">
        <w:rPr>
          <w:lang w:eastAsia="zh-TW"/>
        </w:rPr>
        <w:fldChar w:fldCharType="end"/>
      </w:r>
      <w:r w:rsidRPr="00550886">
        <w:rPr>
          <w:lang w:eastAsia="zh-TW"/>
        </w:rPr>
        <w:t>). These</w:t>
      </w:r>
      <w:r w:rsidR="00D64187">
        <w:rPr>
          <w:lang w:eastAsia="zh-TW"/>
        </w:rPr>
        <w:t xml:space="preserve"> </w:t>
      </w:r>
      <w:r w:rsidR="005606E5">
        <w:rPr>
          <w:lang w:eastAsia="zh-TW"/>
        </w:rPr>
        <w:t>data sets</w:t>
      </w:r>
      <w:r w:rsidR="00D64187">
        <w:rPr>
          <w:lang w:eastAsia="zh-TW"/>
        </w:rPr>
        <w:t xml:space="preserve"> </w:t>
      </w:r>
      <w:r w:rsidRPr="00550886">
        <w:rPr>
          <w:lang w:eastAsia="zh-TW"/>
        </w:rPr>
        <w:t>include</w:t>
      </w:r>
      <w:r w:rsidR="00575FAF">
        <w:rPr>
          <w:lang w:eastAsia="zh-TW"/>
        </w:rPr>
        <w:t>d</w:t>
      </w:r>
      <w:r w:rsidRPr="00550886">
        <w:rPr>
          <w:lang w:eastAsia="zh-TW"/>
        </w:rPr>
        <w:t xml:space="preserve"> hydropower project characteristics</w:t>
      </w:r>
      <w:r w:rsidR="00DC56DC">
        <w:rPr>
          <w:lang w:eastAsia="zh-TW"/>
        </w:rPr>
        <w:t xml:space="preserve"> and </w:t>
      </w:r>
      <w:r w:rsidRPr="00550886">
        <w:rPr>
          <w:lang w:eastAsia="zh-TW"/>
        </w:rPr>
        <w:t>historic</w:t>
      </w:r>
      <w:r w:rsidR="00892BA9">
        <w:rPr>
          <w:lang w:eastAsia="zh-TW"/>
        </w:rPr>
        <w:t>al</w:t>
      </w:r>
      <w:r w:rsidR="00D2166C">
        <w:rPr>
          <w:lang w:eastAsia="zh-TW"/>
        </w:rPr>
        <w:t xml:space="preserve"> power</w:t>
      </w:r>
      <w:r w:rsidRPr="00550886">
        <w:rPr>
          <w:lang w:eastAsia="zh-TW"/>
        </w:rPr>
        <w:t xml:space="preserve"> </w:t>
      </w:r>
      <w:r w:rsidR="00DA0229" w:rsidRPr="00550886">
        <w:rPr>
          <w:lang w:eastAsia="zh-TW"/>
        </w:rPr>
        <w:t>generation</w:t>
      </w:r>
      <w:r w:rsidR="000A0923">
        <w:rPr>
          <w:lang w:eastAsia="zh-TW"/>
        </w:rPr>
        <w:t xml:space="preserve"> data</w:t>
      </w:r>
      <w:r w:rsidR="00DA0229" w:rsidRPr="00550886">
        <w:rPr>
          <w:lang w:eastAsia="zh-TW"/>
        </w:rPr>
        <w:t xml:space="preserve">, </w:t>
      </w:r>
      <w:r w:rsidR="00DA0229">
        <w:rPr>
          <w:lang w:eastAsia="zh-TW"/>
        </w:rPr>
        <w:t xml:space="preserve">meteorological and hydrologic </w:t>
      </w:r>
      <w:r w:rsidR="00DC56DC">
        <w:rPr>
          <w:lang w:eastAsia="zh-TW"/>
        </w:rPr>
        <w:t>observations</w:t>
      </w:r>
      <w:r w:rsidRPr="00550886">
        <w:rPr>
          <w:lang w:eastAsia="zh-TW"/>
        </w:rPr>
        <w:t xml:space="preserve">, and </w:t>
      </w:r>
      <w:r w:rsidR="00DC56DC">
        <w:rPr>
          <w:lang w:eastAsia="zh-TW"/>
        </w:rPr>
        <w:t xml:space="preserve">other </w:t>
      </w:r>
      <w:r w:rsidRPr="00550886">
        <w:rPr>
          <w:lang w:eastAsia="zh-TW"/>
        </w:rPr>
        <w:t>land surface information.</w:t>
      </w:r>
    </w:p>
    <w:p w14:paraId="4EE98511" w14:textId="02676823" w:rsidR="005F00E2" w:rsidRPr="004C5793" w:rsidRDefault="005F00E2" w:rsidP="005F00E2">
      <w:pPr>
        <w:pStyle w:val="TableCaption"/>
        <w:rPr>
          <w:rFonts w:eastAsia="PMingLiU"/>
        </w:rPr>
      </w:pPr>
      <w:bookmarkStart w:id="67" w:name="_Ref83536819"/>
      <w:bookmarkStart w:id="68" w:name="_Toc113380973"/>
      <w:r w:rsidRPr="004C5793">
        <w:rPr>
          <w:rFonts w:eastAsia="PMingLiU"/>
        </w:rPr>
        <w:lastRenderedPageBreak/>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2</w:t>
      </w:r>
      <w:r w:rsidRPr="004C5793">
        <w:rPr>
          <w:rFonts w:eastAsia="PMingLiU"/>
        </w:rPr>
        <w:fldChar w:fldCharType="end"/>
      </w:r>
      <w:r w:rsidRPr="004C5793">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1</w:t>
      </w:r>
      <w:r w:rsidRPr="004C5793">
        <w:rPr>
          <w:rFonts w:eastAsia="PMingLiU"/>
        </w:rPr>
        <w:fldChar w:fldCharType="end"/>
      </w:r>
      <w:bookmarkEnd w:id="67"/>
      <w:r w:rsidRPr="004C5793">
        <w:rPr>
          <w:rFonts w:eastAsia="PMingLiU"/>
        </w:rPr>
        <w:t>.</w:t>
      </w:r>
      <w:r>
        <w:rPr>
          <w:rFonts w:eastAsia="PMingLiU"/>
        </w:rPr>
        <w:t xml:space="preserve"> </w:t>
      </w:r>
      <w:r w:rsidRPr="004C5793">
        <w:rPr>
          <w:rFonts w:eastAsia="PMingLiU"/>
        </w:rPr>
        <w:t>Summary of data sources</w:t>
      </w:r>
      <w:bookmarkEnd w:id="68"/>
    </w:p>
    <w:tbl>
      <w:tblPr>
        <w:tblW w:w="0" w:type="auto"/>
        <w:jc w:val="center"/>
        <w:tblBorders>
          <w:top w:val="single" w:sz="12" w:space="0" w:color="auto"/>
          <w:bottom w:val="single" w:sz="12" w:space="0" w:color="auto"/>
        </w:tblBorders>
        <w:tblLayout w:type="fixed"/>
        <w:tblCellMar>
          <w:top w:w="14" w:type="dxa"/>
          <w:left w:w="58" w:type="dxa"/>
          <w:bottom w:w="14" w:type="dxa"/>
          <w:right w:w="58" w:type="dxa"/>
        </w:tblCellMar>
        <w:tblLook w:val="04A0" w:firstRow="1" w:lastRow="0" w:firstColumn="1" w:lastColumn="0" w:noHBand="0" w:noVBand="1"/>
      </w:tblPr>
      <w:tblGrid>
        <w:gridCol w:w="1710"/>
        <w:gridCol w:w="3420"/>
        <w:gridCol w:w="4158"/>
      </w:tblGrid>
      <w:tr w:rsidR="005F00E2" w:rsidRPr="00CD2AF7" w14:paraId="0B751D19" w14:textId="77777777" w:rsidTr="005A5D00">
        <w:trPr>
          <w:jc w:val="center"/>
        </w:trPr>
        <w:tc>
          <w:tcPr>
            <w:tcW w:w="1710" w:type="dxa"/>
            <w:tcBorders>
              <w:top w:val="single" w:sz="12" w:space="0" w:color="auto"/>
              <w:left w:val="nil"/>
              <w:bottom w:val="single" w:sz="12" w:space="0" w:color="auto"/>
              <w:right w:val="single" w:sz="4" w:space="0" w:color="auto"/>
            </w:tcBorders>
            <w:hideMark/>
          </w:tcPr>
          <w:p w14:paraId="6FA2AAA6" w14:textId="77777777" w:rsidR="005F00E2" w:rsidRPr="00CD2AF7" w:rsidRDefault="005F00E2" w:rsidP="00A33CBF">
            <w:pPr>
              <w:pStyle w:val="TableHeading"/>
              <w:keepNext/>
              <w:spacing w:before="0" w:after="0"/>
              <w:rPr>
                <w:szCs w:val="20"/>
              </w:rPr>
            </w:pPr>
            <w:r w:rsidRPr="00CD2AF7">
              <w:rPr>
                <w:szCs w:val="20"/>
              </w:rPr>
              <w:t>Data type</w:t>
            </w:r>
          </w:p>
        </w:tc>
        <w:tc>
          <w:tcPr>
            <w:tcW w:w="3420" w:type="dxa"/>
            <w:tcBorders>
              <w:top w:val="single" w:sz="12" w:space="0" w:color="auto"/>
              <w:left w:val="single" w:sz="4" w:space="0" w:color="auto"/>
              <w:bottom w:val="single" w:sz="12" w:space="0" w:color="auto"/>
              <w:right w:val="single" w:sz="4" w:space="0" w:color="auto"/>
            </w:tcBorders>
            <w:hideMark/>
          </w:tcPr>
          <w:p w14:paraId="4E799B77" w14:textId="77777777" w:rsidR="005F00E2" w:rsidRPr="00CD2AF7" w:rsidRDefault="005F00E2" w:rsidP="00A33CBF">
            <w:pPr>
              <w:pStyle w:val="TableHeading"/>
              <w:keepNext/>
              <w:spacing w:before="0" w:after="0"/>
              <w:rPr>
                <w:szCs w:val="20"/>
              </w:rPr>
            </w:pPr>
            <w:r w:rsidRPr="00CD2AF7">
              <w:rPr>
                <w:szCs w:val="20"/>
              </w:rPr>
              <w:t>Data source</w:t>
            </w:r>
          </w:p>
        </w:tc>
        <w:tc>
          <w:tcPr>
            <w:tcW w:w="4158" w:type="dxa"/>
            <w:tcBorders>
              <w:top w:val="single" w:sz="12" w:space="0" w:color="auto"/>
              <w:left w:val="single" w:sz="4" w:space="0" w:color="auto"/>
              <w:bottom w:val="single" w:sz="12" w:space="0" w:color="auto"/>
              <w:right w:val="nil"/>
            </w:tcBorders>
            <w:hideMark/>
          </w:tcPr>
          <w:p w14:paraId="2A4DF322" w14:textId="15D9BDC5" w:rsidR="005F00E2" w:rsidRPr="00CD2AF7" w:rsidRDefault="005F00E2" w:rsidP="00A33CBF">
            <w:pPr>
              <w:pStyle w:val="TableHeading"/>
              <w:keepNext/>
              <w:spacing w:before="0" w:after="0"/>
              <w:rPr>
                <w:szCs w:val="20"/>
              </w:rPr>
            </w:pPr>
            <w:r w:rsidRPr="00CD2AF7">
              <w:rPr>
                <w:szCs w:val="20"/>
              </w:rPr>
              <w:t>Reference/website</w:t>
            </w:r>
          </w:p>
        </w:tc>
      </w:tr>
      <w:tr w:rsidR="005F00E2" w:rsidRPr="00CD2AF7" w14:paraId="460F3B67" w14:textId="77777777" w:rsidTr="005A5D00">
        <w:trPr>
          <w:jc w:val="center"/>
        </w:trPr>
        <w:tc>
          <w:tcPr>
            <w:tcW w:w="1710" w:type="dxa"/>
            <w:vMerge w:val="restart"/>
            <w:tcBorders>
              <w:top w:val="single" w:sz="12" w:space="0" w:color="auto"/>
              <w:left w:val="nil"/>
              <w:right w:val="single" w:sz="4" w:space="0" w:color="auto"/>
            </w:tcBorders>
            <w:hideMark/>
          </w:tcPr>
          <w:p w14:paraId="26E9EEF9" w14:textId="77777777" w:rsidR="005F00E2" w:rsidRPr="00CD2AF7" w:rsidRDefault="005F00E2" w:rsidP="00A33CBF">
            <w:pPr>
              <w:pStyle w:val="TableText"/>
              <w:keepNext/>
              <w:rPr>
                <w:szCs w:val="20"/>
              </w:rPr>
            </w:pPr>
            <w:r w:rsidRPr="00CD2AF7">
              <w:rPr>
                <w:szCs w:val="20"/>
              </w:rPr>
              <w:t>Hydropower project characteristics</w:t>
            </w:r>
          </w:p>
        </w:tc>
        <w:tc>
          <w:tcPr>
            <w:tcW w:w="3420" w:type="dxa"/>
            <w:tcBorders>
              <w:top w:val="single" w:sz="12" w:space="0" w:color="auto"/>
              <w:left w:val="single" w:sz="4" w:space="0" w:color="auto"/>
              <w:bottom w:val="nil"/>
              <w:right w:val="single" w:sz="4" w:space="0" w:color="auto"/>
            </w:tcBorders>
            <w:hideMark/>
          </w:tcPr>
          <w:p w14:paraId="77818458" w14:textId="77777777" w:rsidR="005F00E2" w:rsidRPr="00CD2AF7" w:rsidRDefault="005F00E2" w:rsidP="00746728">
            <w:pPr>
              <w:pStyle w:val="ListParagraph"/>
              <w:keepNext/>
              <w:widowControl w:val="0"/>
              <w:numPr>
                <w:ilvl w:val="0"/>
                <w:numId w:val="11"/>
              </w:numPr>
              <w:spacing w:before="0" w:after="0" w:line="240" w:lineRule="auto"/>
              <w:ind w:left="259" w:hanging="259"/>
              <w:contextualSpacing w:val="0"/>
              <w:rPr>
                <w:sz w:val="20"/>
                <w:szCs w:val="20"/>
              </w:rPr>
            </w:pPr>
            <w:r w:rsidRPr="00CD2AF7">
              <w:rPr>
                <w:sz w:val="20"/>
                <w:szCs w:val="20"/>
              </w:rPr>
              <w:t>Previous 9505 assessments</w:t>
            </w:r>
          </w:p>
        </w:tc>
        <w:tc>
          <w:tcPr>
            <w:tcW w:w="4158" w:type="dxa"/>
            <w:tcBorders>
              <w:top w:val="single" w:sz="12" w:space="0" w:color="auto"/>
              <w:left w:val="single" w:sz="4" w:space="0" w:color="auto"/>
              <w:bottom w:val="nil"/>
              <w:right w:val="nil"/>
            </w:tcBorders>
          </w:tcPr>
          <w:p w14:paraId="3EBF2585" w14:textId="77777777" w:rsidR="005F00E2" w:rsidRPr="00CD2AF7" w:rsidRDefault="005F00E2" w:rsidP="00746728">
            <w:pPr>
              <w:pStyle w:val="ListParagraph"/>
              <w:keepNext/>
              <w:widowControl w:val="0"/>
              <w:numPr>
                <w:ilvl w:val="0"/>
                <w:numId w:val="11"/>
              </w:numPr>
              <w:spacing w:before="0" w:after="0" w:line="240" w:lineRule="auto"/>
              <w:ind w:left="252" w:hanging="252"/>
              <w:contextualSpacing w:val="0"/>
              <w:rPr>
                <w:sz w:val="20"/>
                <w:szCs w:val="20"/>
              </w:rPr>
            </w:pPr>
            <w:r w:rsidRPr="00CD2AF7">
              <w:rPr>
                <w:sz w:val="20"/>
                <w:szCs w:val="20"/>
              </w:rPr>
              <w:t>Kao et al. (2016); Sale et al. (2012)</w:t>
            </w:r>
          </w:p>
        </w:tc>
      </w:tr>
      <w:tr w:rsidR="005F00E2" w:rsidRPr="00CD2AF7" w14:paraId="329A4D93" w14:textId="77777777" w:rsidTr="005A5D00">
        <w:trPr>
          <w:jc w:val="center"/>
        </w:trPr>
        <w:tc>
          <w:tcPr>
            <w:tcW w:w="1710" w:type="dxa"/>
            <w:vMerge/>
          </w:tcPr>
          <w:p w14:paraId="5166C153" w14:textId="77777777" w:rsidR="005F00E2" w:rsidRPr="00CD2AF7" w:rsidRDefault="005F00E2" w:rsidP="00A33CBF">
            <w:pPr>
              <w:pStyle w:val="TableText"/>
              <w:keepNext/>
              <w:rPr>
                <w:szCs w:val="20"/>
              </w:rPr>
            </w:pPr>
          </w:p>
        </w:tc>
        <w:tc>
          <w:tcPr>
            <w:tcW w:w="3420" w:type="dxa"/>
            <w:tcBorders>
              <w:top w:val="nil"/>
              <w:left w:val="single" w:sz="4" w:space="0" w:color="auto"/>
              <w:right w:val="single" w:sz="4" w:space="0" w:color="auto"/>
            </w:tcBorders>
          </w:tcPr>
          <w:p w14:paraId="6E135DFF" w14:textId="77777777" w:rsidR="005F00E2" w:rsidRPr="00CD2AF7" w:rsidRDefault="005F00E2" w:rsidP="00746728">
            <w:pPr>
              <w:pStyle w:val="ListParagraph"/>
              <w:keepNext/>
              <w:widowControl w:val="0"/>
              <w:numPr>
                <w:ilvl w:val="0"/>
                <w:numId w:val="11"/>
              </w:numPr>
              <w:spacing w:before="0" w:after="0" w:line="240" w:lineRule="auto"/>
              <w:ind w:left="259" w:hanging="259"/>
              <w:contextualSpacing w:val="0"/>
              <w:rPr>
                <w:sz w:val="20"/>
                <w:szCs w:val="20"/>
              </w:rPr>
            </w:pPr>
            <w:r w:rsidRPr="00CD2AF7">
              <w:rPr>
                <w:sz w:val="20"/>
                <w:szCs w:val="20"/>
              </w:rPr>
              <w:t>HydroSource</w:t>
            </w:r>
          </w:p>
        </w:tc>
        <w:tc>
          <w:tcPr>
            <w:tcW w:w="4158" w:type="dxa"/>
            <w:tcBorders>
              <w:top w:val="nil"/>
              <w:left w:val="single" w:sz="4" w:space="0" w:color="auto"/>
              <w:right w:val="nil"/>
            </w:tcBorders>
          </w:tcPr>
          <w:p w14:paraId="7809FF76" w14:textId="358D7495" w:rsidR="005F00E2" w:rsidRPr="00CD2AF7" w:rsidRDefault="005F00E2" w:rsidP="00746728">
            <w:pPr>
              <w:pStyle w:val="ListParagraph"/>
              <w:keepNext/>
              <w:widowControl w:val="0"/>
              <w:numPr>
                <w:ilvl w:val="0"/>
                <w:numId w:val="11"/>
              </w:numPr>
              <w:spacing w:before="0" w:after="0" w:line="240" w:lineRule="auto"/>
              <w:ind w:left="252" w:hanging="252"/>
              <w:contextualSpacing w:val="0"/>
              <w:rPr>
                <w:sz w:val="20"/>
                <w:szCs w:val="20"/>
                <w:lang w:val="es-ES"/>
              </w:rPr>
            </w:pPr>
            <w:r w:rsidRPr="00CD2AF7">
              <w:rPr>
                <w:sz w:val="20"/>
                <w:szCs w:val="20"/>
              </w:rPr>
              <w:t xml:space="preserve">HydroSource, </w:t>
            </w:r>
            <w:hyperlink r:id="rId36" w:history="1">
              <w:r w:rsidRPr="00CD2AF7">
                <w:rPr>
                  <w:rStyle w:val="Hyperlink"/>
                  <w:sz w:val="20"/>
                  <w:szCs w:val="20"/>
                </w:rPr>
                <w:t>https://hydrosource.ornl.gov</w:t>
              </w:r>
            </w:hyperlink>
            <w:r w:rsidRPr="00CD2AF7">
              <w:rPr>
                <w:sz w:val="20"/>
                <w:szCs w:val="20"/>
              </w:rPr>
              <w:t>; Johnson et al. (2021)</w:t>
            </w:r>
          </w:p>
        </w:tc>
      </w:tr>
      <w:tr w:rsidR="005F00E2" w:rsidRPr="00CD2AF7" w14:paraId="78306374" w14:textId="77777777" w:rsidTr="005A5D00">
        <w:trPr>
          <w:jc w:val="center"/>
        </w:trPr>
        <w:tc>
          <w:tcPr>
            <w:tcW w:w="1710" w:type="dxa"/>
            <w:vMerge/>
          </w:tcPr>
          <w:p w14:paraId="649ED60B" w14:textId="77777777" w:rsidR="005F00E2" w:rsidRPr="00CD2AF7" w:rsidRDefault="005F00E2" w:rsidP="00A33CBF">
            <w:pPr>
              <w:pStyle w:val="TableText"/>
              <w:keepNext/>
              <w:rPr>
                <w:szCs w:val="20"/>
              </w:rPr>
            </w:pPr>
          </w:p>
        </w:tc>
        <w:tc>
          <w:tcPr>
            <w:tcW w:w="3420" w:type="dxa"/>
            <w:tcBorders>
              <w:top w:val="nil"/>
              <w:left w:val="single" w:sz="4" w:space="0" w:color="auto"/>
              <w:right w:val="single" w:sz="4" w:space="0" w:color="auto"/>
            </w:tcBorders>
          </w:tcPr>
          <w:p w14:paraId="3C865570" w14:textId="77777777" w:rsidR="005F00E2" w:rsidRPr="00CD2AF7" w:rsidRDefault="005F00E2" w:rsidP="00746728">
            <w:pPr>
              <w:pStyle w:val="ListParagraph"/>
              <w:keepNext/>
              <w:widowControl w:val="0"/>
              <w:numPr>
                <w:ilvl w:val="0"/>
                <w:numId w:val="11"/>
              </w:numPr>
              <w:spacing w:before="0" w:after="0" w:line="240" w:lineRule="auto"/>
              <w:ind w:left="259" w:hanging="259"/>
              <w:contextualSpacing w:val="0"/>
              <w:rPr>
                <w:sz w:val="20"/>
                <w:szCs w:val="20"/>
              </w:rPr>
            </w:pPr>
            <w:r w:rsidRPr="00CD2AF7">
              <w:rPr>
                <w:sz w:val="20"/>
                <w:szCs w:val="20"/>
              </w:rPr>
              <w:t>National Inventory of Dams (NID)</w:t>
            </w:r>
          </w:p>
        </w:tc>
        <w:tc>
          <w:tcPr>
            <w:tcW w:w="4158" w:type="dxa"/>
            <w:tcBorders>
              <w:top w:val="nil"/>
              <w:left w:val="single" w:sz="4" w:space="0" w:color="auto"/>
              <w:right w:val="nil"/>
            </w:tcBorders>
          </w:tcPr>
          <w:p w14:paraId="088883AE" w14:textId="0EBE3B91" w:rsidR="005F00E2" w:rsidRPr="00CD2AF7" w:rsidRDefault="005F00E2" w:rsidP="00746728">
            <w:pPr>
              <w:pStyle w:val="ListParagraph"/>
              <w:keepNext/>
              <w:widowControl w:val="0"/>
              <w:numPr>
                <w:ilvl w:val="0"/>
                <w:numId w:val="11"/>
              </w:numPr>
              <w:spacing w:before="0" w:after="0" w:line="240" w:lineRule="auto"/>
              <w:ind w:left="252" w:hanging="252"/>
              <w:contextualSpacing w:val="0"/>
              <w:rPr>
                <w:sz w:val="20"/>
                <w:szCs w:val="20"/>
              </w:rPr>
            </w:pPr>
            <w:r w:rsidRPr="00CD2AF7">
              <w:rPr>
                <w:sz w:val="20"/>
                <w:szCs w:val="20"/>
              </w:rPr>
              <w:t xml:space="preserve">NID, </w:t>
            </w:r>
            <w:hyperlink r:id="rId37" w:history="1">
              <w:r w:rsidRPr="00CD2AF7">
                <w:rPr>
                  <w:rStyle w:val="Hyperlink"/>
                  <w:sz w:val="20"/>
                  <w:szCs w:val="20"/>
                </w:rPr>
                <w:t>https://nid.sec.usace.army.mil</w:t>
              </w:r>
            </w:hyperlink>
          </w:p>
        </w:tc>
      </w:tr>
      <w:tr w:rsidR="005F00E2" w:rsidRPr="00CD2AF7" w14:paraId="302CAC90" w14:textId="77777777" w:rsidTr="005A5D00">
        <w:trPr>
          <w:jc w:val="center"/>
        </w:trPr>
        <w:tc>
          <w:tcPr>
            <w:tcW w:w="1710" w:type="dxa"/>
            <w:vMerge/>
          </w:tcPr>
          <w:p w14:paraId="736450A6" w14:textId="77777777" w:rsidR="005F00E2" w:rsidRPr="00CD2AF7" w:rsidRDefault="005F00E2" w:rsidP="00A33CBF">
            <w:pPr>
              <w:pStyle w:val="TableText"/>
              <w:keepNext/>
              <w:rPr>
                <w:szCs w:val="20"/>
              </w:rPr>
            </w:pPr>
          </w:p>
        </w:tc>
        <w:tc>
          <w:tcPr>
            <w:tcW w:w="3420" w:type="dxa"/>
            <w:tcBorders>
              <w:top w:val="nil"/>
              <w:left w:val="single" w:sz="4" w:space="0" w:color="auto"/>
              <w:bottom w:val="single" w:sz="4" w:space="0" w:color="auto"/>
              <w:right w:val="single" w:sz="4" w:space="0" w:color="auto"/>
            </w:tcBorders>
          </w:tcPr>
          <w:p w14:paraId="6A76E5B7" w14:textId="77777777" w:rsidR="005F00E2" w:rsidRPr="00CD2AF7" w:rsidRDefault="005F00E2" w:rsidP="00746728">
            <w:pPr>
              <w:pStyle w:val="ListParagraph"/>
              <w:keepNext/>
              <w:widowControl w:val="0"/>
              <w:numPr>
                <w:ilvl w:val="0"/>
                <w:numId w:val="11"/>
              </w:numPr>
              <w:spacing w:before="0" w:after="0" w:line="240" w:lineRule="auto"/>
              <w:ind w:left="259" w:hanging="259"/>
              <w:contextualSpacing w:val="0"/>
              <w:rPr>
                <w:sz w:val="20"/>
                <w:szCs w:val="20"/>
              </w:rPr>
            </w:pPr>
            <w:r w:rsidRPr="00CD2AF7">
              <w:rPr>
                <w:sz w:val="20"/>
                <w:szCs w:val="20"/>
              </w:rPr>
              <w:t>Global Reservoir and Dam Database (GRanD)</w:t>
            </w:r>
          </w:p>
        </w:tc>
        <w:tc>
          <w:tcPr>
            <w:tcW w:w="4158" w:type="dxa"/>
            <w:tcBorders>
              <w:top w:val="nil"/>
              <w:left w:val="single" w:sz="4" w:space="0" w:color="auto"/>
              <w:bottom w:val="single" w:sz="4" w:space="0" w:color="auto"/>
              <w:right w:val="nil"/>
            </w:tcBorders>
          </w:tcPr>
          <w:p w14:paraId="6E578F98" w14:textId="32FFEF6F" w:rsidR="005F00E2" w:rsidRPr="00CD2AF7" w:rsidRDefault="005F00E2" w:rsidP="00746728">
            <w:pPr>
              <w:pStyle w:val="ListParagraph"/>
              <w:keepNext/>
              <w:widowControl w:val="0"/>
              <w:numPr>
                <w:ilvl w:val="0"/>
                <w:numId w:val="11"/>
              </w:numPr>
              <w:spacing w:before="0" w:after="0" w:line="240" w:lineRule="auto"/>
              <w:ind w:left="252" w:hanging="252"/>
              <w:contextualSpacing w:val="0"/>
              <w:rPr>
                <w:sz w:val="20"/>
                <w:szCs w:val="20"/>
              </w:rPr>
            </w:pPr>
            <w:r w:rsidRPr="00CD2AF7">
              <w:rPr>
                <w:sz w:val="20"/>
                <w:szCs w:val="20"/>
              </w:rPr>
              <w:t xml:space="preserve">GRanD, </w:t>
            </w:r>
            <w:hyperlink r:id="rId38" w:history="1">
              <w:r w:rsidRPr="00CD2AF7">
                <w:rPr>
                  <w:rStyle w:val="Hyperlink"/>
                  <w:sz w:val="20"/>
                  <w:szCs w:val="20"/>
                </w:rPr>
                <w:t>http://globaldamwatch.org/grand</w:t>
              </w:r>
            </w:hyperlink>
          </w:p>
        </w:tc>
      </w:tr>
      <w:tr w:rsidR="005F00E2" w:rsidRPr="00CD2AF7" w14:paraId="53B6F203" w14:textId="77777777" w:rsidTr="005A5D00">
        <w:trPr>
          <w:jc w:val="center"/>
        </w:trPr>
        <w:tc>
          <w:tcPr>
            <w:tcW w:w="1710" w:type="dxa"/>
            <w:vMerge w:val="restart"/>
            <w:tcBorders>
              <w:top w:val="single" w:sz="4" w:space="0" w:color="auto"/>
              <w:left w:val="nil"/>
              <w:right w:val="single" w:sz="4" w:space="0" w:color="auto"/>
            </w:tcBorders>
          </w:tcPr>
          <w:p w14:paraId="3CE4CAFB" w14:textId="77777777" w:rsidR="005F00E2" w:rsidRPr="00CD2AF7" w:rsidRDefault="005F00E2" w:rsidP="00A33CBF">
            <w:pPr>
              <w:pStyle w:val="TableText"/>
              <w:keepNext/>
              <w:rPr>
                <w:szCs w:val="20"/>
              </w:rPr>
            </w:pPr>
            <w:r w:rsidRPr="00CD2AF7">
              <w:rPr>
                <w:szCs w:val="20"/>
              </w:rPr>
              <w:t>Historic hydropower generation</w:t>
            </w:r>
          </w:p>
        </w:tc>
        <w:tc>
          <w:tcPr>
            <w:tcW w:w="3420" w:type="dxa"/>
            <w:tcBorders>
              <w:top w:val="single" w:sz="4" w:space="0" w:color="auto"/>
              <w:left w:val="single" w:sz="4" w:space="0" w:color="auto"/>
              <w:bottom w:val="nil"/>
              <w:right w:val="single" w:sz="4" w:space="0" w:color="auto"/>
            </w:tcBorders>
          </w:tcPr>
          <w:p w14:paraId="304BE1A4" w14:textId="77777777" w:rsidR="005F00E2" w:rsidRPr="00CD2AF7" w:rsidRDefault="005F00E2" w:rsidP="00746728">
            <w:pPr>
              <w:pStyle w:val="ListParagraph"/>
              <w:keepNext/>
              <w:widowControl w:val="0"/>
              <w:numPr>
                <w:ilvl w:val="0"/>
                <w:numId w:val="11"/>
              </w:numPr>
              <w:spacing w:before="0" w:after="0" w:line="240" w:lineRule="auto"/>
              <w:ind w:left="259" w:hanging="259"/>
              <w:contextualSpacing w:val="0"/>
              <w:rPr>
                <w:sz w:val="20"/>
                <w:szCs w:val="20"/>
              </w:rPr>
            </w:pPr>
            <w:r w:rsidRPr="00CD2AF7">
              <w:rPr>
                <w:sz w:val="20"/>
                <w:szCs w:val="20"/>
              </w:rPr>
              <w:t>PMA</w:t>
            </w:r>
          </w:p>
        </w:tc>
        <w:tc>
          <w:tcPr>
            <w:tcW w:w="4158" w:type="dxa"/>
            <w:tcBorders>
              <w:top w:val="single" w:sz="4" w:space="0" w:color="auto"/>
              <w:left w:val="single" w:sz="4" w:space="0" w:color="auto"/>
              <w:bottom w:val="nil"/>
              <w:right w:val="nil"/>
            </w:tcBorders>
          </w:tcPr>
          <w:p w14:paraId="6A1C1DFA" w14:textId="77777777" w:rsidR="005F00E2" w:rsidRPr="00CD2AF7" w:rsidRDefault="005F00E2" w:rsidP="00746728">
            <w:pPr>
              <w:pStyle w:val="ListParagraph"/>
              <w:keepNext/>
              <w:widowControl w:val="0"/>
              <w:numPr>
                <w:ilvl w:val="0"/>
                <w:numId w:val="11"/>
              </w:numPr>
              <w:spacing w:before="0" w:after="0" w:line="240" w:lineRule="auto"/>
              <w:ind w:left="252" w:hanging="252"/>
              <w:contextualSpacing w:val="0"/>
              <w:rPr>
                <w:sz w:val="20"/>
                <w:szCs w:val="20"/>
              </w:rPr>
            </w:pPr>
            <w:r w:rsidRPr="00CD2AF7">
              <w:rPr>
                <w:sz w:val="20"/>
                <w:szCs w:val="20"/>
              </w:rPr>
              <w:t>Historic generation records provided by PMAs</w:t>
            </w:r>
          </w:p>
        </w:tc>
      </w:tr>
      <w:tr w:rsidR="005F00E2" w:rsidRPr="00CD2AF7" w14:paraId="56006B98" w14:textId="77777777" w:rsidTr="005A5D00">
        <w:trPr>
          <w:jc w:val="center"/>
        </w:trPr>
        <w:tc>
          <w:tcPr>
            <w:tcW w:w="1710" w:type="dxa"/>
            <w:vMerge/>
          </w:tcPr>
          <w:p w14:paraId="2C6F3009" w14:textId="77777777" w:rsidR="005F00E2" w:rsidRPr="00CD2AF7" w:rsidRDefault="005F00E2" w:rsidP="00A33CBF">
            <w:pPr>
              <w:pStyle w:val="TableText"/>
              <w:rPr>
                <w:szCs w:val="20"/>
              </w:rPr>
            </w:pPr>
          </w:p>
        </w:tc>
        <w:tc>
          <w:tcPr>
            <w:tcW w:w="3420" w:type="dxa"/>
            <w:tcBorders>
              <w:top w:val="nil"/>
              <w:left w:val="single" w:sz="4" w:space="0" w:color="auto"/>
              <w:bottom w:val="single" w:sz="4" w:space="0" w:color="auto"/>
              <w:right w:val="single" w:sz="4" w:space="0" w:color="auto"/>
            </w:tcBorders>
          </w:tcPr>
          <w:p w14:paraId="4092A608"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EIA Form 923 Database</w:t>
            </w:r>
          </w:p>
        </w:tc>
        <w:tc>
          <w:tcPr>
            <w:tcW w:w="4158" w:type="dxa"/>
            <w:tcBorders>
              <w:top w:val="nil"/>
              <w:left w:val="single" w:sz="4" w:space="0" w:color="auto"/>
              <w:bottom w:val="single" w:sz="4" w:space="0" w:color="auto"/>
              <w:right w:val="nil"/>
            </w:tcBorders>
          </w:tcPr>
          <w:p w14:paraId="54F855CD" w14:textId="1F915349" w:rsidR="005F00E2" w:rsidRPr="00CD2AF7" w:rsidRDefault="005F00E2" w:rsidP="00746728">
            <w:pPr>
              <w:pStyle w:val="ListParagraph"/>
              <w:widowControl w:val="0"/>
              <w:numPr>
                <w:ilvl w:val="0"/>
                <w:numId w:val="11"/>
              </w:numPr>
              <w:spacing w:before="0" w:after="0" w:line="240" w:lineRule="auto"/>
              <w:ind w:left="252" w:hanging="252"/>
              <w:contextualSpacing w:val="0"/>
              <w:rPr>
                <w:sz w:val="20"/>
                <w:szCs w:val="20"/>
              </w:rPr>
            </w:pPr>
            <w:r w:rsidRPr="00CD2AF7">
              <w:rPr>
                <w:sz w:val="20"/>
                <w:szCs w:val="20"/>
              </w:rPr>
              <w:t xml:space="preserve">EIA (2020), </w:t>
            </w:r>
            <w:hyperlink r:id="rId39" w:history="1">
              <w:r w:rsidRPr="00CD2AF7">
                <w:rPr>
                  <w:rStyle w:val="Hyperlink"/>
                  <w:sz w:val="20"/>
                  <w:szCs w:val="20"/>
                </w:rPr>
                <w:t>https://www.eia.gov/electricity/data/eia923</w:t>
              </w:r>
            </w:hyperlink>
          </w:p>
        </w:tc>
      </w:tr>
      <w:tr w:rsidR="005F00E2" w:rsidRPr="00CD2AF7" w14:paraId="6C60FC14" w14:textId="77777777" w:rsidTr="005A5D00">
        <w:trPr>
          <w:jc w:val="center"/>
        </w:trPr>
        <w:tc>
          <w:tcPr>
            <w:tcW w:w="1710" w:type="dxa"/>
            <w:tcBorders>
              <w:top w:val="single" w:sz="4" w:space="0" w:color="auto"/>
              <w:left w:val="nil"/>
              <w:bottom w:val="single" w:sz="4" w:space="0" w:color="auto"/>
              <w:right w:val="single" w:sz="4" w:space="0" w:color="auto"/>
            </w:tcBorders>
          </w:tcPr>
          <w:p w14:paraId="692C830D" w14:textId="77777777" w:rsidR="005F00E2" w:rsidRPr="00CD2AF7" w:rsidRDefault="005F00E2" w:rsidP="00A33CBF">
            <w:pPr>
              <w:pStyle w:val="TableText"/>
              <w:rPr>
                <w:szCs w:val="20"/>
                <w:lang w:eastAsia="zh-TW"/>
              </w:rPr>
            </w:pPr>
            <w:r w:rsidRPr="00CD2AF7">
              <w:rPr>
                <w:szCs w:val="20"/>
              </w:rPr>
              <w:t>Electricity sales for PMA customers</w:t>
            </w:r>
          </w:p>
        </w:tc>
        <w:tc>
          <w:tcPr>
            <w:tcW w:w="3420" w:type="dxa"/>
            <w:tcBorders>
              <w:top w:val="single" w:sz="4" w:space="0" w:color="auto"/>
              <w:left w:val="single" w:sz="4" w:space="0" w:color="auto"/>
              <w:bottom w:val="single" w:sz="4" w:space="0" w:color="auto"/>
              <w:right w:val="single" w:sz="4" w:space="0" w:color="auto"/>
            </w:tcBorders>
          </w:tcPr>
          <w:p w14:paraId="6BAC8BF2"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lang w:eastAsia="zh-TW"/>
              </w:rPr>
            </w:pPr>
            <w:r w:rsidRPr="00CD2AF7">
              <w:rPr>
                <w:sz w:val="20"/>
                <w:szCs w:val="20"/>
              </w:rPr>
              <w:t>EIA Form 861 (Annual Electric Power Industry Report)</w:t>
            </w:r>
          </w:p>
        </w:tc>
        <w:tc>
          <w:tcPr>
            <w:tcW w:w="4158" w:type="dxa"/>
            <w:tcBorders>
              <w:top w:val="single" w:sz="4" w:space="0" w:color="auto"/>
              <w:left w:val="single" w:sz="4" w:space="0" w:color="auto"/>
              <w:bottom w:val="single" w:sz="4" w:space="0" w:color="auto"/>
              <w:right w:val="nil"/>
            </w:tcBorders>
          </w:tcPr>
          <w:p w14:paraId="5581B747" w14:textId="2534E8D2"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0" w:history="1">
              <w:r w:rsidR="005F00E2" w:rsidRPr="00CD2AF7">
                <w:rPr>
                  <w:rStyle w:val="Hyperlink"/>
                  <w:sz w:val="20"/>
                  <w:szCs w:val="20"/>
                </w:rPr>
                <w:t>https://www.eia.gov/electricity/data/eia861</w:t>
              </w:r>
            </w:hyperlink>
          </w:p>
        </w:tc>
      </w:tr>
      <w:tr w:rsidR="005F00E2" w:rsidRPr="00CD2AF7" w14:paraId="65AF2BEE" w14:textId="77777777" w:rsidTr="005A5D00">
        <w:trPr>
          <w:jc w:val="center"/>
        </w:trPr>
        <w:tc>
          <w:tcPr>
            <w:tcW w:w="1710" w:type="dxa"/>
            <w:tcBorders>
              <w:top w:val="single" w:sz="4" w:space="0" w:color="auto"/>
              <w:left w:val="nil"/>
              <w:bottom w:val="single" w:sz="4" w:space="0" w:color="auto"/>
              <w:right w:val="single" w:sz="4" w:space="0" w:color="auto"/>
            </w:tcBorders>
          </w:tcPr>
          <w:p w14:paraId="5FB36A93" w14:textId="0F34E743" w:rsidR="005F00E2" w:rsidRPr="00CD2AF7" w:rsidRDefault="005F00E2" w:rsidP="00A33CBF">
            <w:pPr>
              <w:pStyle w:val="TableText"/>
              <w:rPr>
                <w:szCs w:val="20"/>
              </w:rPr>
            </w:pPr>
            <w:r w:rsidRPr="00CD2AF7">
              <w:rPr>
                <w:szCs w:val="20"/>
              </w:rPr>
              <w:t>Total retail load of BPA</w:t>
            </w:r>
            <w:r w:rsidR="00805545">
              <w:rPr>
                <w:szCs w:val="20"/>
              </w:rPr>
              <w:t>’</w:t>
            </w:r>
            <w:r w:rsidRPr="00CD2AF7">
              <w:rPr>
                <w:szCs w:val="20"/>
              </w:rPr>
              <w:t>s customers</w:t>
            </w:r>
          </w:p>
        </w:tc>
        <w:tc>
          <w:tcPr>
            <w:tcW w:w="3420" w:type="dxa"/>
            <w:tcBorders>
              <w:top w:val="single" w:sz="4" w:space="0" w:color="auto"/>
              <w:left w:val="single" w:sz="4" w:space="0" w:color="auto"/>
              <w:bottom w:val="single" w:sz="4" w:space="0" w:color="auto"/>
              <w:right w:val="single" w:sz="4" w:space="0" w:color="auto"/>
            </w:tcBorders>
          </w:tcPr>
          <w:p w14:paraId="010C650B"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BPA</w:t>
            </w:r>
          </w:p>
        </w:tc>
        <w:tc>
          <w:tcPr>
            <w:tcW w:w="4158" w:type="dxa"/>
            <w:tcBorders>
              <w:top w:val="single" w:sz="4" w:space="0" w:color="auto"/>
              <w:left w:val="single" w:sz="4" w:space="0" w:color="auto"/>
              <w:bottom w:val="single" w:sz="4" w:space="0" w:color="auto"/>
              <w:right w:val="nil"/>
            </w:tcBorders>
          </w:tcPr>
          <w:p w14:paraId="538D1017" w14:textId="77777777" w:rsidR="005F00E2" w:rsidRPr="00CD2AF7" w:rsidRDefault="005F00E2" w:rsidP="00746728">
            <w:pPr>
              <w:pStyle w:val="ListParagraph"/>
              <w:widowControl w:val="0"/>
              <w:numPr>
                <w:ilvl w:val="0"/>
                <w:numId w:val="11"/>
              </w:numPr>
              <w:spacing w:before="0" w:after="0" w:line="240" w:lineRule="auto"/>
              <w:ind w:left="252" w:hanging="252"/>
              <w:contextualSpacing w:val="0"/>
              <w:rPr>
                <w:rStyle w:val="Hyperlink"/>
                <w:color w:val="auto"/>
                <w:sz w:val="20"/>
                <w:szCs w:val="20"/>
                <w:u w:val="none"/>
              </w:rPr>
            </w:pPr>
            <w:r w:rsidRPr="00CD2AF7">
              <w:rPr>
                <w:rStyle w:val="Hyperlink"/>
                <w:color w:val="auto"/>
                <w:sz w:val="20"/>
                <w:szCs w:val="20"/>
                <w:u w:val="none"/>
              </w:rPr>
              <w:t>Personal communication with BPA staff</w:t>
            </w:r>
          </w:p>
        </w:tc>
      </w:tr>
      <w:tr w:rsidR="005F00E2" w:rsidRPr="00CD2AF7" w14:paraId="506F0C1B" w14:textId="77777777" w:rsidTr="005A5D00">
        <w:trPr>
          <w:jc w:val="center"/>
        </w:trPr>
        <w:tc>
          <w:tcPr>
            <w:tcW w:w="1710" w:type="dxa"/>
            <w:vMerge w:val="restart"/>
            <w:tcBorders>
              <w:top w:val="single" w:sz="4" w:space="0" w:color="auto"/>
              <w:left w:val="nil"/>
              <w:bottom w:val="single" w:sz="2" w:space="0" w:color="auto"/>
              <w:right w:val="single" w:sz="4" w:space="0" w:color="auto"/>
            </w:tcBorders>
          </w:tcPr>
          <w:p w14:paraId="0C352C25" w14:textId="1A618DD3" w:rsidR="005F00E2" w:rsidRPr="00CD2AF7" w:rsidRDefault="005F00E2" w:rsidP="00A33CBF">
            <w:pPr>
              <w:pStyle w:val="TableText"/>
              <w:rPr>
                <w:szCs w:val="20"/>
              </w:rPr>
            </w:pPr>
            <w:r w:rsidRPr="00CD2AF7">
              <w:rPr>
                <w:szCs w:val="20"/>
              </w:rPr>
              <w:t>Meteorological observations</w:t>
            </w:r>
          </w:p>
        </w:tc>
        <w:tc>
          <w:tcPr>
            <w:tcW w:w="3420" w:type="dxa"/>
            <w:tcBorders>
              <w:top w:val="single" w:sz="4" w:space="0" w:color="auto"/>
              <w:left w:val="single" w:sz="4" w:space="0" w:color="auto"/>
              <w:bottom w:val="nil"/>
              <w:right w:val="single" w:sz="4" w:space="0" w:color="auto"/>
            </w:tcBorders>
          </w:tcPr>
          <w:p w14:paraId="6EEB4362"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Daymet</w:t>
            </w:r>
          </w:p>
        </w:tc>
        <w:tc>
          <w:tcPr>
            <w:tcW w:w="4158" w:type="dxa"/>
            <w:tcBorders>
              <w:top w:val="single" w:sz="4" w:space="0" w:color="auto"/>
              <w:left w:val="single" w:sz="4" w:space="0" w:color="auto"/>
              <w:bottom w:val="nil"/>
              <w:right w:val="nil"/>
            </w:tcBorders>
          </w:tcPr>
          <w:p w14:paraId="5284EC6E" w14:textId="79D476D5"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1" w:history="1">
              <w:r w:rsidR="005F00E2" w:rsidRPr="00CD2AF7">
                <w:rPr>
                  <w:rStyle w:val="Hyperlink"/>
                  <w:sz w:val="20"/>
                  <w:szCs w:val="20"/>
                  <w:lang w:eastAsia="zh-TW"/>
                </w:rPr>
                <w:t>https://daymet.ornl.gov</w:t>
              </w:r>
            </w:hyperlink>
            <w:r w:rsidR="005F00E2" w:rsidRPr="00CD2AF7">
              <w:rPr>
                <w:sz w:val="20"/>
                <w:szCs w:val="20"/>
                <w:lang w:eastAsia="zh-TW"/>
              </w:rPr>
              <w:t>; Thornton et al. (2021)</w:t>
            </w:r>
          </w:p>
        </w:tc>
      </w:tr>
      <w:tr w:rsidR="005F00E2" w:rsidRPr="00CD2AF7" w14:paraId="5B8B6204" w14:textId="77777777" w:rsidTr="005A5D00">
        <w:trPr>
          <w:jc w:val="center"/>
        </w:trPr>
        <w:tc>
          <w:tcPr>
            <w:tcW w:w="1710" w:type="dxa"/>
            <w:vMerge/>
            <w:tcBorders>
              <w:bottom w:val="single" w:sz="2" w:space="0" w:color="auto"/>
            </w:tcBorders>
          </w:tcPr>
          <w:p w14:paraId="4F3040F9" w14:textId="77777777" w:rsidR="005F00E2" w:rsidRPr="00CD2AF7" w:rsidRDefault="005F00E2" w:rsidP="00A33CBF">
            <w:pPr>
              <w:pStyle w:val="TableText"/>
              <w:rPr>
                <w:szCs w:val="20"/>
              </w:rPr>
            </w:pPr>
          </w:p>
        </w:tc>
        <w:tc>
          <w:tcPr>
            <w:tcW w:w="3420" w:type="dxa"/>
            <w:tcBorders>
              <w:top w:val="nil"/>
              <w:left w:val="single" w:sz="4" w:space="0" w:color="auto"/>
              <w:bottom w:val="nil"/>
              <w:right w:val="single" w:sz="4" w:space="0" w:color="auto"/>
            </w:tcBorders>
          </w:tcPr>
          <w:p w14:paraId="09397025" w14:textId="77777777" w:rsidR="005F00E2" w:rsidRPr="00D01C65"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Livneh</w:t>
            </w:r>
          </w:p>
        </w:tc>
        <w:tc>
          <w:tcPr>
            <w:tcW w:w="4158" w:type="dxa"/>
            <w:tcBorders>
              <w:top w:val="nil"/>
              <w:left w:val="single" w:sz="4" w:space="0" w:color="auto"/>
              <w:bottom w:val="nil"/>
              <w:right w:val="nil"/>
            </w:tcBorders>
          </w:tcPr>
          <w:p w14:paraId="7B8FED31" w14:textId="66DFD292"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2" w:history="1">
              <w:r w:rsidR="005F00E2" w:rsidRPr="00CD2AF7">
                <w:rPr>
                  <w:rStyle w:val="Hyperlink"/>
                  <w:sz w:val="20"/>
                  <w:szCs w:val="20"/>
                </w:rPr>
                <w:t>https://psl.noaa.gov/data/gridded/data.livneh.html</w:t>
              </w:r>
            </w:hyperlink>
            <w:r w:rsidR="005F00E2" w:rsidRPr="00CD2AF7">
              <w:rPr>
                <w:sz w:val="20"/>
                <w:szCs w:val="20"/>
              </w:rPr>
              <w:t xml:space="preserve">; </w:t>
            </w:r>
            <w:r w:rsidR="00980FF0" w:rsidRPr="00980FF0">
              <w:rPr>
                <w:sz w:val="20"/>
                <w:szCs w:val="20"/>
              </w:rPr>
              <w:t xml:space="preserve">Livneh et al. </w:t>
            </w:r>
            <w:r w:rsidR="00980FF0">
              <w:rPr>
                <w:sz w:val="20"/>
                <w:szCs w:val="20"/>
              </w:rPr>
              <w:t>(</w:t>
            </w:r>
            <w:r w:rsidR="00980FF0" w:rsidRPr="00980FF0">
              <w:rPr>
                <w:sz w:val="20"/>
                <w:szCs w:val="20"/>
              </w:rPr>
              <w:t>2015</w:t>
            </w:r>
            <w:r w:rsidR="00980FF0">
              <w:rPr>
                <w:sz w:val="20"/>
                <w:szCs w:val="20"/>
              </w:rPr>
              <w:t xml:space="preserve">); </w:t>
            </w:r>
            <w:r w:rsidR="005F00E2" w:rsidRPr="00CD2AF7">
              <w:rPr>
                <w:sz w:val="20"/>
                <w:szCs w:val="20"/>
              </w:rPr>
              <w:t>Pierce et al. (2021)</w:t>
            </w:r>
          </w:p>
        </w:tc>
      </w:tr>
      <w:tr w:rsidR="005F00E2" w:rsidRPr="00CD2AF7" w14:paraId="05E705EC" w14:textId="77777777" w:rsidTr="005A5D00">
        <w:trPr>
          <w:jc w:val="center"/>
        </w:trPr>
        <w:tc>
          <w:tcPr>
            <w:tcW w:w="1710" w:type="dxa"/>
            <w:vMerge/>
            <w:tcBorders>
              <w:bottom w:val="single" w:sz="2" w:space="0" w:color="auto"/>
            </w:tcBorders>
          </w:tcPr>
          <w:p w14:paraId="0D3C1EFB" w14:textId="77777777" w:rsidR="005F00E2" w:rsidRPr="00CD2AF7" w:rsidRDefault="005F00E2" w:rsidP="00A33CBF">
            <w:pPr>
              <w:pStyle w:val="TableText"/>
              <w:rPr>
                <w:szCs w:val="20"/>
              </w:rPr>
            </w:pPr>
          </w:p>
        </w:tc>
        <w:tc>
          <w:tcPr>
            <w:tcW w:w="3420" w:type="dxa"/>
            <w:tcBorders>
              <w:top w:val="nil"/>
              <w:left w:val="single" w:sz="4" w:space="0" w:color="auto"/>
              <w:bottom w:val="nil"/>
              <w:right w:val="single" w:sz="4" w:space="0" w:color="auto"/>
            </w:tcBorders>
          </w:tcPr>
          <w:p w14:paraId="567D2965" w14:textId="72C3036E"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8D3717">
              <w:rPr>
                <w:sz w:val="20"/>
                <w:szCs w:val="20"/>
              </w:rPr>
              <w:t>Parameter-elevation Regressions on Independent Slopes Model</w:t>
            </w:r>
          </w:p>
        </w:tc>
        <w:tc>
          <w:tcPr>
            <w:tcW w:w="4158" w:type="dxa"/>
            <w:tcBorders>
              <w:top w:val="nil"/>
              <w:left w:val="single" w:sz="4" w:space="0" w:color="auto"/>
              <w:bottom w:val="nil"/>
              <w:right w:val="nil"/>
            </w:tcBorders>
          </w:tcPr>
          <w:p w14:paraId="1AA9F9F6" w14:textId="339E1B5C"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lang w:eastAsia="zh-TW"/>
              </w:rPr>
            </w:pPr>
            <w:hyperlink r:id="rId43" w:history="1">
              <w:r w:rsidR="005F00E2" w:rsidRPr="00CD2AF7">
                <w:rPr>
                  <w:rStyle w:val="Hyperlink"/>
                  <w:sz w:val="20"/>
                  <w:szCs w:val="20"/>
                </w:rPr>
                <w:t>https://prism.oregonstate.edu</w:t>
              </w:r>
            </w:hyperlink>
            <w:r w:rsidR="005F00E2" w:rsidRPr="00CD2AF7">
              <w:rPr>
                <w:sz w:val="20"/>
                <w:szCs w:val="20"/>
              </w:rPr>
              <w:t>; Daly et al. (2002)</w:t>
            </w:r>
          </w:p>
        </w:tc>
      </w:tr>
      <w:tr w:rsidR="005F00E2" w:rsidRPr="00CD2AF7" w14:paraId="52EAD369" w14:textId="77777777" w:rsidTr="005A5D00">
        <w:trPr>
          <w:jc w:val="center"/>
        </w:trPr>
        <w:tc>
          <w:tcPr>
            <w:tcW w:w="1710" w:type="dxa"/>
            <w:vMerge/>
            <w:tcBorders>
              <w:top w:val="single" w:sz="2" w:space="0" w:color="auto"/>
              <w:bottom w:val="single" w:sz="2" w:space="0" w:color="auto"/>
            </w:tcBorders>
          </w:tcPr>
          <w:p w14:paraId="0ADAE104" w14:textId="77777777" w:rsidR="005F00E2" w:rsidRPr="00CD2AF7" w:rsidRDefault="005F00E2" w:rsidP="00A33CBF">
            <w:pPr>
              <w:pStyle w:val="TableText"/>
              <w:rPr>
                <w:szCs w:val="20"/>
              </w:rPr>
            </w:pPr>
          </w:p>
        </w:tc>
        <w:tc>
          <w:tcPr>
            <w:tcW w:w="3420" w:type="dxa"/>
            <w:tcBorders>
              <w:top w:val="nil"/>
              <w:left w:val="single" w:sz="4" w:space="0" w:color="auto"/>
              <w:bottom w:val="single" w:sz="4" w:space="0" w:color="auto"/>
              <w:right w:val="single" w:sz="4" w:space="0" w:color="auto"/>
            </w:tcBorders>
          </w:tcPr>
          <w:p w14:paraId="09F7055D" w14:textId="4D4BE72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D0376E">
              <w:rPr>
                <w:sz w:val="20"/>
                <w:szCs w:val="20"/>
              </w:rPr>
              <w:t>North American Regional Reanalysis</w:t>
            </w:r>
            <w:r w:rsidR="00021C45">
              <w:rPr>
                <w:sz w:val="20"/>
                <w:szCs w:val="20"/>
              </w:rPr>
              <w:t xml:space="preserve"> </w:t>
            </w:r>
            <w:r w:rsidRPr="00CD2AF7">
              <w:rPr>
                <w:sz w:val="20"/>
                <w:szCs w:val="20"/>
              </w:rPr>
              <w:t>wind speed</w:t>
            </w:r>
          </w:p>
        </w:tc>
        <w:tc>
          <w:tcPr>
            <w:tcW w:w="4158" w:type="dxa"/>
            <w:tcBorders>
              <w:top w:val="nil"/>
              <w:left w:val="single" w:sz="4" w:space="0" w:color="auto"/>
              <w:bottom w:val="single" w:sz="4" w:space="0" w:color="auto"/>
              <w:right w:val="nil"/>
            </w:tcBorders>
          </w:tcPr>
          <w:p w14:paraId="64956905" w14:textId="538C569D"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4" w:history="1">
              <w:r w:rsidR="005F00E2" w:rsidRPr="00CD2AF7">
                <w:rPr>
                  <w:rStyle w:val="Hyperlink"/>
                  <w:sz w:val="20"/>
                  <w:szCs w:val="20"/>
                </w:rPr>
                <w:t>https://www.esrl.noaa.gov/psd/data/gridded/data.narr.html</w:t>
              </w:r>
            </w:hyperlink>
            <w:r w:rsidR="005F00E2" w:rsidRPr="00CD2AF7">
              <w:rPr>
                <w:sz w:val="20"/>
                <w:szCs w:val="20"/>
                <w:lang w:eastAsia="zh-TW"/>
              </w:rPr>
              <w:t>; Mesinger et al. (2006)</w:t>
            </w:r>
          </w:p>
        </w:tc>
      </w:tr>
      <w:tr w:rsidR="005F00E2" w:rsidRPr="00CD2AF7" w14:paraId="59B89711" w14:textId="77777777" w:rsidTr="005A5D00">
        <w:trPr>
          <w:jc w:val="center"/>
        </w:trPr>
        <w:tc>
          <w:tcPr>
            <w:tcW w:w="1710" w:type="dxa"/>
            <w:vMerge w:val="restart"/>
            <w:tcBorders>
              <w:top w:val="single" w:sz="2" w:space="0" w:color="auto"/>
              <w:left w:val="nil"/>
              <w:right w:val="single" w:sz="4" w:space="0" w:color="auto"/>
            </w:tcBorders>
          </w:tcPr>
          <w:p w14:paraId="15BD40E2" w14:textId="77777777" w:rsidR="005F00E2" w:rsidRPr="00CD2AF7" w:rsidRDefault="005F00E2" w:rsidP="00A33CBF">
            <w:pPr>
              <w:pStyle w:val="TableText"/>
              <w:rPr>
                <w:szCs w:val="20"/>
              </w:rPr>
            </w:pPr>
            <w:r w:rsidRPr="00CD2AF7">
              <w:rPr>
                <w:szCs w:val="20"/>
              </w:rPr>
              <w:t>Hydrologic observations</w:t>
            </w:r>
          </w:p>
        </w:tc>
        <w:tc>
          <w:tcPr>
            <w:tcW w:w="3420" w:type="dxa"/>
            <w:tcBorders>
              <w:top w:val="single" w:sz="4" w:space="0" w:color="auto"/>
              <w:left w:val="single" w:sz="4" w:space="0" w:color="auto"/>
              <w:right w:val="single" w:sz="4" w:space="0" w:color="auto"/>
            </w:tcBorders>
          </w:tcPr>
          <w:p w14:paraId="186EDA7F" w14:textId="73EFB2A9"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National Water Information System</w:t>
            </w:r>
          </w:p>
        </w:tc>
        <w:tc>
          <w:tcPr>
            <w:tcW w:w="4158" w:type="dxa"/>
            <w:tcBorders>
              <w:top w:val="single" w:sz="4" w:space="0" w:color="auto"/>
              <w:left w:val="single" w:sz="4" w:space="0" w:color="auto"/>
              <w:right w:val="nil"/>
            </w:tcBorders>
          </w:tcPr>
          <w:p w14:paraId="6FC0FD0C" w14:textId="49E395BC"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5" w:history="1">
              <w:r w:rsidR="005F00E2" w:rsidRPr="00CD2AF7">
                <w:rPr>
                  <w:rStyle w:val="Hyperlink"/>
                  <w:sz w:val="20"/>
                  <w:szCs w:val="20"/>
                </w:rPr>
                <w:t>https://waterdata.usgs.gov/nwis</w:t>
              </w:r>
            </w:hyperlink>
          </w:p>
        </w:tc>
      </w:tr>
      <w:tr w:rsidR="005F00E2" w:rsidRPr="00CD2AF7" w14:paraId="21771215" w14:textId="77777777" w:rsidTr="005A5D00">
        <w:trPr>
          <w:jc w:val="center"/>
        </w:trPr>
        <w:tc>
          <w:tcPr>
            <w:tcW w:w="1710" w:type="dxa"/>
            <w:vMerge/>
          </w:tcPr>
          <w:p w14:paraId="19883B9F" w14:textId="77777777" w:rsidR="005F00E2" w:rsidRPr="00CD2AF7" w:rsidRDefault="005F00E2" w:rsidP="00A33CBF">
            <w:pPr>
              <w:pStyle w:val="TableText"/>
              <w:rPr>
                <w:szCs w:val="20"/>
              </w:rPr>
            </w:pPr>
          </w:p>
        </w:tc>
        <w:tc>
          <w:tcPr>
            <w:tcW w:w="3420" w:type="dxa"/>
            <w:tcBorders>
              <w:top w:val="nil"/>
              <w:left w:val="single" w:sz="4" w:space="0" w:color="auto"/>
              <w:bottom w:val="nil"/>
              <w:right w:val="single" w:sz="4" w:space="0" w:color="auto"/>
            </w:tcBorders>
          </w:tcPr>
          <w:p w14:paraId="1A641170"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Environment Canada HYDAT Database</w:t>
            </w:r>
          </w:p>
        </w:tc>
        <w:tc>
          <w:tcPr>
            <w:tcW w:w="4158" w:type="dxa"/>
            <w:tcBorders>
              <w:top w:val="nil"/>
              <w:left w:val="single" w:sz="4" w:space="0" w:color="auto"/>
              <w:bottom w:val="nil"/>
              <w:right w:val="nil"/>
            </w:tcBorders>
          </w:tcPr>
          <w:p w14:paraId="0BFDC4E4" w14:textId="3AF418D3"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6" w:history="1">
              <w:r w:rsidR="005F00E2" w:rsidRPr="00CD2AF7">
                <w:rPr>
                  <w:rStyle w:val="Hyperlink"/>
                  <w:sz w:val="20"/>
                  <w:szCs w:val="20"/>
                </w:rPr>
                <w:t>https://www.canada.ca/en/environment-climate-change/services/water-overview/quantity/monitoring/survey/data-products-services/national-archive-hydat.html</w:t>
              </w:r>
            </w:hyperlink>
          </w:p>
        </w:tc>
      </w:tr>
      <w:tr w:rsidR="005F00E2" w:rsidRPr="00CD2AF7" w14:paraId="07CADC04" w14:textId="77777777" w:rsidTr="005A5D00">
        <w:trPr>
          <w:jc w:val="center"/>
        </w:trPr>
        <w:tc>
          <w:tcPr>
            <w:tcW w:w="1710" w:type="dxa"/>
            <w:vMerge/>
          </w:tcPr>
          <w:p w14:paraId="6FFD6C65" w14:textId="77777777" w:rsidR="005F00E2" w:rsidRPr="00CD2AF7" w:rsidRDefault="005F00E2" w:rsidP="00A33CBF">
            <w:pPr>
              <w:pStyle w:val="TableText"/>
              <w:rPr>
                <w:szCs w:val="20"/>
              </w:rPr>
            </w:pPr>
          </w:p>
        </w:tc>
        <w:tc>
          <w:tcPr>
            <w:tcW w:w="3420" w:type="dxa"/>
            <w:tcBorders>
              <w:top w:val="nil"/>
              <w:left w:val="single" w:sz="4" w:space="0" w:color="auto"/>
              <w:bottom w:val="nil"/>
              <w:right w:val="single" w:sz="4" w:space="0" w:color="auto"/>
            </w:tcBorders>
          </w:tcPr>
          <w:p w14:paraId="68344471"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WaterWatch</w:t>
            </w:r>
          </w:p>
        </w:tc>
        <w:tc>
          <w:tcPr>
            <w:tcW w:w="4158" w:type="dxa"/>
            <w:tcBorders>
              <w:top w:val="nil"/>
              <w:left w:val="single" w:sz="4" w:space="0" w:color="auto"/>
              <w:bottom w:val="nil"/>
              <w:right w:val="nil"/>
            </w:tcBorders>
          </w:tcPr>
          <w:p w14:paraId="383296AA" w14:textId="41693417"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7" w:history="1">
              <w:r w:rsidR="005F00E2" w:rsidRPr="00CD2AF7">
                <w:rPr>
                  <w:rStyle w:val="Hyperlink"/>
                  <w:sz w:val="20"/>
                  <w:szCs w:val="20"/>
                </w:rPr>
                <w:t>https://waterwatch.usgs.gov</w:t>
              </w:r>
            </w:hyperlink>
            <w:r w:rsidR="005F00E2" w:rsidRPr="00CD2AF7">
              <w:rPr>
                <w:sz w:val="20"/>
                <w:szCs w:val="20"/>
              </w:rPr>
              <w:t>; Brakebill et al. (2011)</w:t>
            </w:r>
          </w:p>
        </w:tc>
      </w:tr>
      <w:tr w:rsidR="005F00E2" w:rsidRPr="00CD2AF7" w14:paraId="0832EBFA" w14:textId="77777777" w:rsidTr="005A5D00">
        <w:trPr>
          <w:jc w:val="center"/>
        </w:trPr>
        <w:tc>
          <w:tcPr>
            <w:tcW w:w="1710" w:type="dxa"/>
            <w:vMerge/>
          </w:tcPr>
          <w:p w14:paraId="0C673A48" w14:textId="77777777" w:rsidR="005F00E2" w:rsidRPr="00CD2AF7" w:rsidRDefault="005F00E2" w:rsidP="00A33CBF">
            <w:pPr>
              <w:pStyle w:val="TableText"/>
              <w:rPr>
                <w:szCs w:val="20"/>
              </w:rPr>
            </w:pPr>
          </w:p>
        </w:tc>
        <w:tc>
          <w:tcPr>
            <w:tcW w:w="3420" w:type="dxa"/>
            <w:tcBorders>
              <w:top w:val="nil"/>
              <w:left w:val="single" w:sz="4" w:space="0" w:color="auto"/>
              <w:bottom w:val="nil"/>
              <w:right w:val="single" w:sz="4" w:space="0" w:color="auto"/>
            </w:tcBorders>
          </w:tcPr>
          <w:p w14:paraId="6F3391CD" w14:textId="4DA5E206"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Bias Correction and Quality Control SNOTEL Data</w:t>
            </w:r>
          </w:p>
        </w:tc>
        <w:tc>
          <w:tcPr>
            <w:tcW w:w="4158" w:type="dxa"/>
            <w:tcBorders>
              <w:top w:val="nil"/>
              <w:left w:val="single" w:sz="4" w:space="0" w:color="auto"/>
              <w:bottom w:val="nil"/>
              <w:right w:val="nil"/>
            </w:tcBorders>
          </w:tcPr>
          <w:p w14:paraId="286D67C6" w14:textId="77777777" w:rsidR="005F00E2" w:rsidRPr="00CD2AF7" w:rsidRDefault="005F00E2" w:rsidP="00746728">
            <w:pPr>
              <w:pStyle w:val="ListParagraph"/>
              <w:widowControl w:val="0"/>
              <w:numPr>
                <w:ilvl w:val="0"/>
                <w:numId w:val="11"/>
              </w:numPr>
              <w:spacing w:before="0" w:after="0" w:line="240" w:lineRule="auto"/>
              <w:ind w:left="252" w:hanging="252"/>
              <w:contextualSpacing w:val="0"/>
              <w:rPr>
                <w:sz w:val="20"/>
                <w:szCs w:val="20"/>
              </w:rPr>
            </w:pPr>
            <w:r w:rsidRPr="00CD2AF7">
              <w:rPr>
                <w:sz w:val="20"/>
                <w:szCs w:val="20"/>
              </w:rPr>
              <w:t>Sun et al. (2019); Yan et al. (2018)</w:t>
            </w:r>
          </w:p>
        </w:tc>
      </w:tr>
      <w:tr w:rsidR="005F00E2" w:rsidRPr="00CD2AF7" w14:paraId="1BB44AEB" w14:textId="77777777" w:rsidTr="005A5D00">
        <w:trPr>
          <w:jc w:val="center"/>
        </w:trPr>
        <w:tc>
          <w:tcPr>
            <w:tcW w:w="1710" w:type="dxa"/>
            <w:vMerge/>
          </w:tcPr>
          <w:p w14:paraId="24938F84" w14:textId="77777777" w:rsidR="005F00E2" w:rsidRPr="00CD2AF7" w:rsidRDefault="005F00E2" w:rsidP="00A33CBF">
            <w:pPr>
              <w:pStyle w:val="TableText"/>
              <w:rPr>
                <w:szCs w:val="20"/>
              </w:rPr>
            </w:pPr>
          </w:p>
        </w:tc>
        <w:tc>
          <w:tcPr>
            <w:tcW w:w="3420" w:type="dxa"/>
            <w:tcBorders>
              <w:top w:val="nil"/>
              <w:left w:val="single" w:sz="4" w:space="0" w:color="auto"/>
              <w:bottom w:val="single" w:sz="4" w:space="0" w:color="auto"/>
              <w:right w:val="single" w:sz="4" w:space="0" w:color="auto"/>
            </w:tcBorders>
          </w:tcPr>
          <w:p w14:paraId="4BF58F8C"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rPr>
            </w:pPr>
            <w:r w:rsidRPr="00CD2AF7">
              <w:rPr>
                <w:sz w:val="20"/>
                <w:szCs w:val="20"/>
              </w:rPr>
              <w:t>Historical reservoir storage and area</w:t>
            </w:r>
          </w:p>
        </w:tc>
        <w:tc>
          <w:tcPr>
            <w:tcW w:w="4158" w:type="dxa"/>
            <w:tcBorders>
              <w:top w:val="nil"/>
              <w:left w:val="single" w:sz="4" w:space="0" w:color="auto"/>
              <w:bottom w:val="single" w:sz="4" w:space="0" w:color="auto"/>
              <w:right w:val="nil"/>
            </w:tcBorders>
          </w:tcPr>
          <w:p w14:paraId="2690CA79" w14:textId="77777777" w:rsidR="005F00E2" w:rsidRPr="00CD2AF7" w:rsidRDefault="005F00E2" w:rsidP="00746728">
            <w:pPr>
              <w:pStyle w:val="ListParagraph"/>
              <w:widowControl w:val="0"/>
              <w:numPr>
                <w:ilvl w:val="0"/>
                <w:numId w:val="11"/>
              </w:numPr>
              <w:spacing w:before="0" w:after="0" w:line="240" w:lineRule="auto"/>
              <w:ind w:left="252" w:hanging="252"/>
              <w:contextualSpacing w:val="0"/>
              <w:rPr>
                <w:sz w:val="20"/>
                <w:szCs w:val="20"/>
              </w:rPr>
            </w:pPr>
            <w:r w:rsidRPr="00CD2AF7">
              <w:rPr>
                <w:sz w:val="20"/>
                <w:szCs w:val="20"/>
              </w:rPr>
              <w:t>Zhao and Gao (2018) and (2019)</w:t>
            </w:r>
          </w:p>
        </w:tc>
      </w:tr>
      <w:tr w:rsidR="005F00E2" w:rsidRPr="00CD2AF7" w14:paraId="0980D522" w14:textId="77777777" w:rsidTr="005A5D00">
        <w:trPr>
          <w:jc w:val="center"/>
        </w:trPr>
        <w:tc>
          <w:tcPr>
            <w:tcW w:w="1710" w:type="dxa"/>
            <w:tcBorders>
              <w:top w:val="single" w:sz="4" w:space="0" w:color="auto"/>
              <w:left w:val="nil"/>
              <w:bottom w:val="single" w:sz="4" w:space="0" w:color="auto"/>
              <w:right w:val="single" w:sz="4" w:space="0" w:color="auto"/>
            </w:tcBorders>
          </w:tcPr>
          <w:p w14:paraId="6EAACD5E" w14:textId="77777777" w:rsidR="005F00E2" w:rsidRPr="00CD2AF7" w:rsidRDefault="005F00E2" w:rsidP="00A33CBF">
            <w:pPr>
              <w:pStyle w:val="TableText"/>
              <w:rPr>
                <w:szCs w:val="20"/>
                <w:lang w:eastAsia="zh-TW"/>
              </w:rPr>
            </w:pPr>
            <w:r w:rsidRPr="00CD2AF7">
              <w:rPr>
                <w:szCs w:val="20"/>
                <w:lang w:eastAsia="zh-TW"/>
              </w:rPr>
              <w:t>Income per capita</w:t>
            </w:r>
          </w:p>
        </w:tc>
        <w:tc>
          <w:tcPr>
            <w:tcW w:w="3420" w:type="dxa"/>
            <w:tcBorders>
              <w:top w:val="single" w:sz="4" w:space="0" w:color="auto"/>
              <w:left w:val="single" w:sz="4" w:space="0" w:color="auto"/>
              <w:bottom w:val="single" w:sz="4" w:space="0" w:color="auto"/>
              <w:right w:val="single" w:sz="4" w:space="0" w:color="auto"/>
            </w:tcBorders>
          </w:tcPr>
          <w:p w14:paraId="2995919A" w14:textId="77777777"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lang w:eastAsia="zh-TW"/>
              </w:rPr>
            </w:pPr>
            <w:r w:rsidRPr="00CD2AF7">
              <w:rPr>
                <w:sz w:val="20"/>
                <w:szCs w:val="20"/>
                <w:lang w:eastAsia="zh-TW"/>
              </w:rPr>
              <w:t>Bureau of Economic Analysis Annual Personal Income by County (CAINC1) series</w:t>
            </w:r>
          </w:p>
        </w:tc>
        <w:tc>
          <w:tcPr>
            <w:tcW w:w="4158" w:type="dxa"/>
            <w:tcBorders>
              <w:top w:val="single" w:sz="4" w:space="0" w:color="auto"/>
              <w:left w:val="single" w:sz="4" w:space="0" w:color="auto"/>
              <w:bottom w:val="single" w:sz="4" w:space="0" w:color="auto"/>
              <w:right w:val="nil"/>
            </w:tcBorders>
          </w:tcPr>
          <w:p w14:paraId="69FF7D8F" w14:textId="7C001D3C"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8" w:history="1">
              <w:r w:rsidR="005F00E2" w:rsidRPr="00CD2AF7">
                <w:rPr>
                  <w:rStyle w:val="Hyperlink"/>
                  <w:sz w:val="20"/>
                  <w:szCs w:val="20"/>
                </w:rPr>
                <w:t>https://apps.bea.gov/regional/downloadzip.cfm</w:t>
              </w:r>
            </w:hyperlink>
          </w:p>
        </w:tc>
      </w:tr>
      <w:tr w:rsidR="005F00E2" w:rsidRPr="00CD2AF7" w14:paraId="267DEF94" w14:textId="77777777" w:rsidTr="005A5D00">
        <w:trPr>
          <w:jc w:val="center"/>
        </w:trPr>
        <w:tc>
          <w:tcPr>
            <w:tcW w:w="1710" w:type="dxa"/>
            <w:tcBorders>
              <w:top w:val="single" w:sz="4" w:space="0" w:color="auto"/>
              <w:left w:val="nil"/>
              <w:bottom w:val="single" w:sz="4" w:space="0" w:color="auto"/>
              <w:right w:val="single" w:sz="4" w:space="0" w:color="auto"/>
            </w:tcBorders>
          </w:tcPr>
          <w:p w14:paraId="2E7D2855" w14:textId="77777777" w:rsidR="005F00E2" w:rsidRPr="00CD2AF7" w:rsidRDefault="005F00E2" w:rsidP="00A33CBF">
            <w:pPr>
              <w:pStyle w:val="TableText"/>
              <w:rPr>
                <w:szCs w:val="20"/>
                <w:lang w:eastAsia="zh-TW"/>
              </w:rPr>
            </w:pPr>
            <w:r w:rsidRPr="00CD2AF7">
              <w:rPr>
                <w:szCs w:val="20"/>
                <w:lang w:eastAsia="zh-TW"/>
              </w:rPr>
              <w:t>Air conditioning ownership in the Pacific Northwest</w:t>
            </w:r>
          </w:p>
        </w:tc>
        <w:tc>
          <w:tcPr>
            <w:tcW w:w="3420" w:type="dxa"/>
            <w:tcBorders>
              <w:top w:val="single" w:sz="4" w:space="0" w:color="auto"/>
              <w:left w:val="single" w:sz="4" w:space="0" w:color="auto"/>
              <w:bottom w:val="single" w:sz="4" w:space="0" w:color="auto"/>
              <w:right w:val="single" w:sz="4" w:space="0" w:color="auto"/>
            </w:tcBorders>
          </w:tcPr>
          <w:p w14:paraId="12811A73" w14:textId="6FDCD7EB"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lang w:eastAsia="zh-TW"/>
              </w:rPr>
            </w:pPr>
            <w:r w:rsidRPr="00CD2AF7">
              <w:rPr>
                <w:sz w:val="20"/>
                <w:szCs w:val="20"/>
                <w:lang w:eastAsia="zh-TW"/>
              </w:rPr>
              <w:t>Northwest Energy Efficiency Alliance Residential Building Stock Assessment II</w:t>
            </w:r>
          </w:p>
        </w:tc>
        <w:tc>
          <w:tcPr>
            <w:tcW w:w="4158" w:type="dxa"/>
            <w:tcBorders>
              <w:top w:val="single" w:sz="4" w:space="0" w:color="auto"/>
              <w:left w:val="single" w:sz="4" w:space="0" w:color="auto"/>
              <w:bottom w:val="single" w:sz="4" w:space="0" w:color="auto"/>
              <w:right w:val="nil"/>
            </w:tcBorders>
          </w:tcPr>
          <w:p w14:paraId="7DE071E2" w14:textId="2B6E808F"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49" w:history="1">
              <w:r w:rsidR="005F00E2" w:rsidRPr="00CD2AF7">
                <w:rPr>
                  <w:rStyle w:val="Hyperlink"/>
                  <w:sz w:val="20"/>
                  <w:szCs w:val="20"/>
                </w:rPr>
                <w:t>https://neea.org/resources/rbsa-ii-combined-database</w:t>
              </w:r>
            </w:hyperlink>
          </w:p>
        </w:tc>
      </w:tr>
      <w:tr w:rsidR="005F00E2" w:rsidRPr="00CD2AF7" w14:paraId="115DBF6A" w14:textId="77777777" w:rsidTr="005A5D00">
        <w:trPr>
          <w:jc w:val="center"/>
        </w:trPr>
        <w:tc>
          <w:tcPr>
            <w:tcW w:w="1710" w:type="dxa"/>
            <w:tcBorders>
              <w:top w:val="single" w:sz="4" w:space="0" w:color="auto"/>
              <w:left w:val="nil"/>
              <w:bottom w:val="single" w:sz="12" w:space="0" w:color="auto"/>
              <w:right w:val="single" w:sz="4" w:space="0" w:color="auto"/>
            </w:tcBorders>
          </w:tcPr>
          <w:p w14:paraId="485CB9A3" w14:textId="77777777" w:rsidR="005F00E2" w:rsidRPr="00CD2AF7" w:rsidRDefault="005F00E2" w:rsidP="00A33CBF">
            <w:pPr>
              <w:pStyle w:val="TableText"/>
              <w:rPr>
                <w:szCs w:val="20"/>
                <w:lang w:eastAsia="zh-TW"/>
              </w:rPr>
            </w:pPr>
            <w:r w:rsidRPr="00CD2AF7">
              <w:rPr>
                <w:szCs w:val="20"/>
                <w:lang w:eastAsia="zh-TW"/>
              </w:rPr>
              <w:t>City boundary</w:t>
            </w:r>
          </w:p>
        </w:tc>
        <w:tc>
          <w:tcPr>
            <w:tcW w:w="3420" w:type="dxa"/>
            <w:tcBorders>
              <w:top w:val="single" w:sz="4" w:space="0" w:color="auto"/>
              <w:left w:val="single" w:sz="4" w:space="0" w:color="auto"/>
              <w:bottom w:val="single" w:sz="12" w:space="0" w:color="auto"/>
              <w:right w:val="single" w:sz="4" w:space="0" w:color="auto"/>
            </w:tcBorders>
          </w:tcPr>
          <w:p w14:paraId="284A76E3" w14:textId="0654471D" w:rsidR="005F00E2" w:rsidRPr="00CD2AF7" w:rsidRDefault="005F00E2" w:rsidP="00746728">
            <w:pPr>
              <w:pStyle w:val="ListParagraph"/>
              <w:widowControl w:val="0"/>
              <w:numPr>
                <w:ilvl w:val="0"/>
                <w:numId w:val="11"/>
              </w:numPr>
              <w:spacing w:before="0" w:after="0" w:line="240" w:lineRule="auto"/>
              <w:ind w:left="259" w:hanging="259"/>
              <w:contextualSpacing w:val="0"/>
              <w:rPr>
                <w:sz w:val="20"/>
                <w:szCs w:val="20"/>
                <w:lang w:eastAsia="zh-TW"/>
              </w:rPr>
            </w:pPr>
            <w:r w:rsidRPr="00CD2AF7">
              <w:rPr>
                <w:sz w:val="20"/>
                <w:szCs w:val="20"/>
              </w:rPr>
              <w:t>US Census Bureau</w:t>
            </w:r>
            <w:r w:rsidR="00805545">
              <w:rPr>
                <w:sz w:val="20"/>
                <w:szCs w:val="20"/>
              </w:rPr>
              <w:t>’</w:t>
            </w:r>
            <w:r>
              <w:rPr>
                <w:sz w:val="20"/>
                <w:szCs w:val="20"/>
              </w:rPr>
              <w:t>s</w:t>
            </w:r>
            <w:r w:rsidRPr="00CD2AF7">
              <w:rPr>
                <w:sz w:val="20"/>
                <w:szCs w:val="20"/>
              </w:rPr>
              <w:t xml:space="preserve"> Topologically Integrated Geographic Encoding and Referencing </w:t>
            </w:r>
            <w:r w:rsidR="005606E5">
              <w:rPr>
                <w:sz w:val="20"/>
                <w:szCs w:val="20"/>
              </w:rPr>
              <w:t>data se</w:t>
            </w:r>
            <w:r w:rsidRPr="47E6C8DF">
              <w:rPr>
                <w:sz w:val="20"/>
                <w:szCs w:val="20"/>
              </w:rPr>
              <w:t>t</w:t>
            </w:r>
          </w:p>
        </w:tc>
        <w:tc>
          <w:tcPr>
            <w:tcW w:w="4158" w:type="dxa"/>
            <w:tcBorders>
              <w:top w:val="single" w:sz="4" w:space="0" w:color="auto"/>
              <w:left w:val="single" w:sz="4" w:space="0" w:color="auto"/>
              <w:bottom w:val="single" w:sz="12" w:space="0" w:color="auto"/>
              <w:right w:val="nil"/>
            </w:tcBorders>
          </w:tcPr>
          <w:p w14:paraId="4BBF9FAE" w14:textId="4946A7DE" w:rsidR="005F00E2" w:rsidRPr="00CD2AF7" w:rsidRDefault="008043C8" w:rsidP="00746728">
            <w:pPr>
              <w:pStyle w:val="ListParagraph"/>
              <w:widowControl w:val="0"/>
              <w:numPr>
                <w:ilvl w:val="0"/>
                <w:numId w:val="11"/>
              </w:numPr>
              <w:spacing w:before="0" w:after="0" w:line="240" w:lineRule="auto"/>
              <w:ind w:left="252" w:hanging="252"/>
              <w:contextualSpacing w:val="0"/>
              <w:rPr>
                <w:sz w:val="20"/>
                <w:szCs w:val="20"/>
              </w:rPr>
            </w:pPr>
            <w:hyperlink r:id="rId50" w:history="1">
              <w:r w:rsidR="005F00E2" w:rsidRPr="00CD2AF7">
                <w:rPr>
                  <w:rStyle w:val="Hyperlink"/>
                  <w:sz w:val="20"/>
                  <w:szCs w:val="20"/>
                </w:rPr>
                <w:t>https://www.census.gov/geo/maps-data/data/tiger.html</w:t>
              </w:r>
            </w:hyperlink>
          </w:p>
        </w:tc>
      </w:tr>
    </w:tbl>
    <w:p w14:paraId="7B36B964" w14:textId="77777777" w:rsidR="005F00E2" w:rsidRDefault="005F00E2" w:rsidP="00185D05">
      <w:pPr>
        <w:pStyle w:val="BodyText"/>
        <w:rPr>
          <w:lang w:eastAsia="zh-TW"/>
        </w:rPr>
      </w:pPr>
    </w:p>
    <w:p w14:paraId="22BAE4E5" w14:textId="7B9C9F0C" w:rsidR="00E0275C" w:rsidRPr="006F3537" w:rsidRDefault="00E22E61" w:rsidP="00E22E61">
      <w:pPr>
        <w:pStyle w:val="Heading3"/>
      </w:pPr>
      <w:bookmarkStart w:id="69" w:name="_Toc113380765"/>
      <w:r w:rsidRPr="00E22E61">
        <w:t>Hydropower and Power Marketing Data</w:t>
      </w:r>
      <w:bookmarkEnd w:id="69"/>
    </w:p>
    <w:p w14:paraId="18FEFFDA" w14:textId="6A38D702" w:rsidR="009001D6" w:rsidRPr="00FA17F9" w:rsidRDefault="009001D6" w:rsidP="00852ACC">
      <w:pPr>
        <w:pStyle w:val="BodyText"/>
        <w:rPr>
          <w:b/>
        </w:rPr>
      </w:pPr>
      <w:r w:rsidRPr="009001D6">
        <w:rPr>
          <w:i/>
          <w:iCs/>
        </w:rPr>
        <w:t>Hydropowe</w:t>
      </w:r>
      <w:r w:rsidR="00D0246E" w:rsidRPr="009001D6">
        <w:rPr>
          <w:i/>
          <w:iCs/>
        </w:rPr>
        <w:t>r project characterist</w:t>
      </w:r>
      <w:r w:rsidRPr="009001D6">
        <w:rPr>
          <w:i/>
          <w:iCs/>
        </w:rPr>
        <w:t>ics</w:t>
      </w:r>
      <w:r>
        <w:t>:</w:t>
      </w:r>
      <w:r w:rsidRPr="009001D6">
        <w:t xml:space="preserve"> </w:t>
      </w:r>
      <w:r w:rsidR="00FA17F9">
        <w:t>The list and characteristics of the 132 federal hydropower plants were established during previous 9505 assessment</w:t>
      </w:r>
      <w:r w:rsidR="00C741DF">
        <w:t>s</w:t>
      </w:r>
      <w:r w:rsidR="00FA17F9">
        <w:t xml:space="preserve"> (</w:t>
      </w:r>
      <w:r w:rsidR="005A5287">
        <w:t>Kao et al., 2016</w:t>
      </w:r>
      <w:r w:rsidR="00C741DF">
        <w:t xml:space="preserve"> </w:t>
      </w:r>
      <w:r w:rsidR="005B7726">
        <w:t xml:space="preserve">and </w:t>
      </w:r>
      <w:r w:rsidR="00FA17F9">
        <w:t>Sale et al., 2012). Some recent change</w:t>
      </w:r>
      <w:r w:rsidR="006978C3">
        <w:t>s</w:t>
      </w:r>
      <w:r w:rsidR="00FA17F9">
        <w:t xml:space="preserve"> </w:t>
      </w:r>
      <w:r w:rsidR="006978C3">
        <w:t>in</w:t>
      </w:r>
      <w:r w:rsidR="00FA17F9">
        <w:t xml:space="preserve"> capacity</w:t>
      </w:r>
      <w:r w:rsidR="006978C3">
        <w:t xml:space="preserve"> </w:t>
      </w:r>
      <w:r w:rsidR="005B7726">
        <w:t>were found in</w:t>
      </w:r>
      <w:r w:rsidR="00FA17F9">
        <w:t xml:space="preserve"> </w:t>
      </w:r>
      <w:r w:rsidRPr="00550886">
        <w:t xml:space="preserve">the </w:t>
      </w:r>
      <w:r w:rsidR="00FA17F9" w:rsidRPr="00FA17F9">
        <w:t>Existing Hydropower Assets Plant</w:t>
      </w:r>
      <w:r w:rsidR="005606E5">
        <w:t xml:space="preserve"> data set </w:t>
      </w:r>
      <w:r w:rsidR="00C36ADC">
        <w:t>(</w:t>
      </w:r>
      <w:r w:rsidR="00FA17F9" w:rsidRPr="00FA17F9">
        <w:t>Johnson</w:t>
      </w:r>
      <w:r w:rsidR="00FA17F9">
        <w:t xml:space="preserve"> et al., 2021) maintained by the </w:t>
      </w:r>
      <w:r w:rsidRPr="00550886">
        <w:t xml:space="preserve">ORNL </w:t>
      </w:r>
      <w:r w:rsidRPr="009001D6">
        <w:t>HydroSource</w:t>
      </w:r>
      <w:r>
        <w:t xml:space="preserve"> </w:t>
      </w:r>
      <w:r w:rsidR="001408F0">
        <w:t>p</w:t>
      </w:r>
      <w:r w:rsidRPr="00550886">
        <w:t xml:space="preserve">rogram. These project characteristics </w:t>
      </w:r>
      <w:r w:rsidR="00F01B3B">
        <w:t>were</w:t>
      </w:r>
      <w:r w:rsidRPr="00550886">
        <w:t xml:space="preserve"> further reviewed and updated by PMA staff.</w:t>
      </w:r>
      <w:r w:rsidR="00F01B3B">
        <w:t xml:space="preserve"> Some additional reservoir-related information used in hydropower modeling </w:t>
      </w:r>
      <w:r w:rsidR="006415CE">
        <w:t xml:space="preserve">and </w:t>
      </w:r>
      <w:r w:rsidR="006415CE">
        <w:lastRenderedPageBreak/>
        <w:t xml:space="preserve">reservoir evaluation calculation </w:t>
      </w:r>
      <w:r w:rsidR="00F01B3B">
        <w:t xml:space="preserve">were collected from National Inventory of Dams (NID) and </w:t>
      </w:r>
      <w:r w:rsidR="00A6683A">
        <w:t xml:space="preserve">the </w:t>
      </w:r>
      <w:r w:rsidR="00F01B3B" w:rsidRPr="00F01B3B">
        <w:t>Global Reservoir and Dam Database (GRanD</w:t>
      </w:r>
      <w:r w:rsidR="0005780B">
        <w:t>)</w:t>
      </w:r>
      <w:r w:rsidR="00561BEF">
        <w:t xml:space="preserve"> </w:t>
      </w:r>
      <w:r w:rsidR="0005780B">
        <w:t>(</w:t>
      </w:r>
      <w:r w:rsidR="00561BEF" w:rsidRPr="00561BEF">
        <w:t>Lehner et al.</w:t>
      </w:r>
      <w:r w:rsidR="00561BEF">
        <w:t xml:space="preserve">, </w:t>
      </w:r>
      <w:r w:rsidR="00561BEF" w:rsidRPr="00561BEF">
        <w:t>2011</w:t>
      </w:r>
      <w:r w:rsidR="00F01B3B" w:rsidRPr="00F01B3B">
        <w:t>)</w:t>
      </w:r>
      <w:r w:rsidR="00F01B3B">
        <w:t>.</w:t>
      </w:r>
    </w:p>
    <w:p w14:paraId="137BF044" w14:textId="2D6F953B" w:rsidR="0063253A" w:rsidRPr="00FA17F9" w:rsidRDefault="0063253A" w:rsidP="00852ACC">
      <w:pPr>
        <w:pStyle w:val="BodyText"/>
        <w:rPr>
          <w:b/>
        </w:rPr>
      </w:pPr>
      <w:r w:rsidRPr="00FA17F9">
        <w:rPr>
          <w:i/>
          <w:iCs/>
        </w:rPr>
        <w:t>Historica</w:t>
      </w:r>
      <w:r w:rsidR="00D0246E" w:rsidRPr="00FA17F9">
        <w:rPr>
          <w:i/>
          <w:iCs/>
        </w:rPr>
        <w:t>l hydropower generati</w:t>
      </w:r>
      <w:r w:rsidRPr="00FA17F9">
        <w:rPr>
          <w:i/>
          <w:iCs/>
        </w:rPr>
        <w:t>on</w:t>
      </w:r>
      <w:r>
        <w:t>:</w:t>
      </w:r>
      <w:r w:rsidRPr="009001D6">
        <w:t xml:space="preserve"> </w:t>
      </w:r>
      <w:r w:rsidRPr="00550886">
        <w:t xml:space="preserve">The </w:t>
      </w:r>
      <w:r>
        <w:t xml:space="preserve">1980–2019 </w:t>
      </w:r>
      <w:r w:rsidRPr="00550886">
        <w:t>historical monthly hydropower generation data</w:t>
      </w:r>
      <w:r w:rsidR="00B71F49">
        <w:t xml:space="preserve"> for the United States</w:t>
      </w:r>
      <w:r w:rsidRPr="00550886">
        <w:t xml:space="preserve"> </w:t>
      </w:r>
      <w:r>
        <w:t>were</w:t>
      </w:r>
      <w:r w:rsidRPr="00550886">
        <w:t xml:space="preserve"> collected from the </w:t>
      </w:r>
      <w:r w:rsidR="007D146E" w:rsidRPr="007D146E">
        <w:t>US Energy Information Administration</w:t>
      </w:r>
      <w:r w:rsidR="00805545">
        <w:t>’</w:t>
      </w:r>
      <w:r w:rsidR="00737785">
        <w:t>s</w:t>
      </w:r>
      <w:r w:rsidR="007D146E">
        <w:t xml:space="preserve"> (</w:t>
      </w:r>
      <w:r w:rsidRPr="00550886">
        <w:t>EIA</w:t>
      </w:r>
      <w:r w:rsidR="00805545">
        <w:t>’</w:t>
      </w:r>
      <w:r w:rsidR="00737785">
        <w:t>s</w:t>
      </w:r>
      <w:r w:rsidR="007D146E">
        <w:t>)</w:t>
      </w:r>
      <w:r w:rsidRPr="00550886">
        <w:t xml:space="preserve"> Form 923 </w:t>
      </w:r>
      <w:r w:rsidR="00CD26C6">
        <w:t>d</w:t>
      </w:r>
      <w:r w:rsidRPr="00550886">
        <w:t>atabase (EIA</w:t>
      </w:r>
      <w:r w:rsidR="006978C3">
        <w:t>,</w:t>
      </w:r>
      <w:r w:rsidRPr="00550886">
        <w:t xml:space="preserve"> </w:t>
      </w:r>
      <w:r>
        <w:t>2020</w:t>
      </w:r>
      <w:r w:rsidRPr="00550886">
        <w:t>). When available, more accurate generation records provided by</w:t>
      </w:r>
      <w:r>
        <w:t xml:space="preserve"> </w:t>
      </w:r>
      <w:r w:rsidRPr="00550886">
        <w:t xml:space="preserve">Reclamation, USACE, and the PMAs </w:t>
      </w:r>
      <w:r w:rsidR="001408F0">
        <w:t xml:space="preserve">were </w:t>
      </w:r>
      <w:r w:rsidRPr="00550886">
        <w:t xml:space="preserve">used to update parts of the survey-based EIA plant generation data. The monthly plant generation data </w:t>
      </w:r>
      <w:r w:rsidR="001408F0">
        <w:t xml:space="preserve">were </w:t>
      </w:r>
      <w:r w:rsidRPr="00550886">
        <w:t>then aggregated for each PMA study area for further analysis.</w:t>
      </w:r>
    </w:p>
    <w:p w14:paraId="5627FED2" w14:textId="2CBCC6A9" w:rsidR="0042494A" w:rsidRPr="00E22E61" w:rsidRDefault="00EB2825" w:rsidP="00852ACC">
      <w:pPr>
        <w:pStyle w:val="BodyText"/>
        <w:rPr>
          <w:b/>
        </w:rPr>
      </w:pPr>
      <w:r>
        <w:rPr>
          <w:i/>
        </w:rPr>
        <w:t>Electricit</w:t>
      </w:r>
      <w:r w:rsidR="00D0246E">
        <w:rPr>
          <w:i/>
        </w:rPr>
        <w:t>y s</w:t>
      </w:r>
      <w:r w:rsidR="00D0246E" w:rsidRPr="008E3251">
        <w:rPr>
          <w:i/>
        </w:rPr>
        <w:t>ales</w:t>
      </w:r>
      <w:r w:rsidR="00D0246E">
        <w:rPr>
          <w:i/>
        </w:rPr>
        <w:t xml:space="preserve"> and revenu</w:t>
      </w:r>
      <w:r>
        <w:rPr>
          <w:i/>
        </w:rPr>
        <w:t>e of PMA</w:t>
      </w:r>
      <w:r w:rsidR="00D0246E">
        <w:rPr>
          <w:i/>
        </w:rPr>
        <w:t xml:space="preserve"> preference custom</w:t>
      </w:r>
      <w:r>
        <w:rPr>
          <w:i/>
        </w:rPr>
        <w:t>ers</w:t>
      </w:r>
      <w:r w:rsidRPr="008E3251">
        <w:t xml:space="preserve">: Data on the electricity </w:t>
      </w:r>
      <w:r>
        <w:t>sales</w:t>
      </w:r>
      <w:r w:rsidR="00526EF8">
        <w:t xml:space="preserve"> and revenue</w:t>
      </w:r>
      <w:r w:rsidRPr="008E3251">
        <w:t xml:space="preserve"> </w:t>
      </w:r>
      <w:r w:rsidR="009504BD">
        <w:t xml:space="preserve">generated </w:t>
      </w:r>
      <w:r w:rsidRPr="008E3251">
        <w:t>by PMA</w:t>
      </w:r>
      <w:r>
        <w:t xml:space="preserve"> preference customers </w:t>
      </w:r>
      <w:r w:rsidR="009504BD">
        <w:t>selling to their</w:t>
      </w:r>
      <w:r>
        <w:t xml:space="preserve"> end-use customers (residential, commercial, industrial, or other) </w:t>
      </w:r>
      <w:r w:rsidRPr="008E3251">
        <w:t>were collected from EIA</w:t>
      </w:r>
      <w:r w:rsidR="00805545">
        <w:t>’</w:t>
      </w:r>
      <w:r w:rsidRPr="008E3251">
        <w:t>s Annual Electric Power Industry Report (Form 861). This form collects information on peak load, generation, electric purchases, sales, revenues, customer counts, and other metrics directly from the utilities</w:t>
      </w:r>
      <w:r>
        <w:t xml:space="preserve">. The subset of utilities of interest for this analysis </w:t>
      </w:r>
      <w:r w:rsidR="001408F0">
        <w:t xml:space="preserve">were </w:t>
      </w:r>
      <w:r>
        <w:t>those that have long-term contracts with one of the PMAs (i.e., preference customers).</w:t>
      </w:r>
    </w:p>
    <w:p w14:paraId="4BFEC7D0" w14:textId="33957563" w:rsidR="002C3C7A" w:rsidRPr="006D08C0" w:rsidRDefault="002C3C7A" w:rsidP="00520310">
      <w:pPr>
        <w:pStyle w:val="Heading3"/>
      </w:pPr>
      <w:bookmarkStart w:id="70" w:name="_Toc113380766"/>
      <w:bookmarkStart w:id="71" w:name="_Ref72486996"/>
      <w:bookmarkStart w:id="72" w:name="_Ref425755991"/>
      <w:r w:rsidRPr="006D08C0">
        <w:t xml:space="preserve">Meteorological </w:t>
      </w:r>
      <w:r w:rsidR="00A83E32">
        <w:t>Data</w:t>
      </w:r>
      <w:bookmarkEnd w:id="70"/>
    </w:p>
    <w:p w14:paraId="084448EA" w14:textId="645630F4" w:rsidR="002C3C7A" w:rsidRPr="007D6857" w:rsidRDefault="002C3C7A" w:rsidP="00852ACC">
      <w:pPr>
        <w:pStyle w:val="BodyText"/>
        <w:rPr>
          <w:b/>
        </w:rPr>
      </w:pPr>
      <w:r>
        <w:rPr>
          <w:i/>
          <w:iCs/>
        </w:rPr>
        <w:t>Daymet</w:t>
      </w:r>
      <w:r>
        <w:t>:</w:t>
      </w:r>
      <w:r w:rsidRPr="009001D6">
        <w:t xml:space="preserve"> </w:t>
      </w:r>
      <w:r>
        <w:t xml:space="preserve">The ORNL </w:t>
      </w:r>
      <w:r w:rsidRPr="00D66DD2">
        <w:t xml:space="preserve">Daymet </w:t>
      </w:r>
      <w:r w:rsidR="00A83E32">
        <w:t xml:space="preserve">meteorological data </w:t>
      </w:r>
      <w:r w:rsidRPr="00D66DD2">
        <w:t>provides daily</w:t>
      </w:r>
      <w:r w:rsidR="00AA0E51">
        <w:t>,</w:t>
      </w:r>
      <w:r w:rsidRPr="00D66DD2">
        <w:t xml:space="preserve"> gauge-based gridded precipitation estimates </w:t>
      </w:r>
      <w:r>
        <w:t>from</w:t>
      </w:r>
      <w:r w:rsidRPr="00D66DD2">
        <w:t xml:space="preserve"> 1980</w:t>
      </w:r>
      <w:r w:rsidR="00021C45">
        <w:t xml:space="preserve"> </w:t>
      </w:r>
      <w:r w:rsidR="00AA0E51">
        <w:t>to</w:t>
      </w:r>
      <w:r w:rsidR="00021C45">
        <w:t xml:space="preserve"> </w:t>
      </w:r>
      <w:r w:rsidRPr="00D66DD2">
        <w:t>201</w:t>
      </w:r>
      <w:r>
        <w:t>9</w:t>
      </w:r>
      <w:r w:rsidRPr="00D66DD2">
        <w:t xml:space="preserve"> </w:t>
      </w:r>
      <w:r>
        <w:t xml:space="preserve">for </w:t>
      </w:r>
      <w:r w:rsidRPr="00D66DD2">
        <w:t xml:space="preserve">North America at </w:t>
      </w:r>
      <w:r w:rsidR="00AA0E51">
        <w:t>a</w:t>
      </w:r>
      <w:r w:rsidRPr="00D66DD2">
        <w:t xml:space="preserve"> 1</w:t>
      </w:r>
      <w:r w:rsidR="00AA0E51">
        <w:t xml:space="preserve"> </w:t>
      </w:r>
      <w:r w:rsidRPr="00D66DD2">
        <w:t xml:space="preserve">km horizontal resolution </w:t>
      </w:r>
      <w:r w:rsidRPr="00550886">
        <w:t>(Thornton et al.</w:t>
      </w:r>
      <w:r>
        <w:t>,</w:t>
      </w:r>
      <w:r w:rsidRPr="00550886">
        <w:t xml:space="preserve"> </w:t>
      </w:r>
      <w:r>
        <w:t>2021</w:t>
      </w:r>
      <w:r w:rsidRPr="00550886">
        <w:t xml:space="preserve">). </w:t>
      </w:r>
      <w:r w:rsidRPr="00D66DD2">
        <w:t xml:space="preserve">Daymet </w:t>
      </w:r>
      <w:r>
        <w:t xml:space="preserve">is widely used in many hydrologic and ecological studies and </w:t>
      </w:r>
      <w:r w:rsidRPr="00D66DD2">
        <w:t>offers the highest spatial resolution among all publicly available</w:t>
      </w:r>
      <w:r w:rsidR="00147EF7">
        <w:t>,</w:t>
      </w:r>
      <w:r w:rsidRPr="00D66DD2">
        <w:t xml:space="preserve"> gauge-based gridded precipitation</w:t>
      </w:r>
      <w:r w:rsidR="00D64187">
        <w:t xml:space="preserve"> </w:t>
      </w:r>
      <w:r w:rsidR="005606E5">
        <w:t>data sets</w:t>
      </w:r>
      <w:r w:rsidR="00D64187">
        <w:t xml:space="preserve"> </w:t>
      </w:r>
      <w:r w:rsidRPr="00D66DD2">
        <w:t>in the U</w:t>
      </w:r>
      <w:r w:rsidR="001324FA">
        <w:t xml:space="preserve">nited </w:t>
      </w:r>
      <w:r w:rsidRPr="00D66DD2">
        <w:t>S</w:t>
      </w:r>
      <w:r w:rsidR="001324FA">
        <w:t>tates</w:t>
      </w:r>
      <w:r>
        <w:t xml:space="preserve">. </w:t>
      </w:r>
      <w:r w:rsidR="00147EF7">
        <w:t>T</w:t>
      </w:r>
      <w:r>
        <w:t>his study used the latest Daymet V4</w:t>
      </w:r>
      <w:r w:rsidR="00147EF7">
        <w:t>,</w:t>
      </w:r>
      <w:r>
        <w:t xml:space="preserve"> </w:t>
      </w:r>
      <w:r w:rsidR="00147EF7">
        <w:t>which</w:t>
      </w:r>
      <w:r>
        <w:t xml:space="preserve"> includes observational timing correction for daily precipitation and maximum temperature, along with other enhancements. Daymet</w:t>
      </w:r>
      <w:r w:rsidR="00DA4810">
        <w:t xml:space="preserve"> was aggregated</w:t>
      </w:r>
      <w:r>
        <w:t xml:space="preserve"> to 1</w:t>
      </w:r>
      <w:r w:rsidR="007C30BB">
        <w:t>°</w:t>
      </w:r>
      <w:r>
        <w:t xml:space="preserve"> resolution grids for </w:t>
      </w:r>
      <w:r w:rsidR="00FD604E">
        <w:t xml:space="preserve">the </w:t>
      </w:r>
      <w:r>
        <w:t xml:space="preserve">climate model </w:t>
      </w:r>
      <w:r w:rsidR="00187E2F">
        <w:t xml:space="preserve">(CM) </w:t>
      </w:r>
      <w:r>
        <w:t xml:space="preserve">evaluation, </w:t>
      </w:r>
      <w:r w:rsidR="009A511E">
        <w:t>to</w:t>
      </w:r>
      <w:r>
        <w:t xml:space="preserve"> 1/</w:t>
      </w:r>
      <w:r w:rsidR="007C30BB">
        <w:t xml:space="preserve">24° </w:t>
      </w:r>
      <w:r>
        <w:t>(~4</w:t>
      </w:r>
      <w:r w:rsidR="007C30BB">
        <w:t xml:space="preserve"> </w:t>
      </w:r>
      <w:r>
        <w:t xml:space="preserve">km) resolution grids for </w:t>
      </w:r>
      <w:r w:rsidR="00FD604E">
        <w:t xml:space="preserve">the </w:t>
      </w:r>
      <w:r w:rsidR="00187E2F">
        <w:t>CM</w:t>
      </w:r>
      <w:r>
        <w:t xml:space="preserve"> downscaling and Variable Infiltration Capacit</w:t>
      </w:r>
      <w:r w:rsidRPr="007D6857">
        <w:t xml:space="preserve">y (VIC) hydrologic modeling, and to various hydrologic response units (HRUs) for </w:t>
      </w:r>
      <w:r w:rsidR="009A511E" w:rsidRPr="007D6857">
        <w:t>the</w:t>
      </w:r>
      <w:r w:rsidRPr="007D6857">
        <w:t xml:space="preserve"> Precipitation Runoff Modeling System (PRMS) modeling.</w:t>
      </w:r>
      <w:r w:rsidR="00975467" w:rsidRPr="007D6857">
        <w:t xml:space="preserve"> When compared </w:t>
      </w:r>
      <w:r w:rsidR="00E00B99" w:rsidRPr="007D6857">
        <w:t xml:space="preserve">with </w:t>
      </w:r>
      <w:r w:rsidR="00975467" w:rsidRPr="007D6857">
        <w:t>Daymet V3, the differences are mainly at the daily scale. The monthly values between both versions are quite similar.</w:t>
      </w:r>
      <w:r w:rsidR="008D19A9" w:rsidRPr="007D6857">
        <w:t xml:space="preserve"> The monthly scale evaluation of precipitation timeseries reveal</w:t>
      </w:r>
      <w:r w:rsidR="00D959CC" w:rsidRPr="007D6857">
        <w:t>ed</w:t>
      </w:r>
      <w:r w:rsidR="008D19A9" w:rsidRPr="007D6857">
        <w:t xml:space="preserve"> that 99.7% of HUCs show</w:t>
      </w:r>
      <w:r w:rsidR="00D959CC" w:rsidRPr="007D6857">
        <w:t>ed</w:t>
      </w:r>
      <w:r w:rsidR="008D19A9" w:rsidRPr="007D6857">
        <w:t xml:space="preserve"> a</w:t>
      </w:r>
      <w:r w:rsidR="00D959CC" w:rsidRPr="007D6857">
        <w:t>n</w:t>
      </w:r>
      <w:r w:rsidR="008D19A9" w:rsidRPr="007D6857">
        <w:t xml:space="preserve"> NSE &gt;0.90, and ~91% of HUCs show</w:t>
      </w:r>
      <w:r w:rsidR="00D959CC" w:rsidRPr="007D6857">
        <w:t>ed an</w:t>
      </w:r>
      <w:r w:rsidR="008D19A9" w:rsidRPr="007D6857">
        <w:t xml:space="preserve"> NSE &gt;0.95. </w:t>
      </w:r>
      <w:bookmarkStart w:id="73" w:name="_Hlk95493348"/>
      <w:r w:rsidR="008D19A9" w:rsidRPr="007D6857">
        <w:t>The monthly scale evaluation of temperature time series demonstrate</w:t>
      </w:r>
      <w:r w:rsidR="00D959CC" w:rsidRPr="007D6857">
        <w:t>d</w:t>
      </w:r>
      <w:r w:rsidR="008D19A9" w:rsidRPr="007D6857">
        <w:t xml:space="preserve"> that all HUCs show</w:t>
      </w:r>
      <w:r w:rsidR="00D959CC" w:rsidRPr="007D6857">
        <w:t>ed</w:t>
      </w:r>
      <w:r w:rsidR="008D19A9" w:rsidRPr="007D6857">
        <w:t xml:space="preserve"> </w:t>
      </w:r>
      <w:r w:rsidR="00D959CC" w:rsidRPr="007D6857">
        <w:t xml:space="preserve">an </w:t>
      </w:r>
      <w:r w:rsidR="008D19A9" w:rsidRPr="007D6857">
        <w:t>NSE &gt;0.95, highlighting the similarities between the two versions of</w:t>
      </w:r>
      <w:r w:rsidR="00D64187" w:rsidRPr="007D6857">
        <w:t xml:space="preserve"> </w:t>
      </w:r>
      <w:bookmarkEnd w:id="73"/>
      <w:r w:rsidR="00D959CC" w:rsidRPr="007D6857">
        <w:t xml:space="preserve">the </w:t>
      </w:r>
      <w:r w:rsidR="00D64187" w:rsidRPr="007D6857">
        <w:t>data set.</w:t>
      </w:r>
    </w:p>
    <w:p w14:paraId="3EADDE06" w14:textId="238A9601" w:rsidR="002C3C7A" w:rsidRPr="007D6857" w:rsidRDefault="002C3C7A" w:rsidP="00852ACC">
      <w:pPr>
        <w:pStyle w:val="BodyText"/>
        <w:rPr>
          <w:b/>
        </w:rPr>
      </w:pPr>
      <w:r w:rsidRPr="007D6857">
        <w:rPr>
          <w:i/>
          <w:iCs/>
        </w:rPr>
        <w:t>Livneh</w:t>
      </w:r>
      <w:r w:rsidRPr="007D6857">
        <w:t>: The Livneh daily near-surface gridded meteorological data offers daily</w:t>
      </w:r>
      <w:r w:rsidR="009A511E" w:rsidRPr="007D6857">
        <w:t>,</w:t>
      </w:r>
      <w:r w:rsidRPr="007D6857">
        <w:t xml:space="preserve"> gauge-based gridded precipitation estimates from 1950</w:t>
      </w:r>
      <w:r w:rsidR="009A511E" w:rsidRPr="007D6857">
        <w:t xml:space="preserve"> to </w:t>
      </w:r>
      <w:r w:rsidRPr="007D6857">
        <w:t xml:space="preserve">2013 for the conterminous </w:t>
      </w:r>
      <w:r w:rsidR="001324FA" w:rsidRPr="007D6857">
        <w:t>U</w:t>
      </w:r>
      <w:r w:rsidR="00FD0405" w:rsidRPr="007D6857">
        <w:t>nited States</w:t>
      </w:r>
      <w:r w:rsidRPr="007D6857">
        <w:t xml:space="preserve"> (CONUS), Mexico, and the part of Canada south of 53°</w:t>
      </w:r>
      <w:r w:rsidR="002F070A" w:rsidRPr="007D6857">
        <w:t xml:space="preserve"> </w:t>
      </w:r>
      <w:r w:rsidRPr="007D6857">
        <w:t xml:space="preserve">N at a 1/16° (~6 km) horizontal resolution (Livneh et al., 2015). It is also widely used in many hydrologic studies and </w:t>
      </w:r>
      <w:r w:rsidR="00D959CC" w:rsidRPr="007D6857">
        <w:t xml:space="preserve">has </w:t>
      </w:r>
      <w:r w:rsidRPr="007D6857">
        <w:t xml:space="preserve">served as the underlying </w:t>
      </w:r>
      <w:r w:rsidR="00DA0229" w:rsidRPr="007D6857">
        <w:t>meteorological training</w:t>
      </w:r>
      <w:r w:rsidR="005606E5" w:rsidRPr="007D6857">
        <w:t xml:space="preserve"> data set </w:t>
      </w:r>
      <w:r w:rsidRPr="007D6857">
        <w:t>for several statistically downscaled CMIP5 products</w:t>
      </w:r>
      <w:r w:rsidR="0005429B" w:rsidRPr="007D6857">
        <w:t xml:space="preserve"> based on the </w:t>
      </w:r>
      <w:r w:rsidR="00FB7A82" w:rsidRPr="007D6857">
        <w:t>bias-corrected spatial disaggregation</w:t>
      </w:r>
      <w:r w:rsidRPr="007D6857">
        <w:t xml:space="preserve"> (BCSD; Brekke et al., 2013)</w:t>
      </w:r>
      <w:r w:rsidR="0005429B" w:rsidRPr="007D6857">
        <w:t>,</w:t>
      </w:r>
      <w:r w:rsidR="00FB7A82" w:rsidRPr="007D6857">
        <w:t xml:space="preserve"> multivariate adaptive constructed analog</w:t>
      </w:r>
      <w:r w:rsidRPr="007D6857">
        <w:t xml:space="preserve">s (MACA; </w:t>
      </w:r>
      <w:r w:rsidRPr="007D6857">
        <w:rPr>
          <w:lang w:eastAsia="zh-TW"/>
        </w:rPr>
        <w:t>Abatzoglou, 2013</w:t>
      </w:r>
      <w:r w:rsidRPr="007D6857">
        <w:t>)</w:t>
      </w:r>
      <w:r w:rsidR="0005429B" w:rsidRPr="007D6857">
        <w:t xml:space="preserve">, and </w:t>
      </w:r>
      <w:r w:rsidR="00FB7A82" w:rsidRPr="007D6857">
        <w:t>localized constructed an</w:t>
      </w:r>
      <w:r w:rsidR="0005429B" w:rsidRPr="007D6857">
        <w:t xml:space="preserve">alogs (LOCA; </w:t>
      </w:r>
      <w:r w:rsidR="0005429B" w:rsidRPr="007D6857">
        <w:rPr>
          <w:lang w:eastAsia="zh-TW"/>
        </w:rPr>
        <w:t>Pierce et al., 2014</w:t>
      </w:r>
      <w:r w:rsidR="0005429B" w:rsidRPr="007D6857">
        <w:t>) methods</w:t>
      </w:r>
      <w:r w:rsidRPr="007D6857">
        <w:t>.</w:t>
      </w:r>
    </w:p>
    <w:p w14:paraId="2F2B5BAE" w14:textId="33AD942F" w:rsidR="002C3C7A" w:rsidRPr="00EA2C10" w:rsidRDefault="002F4575" w:rsidP="00852ACC">
      <w:pPr>
        <w:pStyle w:val="BodyText"/>
        <w:rPr>
          <w:b/>
        </w:rPr>
      </w:pPr>
      <w:r w:rsidRPr="007D6857">
        <w:t>T</w:t>
      </w:r>
      <w:r w:rsidR="002C3C7A" w:rsidRPr="007D6857">
        <w:t>his study used the updated 1950–2018 Livneh</w:t>
      </w:r>
      <w:r w:rsidR="005606E5" w:rsidRPr="007D6857">
        <w:t xml:space="preserve"> data set </w:t>
      </w:r>
      <w:r w:rsidR="002C3C7A" w:rsidRPr="007D6857">
        <w:t>provided by Pierce et al. (2021)</w:t>
      </w:r>
      <w:r w:rsidR="00D959CC" w:rsidRPr="007D6857">
        <w:t>,</w:t>
      </w:r>
      <w:r w:rsidR="002C3C7A" w:rsidRPr="007D6857">
        <w:t xml:space="preserve"> which will </w:t>
      </w:r>
      <w:r w:rsidR="00D959CC" w:rsidRPr="007D6857">
        <w:t xml:space="preserve">also </w:t>
      </w:r>
      <w:r w:rsidR="002C3C7A" w:rsidRPr="007D6857">
        <w:t xml:space="preserve">be used as the underlying </w:t>
      </w:r>
      <w:r w:rsidR="00DA0229" w:rsidRPr="007D6857">
        <w:t>meteorological training</w:t>
      </w:r>
      <w:r w:rsidR="005606E5" w:rsidRPr="007D6857">
        <w:t xml:space="preserve"> data set </w:t>
      </w:r>
      <w:r w:rsidR="002C3C7A" w:rsidRPr="007D6857">
        <w:t>for the upcoming CMIP6-based LOCA climate projection</w:t>
      </w:r>
      <w:r w:rsidR="00490864" w:rsidRPr="007D6857">
        <w:t>s</w:t>
      </w:r>
      <w:r w:rsidR="002C3C7A" w:rsidRPr="007D6857">
        <w:t xml:space="preserve">. This update was mainly to correct a timing adjustment issue and improve the characterization of precipitation extremes. </w:t>
      </w:r>
      <w:r w:rsidR="001819EF" w:rsidRPr="007D6857">
        <w:t>A</w:t>
      </w:r>
      <w:r w:rsidR="002C3C7A" w:rsidRPr="007D6857">
        <w:t xml:space="preserve"> similar process</w:t>
      </w:r>
      <w:r w:rsidR="001819EF" w:rsidRPr="007D6857">
        <w:t xml:space="preserve"> was followed</w:t>
      </w:r>
      <w:r w:rsidR="002C3C7A" w:rsidRPr="007D6857">
        <w:t xml:space="preserve"> to aggregate/interpolate Livneh to </w:t>
      </w:r>
      <w:r w:rsidR="00DF7AA7" w:rsidRPr="007D6857">
        <w:t xml:space="preserve">1° </w:t>
      </w:r>
      <w:r w:rsidR="002C3C7A" w:rsidRPr="007D6857">
        <w:t>and 1/</w:t>
      </w:r>
      <w:r w:rsidR="00DF7AA7" w:rsidRPr="007D6857">
        <w:t xml:space="preserve">24° </w:t>
      </w:r>
      <w:r w:rsidR="002C3C7A" w:rsidRPr="007D6857">
        <w:t>grids and HRU spatial units.</w:t>
      </w:r>
      <w:r w:rsidR="00773229" w:rsidRPr="007D6857">
        <w:t xml:space="preserve"> </w:t>
      </w:r>
      <w:r w:rsidR="00D959CC" w:rsidRPr="007D6857">
        <w:t xml:space="preserve">The </w:t>
      </w:r>
      <w:r w:rsidR="00773229" w:rsidRPr="007D6857">
        <w:t xml:space="preserve">differences caused by the Pierce et al. (2021) timing adjustment are mainly at the daily scale </w:t>
      </w:r>
      <w:r w:rsidR="009872CA" w:rsidRPr="007D6857">
        <w:t xml:space="preserve">and </w:t>
      </w:r>
      <w:r w:rsidR="00773229" w:rsidRPr="007D6857">
        <w:t>not so much at the monthly scale</w:t>
      </w:r>
      <w:r w:rsidR="00D959CC" w:rsidRPr="007D6857">
        <w:t>, similar to Daymet</w:t>
      </w:r>
      <w:r w:rsidR="00773229" w:rsidRPr="007D6857">
        <w:t>.</w:t>
      </w:r>
      <w:r w:rsidR="00FF2097" w:rsidRPr="007D6857">
        <w:t xml:space="preserve"> A monthly scale comparison of precipitation between the two Livneh</w:t>
      </w:r>
      <w:r w:rsidR="005606E5" w:rsidRPr="007D6857">
        <w:t xml:space="preserve"> data set </w:t>
      </w:r>
      <w:r w:rsidR="00FF2097" w:rsidRPr="007D6857">
        <w:t>versions reveal</w:t>
      </w:r>
      <w:r w:rsidR="00D959CC" w:rsidRPr="007D6857">
        <w:t>ed</w:t>
      </w:r>
      <w:r w:rsidR="00FF2097" w:rsidRPr="007D6857">
        <w:t xml:space="preserve"> that ~96% of HUCs show</w:t>
      </w:r>
      <w:r w:rsidR="00D959CC" w:rsidRPr="007D6857">
        <w:t>ed</w:t>
      </w:r>
      <w:r w:rsidR="00FF2097" w:rsidRPr="007D6857">
        <w:t xml:space="preserve"> an NSE</w:t>
      </w:r>
      <w:r w:rsidR="00D959CC" w:rsidRPr="007D6857">
        <w:t xml:space="preserve"> </w:t>
      </w:r>
      <w:r w:rsidR="00FF2097" w:rsidRPr="007D6857">
        <w:t>&gt;0.90, and ~86% of HUCs show</w:t>
      </w:r>
      <w:r w:rsidR="00D959CC" w:rsidRPr="007D6857">
        <w:t>ed</w:t>
      </w:r>
      <w:r w:rsidR="00FF2097" w:rsidRPr="007D6857">
        <w:t xml:space="preserve"> </w:t>
      </w:r>
      <w:r w:rsidR="00D959CC" w:rsidRPr="007D6857">
        <w:t xml:space="preserve">an </w:t>
      </w:r>
      <w:r w:rsidR="00FF2097" w:rsidRPr="007D6857">
        <w:t>NSE</w:t>
      </w:r>
      <w:r w:rsidR="00D959CC" w:rsidRPr="007D6857">
        <w:t xml:space="preserve"> </w:t>
      </w:r>
      <w:r w:rsidR="00FF2097" w:rsidRPr="007D6857">
        <w:t>&gt;0.95. The monthly scale evaluation of temperature time series demonstrate</w:t>
      </w:r>
      <w:r w:rsidR="00D959CC" w:rsidRPr="007D6857">
        <w:t>d</w:t>
      </w:r>
      <w:r w:rsidR="00FF2097" w:rsidRPr="007D6857">
        <w:t xml:space="preserve"> that all HUCs show</w:t>
      </w:r>
      <w:r w:rsidR="00D959CC" w:rsidRPr="007D6857">
        <w:t>ed</w:t>
      </w:r>
      <w:r w:rsidR="00FF2097" w:rsidRPr="007D6857">
        <w:t xml:space="preserve"> </w:t>
      </w:r>
      <w:r w:rsidR="00D959CC" w:rsidRPr="007D6857">
        <w:t xml:space="preserve">an </w:t>
      </w:r>
      <w:r w:rsidR="00FF2097" w:rsidRPr="007D6857">
        <w:t>NSE &gt;0.95, highlighting the similarities between the two versions of</w:t>
      </w:r>
      <w:r w:rsidR="00D64187" w:rsidRPr="007D6857">
        <w:t xml:space="preserve"> data sets.</w:t>
      </w:r>
    </w:p>
    <w:p w14:paraId="2D68F156" w14:textId="756DF995" w:rsidR="002C3C7A" w:rsidRPr="007A6D1D" w:rsidRDefault="002C3C7A" w:rsidP="00852ACC">
      <w:pPr>
        <w:pStyle w:val="BodyText"/>
        <w:rPr>
          <w:b/>
        </w:rPr>
      </w:pPr>
      <w:r>
        <w:rPr>
          <w:i/>
          <w:iCs/>
        </w:rPr>
        <w:lastRenderedPageBreak/>
        <w:t>PRISM</w:t>
      </w:r>
      <w:r>
        <w:t>:</w:t>
      </w:r>
      <w:r w:rsidRPr="009001D6">
        <w:t xml:space="preserve"> </w:t>
      </w:r>
      <w:r>
        <w:t xml:space="preserve">The </w:t>
      </w:r>
      <w:r w:rsidRPr="00550886">
        <w:t>Parameter-</w:t>
      </w:r>
      <w:r w:rsidR="00D959CC" w:rsidRPr="00550886">
        <w:t xml:space="preserve">Elevation </w:t>
      </w:r>
      <w:r w:rsidRPr="00550886">
        <w:t>Regressions on Independent Slopes Model (PRISM</w:t>
      </w:r>
      <w:r>
        <w:t>)</w:t>
      </w:r>
      <w:r w:rsidRPr="00550886">
        <w:t xml:space="preserve"> </w:t>
      </w:r>
      <w:r>
        <w:t>(</w:t>
      </w:r>
      <w:r w:rsidRPr="00550886">
        <w:t>Daly et al.</w:t>
      </w:r>
      <w:r>
        <w:t>,</w:t>
      </w:r>
      <w:r w:rsidRPr="00550886">
        <w:t xml:space="preserve"> 2002) meteorological</w:t>
      </w:r>
      <w:r w:rsidR="005606E5">
        <w:t xml:space="preserve"> data set </w:t>
      </w:r>
      <w:r w:rsidRPr="00550886">
        <w:t>provides grid</w:t>
      </w:r>
      <w:r>
        <w:t>ded</w:t>
      </w:r>
      <w:r w:rsidRPr="00550886">
        <w:t xml:space="preserve"> observation of precipitation and temperature for the entire CONUS</w:t>
      </w:r>
      <w:r>
        <w:t xml:space="preserve"> at </w:t>
      </w:r>
      <w:r w:rsidRPr="00A14002">
        <w:t>1</w:t>
      </w:r>
      <w:r w:rsidRPr="00550886">
        <w:t>/</w:t>
      </w:r>
      <w:r w:rsidRPr="00A14002">
        <w:t>24</w:t>
      </w:r>
      <w:r w:rsidRPr="00550886">
        <w:t>° (~4 km) spatial resolution.</w:t>
      </w:r>
      <w:r>
        <w:t xml:space="preserve"> </w:t>
      </w:r>
      <w:r w:rsidR="006956BC">
        <w:t>Although</w:t>
      </w:r>
      <w:r>
        <w:t xml:space="preserve"> it is a widely</w:t>
      </w:r>
      <w:r w:rsidR="006956BC">
        <w:t xml:space="preserve"> </w:t>
      </w:r>
      <w:r>
        <w:t>used data</w:t>
      </w:r>
      <w:r w:rsidR="005606E5">
        <w:t xml:space="preserve"> </w:t>
      </w:r>
      <w:r>
        <w:t xml:space="preserve">set, it </w:t>
      </w:r>
      <w:r w:rsidR="00D959CC">
        <w:t xml:space="preserve">was </w:t>
      </w:r>
      <w:r w:rsidR="00BB1150">
        <w:t xml:space="preserve">not used </w:t>
      </w:r>
      <w:r w:rsidR="00D959CC">
        <w:t xml:space="preserve">in this study </w:t>
      </w:r>
      <w:r>
        <w:t xml:space="preserve">to support hydrologic simulation and downscaling since it does not cover the entire spatial domain of </w:t>
      </w:r>
      <w:r w:rsidR="001A005D">
        <w:t xml:space="preserve">the </w:t>
      </w:r>
      <w:r>
        <w:t xml:space="preserve">study areas (i.e., the headwater basins in Canada and Mexico). PRISM </w:t>
      </w:r>
      <w:r w:rsidR="001819EF">
        <w:t>was aggregated</w:t>
      </w:r>
      <w:r>
        <w:t xml:space="preserve"> to </w:t>
      </w:r>
      <w:r w:rsidR="008157D0">
        <w:t xml:space="preserve">1° </w:t>
      </w:r>
      <w:r>
        <w:t>grids only for the purpose of</w:t>
      </w:r>
      <w:r w:rsidR="00800521">
        <w:t xml:space="preserve"> </w:t>
      </w:r>
      <w:r w:rsidR="00187E2F">
        <w:t>CM</w:t>
      </w:r>
      <w:r>
        <w:t xml:space="preserve"> evaluation.</w:t>
      </w:r>
    </w:p>
    <w:p w14:paraId="2DFF42E4" w14:textId="5D391A38" w:rsidR="002C3C7A" w:rsidRPr="00FA17F9" w:rsidRDefault="002C3C7A" w:rsidP="00852ACC">
      <w:pPr>
        <w:pStyle w:val="BodyText"/>
        <w:rPr>
          <w:b/>
        </w:rPr>
      </w:pPr>
      <w:r>
        <w:rPr>
          <w:i/>
          <w:iCs/>
        </w:rPr>
        <w:t>NARR (wind speed)</w:t>
      </w:r>
      <w:r>
        <w:t>:</w:t>
      </w:r>
      <w:r w:rsidRPr="00CC3C71">
        <w:t xml:space="preserve"> </w:t>
      </w:r>
      <w:r w:rsidR="00B1394D">
        <w:t>Because</w:t>
      </w:r>
      <w:r>
        <w:t xml:space="preserve"> Daymet does not provide wind speed (needed for VIC hydrologic simulation), the d</w:t>
      </w:r>
      <w:r w:rsidRPr="00CC3C71">
        <w:t xml:space="preserve">aily wind speed data </w:t>
      </w:r>
      <w:r>
        <w:t xml:space="preserve">were collected </w:t>
      </w:r>
      <w:r w:rsidRPr="00CC3C71">
        <w:t xml:space="preserve">from </w:t>
      </w:r>
      <w:r>
        <w:t xml:space="preserve">the </w:t>
      </w:r>
      <w:r w:rsidRPr="00CC3C71">
        <w:t xml:space="preserve">North American Regional </w:t>
      </w:r>
      <w:r w:rsidR="00A76D3D" w:rsidRPr="00CC3C71">
        <w:t>Reanalysis</w:t>
      </w:r>
      <w:r w:rsidR="00800521">
        <w:t xml:space="preserve"> </w:t>
      </w:r>
      <w:r w:rsidRPr="00CC3C71">
        <w:t>(NARR</w:t>
      </w:r>
      <w:r w:rsidR="00800521">
        <w:t xml:space="preserve">; </w:t>
      </w:r>
      <w:r w:rsidRPr="00CC3C71">
        <w:t>Mesinger et al.</w:t>
      </w:r>
      <w:r>
        <w:t>,</w:t>
      </w:r>
      <w:r w:rsidRPr="00CC3C71">
        <w:t xml:space="preserve"> 2006). NARR is an assimilated meteorological reanalysis</w:t>
      </w:r>
      <w:r w:rsidR="005606E5">
        <w:t xml:space="preserve"> data set </w:t>
      </w:r>
      <w:r w:rsidR="00A76D3D">
        <w:t>that provides</w:t>
      </w:r>
      <w:r w:rsidR="00A76D3D" w:rsidRPr="00CC3C71">
        <w:t xml:space="preserve"> </w:t>
      </w:r>
      <w:r w:rsidRPr="00CC3C71">
        <w:t xml:space="preserve">a complete set of meteorological variables (e.g., pressure, wind) for North America. These data are available at </w:t>
      </w:r>
      <w:r w:rsidR="005606E5">
        <w:t xml:space="preserve">3 h </w:t>
      </w:r>
      <w:r w:rsidRPr="00CC3C71">
        <w:t>time steps from 1979 to the present at a 36</w:t>
      </w:r>
      <w:r w:rsidR="00A76D3D">
        <w:t xml:space="preserve"> </w:t>
      </w:r>
      <w:r w:rsidRPr="00CC3C71">
        <w:t xml:space="preserve">km horizontal grid spacing. The daily wind speed is spatially interpolated to 1/24° </w:t>
      </w:r>
      <w:r>
        <w:t>to support VIC hydrologic simulation and downscaling</w:t>
      </w:r>
      <w:r w:rsidRPr="00CC3C71">
        <w:t>.</w:t>
      </w:r>
    </w:p>
    <w:p w14:paraId="34B5E5B8" w14:textId="7569BA9A" w:rsidR="002C3C7A" w:rsidRPr="006D08C0" w:rsidRDefault="002C3C7A" w:rsidP="00852ACC">
      <w:pPr>
        <w:pStyle w:val="Heading3"/>
      </w:pPr>
      <w:bookmarkStart w:id="74" w:name="_Toc113380767"/>
      <w:r>
        <w:t>Hydrologic</w:t>
      </w:r>
      <w:r w:rsidRPr="006D08C0">
        <w:t xml:space="preserve"> </w:t>
      </w:r>
      <w:r w:rsidR="0064733F">
        <w:t>Data</w:t>
      </w:r>
      <w:bookmarkEnd w:id="74"/>
    </w:p>
    <w:p w14:paraId="413A82DC" w14:textId="0474AEDF" w:rsidR="002C3C7A" w:rsidRPr="007C0D6D" w:rsidRDefault="002C3C7A" w:rsidP="00852ACC">
      <w:pPr>
        <w:pStyle w:val="BodyText"/>
        <w:rPr>
          <w:b/>
        </w:rPr>
      </w:pPr>
      <w:r>
        <w:rPr>
          <w:i/>
          <w:iCs/>
        </w:rPr>
        <w:t>Streamflow</w:t>
      </w:r>
      <w:r>
        <w:t>:</w:t>
      </w:r>
      <w:r w:rsidRPr="009001D6">
        <w:t xml:space="preserve"> </w:t>
      </w:r>
      <w:r w:rsidRPr="00550886">
        <w:t xml:space="preserve">Gauge-based streamflow observations directly measure flow discharge at a specific river </w:t>
      </w:r>
      <w:r>
        <w:t>channel</w:t>
      </w:r>
      <w:r w:rsidRPr="00550886">
        <w:t>. Comprehensive daily flow observations can be obtained from</w:t>
      </w:r>
      <w:r w:rsidRPr="00550886">
        <w:rPr>
          <w:rFonts w:hint="eastAsia"/>
        </w:rPr>
        <w:t xml:space="preserve"> </w:t>
      </w:r>
      <w:r w:rsidRPr="00550886">
        <w:t>the USGS National Water Information System (</w:t>
      </w:r>
      <w:r>
        <w:t>NWIS)</w:t>
      </w:r>
      <w:r w:rsidRPr="00550886">
        <w:t xml:space="preserve"> for more than 22</w:t>
      </w:r>
      <w:r w:rsidRPr="00550886">
        <w:rPr>
          <w:rFonts w:hint="eastAsia"/>
        </w:rPr>
        <w:t>,</w:t>
      </w:r>
      <w:r w:rsidRPr="00550886">
        <w:t>000 current</w:t>
      </w:r>
      <w:r w:rsidRPr="00550886">
        <w:rPr>
          <w:rFonts w:hint="eastAsia"/>
        </w:rPr>
        <w:t xml:space="preserve"> </w:t>
      </w:r>
      <w:r w:rsidRPr="00550886">
        <w:t xml:space="preserve">and retired gauge stations throughout the </w:t>
      </w:r>
      <w:r w:rsidR="007A40C7">
        <w:t>United States</w:t>
      </w:r>
      <w:r w:rsidR="00E46EDD">
        <w:t>.</w:t>
      </w:r>
      <w:r w:rsidRPr="00550886">
        <w:t xml:space="preserve"> </w:t>
      </w:r>
      <w:r>
        <w:t xml:space="preserve">Additional streamflow observations can also be obtained </w:t>
      </w:r>
      <w:r w:rsidRPr="00550886">
        <w:t>from Environment Canada</w:t>
      </w:r>
      <w:r w:rsidR="00805545">
        <w:t>’</w:t>
      </w:r>
      <w:r>
        <w:t>s</w:t>
      </w:r>
      <w:r w:rsidRPr="00550886">
        <w:t xml:space="preserve"> </w:t>
      </w:r>
      <w:r>
        <w:t xml:space="preserve">HYDAT Database </w:t>
      </w:r>
      <w:r w:rsidRPr="00550886">
        <w:t xml:space="preserve">for gauges located in </w:t>
      </w:r>
      <w:r>
        <w:t>Canada</w:t>
      </w:r>
      <w:r w:rsidR="00805545">
        <w:t>’</w:t>
      </w:r>
      <w:r>
        <w:t>s</w:t>
      </w:r>
      <w:r w:rsidRPr="00550886">
        <w:t xml:space="preserve"> </w:t>
      </w:r>
      <w:r w:rsidR="00D959CC" w:rsidRPr="00550886">
        <w:t xml:space="preserve">Upper </w:t>
      </w:r>
      <w:r w:rsidRPr="00550886">
        <w:t xml:space="preserve">Columbia River </w:t>
      </w:r>
      <w:r w:rsidR="00070BC5" w:rsidRPr="00550886">
        <w:t xml:space="preserve">basin </w:t>
      </w:r>
      <w:r w:rsidRPr="00550886">
        <w:t xml:space="preserve">(part of the BPA-1 and </w:t>
      </w:r>
      <w:r>
        <w:t>BPA</w:t>
      </w:r>
      <w:r w:rsidRPr="00550886">
        <w:t>-3 study areas).</w:t>
      </w:r>
    </w:p>
    <w:p w14:paraId="7CBB028B" w14:textId="59A4E5A2" w:rsidR="002C3C7A" w:rsidRPr="00225248" w:rsidRDefault="002C3C7A" w:rsidP="00852ACC">
      <w:pPr>
        <w:pStyle w:val="BodyText"/>
        <w:rPr>
          <w:b/>
        </w:rPr>
      </w:pPr>
      <w:r>
        <w:rPr>
          <w:i/>
          <w:iCs/>
        </w:rPr>
        <w:t>Runoff</w:t>
      </w:r>
      <w:r>
        <w:t>:</w:t>
      </w:r>
      <w:r w:rsidRPr="009001D6">
        <w:t xml:space="preserve"> </w:t>
      </w:r>
      <w:r>
        <w:t>T</w:t>
      </w:r>
      <w:r w:rsidRPr="00550886">
        <w:t>he USGS WaterWatch runoff (Brakebill et al.</w:t>
      </w:r>
      <w:r w:rsidR="004C585D">
        <w:t>,</w:t>
      </w:r>
      <w:r w:rsidRPr="00550886">
        <w:t xml:space="preserve"> 2011) </w:t>
      </w:r>
      <w:r w:rsidR="00D959CC">
        <w:t xml:space="preserve">was </w:t>
      </w:r>
      <w:r>
        <w:t xml:space="preserve">used as a surrogate of historic runoff observation in this study. </w:t>
      </w:r>
      <w:r w:rsidRPr="00550886">
        <w:t xml:space="preserve">Derived from the comprehensive NWIS gauge observation, WaterWatch runoff is the assimilated time series of </w:t>
      </w:r>
      <w:r w:rsidR="009A7D24">
        <w:t>stream</w:t>
      </w:r>
      <w:r w:rsidRPr="00550886">
        <w:t xml:space="preserve">flow per unit of area calculated for each CONUS </w:t>
      </w:r>
      <w:r w:rsidR="00AB51A9">
        <w:t>eight</w:t>
      </w:r>
      <w:r w:rsidRPr="00550886">
        <w:t>-digit hydrologic unit</w:t>
      </w:r>
      <w:r w:rsidR="00FA3690">
        <w:t xml:space="preserve"> code</w:t>
      </w:r>
      <w:r w:rsidRPr="00550886">
        <w:t xml:space="preserve"> (HUC8).</w:t>
      </w:r>
      <w:r w:rsidRPr="00225248">
        <w:t xml:space="preserve"> </w:t>
      </w:r>
      <w:r w:rsidR="0035006A">
        <w:t>M</w:t>
      </w:r>
      <w:r w:rsidRPr="00550886">
        <w:t>ultiple NWIS gauge stations located within HUC8</w:t>
      </w:r>
      <w:r w:rsidR="00D959CC">
        <w:t>s</w:t>
      </w:r>
      <w:r w:rsidRPr="00550886">
        <w:t xml:space="preserve"> </w:t>
      </w:r>
      <w:r>
        <w:t xml:space="preserve">or downstream </w:t>
      </w:r>
      <w:r w:rsidRPr="00550886">
        <w:t>are used to estimate the runoff generated locally at each HUC8</w:t>
      </w:r>
      <w:r>
        <w:t>,</w:t>
      </w:r>
      <w:r w:rsidRPr="00550886">
        <w:t xml:space="preserve"> with gauge weighting factors determined by joint contributing drainage areas (both gauge-to-HUC8 and HUC8-to-gauge). This approach can effectively assimilate streamflow observations from multiple gauge stations as a consistent areal HUC8 runoff measurement </w:t>
      </w:r>
      <w:r>
        <w:t>with</w:t>
      </w:r>
      <w:r w:rsidRPr="00550886">
        <w:t xml:space="preserve"> a unit similar to that for precipitation (depth/time).</w:t>
      </w:r>
    </w:p>
    <w:p w14:paraId="2D5D796C" w14:textId="12A56C93" w:rsidR="002C3C7A" w:rsidRPr="00FA17F9" w:rsidRDefault="002C3C7A" w:rsidP="00852ACC">
      <w:pPr>
        <w:pStyle w:val="BodyText"/>
        <w:rPr>
          <w:b/>
        </w:rPr>
      </w:pPr>
      <w:r w:rsidRPr="00550886">
        <w:t>WaterWatch runoff has been u</w:t>
      </w:r>
      <w:r>
        <w:t>s</w:t>
      </w:r>
      <w:r w:rsidRPr="00550886">
        <w:t xml:space="preserve">ed and discussed in several hydroclimate studies, including </w:t>
      </w:r>
      <w:r w:rsidR="00D959CC">
        <w:t xml:space="preserve">by </w:t>
      </w:r>
      <w:r w:rsidRPr="00550886">
        <w:t>Ashfaq et</w:t>
      </w:r>
      <w:r w:rsidR="00D959CC">
        <w:t> </w:t>
      </w:r>
      <w:r w:rsidRPr="00550886">
        <w:t xml:space="preserve">al. (2013), Beigi and Tsai (2014), and Oubeidillah et al. (2014). WaterWatch runoff is also </w:t>
      </w:r>
      <w:r>
        <w:t xml:space="preserve">the most significant variable in </w:t>
      </w:r>
      <w:r w:rsidRPr="00FA2013">
        <w:t xml:space="preserve">explaining historic hydropower generation </w:t>
      </w:r>
      <w:r w:rsidRPr="00550886">
        <w:t>(Sale et al. 2012</w:t>
      </w:r>
      <w:r>
        <w:t>;</w:t>
      </w:r>
      <w:r w:rsidRPr="00550886">
        <w:t xml:space="preserve"> Kao et al. 201</w:t>
      </w:r>
      <w:r>
        <w:t>6</w:t>
      </w:r>
      <w:r w:rsidRPr="00550886">
        <w:t xml:space="preserve">). </w:t>
      </w:r>
      <w:r w:rsidR="008A56DD">
        <w:t>Becau</w:t>
      </w:r>
      <w:r w:rsidR="001A1029">
        <w:t>s</w:t>
      </w:r>
      <w:r w:rsidR="008A56DD">
        <w:t>e</w:t>
      </w:r>
      <w:r w:rsidR="00490864">
        <w:t xml:space="preserve"> WaterWatch only covers </w:t>
      </w:r>
      <w:r w:rsidR="00D959CC">
        <w:t xml:space="preserve">the </w:t>
      </w:r>
      <w:r w:rsidR="00490864">
        <w:t xml:space="preserve">CONUS, the Canadian </w:t>
      </w:r>
      <w:r w:rsidR="00490864" w:rsidRPr="00550886">
        <w:t xml:space="preserve">runoff </w:t>
      </w:r>
      <w:r w:rsidR="001A69A5">
        <w:t>was computed</w:t>
      </w:r>
      <w:r w:rsidR="00490864" w:rsidRPr="00550886">
        <w:t xml:space="preserve"> </w:t>
      </w:r>
      <w:r w:rsidR="00490864">
        <w:t xml:space="preserve">following </w:t>
      </w:r>
      <w:r w:rsidR="00490864" w:rsidRPr="00550886">
        <w:t xml:space="preserve">a similar approach to WaterWatch </w:t>
      </w:r>
      <w:r w:rsidR="00490864" w:rsidRPr="00550886">
        <w:rPr>
          <w:rFonts w:hint="eastAsia"/>
        </w:rPr>
        <w:t>using</w:t>
      </w:r>
      <w:r w:rsidR="00490864" w:rsidRPr="00550886">
        <w:t xml:space="preserve"> the </w:t>
      </w:r>
      <w:r w:rsidR="00490864">
        <w:t>unregulated</w:t>
      </w:r>
      <w:r w:rsidR="00490864" w:rsidRPr="00550886">
        <w:t xml:space="preserve"> monthly flow collected from HYDAT</w:t>
      </w:r>
      <w:r w:rsidRPr="00550886">
        <w:t xml:space="preserve">. The HUC8-based runoff </w:t>
      </w:r>
      <w:r w:rsidR="00D959CC">
        <w:t xml:space="preserve">was </w:t>
      </w:r>
      <w:r w:rsidRPr="00550886">
        <w:t>then weight</w:t>
      </w:r>
      <w:r w:rsidR="006B08BB">
        <w:t xml:space="preserve"> </w:t>
      </w:r>
      <w:r w:rsidRPr="00550886">
        <w:t xml:space="preserve">averaged (by the contributing areas) to </w:t>
      </w:r>
      <w:r w:rsidR="00800521">
        <w:t xml:space="preserve">estimate </w:t>
      </w:r>
      <w:r w:rsidR="00C60231">
        <w:t>the</w:t>
      </w:r>
      <w:r w:rsidRPr="00550886">
        <w:t xml:space="preserve"> 1980–</w:t>
      </w:r>
      <w:r>
        <w:t>2018</w:t>
      </w:r>
      <w:r w:rsidRPr="00550886">
        <w:t xml:space="preserve"> monthly runoff time</w:t>
      </w:r>
      <w:r>
        <w:t xml:space="preserve"> </w:t>
      </w:r>
      <w:r w:rsidRPr="00550886">
        <w:t>series for each of the 18 PMA study areas.</w:t>
      </w:r>
      <w:r>
        <w:t xml:space="preserve"> </w:t>
      </w:r>
      <w:r w:rsidR="001B7B04">
        <w:t xml:space="preserve">Both </w:t>
      </w:r>
      <w:r w:rsidRPr="00584D6C">
        <w:t xml:space="preserve">NWIS and WaterWatch </w:t>
      </w:r>
      <w:r>
        <w:t>could include gauges affected by river regulation</w:t>
      </w:r>
      <w:r w:rsidRPr="00584D6C">
        <w:t>, rather than naturalized streamflow.</w:t>
      </w:r>
      <w:r>
        <w:t xml:space="preserve"> Further efforts can be performed to exclude the regulated streamflow gauges and/or incorporate naturalized streamflow information for the correction of </w:t>
      </w:r>
      <w:r w:rsidRPr="00584D6C">
        <w:t>human impairment</w:t>
      </w:r>
      <w:r>
        <w:t xml:space="preserve"> in the WaterWatch for more accurate </w:t>
      </w:r>
      <w:r w:rsidR="00E80222">
        <w:rPr>
          <w:snapToGrid/>
        </w:rPr>
        <w:t>HM</w:t>
      </w:r>
      <w:r>
        <w:t xml:space="preserve"> calibration</w:t>
      </w:r>
      <w:r w:rsidRPr="00550886">
        <w:t>.</w:t>
      </w:r>
    </w:p>
    <w:p w14:paraId="7607DF80" w14:textId="1C42BFF6" w:rsidR="002C3C7A" w:rsidRPr="002D1151" w:rsidRDefault="002C3C7A" w:rsidP="00852ACC">
      <w:pPr>
        <w:pStyle w:val="BodyText"/>
        <w:rPr>
          <w:b/>
        </w:rPr>
      </w:pPr>
      <w:r w:rsidRPr="004C5793">
        <w:rPr>
          <w:rFonts w:eastAsia="PMingLiU" w:hint="eastAsia"/>
          <w:i/>
        </w:rPr>
        <w:t>Snow</w:t>
      </w:r>
      <w:r>
        <w:rPr>
          <w:rFonts w:eastAsia="PMingLiU"/>
        </w:rPr>
        <w:t xml:space="preserve">: </w:t>
      </w:r>
      <w:r w:rsidR="00D959CC">
        <w:t>S</w:t>
      </w:r>
      <w:r>
        <w:t xml:space="preserve">now </w:t>
      </w:r>
      <w:r w:rsidR="00D96084">
        <w:t>w</w:t>
      </w:r>
      <w:r>
        <w:t xml:space="preserve">ater </w:t>
      </w:r>
      <w:r w:rsidR="00D96084">
        <w:t>e</w:t>
      </w:r>
      <w:r>
        <w:t>quivalent (SWE) data</w:t>
      </w:r>
      <w:r w:rsidRPr="002448AA">
        <w:t xml:space="preserve"> </w:t>
      </w:r>
      <w:r w:rsidR="00D959CC">
        <w:t xml:space="preserve">were </w:t>
      </w:r>
      <w:r w:rsidRPr="002448AA">
        <w:t>obtained from Bias Correction and Quality Control</w:t>
      </w:r>
      <w:r w:rsidR="00800521">
        <w:t xml:space="preserve"> </w:t>
      </w:r>
      <w:r w:rsidRPr="002448AA">
        <w:t xml:space="preserve">SNOTEL </w:t>
      </w:r>
      <w:r>
        <w:t>d</w:t>
      </w:r>
      <w:r w:rsidRPr="002448AA">
        <w:t>ata</w:t>
      </w:r>
      <w:r>
        <w:t xml:space="preserve"> </w:t>
      </w:r>
      <w:r w:rsidRPr="002448AA">
        <w:t>for</w:t>
      </w:r>
      <w:r>
        <w:t xml:space="preserve"> </w:t>
      </w:r>
      <w:r w:rsidRPr="002448AA">
        <w:t>829</w:t>
      </w:r>
      <w:r>
        <w:t xml:space="preserve"> </w:t>
      </w:r>
      <w:r w:rsidRPr="002448AA">
        <w:t xml:space="preserve">active stations located in the </w:t>
      </w:r>
      <w:r w:rsidR="006C6778">
        <w:t>w</w:t>
      </w:r>
      <w:r w:rsidR="00114524" w:rsidRPr="002448AA">
        <w:t xml:space="preserve">estern </w:t>
      </w:r>
      <w:r w:rsidRPr="002448AA">
        <w:t xml:space="preserve">United States and Alaska </w:t>
      </w:r>
      <w:r w:rsidRPr="00885996">
        <w:t>(Sun et al., 2019; Yan et al., 2018)</w:t>
      </w:r>
      <w:r>
        <w:t xml:space="preserve">. </w:t>
      </w:r>
      <w:r w:rsidRPr="004C5793">
        <w:rPr>
          <w:rFonts w:eastAsia="PMingLiU"/>
        </w:rPr>
        <w:t>T</w:t>
      </w:r>
      <w:r w:rsidRPr="004C5793">
        <w:rPr>
          <w:rFonts w:eastAsia="PMingLiU" w:hint="eastAsia"/>
        </w:rPr>
        <w:t xml:space="preserve">he annual </w:t>
      </w:r>
      <w:r w:rsidR="003F23A1">
        <w:rPr>
          <w:rFonts w:eastAsia="PMingLiU" w:hint="eastAsia"/>
        </w:rPr>
        <w:t>April 1</w:t>
      </w:r>
      <w:r w:rsidRPr="004C5793">
        <w:rPr>
          <w:rFonts w:eastAsia="PMingLiU" w:hint="eastAsia"/>
        </w:rPr>
        <w:t xml:space="preserve"> </w:t>
      </w:r>
      <w:r w:rsidRPr="000308E2">
        <w:t>SWE</w:t>
      </w:r>
      <w:r w:rsidRPr="004C5793">
        <w:rPr>
          <w:rFonts w:eastAsia="PMingLiU" w:hint="eastAsia"/>
        </w:rPr>
        <w:t xml:space="preserve"> </w:t>
      </w:r>
      <w:r>
        <w:rPr>
          <w:rFonts w:eastAsia="PMingLiU"/>
        </w:rPr>
        <w:t>was used</w:t>
      </w:r>
      <w:r w:rsidRPr="004C5793">
        <w:rPr>
          <w:rFonts w:eastAsia="PMingLiU" w:hint="eastAsia"/>
        </w:rPr>
        <w:t xml:space="preserve"> for </w:t>
      </w:r>
      <w:r w:rsidR="00E80222">
        <w:rPr>
          <w:snapToGrid/>
        </w:rPr>
        <w:t>HM</w:t>
      </w:r>
      <w:r w:rsidRPr="004C5793">
        <w:rPr>
          <w:rFonts w:eastAsia="PMingLiU" w:hint="eastAsia"/>
        </w:rPr>
        <w:t xml:space="preserve"> </w:t>
      </w:r>
      <w:r w:rsidRPr="004C5793">
        <w:rPr>
          <w:rFonts w:eastAsia="PMingLiU"/>
        </w:rPr>
        <w:t>verification</w:t>
      </w:r>
      <w:r w:rsidRPr="004C5793">
        <w:rPr>
          <w:rFonts w:eastAsia="PMingLiU" w:hint="eastAsia"/>
        </w:rPr>
        <w:t xml:space="preserve"> (Section</w:t>
      </w:r>
      <w:r>
        <w:rPr>
          <w:rFonts w:eastAsia="PMingLiU"/>
        </w:rPr>
        <w:t xml:space="preserve"> </w:t>
      </w:r>
      <w:r>
        <w:rPr>
          <w:rFonts w:eastAsia="PMingLiU"/>
        </w:rPr>
        <w:fldChar w:fldCharType="begin"/>
      </w:r>
      <w:r>
        <w:rPr>
          <w:rFonts w:eastAsia="PMingLiU"/>
        </w:rPr>
        <w:instrText xml:space="preserve"> REF _Ref425755949 \n \h </w:instrText>
      </w:r>
      <w:r>
        <w:rPr>
          <w:rFonts w:eastAsia="PMingLiU"/>
        </w:rPr>
      </w:r>
      <w:r>
        <w:rPr>
          <w:rFonts w:eastAsia="PMingLiU"/>
        </w:rPr>
        <w:fldChar w:fldCharType="separate"/>
      </w:r>
      <w:r w:rsidR="00EE0BF5">
        <w:rPr>
          <w:rFonts w:eastAsia="PMingLiU"/>
        </w:rPr>
        <w:t>2.5</w:t>
      </w:r>
      <w:r>
        <w:rPr>
          <w:rFonts w:eastAsia="PMingLiU"/>
        </w:rPr>
        <w:fldChar w:fldCharType="end"/>
      </w:r>
      <w:r w:rsidRPr="004C5793">
        <w:rPr>
          <w:rFonts w:eastAsia="PMingLiU" w:hint="eastAsia"/>
        </w:rPr>
        <w:t>)</w:t>
      </w:r>
      <w:r w:rsidR="002D1151">
        <w:rPr>
          <w:rFonts w:eastAsia="PMingLiU"/>
        </w:rPr>
        <w:t>.</w:t>
      </w:r>
    </w:p>
    <w:p w14:paraId="35D0E699" w14:textId="4F867C50" w:rsidR="002D1151" w:rsidRPr="002D1151" w:rsidRDefault="00CD7C82" w:rsidP="00852ACC">
      <w:pPr>
        <w:pStyle w:val="BodyText"/>
        <w:rPr>
          <w:b/>
        </w:rPr>
      </w:pPr>
      <w:r>
        <w:rPr>
          <w:rFonts w:eastAsia="PMingLiU"/>
          <w:i/>
        </w:rPr>
        <w:t>R</w:t>
      </w:r>
      <w:r w:rsidR="002D1151" w:rsidRPr="002D1151">
        <w:rPr>
          <w:rFonts w:eastAsia="PMingLiU"/>
          <w:i/>
        </w:rPr>
        <w:t xml:space="preserve">eservoir </w:t>
      </w:r>
      <w:r w:rsidR="00D959CC">
        <w:rPr>
          <w:rFonts w:eastAsia="PMingLiU"/>
          <w:i/>
        </w:rPr>
        <w:t>s</w:t>
      </w:r>
      <w:r w:rsidR="00D959CC" w:rsidRPr="002D1151">
        <w:rPr>
          <w:rFonts w:eastAsia="PMingLiU"/>
          <w:i/>
        </w:rPr>
        <w:t xml:space="preserve">torage and </w:t>
      </w:r>
      <w:r w:rsidR="00D959CC">
        <w:rPr>
          <w:rFonts w:eastAsia="PMingLiU"/>
          <w:i/>
        </w:rPr>
        <w:t>a</w:t>
      </w:r>
      <w:r w:rsidR="00D959CC" w:rsidRPr="002D1151">
        <w:rPr>
          <w:rFonts w:eastAsia="PMingLiU"/>
          <w:i/>
        </w:rPr>
        <w:t>r</w:t>
      </w:r>
      <w:r w:rsidR="002D1151" w:rsidRPr="002D1151">
        <w:rPr>
          <w:rFonts w:eastAsia="PMingLiU"/>
          <w:i/>
        </w:rPr>
        <w:t>ea</w:t>
      </w:r>
      <w:r w:rsidR="002D1151" w:rsidRPr="002D1151">
        <w:rPr>
          <w:rFonts w:eastAsia="PMingLiU"/>
        </w:rPr>
        <w:t xml:space="preserve">: </w:t>
      </w:r>
      <w:r w:rsidR="002D1151" w:rsidRPr="002448AA">
        <w:t xml:space="preserve">The </w:t>
      </w:r>
      <w:r w:rsidR="00B432B7">
        <w:t>h</w:t>
      </w:r>
      <w:r w:rsidR="00B432B7" w:rsidRPr="00B432B7">
        <w:t xml:space="preserve">istorical reservoir storage and area </w:t>
      </w:r>
      <w:r w:rsidR="00B432B7">
        <w:t>were collected from USGS NWIS, Reclamation, USACE, and by f</w:t>
      </w:r>
      <w:r w:rsidR="00B432B7" w:rsidRPr="00B432B7">
        <w:t>using remote sensing</w:t>
      </w:r>
      <w:r w:rsidR="00B432B7">
        <w:t xml:space="preserve"> imageries for </w:t>
      </w:r>
      <w:r w:rsidR="008772F5">
        <w:t>h</w:t>
      </w:r>
      <w:r w:rsidR="008772F5" w:rsidRPr="00B432B7">
        <w:t xml:space="preserve">istorical </w:t>
      </w:r>
      <w:r w:rsidR="00B432B7">
        <w:t xml:space="preserve">reconstruction (Zhao and Gao, </w:t>
      </w:r>
      <w:r w:rsidR="00F10DB4">
        <w:t xml:space="preserve">2018 and </w:t>
      </w:r>
      <w:r w:rsidR="00B432B7">
        <w:t>2019). The data were used to help estimate reservoir evaporation</w:t>
      </w:r>
      <w:r w:rsidR="002D1151" w:rsidRPr="002D1151">
        <w:rPr>
          <w:rFonts w:eastAsia="PMingLiU" w:hint="eastAsia"/>
        </w:rPr>
        <w:t xml:space="preserve"> </w:t>
      </w:r>
      <w:r w:rsidR="00B432B7">
        <w:rPr>
          <w:rFonts w:eastAsia="PMingLiU"/>
        </w:rPr>
        <w:t xml:space="preserve">for all major federal hydropower reservoirs </w:t>
      </w:r>
      <w:r w:rsidR="002D1151" w:rsidRPr="002D1151">
        <w:rPr>
          <w:rFonts w:eastAsia="PMingLiU" w:hint="eastAsia"/>
        </w:rPr>
        <w:t>(Section</w:t>
      </w:r>
      <w:r w:rsidR="002D1151">
        <w:rPr>
          <w:rFonts w:eastAsia="PMingLiU"/>
        </w:rPr>
        <w:t xml:space="preserve"> </w:t>
      </w:r>
      <w:r w:rsidR="002D1151">
        <w:rPr>
          <w:rFonts w:eastAsia="PMingLiU"/>
        </w:rPr>
        <w:fldChar w:fldCharType="begin"/>
      </w:r>
      <w:r w:rsidR="002D1151">
        <w:rPr>
          <w:rFonts w:eastAsia="PMingLiU"/>
        </w:rPr>
        <w:instrText xml:space="preserve"> REF _Ref75936492 \n \h </w:instrText>
      </w:r>
      <w:r w:rsidR="002D1151">
        <w:rPr>
          <w:rFonts w:eastAsia="PMingLiU"/>
        </w:rPr>
      </w:r>
      <w:r w:rsidR="002D1151">
        <w:rPr>
          <w:rFonts w:eastAsia="PMingLiU"/>
        </w:rPr>
        <w:fldChar w:fldCharType="separate"/>
      </w:r>
      <w:r w:rsidR="00EE0BF5">
        <w:rPr>
          <w:rFonts w:eastAsia="PMingLiU"/>
        </w:rPr>
        <w:t>2.7</w:t>
      </w:r>
      <w:r w:rsidR="002D1151">
        <w:rPr>
          <w:rFonts w:eastAsia="PMingLiU"/>
        </w:rPr>
        <w:fldChar w:fldCharType="end"/>
      </w:r>
      <w:r w:rsidR="002D1151" w:rsidRPr="002D1151">
        <w:rPr>
          <w:rFonts w:eastAsia="PMingLiU" w:hint="eastAsia"/>
        </w:rPr>
        <w:t>)</w:t>
      </w:r>
      <w:r w:rsidR="002D1151">
        <w:rPr>
          <w:rFonts w:eastAsia="PMingLiU"/>
        </w:rPr>
        <w:t>.</w:t>
      </w:r>
    </w:p>
    <w:p w14:paraId="27162557" w14:textId="77777777" w:rsidR="002C3C7A" w:rsidRPr="006D08C0" w:rsidRDefault="002C3C7A" w:rsidP="00852ACC">
      <w:pPr>
        <w:pStyle w:val="Heading3"/>
      </w:pPr>
      <w:bookmarkStart w:id="75" w:name="_Toc113380768"/>
      <w:r>
        <w:lastRenderedPageBreak/>
        <w:t>Additional Data</w:t>
      </w:r>
      <w:bookmarkEnd w:id="75"/>
    </w:p>
    <w:p w14:paraId="17A34D8E" w14:textId="5560AE90" w:rsidR="002C3C7A" w:rsidRDefault="002C3C7A" w:rsidP="005A5D00">
      <w:pPr>
        <w:pStyle w:val="BodyText"/>
      </w:pPr>
      <w:r w:rsidRPr="00D459A8">
        <w:rPr>
          <w:iCs/>
        </w:rPr>
        <w:t>Add</w:t>
      </w:r>
      <w:r>
        <w:t>itional data used in this study include</w:t>
      </w:r>
      <w:r w:rsidR="00772269">
        <w:t>d</w:t>
      </w:r>
      <w:r>
        <w:t xml:space="preserve"> </w:t>
      </w:r>
      <w:r w:rsidR="0064481D">
        <w:t>city boundar</w:t>
      </w:r>
      <w:r w:rsidR="00772269">
        <w:t>ies</w:t>
      </w:r>
      <w:r w:rsidR="00550262">
        <w:t xml:space="preserve"> from </w:t>
      </w:r>
      <w:r w:rsidR="001324FA">
        <w:t>US</w:t>
      </w:r>
      <w:r w:rsidR="00550262" w:rsidRPr="00550262">
        <w:t xml:space="preserve"> Census Bureau</w:t>
      </w:r>
      <w:r w:rsidR="00805545">
        <w:t>’</w:t>
      </w:r>
      <w:r w:rsidR="00737E74">
        <w:t>s</w:t>
      </w:r>
      <w:r w:rsidR="00550262" w:rsidRPr="00550262">
        <w:t xml:space="preserve"> Topologically Integrated Geographic Encoding and Referencing (TIGER) </w:t>
      </w:r>
      <w:r w:rsidR="00550262">
        <w:t>d</w:t>
      </w:r>
      <w:r w:rsidR="00550262" w:rsidRPr="00550262">
        <w:t>ata</w:t>
      </w:r>
      <w:r w:rsidR="005606E5">
        <w:t xml:space="preserve"> </w:t>
      </w:r>
      <w:r w:rsidR="00550262" w:rsidRPr="00550262">
        <w:t>set</w:t>
      </w:r>
      <w:r w:rsidR="0064481D">
        <w:t xml:space="preserve">, </w:t>
      </w:r>
      <w:r>
        <w:t>i</w:t>
      </w:r>
      <w:r w:rsidRPr="00D459A8">
        <w:t>ncome per capita</w:t>
      </w:r>
      <w:r w:rsidR="007A0EC0" w:rsidRPr="007A0EC0">
        <w:t xml:space="preserve"> </w:t>
      </w:r>
      <w:r w:rsidR="007A0EC0">
        <w:t xml:space="preserve">from </w:t>
      </w:r>
      <w:r w:rsidR="007A0EC0" w:rsidRPr="007A0EC0">
        <w:t>Bureau of Economic Analysis Annual Personal Income by County (CAINC1) series</w:t>
      </w:r>
      <w:r>
        <w:t>, and a</w:t>
      </w:r>
      <w:r w:rsidRPr="00D459A8">
        <w:t>ir conditioning ownership in the Pacific Northwest</w:t>
      </w:r>
      <w:r>
        <w:t xml:space="preserve">. </w:t>
      </w:r>
      <w:r w:rsidR="00737E74">
        <w:t>These data</w:t>
      </w:r>
      <w:r>
        <w:t xml:space="preserve"> are also reported in </w:t>
      </w:r>
      <w:r w:rsidR="00DA763C">
        <w:fldChar w:fldCharType="begin"/>
      </w:r>
      <w:r w:rsidR="00DA763C">
        <w:instrText xml:space="preserve"> REF _Ref83536819 \h </w:instrText>
      </w:r>
      <w:r w:rsidR="00DA763C">
        <w:fldChar w:fldCharType="separate"/>
      </w:r>
      <w:r w:rsidR="00EE0BF5" w:rsidRPr="004C5793">
        <w:rPr>
          <w:rFonts w:eastAsia="PMingLiU"/>
        </w:rPr>
        <w:t xml:space="preserve">Table </w:t>
      </w:r>
      <w:r w:rsidR="00EE0BF5">
        <w:rPr>
          <w:rFonts w:eastAsia="PMingLiU"/>
          <w:noProof/>
        </w:rPr>
        <w:t>2</w:t>
      </w:r>
      <w:r w:rsidR="00EE0BF5" w:rsidRPr="004C5793">
        <w:rPr>
          <w:rFonts w:eastAsia="PMingLiU"/>
        </w:rPr>
        <w:t>.</w:t>
      </w:r>
      <w:r w:rsidR="00EE0BF5">
        <w:rPr>
          <w:rFonts w:eastAsia="PMingLiU"/>
          <w:noProof/>
        </w:rPr>
        <w:t>1</w:t>
      </w:r>
      <w:r w:rsidR="00DA763C">
        <w:fldChar w:fldCharType="end"/>
      </w:r>
      <w:r>
        <w:t>.</w:t>
      </w:r>
    </w:p>
    <w:p w14:paraId="31843BF7" w14:textId="77777777" w:rsidR="002B6D8F" w:rsidRPr="00FA17F9" w:rsidRDefault="002B6D8F" w:rsidP="005A5D00">
      <w:pPr>
        <w:pStyle w:val="BodyText"/>
        <w:rPr>
          <w:b/>
        </w:rPr>
      </w:pPr>
    </w:p>
    <w:p w14:paraId="30CE2E2A" w14:textId="5ED95FA8" w:rsidR="005A1CA6" w:rsidRPr="00853877" w:rsidRDefault="005A1CA6" w:rsidP="00AD0C1C">
      <w:pPr>
        <w:pStyle w:val="Heading2"/>
        <w:rPr>
          <w:caps w:val="0"/>
        </w:rPr>
      </w:pPr>
      <w:bookmarkStart w:id="76" w:name="_Ref75810029"/>
      <w:bookmarkStart w:id="77" w:name="_Toc113380769"/>
      <w:r>
        <w:t xml:space="preserve">Climate </w:t>
      </w:r>
      <w:r w:rsidR="004D675B" w:rsidRPr="004D675B">
        <w:t>Model Evaluation and Selection</w:t>
      </w:r>
      <w:bookmarkEnd w:id="71"/>
      <w:bookmarkEnd w:id="76"/>
      <w:bookmarkEnd w:id="77"/>
    </w:p>
    <w:p w14:paraId="35CC8416" w14:textId="63FE234F" w:rsidR="00D330AF" w:rsidRDefault="00E826C2" w:rsidP="00D330AF">
      <w:pPr>
        <w:pStyle w:val="BodyText"/>
        <w:rPr>
          <w:color w:val="000000" w:themeColor="text1"/>
        </w:rPr>
      </w:pPr>
      <w:r w:rsidRPr="004070AA">
        <w:t>GCM</w:t>
      </w:r>
      <w:r>
        <w:t>s</w:t>
      </w:r>
      <w:r w:rsidRPr="004070AA">
        <w:t xml:space="preserve"> </w:t>
      </w:r>
      <w:r>
        <w:t>are</w:t>
      </w:r>
      <w:r w:rsidRPr="004070AA">
        <w:t xml:space="preserve"> physics-based tool</w:t>
      </w:r>
      <w:r>
        <w:t>s</w:t>
      </w:r>
      <w:r w:rsidRPr="004070AA">
        <w:t xml:space="preserve"> to study </w:t>
      </w:r>
      <w:r>
        <w:t>E</w:t>
      </w:r>
      <w:r w:rsidRPr="004070AA">
        <w:t xml:space="preserve">arth system response to </w:t>
      </w:r>
      <w:r>
        <w:t xml:space="preserve">natural climate variability and changes arising from </w:t>
      </w:r>
      <w:r w:rsidRPr="004070AA">
        <w:t>climatic changes arising from anthropogenically driven increases in greenhouse gas emission and radiative forcing.</w:t>
      </w:r>
      <w:r w:rsidR="00E87C49" w:rsidRPr="004070AA">
        <w:t xml:space="preserve"> Using a common set of future radiative pathways, the </w:t>
      </w:r>
      <w:r w:rsidR="00D61238">
        <w:t>CMIP</w:t>
      </w:r>
      <w:r w:rsidR="00E87C49" w:rsidRPr="004070AA">
        <w:t xml:space="preserve">s (Eyring et al., 2016) provide a large suite of GCM simulations through an international collaborative effort. Since </w:t>
      </w:r>
      <w:r w:rsidR="00772269">
        <w:t xml:space="preserve">the </w:t>
      </w:r>
      <w:r w:rsidR="00E87C49" w:rsidRPr="004070AA">
        <w:t xml:space="preserve">inception </w:t>
      </w:r>
      <w:r w:rsidR="00772269">
        <w:t xml:space="preserve">of CMIP </w:t>
      </w:r>
      <w:r w:rsidR="00E87C49" w:rsidRPr="004070AA">
        <w:t xml:space="preserve">in 1995, not only </w:t>
      </w:r>
      <w:r w:rsidR="00E87C49">
        <w:t xml:space="preserve">have </w:t>
      </w:r>
      <w:r w:rsidR="00E87C49" w:rsidRPr="004070AA">
        <w:t xml:space="preserve">the number of GCMs participating in CMIP efforts increased, but they have also improved in terms of their physical complexity and spatial </w:t>
      </w:r>
      <w:r w:rsidR="00C27D82">
        <w:t>resolution</w:t>
      </w:r>
      <w:r w:rsidR="00E87C49" w:rsidRPr="004070AA">
        <w:t xml:space="preserve">. Every new iteration of CMIP is based on the premise that the newer generations of GCMs will exhibit improvements over the previous ones as models progressively improve in terms of their computational efficiency, resolution, and representation of physical processes. </w:t>
      </w:r>
      <w:r>
        <w:t xml:space="preserve">The latest </w:t>
      </w:r>
      <w:r w:rsidRPr="004070AA">
        <w:t xml:space="preserve">CMIP6 includes </w:t>
      </w:r>
      <w:r w:rsidR="00772269">
        <w:t xml:space="preserve">more than </w:t>
      </w:r>
      <w:r w:rsidRPr="004070AA">
        <w:t xml:space="preserve">50 GCMs with the spatial </w:t>
      </w:r>
      <w:r>
        <w:t>resolution</w:t>
      </w:r>
      <w:r w:rsidRPr="004070AA">
        <w:t xml:space="preserve"> for </w:t>
      </w:r>
      <w:r>
        <w:t>some</w:t>
      </w:r>
      <w:r w:rsidRPr="004070AA">
        <w:t xml:space="preserve"> of them as small as </w:t>
      </w:r>
      <w:r w:rsidR="00772269">
        <w:t>0.5°</w:t>
      </w:r>
      <w:r w:rsidRPr="004070AA">
        <w:t xml:space="preserve">. GCMs are forced with a new set of </w:t>
      </w:r>
      <w:r>
        <w:t xml:space="preserve">nine </w:t>
      </w:r>
      <w:r w:rsidRPr="004070AA">
        <w:t xml:space="preserve">scenarios, which are a combination of </w:t>
      </w:r>
      <w:r>
        <w:t xml:space="preserve">five </w:t>
      </w:r>
      <w:r w:rsidRPr="004070AA">
        <w:t xml:space="preserve">Shared Socioeconomic Pathways (SSPs) and </w:t>
      </w:r>
      <w:r>
        <w:t xml:space="preserve">seven </w:t>
      </w:r>
      <w:r w:rsidRPr="004070AA">
        <w:t xml:space="preserve">Representative Concentration Pathways (RCPs), to understand the </w:t>
      </w:r>
      <w:r>
        <w:t>Earth system</w:t>
      </w:r>
      <w:r w:rsidRPr="004070AA">
        <w:t xml:space="preserve"> response to </w:t>
      </w:r>
      <w:r>
        <w:t>an</w:t>
      </w:r>
      <w:r w:rsidRPr="004070AA">
        <w:t xml:space="preserve"> increase in anthropogenic forcing. </w:t>
      </w:r>
      <w:r>
        <w:t>Among them, t</w:t>
      </w:r>
      <w:r w:rsidRPr="004070AA">
        <w:t>he</w:t>
      </w:r>
      <w:r>
        <w:t>re are four high</w:t>
      </w:r>
      <w:r w:rsidR="00772269">
        <w:t>-</w:t>
      </w:r>
      <w:r>
        <w:t>priority or Tier</w:t>
      </w:r>
      <w:r w:rsidR="00805545">
        <w:t xml:space="preserve"> </w:t>
      </w:r>
      <w:r>
        <w:t>1 scenarios,</w:t>
      </w:r>
      <w:r w:rsidRPr="004070AA">
        <w:t xml:space="preserve"> includ</w:t>
      </w:r>
      <w:r>
        <w:t>ing</w:t>
      </w:r>
      <w:r w:rsidRPr="004070AA">
        <w:t xml:space="preserve"> SSP1-2.6 (SSP126), SSP2-4.5 (SSP245), SSP3-7.0 (SSP370)</w:t>
      </w:r>
      <w:r>
        <w:t>,</w:t>
      </w:r>
      <w:r w:rsidRPr="004070AA">
        <w:t xml:space="preserve"> and SSP5-8.5 (SSP585). </w:t>
      </w:r>
      <w:r w:rsidR="005606E5">
        <w:t xml:space="preserve">In </w:t>
      </w:r>
      <w:r>
        <w:t>each scenario</w:t>
      </w:r>
      <w:r w:rsidR="00772269">
        <w:t>,</w:t>
      </w:r>
      <w:r>
        <w:t xml:space="preserve"> the first number represents one out of five SSPs</w:t>
      </w:r>
      <w:r w:rsidR="00772269">
        <w:t>,</w:t>
      </w:r>
      <w:r>
        <w:t xml:space="preserve"> </w:t>
      </w:r>
      <w:r w:rsidR="00772269">
        <w:t xml:space="preserve">and </w:t>
      </w:r>
      <w:r>
        <w:t xml:space="preserve">the last two numbers represent the radiative forcing level. </w:t>
      </w:r>
      <w:r w:rsidRPr="004070AA">
        <w:t xml:space="preserve">These </w:t>
      </w:r>
      <w:r>
        <w:t xml:space="preserve">are among the plausible </w:t>
      </w:r>
      <w:r w:rsidRPr="004070AA">
        <w:t>combination</w:t>
      </w:r>
      <w:r>
        <w:t>s</w:t>
      </w:r>
      <w:r w:rsidRPr="004070AA">
        <w:t xml:space="preserve"> of SSPs and RCPs </w:t>
      </w:r>
      <w:r>
        <w:t>in which</w:t>
      </w:r>
      <w:r w:rsidRPr="004070AA">
        <w:rPr>
          <w:iCs/>
        </w:rPr>
        <w:t xml:space="preserve"> the underlying socioeconomic factors in an SSP allow for the mitigation necessary to meet RCP targets. For instance, t</w:t>
      </w:r>
      <w:r w:rsidRPr="004070AA">
        <w:rPr>
          <w:color w:val="000000" w:themeColor="text1"/>
        </w:rPr>
        <w:t>he RCP8.5</w:t>
      </w:r>
      <w:r>
        <w:rPr>
          <w:color w:val="000000" w:themeColor="text1"/>
        </w:rPr>
        <w:t>—</w:t>
      </w:r>
      <w:r w:rsidRPr="004070AA">
        <w:rPr>
          <w:color w:val="000000" w:themeColor="text1"/>
        </w:rPr>
        <w:t>the highest forcing scenario</w:t>
      </w:r>
      <w:r>
        <w:rPr>
          <w:color w:val="000000" w:themeColor="text1"/>
        </w:rPr>
        <w:t>—</w:t>
      </w:r>
      <w:r w:rsidRPr="004070AA">
        <w:rPr>
          <w:color w:val="000000" w:themeColor="text1"/>
        </w:rPr>
        <w:t xml:space="preserve">can only </w:t>
      </w:r>
      <w:r>
        <w:rPr>
          <w:color w:val="000000" w:themeColor="text1"/>
        </w:rPr>
        <w:t>be consistent</w:t>
      </w:r>
      <w:r w:rsidRPr="004070AA">
        <w:rPr>
          <w:color w:val="000000" w:themeColor="text1"/>
        </w:rPr>
        <w:t xml:space="preserve"> with </w:t>
      </w:r>
      <w:r>
        <w:rPr>
          <w:color w:val="000000" w:themeColor="text1"/>
        </w:rPr>
        <w:t>the</w:t>
      </w:r>
      <w:r w:rsidRPr="004070AA">
        <w:rPr>
          <w:color w:val="000000" w:themeColor="text1"/>
        </w:rPr>
        <w:t xml:space="preserve"> SSP5 socioeconomic trajectory, which represents high challenges to mitigation and adaptation. Alternatively, </w:t>
      </w:r>
      <w:r>
        <w:rPr>
          <w:color w:val="000000" w:themeColor="text1"/>
        </w:rPr>
        <w:t xml:space="preserve">the </w:t>
      </w:r>
      <w:r w:rsidRPr="004070AA">
        <w:rPr>
          <w:color w:val="000000" w:themeColor="text1"/>
        </w:rPr>
        <w:t xml:space="preserve">SSP1 pathway that represents low challenges to mitigation and adaption </w:t>
      </w:r>
      <w:r>
        <w:rPr>
          <w:color w:val="000000" w:themeColor="text1"/>
        </w:rPr>
        <w:t>would not lead to</w:t>
      </w:r>
      <w:r w:rsidRPr="004070AA">
        <w:rPr>
          <w:color w:val="000000" w:themeColor="text1"/>
        </w:rPr>
        <w:t xml:space="preserve"> higher emission scenarios such as RCP7.0 and RCP8.5 (O</w:t>
      </w:r>
      <w:r w:rsidR="00805545">
        <w:rPr>
          <w:color w:val="000000" w:themeColor="text1"/>
        </w:rPr>
        <w:t>’</w:t>
      </w:r>
      <w:r w:rsidRPr="004070AA">
        <w:rPr>
          <w:color w:val="000000" w:themeColor="text1"/>
        </w:rPr>
        <w:t>Neill et al.</w:t>
      </w:r>
      <w:r>
        <w:rPr>
          <w:color w:val="000000" w:themeColor="text1"/>
        </w:rPr>
        <w:t>,</w:t>
      </w:r>
      <w:r w:rsidRPr="004070AA">
        <w:rPr>
          <w:color w:val="000000" w:themeColor="text1"/>
        </w:rPr>
        <w:t xml:space="preserve"> 2016; Zelinka et al.</w:t>
      </w:r>
      <w:r>
        <w:rPr>
          <w:color w:val="000000" w:themeColor="text1"/>
        </w:rPr>
        <w:t>,</w:t>
      </w:r>
      <w:r w:rsidRPr="004070AA">
        <w:rPr>
          <w:color w:val="000000" w:themeColor="text1"/>
        </w:rPr>
        <w:t xml:space="preserve"> 2020).</w:t>
      </w:r>
    </w:p>
    <w:p w14:paraId="31D2EAC1" w14:textId="30119B32" w:rsidR="006106BC" w:rsidRDefault="006106BC" w:rsidP="00D330AF">
      <w:pPr>
        <w:pStyle w:val="BodyText"/>
      </w:pPr>
      <w:r>
        <w:t xml:space="preserve">The current assessment </w:t>
      </w:r>
      <w:r w:rsidR="00772269">
        <w:t xml:space="preserve">was </w:t>
      </w:r>
      <w:r>
        <w:t>limited to only one future emission scenario for several reasons. First, for the time frame of interest (i.e., up to the mid</w:t>
      </w:r>
      <w:r w:rsidR="00772269">
        <w:t>-</w:t>
      </w:r>
      <w:r>
        <w:t>twenty-first century to inform long-term power marketing evaluation), higher-end scenarios (SSP370 and SSP585) are closer to the current observed trajectory of global greenhouse gas emissions. Second, at the time of the GCM selection, the availability of 6-hourly 3D atmospheric fields needed for dynamical downscaling was only limited to a few Tier</w:t>
      </w:r>
      <w:r w:rsidR="00805545">
        <w:t xml:space="preserve"> </w:t>
      </w:r>
      <w:r>
        <w:t>1 scenarios with a maximum (14) under SSP585. Third, dynamical downscaling is computationally expensive and time</w:t>
      </w:r>
      <w:r w:rsidR="00772269">
        <w:t>-</w:t>
      </w:r>
      <w:r>
        <w:t>consuming. A</w:t>
      </w:r>
      <w:r w:rsidRPr="002802ED">
        <w:t xml:space="preserve">vailability of CMIP6 GCMs data </w:t>
      </w:r>
      <w:r>
        <w:t>was delayed by more than a year, which left little time to consider more than one emission scenario in this study. Fourth, precipitation and temperature changes tend to be proportional across the future scenarios, meaning that stronger changes are expected in higher radiative forcing scenarios and vice versa, which is evident from the seasonal comparison of their changes in the SSP370 and SSP585 scenarios of the CONUS for 2041–2060 with respect to 1995–2014 (</w:t>
      </w:r>
      <w:r>
        <w:fldChar w:fldCharType="begin"/>
      </w:r>
      <w:r>
        <w:instrText xml:space="preserve"> REF _Ref81582026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w:t>
      </w:r>
      <w:r>
        <w:fldChar w:fldCharType="end"/>
      </w:r>
      <w:r>
        <w:t xml:space="preserve"> and </w:t>
      </w:r>
      <w:r>
        <w:fldChar w:fldCharType="begin"/>
      </w:r>
      <w:r>
        <w:instrText xml:space="preserve"> REF _Ref74574407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3</w:t>
      </w:r>
      <w:r>
        <w:fldChar w:fldCharType="end"/>
      </w:r>
      <w:r>
        <w:t xml:space="preserve">). The spatial pattern of changes is remarkably similar between the two scenarios. Expectedly, the magnitude of change is stronger in SSP585 because it represents a stronger forcing pathway. Given that SSP370 reaches the 2060 radiative forcing level of SSP585 around 10 years later (~2070), the projected changes in SSP585 can be considered a proxy for expected changes under SSP370 a decade later. Considering these factors, SSP585 </w:t>
      </w:r>
      <w:r w:rsidR="00EE1CA0">
        <w:t>was</w:t>
      </w:r>
      <w:r w:rsidR="004E434E">
        <w:t xml:space="preserve"> </w:t>
      </w:r>
      <w:r>
        <w:t>selected for this climate change impact assessment.</w:t>
      </w:r>
    </w:p>
    <w:p w14:paraId="72B25D33" w14:textId="3FAE6902" w:rsidR="007D6857" w:rsidRDefault="007D6857" w:rsidP="00D330AF">
      <w:pPr>
        <w:pStyle w:val="BodyText"/>
      </w:pPr>
    </w:p>
    <w:p w14:paraId="1CFFB6EA" w14:textId="77777777" w:rsidR="007D6857" w:rsidRDefault="007D6857" w:rsidP="007D6857">
      <w:pPr>
        <w:pStyle w:val="FIGUREposition"/>
      </w:pPr>
      <w:bookmarkStart w:id="78" w:name="_Ref72825433"/>
      <w:r>
        <w:rPr>
          <w:noProof/>
        </w:rPr>
        <w:lastRenderedPageBreak/>
        <w:drawing>
          <wp:inline distT="0" distB="0" distL="0" distR="0" wp14:anchorId="696466E8" wp14:editId="4BCCCEF6">
            <wp:extent cx="5942598" cy="7283492"/>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51"/>
                    <a:stretch>
                      <a:fillRect/>
                    </a:stretch>
                  </pic:blipFill>
                  <pic:spPr bwMode="auto">
                    <a:xfrm>
                      <a:off x="0" y="0"/>
                      <a:ext cx="5942598" cy="7283492"/>
                    </a:xfrm>
                    <a:prstGeom prst="rect">
                      <a:avLst/>
                    </a:prstGeom>
                    <a:noFill/>
                    <a:ln>
                      <a:noFill/>
                    </a:ln>
                  </pic:spPr>
                </pic:pic>
              </a:graphicData>
            </a:graphic>
          </wp:inline>
        </w:drawing>
      </w:r>
    </w:p>
    <w:p w14:paraId="1918EE53" w14:textId="7BB4E8BA" w:rsidR="007D6857" w:rsidRPr="005A5D00" w:rsidRDefault="007D6857" w:rsidP="007D6857">
      <w:pPr>
        <w:pStyle w:val="FigureCaption"/>
        <w:rPr>
          <w:vanish/>
          <w:specVanish/>
        </w:rPr>
      </w:pPr>
      <w:bookmarkStart w:id="79" w:name="_Ref81582026"/>
      <w:bookmarkStart w:id="80" w:name="_Toc113380866"/>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w:t>
      </w:r>
      <w:r w:rsidRPr="006869CA">
        <w:rPr>
          <w:lang w:eastAsia="zh-TW"/>
        </w:rPr>
        <w:fldChar w:fldCharType="end"/>
      </w:r>
      <w:bookmarkEnd w:id="78"/>
      <w:bookmarkEnd w:id="79"/>
      <w:r w:rsidRPr="006869CA">
        <w:rPr>
          <w:lang w:eastAsia="zh-TW"/>
        </w:rPr>
        <w:t xml:space="preserve">. </w:t>
      </w:r>
      <w:r>
        <w:t>Projected changes (%) in seasonal precipitation in 2041–2060 compared with 1995–2014 (a–d) SSP585 and (e–h) SSP370.</w:t>
      </w:r>
      <w:bookmarkEnd w:id="80"/>
      <w:r>
        <w:t xml:space="preserve"> </w:t>
      </w:r>
    </w:p>
    <w:p w14:paraId="6C7BAC48" w14:textId="77777777" w:rsidR="007D6857" w:rsidRPr="006869CA" w:rsidRDefault="007D6857" w:rsidP="007D6857">
      <w:pPr>
        <w:pStyle w:val="FigureCaptionSeparator"/>
      </w:pPr>
      <w:r>
        <w:t>The stippling represents grid points where two-thirds of the models exhibit the same sign of change. This analysis is based on 28 GCMs that had data available for both scenarios.</w:t>
      </w:r>
    </w:p>
    <w:p w14:paraId="5F8D46F5" w14:textId="77777777" w:rsidR="007D6857" w:rsidRDefault="007D6857" w:rsidP="007D6857">
      <w:pPr>
        <w:pStyle w:val="FIGUREposition"/>
      </w:pPr>
      <w:r>
        <w:rPr>
          <w:noProof/>
        </w:rPr>
        <w:lastRenderedPageBreak/>
        <w:drawing>
          <wp:inline distT="0" distB="0" distL="0" distR="0" wp14:anchorId="0B2C96CD" wp14:editId="48A1EB5F">
            <wp:extent cx="5943600" cy="7315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52"/>
                    <a:stretch>
                      <a:fillRect/>
                    </a:stretch>
                  </pic:blipFill>
                  <pic:spPr bwMode="auto">
                    <a:xfrm>
                      <a:off x="0" y="0"/>
                      <a:ext cx="5943600" cy="7315200"/>
                    </a:xfrm>
                    <a:prstGeom prst="rect">
                      <a:avLst/>
                    </a:prstGeom>
                    <a:noFill/>
                    <a:ln>
                      <a:noFill/>
                    </a:ln>
                  </pic:spPr>
                </pic:pic>
              </a:graphicData>
            </a:graphic>
          </wp:inline>
        </w:drawing>
      </w:r>
    </w:p>
    <w:p w14:paraId="49E80822" w14:textId="2498F111" w:rsidR="007D6857" w:rsidRPr="005A5D00" w:rsidRDefault="007D6857" w:rsidP="007D6857">
      <w:pPr>
        <w:pStyle w:val="FigureCaption"/>
        <w:rPr>
          <w:vanish/>
          <w:specVanish/>
        </w:rPr>
      </w:pPr>
      <w:bookmarkStart w:id="81" w:name="_Ref74574407"/>
      <w:bookmarkStart w:id="82" w:name="_Toc113380867"/>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3</w:t>
      </w:r>
      <w:r w:rsidRPr="006869CA">
        <w:rPr>
          <w:lang w:eastAsia="zh-TW"/>
        </w:rPr>
        <w:fldChar w:fldCharType="end"/>
      </w:r>
      <w:bookmarkEnd w:id="81"/>
      <w:r w:rsidRPr="006869CA">
        <w:rPr>
          <w:lang w:eastAsia="zh-TW"/>
        </w:rPr>
        <w:t xml:space="preserve">. </w:t>
      </w:r>
      <w:r>
        <w:t xml:space="preserve">Projected changes (°C) in seasonal temperature in 2041–2060 compared with 1995–2014 in </w:t>
      </w:r>
      <w:r w:rsidRPr="0063235F">
        <w:t>SSP585</w:t>
      </w:r>
      <w:r>
        <w:t xml:space="preserve"> (a–d) and </w:t>
      </w:r>
      <w:r w:rsidRPr="0063235F">
        <w:t>SSP370</w:t>
      </w:r>
      <w:r>
        <w:t xml:space="preserve"> (e–h).</w:t>
      </w:r>
      <w:bookmarkEnd w:id="82"/>
      <w:r>
        <w:t xml:space="preserve"> </w:t>
      </w:r>
    </w:p>
    <w:p w14:paraId="658CE61A" w14:textId="77777777" w:rsidR="007D6857" w:rsidRDefault="007D6857" w:rsidP="007D6857">
      <w:pPr>
        <w:pStyle w:val="FigureCaptionSeparator"/>
      </w:pPr>
      <w:r>
        <w:t>The stippling represents grid points where two-thirds of the models exhibit at least 2°C (3.6 °F) of warming. This analysis is based on 28 GCMs that had data available for both scenarios.</w:t>
      </w:r>
    </w:p>
    <w:p w14:paraId="20FF58C1" w14:textId="7EFCB495" w:rsidR="007D6857" w:rsidRDefault="007D6857" w:rsidP="00D330AF">
      <w:pPr>
        <w:pStyle w:val="BodyText"/>
      </w:pPr>
    </w:p>
    <w:p w14:paraId="7EEBA075" w14:textId="55C045B2" w:rsidR="004070AA" w:rsidRPr="005A1CA6" w:rsidRDefault="005E729D" w:rsidP="004070AA">
      <w:pPr>
        <w:pStyle w:val="BodyText"/>
        <w:rPr>
          <w:iCs/>
        </w:rPr>
      </w:pPr>
      <w:r w:rsidRPr="004070AA">
        <w:lastRenderedPageBreak/>
        <w:t xml:space="preserve">Despite the </w:t>
      </w:r>
      <w:r w:rsidR="0089546A">
        <w:t>substantial</w:t>
      </w:r>
      <w:r w:rsidRPr="004070AA">
        <w:t xml:space="preserve"> improvement</w:t>
      </w:r>
      <w:r w:rsidR="00EF2C73">
        <w:t>s</w:t>
      </w:r>
      <w:r w:rsidRPr="004070AA">
        <w:t xml:space="preserve"> </w:t>
      </w:r>
      <w:r w:rsidR="00EF2C73">
        <w:t>in</w:t>
      </w:r>
      <w:r w:rsidRPr="004070AA">
        <w:t xml:space="preserve"> GCMs, several challenges still exist that limit the direct application of GCM projections in </w:t>
      </w:r>
      <w:r>
        <w:t xml:space="preserve">regionalized, </w:t>
      </w:r>
      <w:r w:rsidR="00EF2C73">
        <w:t>higher-</w:t>
      </w:r>
      <w:r>
        <w:t xml:space="preserve">resolution </w:t>
      </w:r>
      <w:r w:rsidRPr="004070AA">
        <w:t xml:space="preserve">climate change impact assessments. </w:t>
      </w:r>
      <w:r w:rsidR="004070AA" w:rsidRPr="004070AA">
        <w:t>First, the resolution of most CMIP6 GCMs is still insufficient (&gt;</w:t>
      </w:r>
      <w:r w:rsidR="00EF2C73" w:rsidRPr="004070AA">
        <w:t>1</w:t>
      </w:r>
      <w:r w:rsidR="00EF2C73" w:rsidRPr="001D5DA7">
        <w:t>°</w:t>
      </w:r>
      <w:r w:rsidR="00EF2C73" w:rsidRPr="004070AA">
        <w:t xml:space="preserve"> </w:t>
      </w:r>
      <w:r w:rsidR="004070AA" w:rsidRPr="004070AA">
        <w:t xml:space="preserve">horizontal resolution) to reliably assess the needs for mitigation or adaptation at policy relevant regional and local scales, which warrants the need </w:t>
      </w:r>
      <w:r w:rsidR="009074B2">
        <w:t>for</w:t>
      </w:r>
      <w:r w:rsidR="004070AA" w:rsidRPr="004070AA">
        <w:t xml:space="preserve"> downscaling (discussed in Section</w:t>
      </w:r>
      <w:r w:rsidR="009B471D">
        <w:t xml:space="preserve"> </w:t>
      </w:r>
      <w:r w:rsidR="009B471D">
        <w:fldChar w:fldCharType="begin"/>
      </w:r>
      <w:r w:rsidR="009B471D">
        <w:instrText xml:space="preserve"> REF _Ref72487010 \n \h </w:instrText>
      </w:r>
      <w:r w:rsidR="009B471D">
        <w:fldChar w:fldCharType="separate"/>
      </w:r>
      <w:r w:rsidR="00EE0BF5">
        <w:t>2.4</w:t>
      </w:r>
      <w:r w:rsidR="009B471D">
        <w:fldChar w:fldCharType="end"/>
      </w:r>
      <w:r w:rsidR="004070AA" w:rsidRPr="004070AA">
        <w:t>). Second, the lack of sufficient resolution and other modeling deficiencies also leads to inaccuracies in the representation of fine-scale</w:t>
      </w:r>
      <w:r w:rsidR="00EF2C73">
        <w:t>,</w:t>
      </w:r>
      <w:r w:rsidR="004070AA" w:rsidRPr="004070AA">
        <w:t xml:space="preserve"> land-atmosphere feedbacks that may influence the simulated climate response at such scales (e.g., Diffenbaugh et al., 2005). Third, several models participating in CMIP</w:t>
      </w:r>
      <w:r w:rsidR="00A005D5">
        <w:t>6</w:t>
      </w:r>
      <w:r w:rsidR="004070AA" w:rsidRPr="004070AA">
        <w:t xml:space="preserve"> share common modeling components (e.g., same land, ocean, ice modules or parametrization), meaning that these models may have similar systematic biases and do not necessarily represent independent realizations of future climate (Knutti et al., 2010 and 2013). Therefore, an objective evaluation standard based on the models</w:t>
      </w:r>
      <w:r w:rsidR="00805545">
        <w:t>’</w:t>
      </w:r>
      <w:r w:rsidR="004070AA" w:rsidRPr="004070AA">
        <w:t xml:space="preserve"> skillfulness and independence is recommended for more unbiased estimates of future climate change (Eyring et al., 2019).</w:t>
      </w:r>
    </w:p>
    <w:p w14:paraId="01431347" w14:textId="5EC680C5" w:rsidR="000848A7" w:rsidRDefault="00B57956" w:rsidP="000848A7">
      <w:pPr>
        <w:pStyle w:val="BodyText"/>
      </w:pPr>
      <w:r>
        <w:t>Apart from GCM performance, data availability for GCM downscaling is another limiting factor in completing hydroclimate studies in a timely manner. Although GCM simulation</w:t>
      </w:r>
      <w:r w:rsidR="00772269">
        <w:t>s</w:t>
      </w:r>
      <w:r>
        <w:t xml:space="preserve"> </w:t>
      </w:r>
      <w:r w:rsidR="00772269">
        <w:t xml:space="preserve">are </w:t>
      </w:r>
      <w:r>
        <w:t xml:space="preserve">conducted at sub-hourly time scales, given </w:t>
      </w:r>
      <w:r w:rsidR="00772269">
        <w:t xml:space="preserve">their </w:t>
      </w:r>
      <w:r>
        <w:t xml:space="preserve">massive data flow, only a subset of variables at aggregated temporal scales were recorded (usually driven by the specific CMIP requirements). For some types of applications, such as dynamical downscaling, the </w:t>
      </w:r>
      <w:r>
        <w:rPr>
          <w:color w:val="000000" w:themeColor="text1"/>
          <w:shd w:val="clear" w:color="auto" w:fill="FCFCFC"/>
        </w:rPr>
        <w:t>required sub-daily lateral boundary forcings are not available for all GCMs in CMIP6.</w:t>
      </w:r>
      <w:r>
        <w:t xml:space="preserve"> Given the desire to compare these two very different downscaling approaches (dynamical vs. statistical) in this assessment, the selection of GCMs was limited to those with sufficient sub-daily outputs for dynamical downscaling.</w:t>
      </w:r>
    </w:p>
    <w:p w14:paraId="576B4396" w14:textId="16FF5048" w:rsidR="00296B3B" w:rsidRDefault="00BB1A3B" w:rsidP="00296B3B">
      <w:pPr>
        <w:pStyle w:val="BodyText"/>
      </w:pPr>
      <w:r>
        <w:t xml:space="preserve">Considering the available resources and the objective of multimodel ensemble simulation (discussed in Section </w:t>
      </w:r>
      <w:r>
        <w:fldChar w:fldCharType="begin"/>
      </w:r>
      <w:r>
        <w:instrText xml:space="preserve"> REF _Ref74567945 \n \h </w:instrText>
      </w:r>
      <w:r>
        <w:fldChar w:fldCharType="separate"/>
      </w:r>
      <w:r w:rsidR="00EE0BF5">
        <w:t>2.1</w:t>
      </w:r>
      <w:r>
        <w:fldChar w:fldCharType="end"/>
      </w:r>
      <w:r>
        <w:t>), six GCMs were selected through an objective selection process that factored in relative simulation skills, uniqueness, data availability, computational resources, and time constraints. GCM evaluation is based on two approaches. One is a simple weighting technique in which each GCM is ranked based on its average performance across selected evaluation metrics. Often, correlations among the suite of evaluation metrics used to investigate the relative skillfulness of the model can influence the ranking process. Therefore, each metric is assigned a weight based on its uniqueness ranging from zero to one before averaging. The second is a ranking based on empirical orthogonal functions (EOFs) in which each GCM is ranked based on its distance from the reference (observations) in the principal component (PC) space (Chhin et al., 2019; Rupp et al., 2013; Sanderson et al., 2015). Using two different approaches for model ranking ensures the robustness of the outcome.</w:t>
      </w:r>
    </w:p>
    <w:p w14:paraId="075FDCA9" w14:textId="1086D17B" w:rsidR="00296B3B" w:rsidRDefault="00296B3B" w:rsidP="00296B3B">
      <w:pPr>
        <w:pStyle w:val="BodyText"/>
      </w:pPr>
      <w:r>
        <w:t xml:space="preserve">At the time the GCM evaluation was conducted </w:t>
      </w:r>
      <w:r w:rsidR="00785851">
        <w:t>(</w:t>
      </w:r>
      <w:r>
        <w:t>in early 2020</w:t>
      </w:r>
      <w:r w:rsidR="00785851">
        <w:t>)</w:t>
      </w:r>
      <w:r>
        <w:t xml:space="preserve">, 37 CMIP6 GCMs provided model output for the evaluation, </w:t>
      </w:r>
      <w:r w:rsidR="5E270410">
        <w:t>but</w:t>
      </w:r>
      <w:r>
        <w:t xml:space="preserve"> only 14 out of those 37 GCMs provided </w:t>
      </w:r>
      <w:r w:rsidR="001D2857">
        <w:t>6</w:t>
      </w:r>
      <w:r>
        <w:t xml:space="preserve">-hourly, </w:t>
      </w:r>
      <w:r w:rsidR="586A94C1">
        <w:t xml:space="preserve">3D </w:t>
      </w:r>
      <w:r>
        <w:t xml:space="preserve">atmospheric fields needed for dynamical downscaling. Thus, </w:t>
      </w:r>
      <w:r w:rsidR="7F008E4E">
        <w:t>although</w:t>
      </w:r>
      <w:r>
        <w:t xml:space="preserve"> 37 models </w:t>
      </w:r>
      <w:r w:rsidR="178C6409">
        <w:t>were</w:t>
      </w:r>
      <w:r>
        <w:t xml:space="preserve"> evaluated</w:t>
      </w:r>
      <w:r w:rsidR="00772269">
        <w:t>,</w:t>
      </w:r>
      <w:r>
        <w:t xml:space="preserve"> to better understand the relative skill of the selected GCMs in the large CMIP6 suite, the final selection </w:t>
      </w:r>
      <w:r w:rsidR="2C98E6F6">
        <w:t>was</w:t>
      </w:r>
      <w:r>
        <w:t xml:space="preserve"> limited to </w:t>
      </w:r>
      <w:r w:rsidR="00785851">
        <w:t xml:space="preserve">the </w:t>
      </w:r>
      <w:r>
        <w:t>14 GCMs.</w:t>
      </w:r>
    </w:p>
    <w:p w14:paraId="6923F401" w14:textId="16652AA8" w:rsidR="00296B3B" w:rsidRDefault="00F20100" w:rsidP="00296B3B">
      <w:pPr>
        <w:pStyle w:val="BodyText"/>
        <w:rPr>
          <w:color w:val="000000" w:themeColor="text1"/>
        </w:rPr>
      </w:pPr>
      <w:r>
        <w:t xml:space="preserve">For each of the 37 GCMs, daily and monthly precipitation; mean, maximum, and minimum daily temperature; monthly sea surface temperature; sea level pressure; and 500 mb geopotential height were collected </w:t>
      </w:r>
      <w:r>
        <w:rPr>
          <w:color w:val="000000" w:themeColor="text1"/>
        </w:rPr>
        <w:t>from the Earth System Grid Federation data archive.</w:t>
      </w:r>
      <w:r>
        <w:rPr>
          <w:rStyle w:val="FootnoteReference"/>
          <w:color w:val="000000" w:themeColor="text1"/>
        </w:rPr>
        <w:footnoteReference w:id="4"/>
      </w:r>
      <w:r>
        <w:rPr>
          <w:color w:val="000000" w:themeColor="text1"/>
        </w:rPr>
        <w:t xml:space="preserve"> To support model evaluation, the </w:t>
      </w:r>
      <w:r>
        <w:t>precipitation and temperature</w:t>
      </w:r>
      <w:r>
        <w:rPr>
          <w:color w:val="000000" w:themeColor="text1"/>
        </w:rPr>
        <w:t xml:space="preserve"> observations from Daymet, Livneh, and PRISM were used along with the </w:t>
      </w:r>
      <w:r>
        <w:t>sea surface temperature, sea level pressure, and 500 mb geopotential height</w:t>
      </w:r>
      <w:r>
        <w:rPr>
          <w:color w:val="000000" w:themeColor="text1"/>
        </w:rPr>
        <w:t xml:space="preserve"> from the </w:t>
      </w:r>
      <w:r w:rsidRPr="004F7664">
        <w:rPr>
          <w:color w:val="000000" w:themeColor="text1"/>
          <w:lang w:bidi="en-US"/>
        </w:rPr>
        <w:t>European Centre for Medium-Range Weather Forecasts</w:t>
      </w:r>
      <w:r>
        <w:rPr>
          <w:color w:val="000000" w:themeColor="text1"/>
        </w:rPr>
        <w:t xml:space="preserve"> Reanalysis 5 (ERA5).</w:t>
      </w:r>
    </w:p>
    <w:p w14:paraId="422233E4" w14:textId="67B52818" w:rsidR="002D11B8" w:rsidRDefault="002D11B8" w:rsidP="00296B3B">
      <w:pPr>
        <w:pStyle w:val="BodyText"/>
        <w:rPr>
          <w:color w:val="000000" w:themeColor="text1"/>
        </w:rPr>
      </w:pPr>
      <w:r w:rsidRPr="00324AFA">
        <w:t xml:space="preserve">For </w:t>
      </w:r>
      <w:r>
        <w:t xml:space="preserve">GCM </w:t>
      </w:r>
      <w:r w:rsidRPr="00324AFA">
        <w:t xml:space="preserve">evaluation, the entire CONUS </w:t>
      </w:r>
      <w:r>
        <w:t>was</w:t>
      </w:r>
      <w:r w:rsidRPr="00324AFA">
        <w:t xml:space="preserve"> divided </w:t>
      </w:r>
      <w:r>
        <w:t>into</w:t>
      </w:r>
      <w:r w:rsidRPr="00324AFA">
        <w:t xml:space="preserve"> four parts (</w:t>
      </w:r>
      <w:r w:rsidR="006C6778" w:rsidRPr="00324AFA">
        <w:t>north, east, west</w:t>
      </w:r>
      <w:r w:rsidR="006C6778">
        <w:t>,</w:t>
      </w:r>
      <w:r w:rsidR="006C6778" w:rsidRPr="00324AFA">
        <w:t xml:space="preserve"> and south</w:t>
      </w:r>
      <w:r w:rsidRPr="00324AFA">
        <w:t>) based on grouped HUC2 regions</w:t>
      </w:r>
      <w:r>
        <w:t xml:space="preserve"> (</w:t>
      </w:r>
      <w:r w:rsidRPr="005266B0">
        <w:t xml:space="preserve">see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t xml:space="preserve">) </w:t>
      </w:r>
      <w:r w:rsidR="00772269">
        <w:t xml:space="preserve">used </w:t>
      </w:r>
      <w:r w:rsidRPr="002D11B8">
        <w:t xml:space="preserve">by Naz et al. (2016). </w:t>
      </w:r>
      <w:r w:rsidRPr="002D11B8">
        <w:rPr>
          <w:color w:val="000000" w:themeColor="text1"/>
        </w:rPr>
        <w:t>In tot</w:t>
      </w:r>
      <w:r>
        <w:rPr>
          <w:color w:val="000000" w:themeColor="text1"/>
        </w:rPr>
        <w:t>al, 60 evaluation matrices at the annual, seasonal, monthly</w:t>
      </w:r>
      <w:r w:rsidRPr="6A14E090">
        <w:rPr>
          <w:color w:val="000000" w:themeColor="text1"/>
        </w:rPr>
        <w:t>,</w:t>
      </w:r>
      <w:r>
        <w:rPr>
          <w:color w:val="000000" w:themeColor="text1"/>
        </w:rPr>
        <w:t xml:space="preserve"> and daily and diurnal time scales </w:t>
      </w:r>
      <w:r w:rsidRPr="6A14E090">
        <w:rPr>
          <w:color w:val="000000" w:themeColor="text1"/>
        </w:rPr>
        <w:t>were</w:t>
      </w:r>
      <w:r>
        <w:rPr>
          <w:color w:val="000000" w:themeColor="text1"/>
        </w:rPr>
        <w:t xml:space="preserve"> used to rank the models (see </w:t>
      </w:r>
      <w:r>
        <w:rPr>
          <w:color w:val="000000" w:themeColor="text1"/>
        </w:rPr>
        <w:lastRenderedPageBreak/>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rPr>
          <w:color w:val="000000" w:themeColor="text1"/>
        </w:rPr>
        <w:t xml:space="preserve">). </w:t>
      </w:r>
      <w:r w:rsidRPr="00324AFA">
        <w:t xml:space="preserve">All </w:t>
      </w:r>
      <w:r>
        <w:t>metrics</w:t>
      </w:r>
      <w:r w:rsidRPr="00324AFA">
        <w:t xml:space="preserve"> calculat</w:t>
      </w:r>
      <w:r>
        <w:t xml:space="preserve">ions and further analysis were </w:t>
      </w:r>
      <w:r w:rsidRPr="00324AFA">
        <w:t xml:space="preserve">separately </w:t>
      </w:r>
      <w:r>
        <w:t xml:space="preserve">carried out </w:t>
      </w:r>
      <w:r w:rsidRPr="00324AFA">
        <w:t xml:space="preserve">for each of the four regions, </w:t>
      </w:r>
      <w:r>
        <w:t xml:space="preserve">which were </w:t>
      </w:r>
      <w:r w:rsidRPr="00324AFA">
        <w:t>subsequently averaged to calculate disagreements at the CONUS scale for each model.</w:t>
      </w:r>
      <w:r>
        <w:t xml:space="preserve"> </w:t>
      </w:r>
      <w:r>
        <w:rPr>
          <w:color w:val="000000" w:themeColor="text1"/>
        </w:rPr>
        <w:t xml:space="preserve">Observation-based matrices </w:t>
      </w:r>
      <w:r w:rsidRPr="6A14E090">
        <w:rPr>
          <w:color w:val="000000" w:themeColor="text1"/>
        </w:rPr>
        <w:t>we</w:t>
      </w:r>
      <w:r>
        <w:rPr>
          <w:color w:val="000000" w:themeColor="text1"/>
        </w:rPr>
        <w:t>re subsequently averaged to create a reference</w:t>
      </w:r>
      <w:r w:rsidR="005606E5">
        <w:rPr>
          <w:color w:val="000000" w:themeColor="text1"/>
        </w:rPr>
        <w:t xml:space="preserve"> data set </w:t>
      </w:r>
      <w:r>
        <w:rPr>
          <w:color w:val="000000" w:themeColor="text1"/>
        </w:rPr>
        <w:t xml:space="preserve">for model comparison. </w:t>
      </w:r>
      <w:r w:rsidR="00772269">
        <w:t xml:space="preserve">The </w:t>
      </w:r>
      <w:r w:rsidRPr="007D7864">
        <w:rPr>
          <w:lang w:eastAsia="zh-CN"/>
        </w:rPr>
        <w:t>select</w:t>
      </w:r>
      <w:r>
        <w:rPr>
          <w:lang w:eastAsia="zh-CN"/>
        </w:rPr>
        <w:t>ion of</w:t>
      </w:r>
      <w:r w:rsidRPr="007D7864">
        <w:rPr>
          <w:lang w:eastAsia="zh-CN"/>
        </w:rPr>
        <w:t xml:space="preserve"> </w:t>
      </w:r>
      <w:r>
        <w:rPr>
          <w:lang w:eastAsia="zh-CN"/>
        </w:rPr>
        <w:t>metrics</w:t>
      </w:r>
      <w:r w:rsidRPr="007D7864">
        <w:rPr>
          <w:lang w:eastAsia="zh-CN"/>
        </w:rPr>
        <w:t xml:space="preserve"> </w:t>
      </w:r>
      <w:r>
        <w:rPr>
          <w:lang w:eastAsia="zh-CN"/>
        </w:rPr>
        <w:t>represent</w:t>
      </w:r>
      <w:r w:rsidR="00772269">
        <w:rPr>
          <w:lang w:eastAsia="zh-CN"/>
        </w:rPr>
        <w:t>ed</w:t>
      </w:r>
      <w:r>
        <w:rPr>
          <w:lang w:eastAsia="zh-CN"/>
        </w:rPr>
        <w:t xml:space="preserve"> a wide range of spatiotemporal climate characteristics that are common across the CONUS and </w:t>
      </w:r>
      <w:r w:rsidR="00772269">
        <w:rPr>
          <w:lang w:eastAsia="zh-CN"/>
        </w:rPr>
        <w:t xml:space="preserve">did </w:t>
      </w:r>
      <w:r>
        <w:rPr>
          <w:lang w:eastAsia="zh-CN"/>
        </w:rPr>
        <w:t xml:space="preserve">not include features that </w:t>
      </w:r>
      <w:r w:rsidR="00772269">
        <w:rPr>
          <w:lang w:eastAsia="zh-CN"/>
        </w:rPr>
        <w:t xml:space="preserve">were </w:t>
      </w:r>
      <w:r>
        <w:rPr>
          <w:lang w:eastAsia="zh-CN"/>
        </w:rPr>
        <w:t xml:space="preserve">unique to specific regions, such as integrated water vapor transport through atmospheric rivers in the western </w:t>
      </w:r>
      <w:r w:rsidR="005606E5" w:rsidRPr="005606E5">
        <w:rPr>
          <w:lang w:eastAsia="zh-CN"/>
        </w:rPr>
        <w:t>United States</w:t>
      </w:r>
      <w:r>
        <w:rPr>
          <w:lang w:eastAsia="zh-CN"/>
        </w:rPr>
        <w:t>, the monsoonal climate in the southwest</w:t>
      </w:r>
      <w:r w:rsidR="00772269">
        <w:rPr>
          <w:lang w:eastAsia="zh-CN"/>
        </w:rPr>
        <w:t>ern United States,</w:t>
      </w:r>
      <w:r>
        <w:rPr>
          <w:lang w:eastAsia="zh-CN"/>
        </w:rPr>
        <w:t xml:space="preserve"> and </w:t>
      </w:r>
      <w:r w:rsidR="00772269">
        <w:rPr>
          <w:lang w:eastAsia="zh-CN"/>
        </w:rPr>
        <w:t xml:space="preserve">the </w:t>
      </w:r>
      <w:r>
        <w:rPr>
          <w:lang w:eastAsia="zh-CN"/>
        </w:rPr>
        <w:t xml:space="preserve">tornadic environment in the central and eastern </w:t>
      </w:r>
      <w:r w:rsidR="005606E5" w:rsidRPr="005606E5">
        <w:rPr>
          <w:lang w:eastAsia="zh-CN"/>
        </w:rPr>
        <w:t>United States</w:t>
      </w:r>
      <w:r>
        <w:rPr>
          <w:lang w:eastAsia="zh-CN"/>
        </w:rPr>
        <w:t xml:space="preserve">. </w:t>
      </w:r>
      <w:r>
        <w:rPr>
          <w:color w:val="000000" w:themeColor="text1"/>
        </w:rPr>
        <w:t>For each of the 60 indices, resulting disagreement from the model with the reference data was represented as the percentage difference, which was subsequently converted into normalized relative error. A single matrix represent</w:t>
      </w:r>
      <w:r w:rsidR="00772269">
        <w:rPr>
          <w:color w:val="000000" w:themeColor="text1"/>
        </w:rPr>
        <w:t>ed</w:t>
      </w:r>
      <w:r>
        <w:rPr>
          <w:color w:val="000000" w:themeColor="text1"/>
        </w:rPr>
        <w:t xml:space="preserve"> a single index or an average of three or more indices.</w:t>
      </w:r>
    </w:p>
    <w:p w14:paraId="1B6C89AF" w14:textId="77777777" w:rsidR="009868FB" w:rsidRDefault="009868FB" w:rsidP="009868FB">
      <w:pPr>
        <w:pStyle w:val="FIGUREposition"/>
      </w:pPr>
      <w:bookmarkStart w:id="83" w:name="_Hlk81577945"/>
      <w:r>
        <w:rPr>
          <w:noProof/>
          <w:snapToGrid/>
        </w:rPr>
        <w:drawing>
          <wp:inline distT="0" distB="0" distL="0" distR="0" wp14:anchorId="2588733A" wp14:editId="7EB93E46">
            <wp:extent cx="5943600" cy="5042535"/>
            <wp:effectExtent l="0" t="0" r="0" b="5715"/>
            <wp:docPr id="25" name="Picture 2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scatter chart&#10;&#10;Description automatically generated"/>
                    <pic:cNvPicPr/>
                  </pic:nvPicPr>
                  <pic:blipFill>
                    <a:blip r:embed="rId53"/>
                    <a:stretch>
                      <a:fillRect/>
                    </a:stretch>
                  </pic:blipFill>
                  <pic:spPr>
                    <a:xfrm>
                      <a:off x="0" y="0"/>
                      <a:ext cx="5943600" cy="5042535"/>
                    </a:xfrm>
                    <a:prstGeom prst="rect">
                      <a:avLst/>
                    </a:prstGeom>
                  </pic:spPr>
                </pic:pic>
              </a:graphicData>
            </a:graphic>
          </wp:inline>
        </w:drawing>
      </w:r>
    </w:p>
    <w:p w14:paraId="2DEAB81F" w14:textId="235485E7" w:rsidR="009868FB" w:rsidRPr="005A5D00" w:rsidRDefault="009868FB" w:rsidP="009868FB">
      <w:pPr>
        <w:pStyle w:val="FigureCaption"/>
        <w:rPr>
          <w:vanish/>
          <w:specVanish/>
        </w:rPr>
      </w:pPr>
      <w:bookmarkStart w:id="84" w:name="_Ref81580913"/>
      <w:bookmarkStart w:id="85" w:name="_Toc113380868"/>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4</w:t>
      </w:r>
      <w:r w:rsidRPr="006869CA">
        <w:rPr>
          <w:lang w:eastAsia="zh-TW"/>
        </w:rPr>
        <w:fldChar w:fldCharType="end"/>
      </w:r>
      <w:bookmarkEnd w:id="84"/>
      <w:r w:rsidRPr="006869CA">
        <w:rPr>
          <w:lang w:eastAsia="zh-TW"/>
        </w:rPr>
        <w:t xml:space="preserve">. </w:t>
      </w:r>
      <w:r>
        <w:t xml:space="preserve">The pairwise metrics correlation (bottom triangle) and the corresponding similarity score (top triangle) over the </w:t>
      </w:r>
      <w:r w:rsidR="00CC6433">
        <w:t>n</w:t>
      </w:r>
      <w:r>
        <w:t>orth</w:t>
      </w:r>
      <w:r w:rsidR="00CC6433">
        <w:t>ern United States</w:t>
      </w:r>
      <w:r>
        <w:t>.</w:t>
      </w:r>
      <w:bookmarkEnd w:id="85"/>
      <w:r>
        <w:t xml:space="preserve"> </w:t>
      </w:r>
    </w:p>
    <w:p w14:paraId="20A643EC" w14:textId="6EFCBA64" w:rsidR="009868FB" w:rsidRDefault="009868FB" w:rsidP="009868FB">
      <w:pPr>
        <w:pStyle w:val="FigureCaptionSeparator"/>
      </w:pPr>
      <w:r>
        <w:t xml:space="preserve">Metrics with high correlations exhibit a high similarity score and are </w:t>
      </w:r>
      <w:r w:rsidR="00CF6EA8">
        <w:t>down-weighted</w:t>
      </w:r>
      <w:r>
        <w:t xml:space="preserve">. </w:t>
      </w:r>
      <w:r w:rsidRPr="00825529">
        <w:rPr>
          <w:lang w:bidi="en-US"/>
        </w:rPr>
        <w:t>The line plot on the right shows the overall weight for each metric</w:t>
      </w:r>
      <w:r>
        <w:t>.</w:t>
      </w:r>
    </w:p>
    <w:p w14:paraId="6B94B34D" w14:textId="465CB971" w:rsidR="002B6D8F" w:rsidRDefault="002B6D8F" w:rsidP="002B6D8F">
      <w:pPr>
        <w:pStyle w:val="BodyText"/>
      </w:pPr>
      <w:r>
        <w:rPr>
          <w:color w:val="000000" w:themeColor="text1"/>
        </w:rPr>
        <w:t xml:space="preserve">In the simple </w:t>
      </w:r>
      <w:r>
        <w:t xml:space="preserve">weighting approach, pairwise linear correlations were calculated for all metrics to calculate their similarity scores and overall weights. The metrics with higher correlations were assigned lower weights and vice versa </w:t>
      </w:r>
      <w:r>
        <w:rPr>
          <w:color w:val="000000" w:themeColor="text1"/>
        </w:rPr>
        <w:t>(</w:t>
      </w:r>
      <w:r>
        <w:rPr>
          <w:color w:val="000000" w:themeColor="text1"/>
        </w:rPr>
        <w:fldChar w:fldCharType="begin"/>
      </w:r>
      <w:r>
        <w:rPr>
          <w:color w:val="000000" w:themeColor="text1"/>
        </w:rPr>
        <w:instrText xml:space="preserve"> REF _Ref81580913 \h </w:instrText>
      </w:r>
      <w:r>
        <w:rPr>
          <w:color w:val="000000" w:themeColor="text1"/>
        </w:rPr>
      </w:r>
      <w:r>
        <w:rPr>
          <w:color w:val="000000" w:themeColor="text1"/>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4</w:t>
      </w:r>
      <w:r>
        <w:rPr>
          <w:color w:val="000000" w:themeColor="text1"/>
        </w:rPr>
        <w:fldChar w:fldCharType="end"/>
      </w:r>
      <w:r>
        <w:rPr>
          <w:color w:val="000000" w:themeColor="text1"/>
        </w:rPr>
        <w:t>)</w:t>
      </w:r>
      <w:r>
        <w:t xml:space="preserve">. The GCM with the lowest weighted relative error ranked at the top, </w:t>
      </w:r>
      <w:r>
        <w:lastRenderedPageBreak/>
        <w:t>whereas the GCM with the highest weighted relative error ranked at the bottom (</w:t>
      </w:r>
      <w:r w:rsidRPr="005266B0">
        <w:t xml:space="preserve">see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t>). In the EOF analyses, the Euclidean distances between individual GCMs and observations were calculated using the truncated set of first 10 modes because GCMs ranking in the PC space became relatively insensitive after first 10 PCs (</w:t>
      </w:r>
      <w:r>
        <w:rPr>
          <w:color w:val="000000" w:themeColor="text1"/>
        </w:rPr>
        <w:t xml:space="preserve">see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t>). Using the sum of the distances of GCMs from the reference data in each selected PC space, the GCM with the lowest total distance ranked at the top, whereas the GCM with the highest total distance ranked at the bottom.</w:t>
      </w:r>
    </w:p>
    <w:bookmarkEnd w:id="83"/>
    <w:p w14:paraId="552D101F" w14:textId="77777777" w:rsidR="009868FB" w:rsidRDefault="009868FB" w:rsidP="009868FB">
      <w:pPr>
        <w:pStyle w:val="FIGUREposition"/>
      </w:pPr>
      <w:r>
        <w:rPr>
          <w:noProof/>
          <w:snapToGrid/>
        </w:rPr>
        <w:drawing>
          <wp:inline distT="0" distB="0" distL="0" distR="0" wp14:anchorId="2179C776" wp14:editId="57E5B4FC">
            <wp:extent cx="5943600" cy="6120765"/>
            <wp:effectExtent l="0" t="0" r="0" b="0"/>
            <wp:docPr id="89" name="Picture 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agram&#10;&#10;Description automatically generated with medium confidence"/>
                    <pic:cNvPicPr/>
                  </pic:nvPicPr>
                  <pic:blipFill>
                    <a:blip r:embed="rId54"/>
                    <a:stretch>
                      <a:fillRect/>
                    </a:stretch>
                  </pic:blipFill>
                  <pic:spPr>
                    <a:xfrm>
                      <a:off x="0" y="0"/>
                      <a:ext cx="5943600" cy="6120765"/>
                    </a:xfrm>
                    <a:prstGeom prst="rect">
                      <a:avLst/>
                    </a:prstGeom>
                  </pic:spPr>
                </pic:pic>
              </a:graphicData>
            </a:graphic>
          </wp:inline>
        </w:drawing>
      </w:r>
    </w:p>
    <w:p w14:paraId="3CD0632F" w14:textId="6982C7ED" w:rsidR="009868FB" w:rsidRDefault="009868FB" w:rsidP="009868FB">
      <w:pPr>
        <w:pStyle w:val="FigureCaption"/>
      </w:pPr>
      <w:bookmarkStart w:id="86" w:name="_Ref72825209"/>
      <w:bookmarkStart w:id="87" w:name="_Toc113380869"/>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5</w:t>
      </w:r>
      <w:r w:rsidRPr="006869CA">
        <w:rPr>
          <w:lang w:eastAsia="zh-TW"/>
        </w:rPr>
        <w:fldChar w:fldCharType="end"/>
      </w:r>
      <w:bookmarkEnd w:id="86"/>
      <w:r w:rsidRPr="006869CA">
        <w:rPr>
          <w:lang w:eastAsia="zh-TW"/>
        </w:rPr>
        <w:t xml:space="preserve">. </w:t>
      </w:r>
      <w:r w:rsidRPr="00154E06">
        <w:rPr>
          <w:lang w:bidi="en-US"/>
        </w:rPr>
        <w:t xml:space="preserve">The normalized relative disagreement of GCMs from the observations over the </w:t>
      </w:r>
      <w:r w:rsidR="00CC6433">
        <w:rPr>
          <w:lang w:bidi="en-US"/>
        </w:rPr>
        <w:t>n</w:t>
      </w:r>
      <w:r w:rsidRPr="00154E06">
        <w:rPr>
          <w:lang w:bidi="en-US"/>
        </w:rPr>
        <w:t>orth</w:t>
      </w:r>
      <w:r w:rsidR="00CC6433">
        <w:t>ern United States</w:t>
      </w:r>
      <w:r w:rsidRPr="00154E06">
        <w:rPr>
          <w:lang w:bidi="en-US"/>
        </w:rPr>
        <w:t xml:space="preserve"> for each metric (left) and their overall standard deviation across evaluated GCMs (right).</w:t>
      </w:r>
      <w:bookmarkEnd w:id="87"/>
    </w:p>
    <w:p w14:paraId="5F92F472" w14:textId="1BA54D45" w:rsidR="002B6D8F" w:rsidRDefault="002B6D8F" w:rsidP="002B6D8F">
      <w:pPr>
        <w:pStyle w:val="BodyText"/>
      </w:pPr>
      <w:r>
        <w:fldChar w:fldCharType="begin"/>
      </w:r>
      <w:r>
        <w:instrText xml:space="preserve"> REF _Ref72825209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5</w:t>
      </w:r>
      <w:r>
        <w:fldChar w:fldCharType="end"/>
      </w:r>
      <w:r>
        <w:t xml:space="preserve"> shows the unweighted normalized relative errors of the GCMs for each matrix over the northern United States. The rest of the three regions are shown in</w:t>
      </w:r>
      <w:r>
        <w:rPr>
          <w:color w:val="000000" w:themeColor="text1"/>
        </w:rPr>
        <w:t xml:space="preserv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rPr>
          <w:color w:val="000000" w:themeColor="text1"/>
        </w:rPr>
        <w:t>.</w:t>
      </w:r>
      <w:r>
        <w:t xml:space="preserve"> The normalization was </w:t>
      </w:r>
      <w:r>
        <w:lastRenderedPageBreak/>
        <w:t xml:space="preserve">based on the minimum and maximum for each individual matrix so that the lowest difference from the reference data transformed into zero, and the highest difference from the reference data transformed into one. </w:t>
      </w:r>
      <w:r w:rsidRPr="002D303E">
        <w:t xml:space="preserve">For ease of comparison, GCMs </w:t>
      </w:r>
      <w:r>
        <w:t xml:space="preserve">were </w:t>
      </w:r>
      <w:r w:rsidRPr="002D303E">
        <w:t xml:space="preserve">sorted from left to right so that the GCM with the lowest average relative error </w:t>
      </w:r>
      <w:r>
        <w:t xml:space="preserve">was </w:t>
      </w:r>
      <w:r w:rsidRPr="002D303E">
        <w:t xml:space="preserve">on the left and the one with the highest average relative error </w:t>
      </w:r>
      <w:r>
        <w:t xml:space="preserve">was </w:t>
      </w:r>
      <w:r w:rsidRPr="002D303E">
        <w:t xml:space="preserve">on the right. Unlike the absolute error, the relative error </w:t>
      </w:r>
      <w:r>
        <w:t xml:space="preserve">was </w:t>
      </w:r>
      <w:r w:rsidRPr="002D303E">
        <w:t>not a direct measure of modeling biases with respect to truth or observations, as it only differentiate</w:t>
      </w:r>
      <w:r>
        <w:t>d</w:t>
      </w:r>
      <w:r w:rsidRPr="002D303E">
        <w:t xml:space="preserve"> models from each other. </w:t>
      </w:r>
      <w:r>
        <w:t>Never</w:t>
      </w:r>
      <w:r w:rsidRPr="002D303E">
        <w:t xml:space="preserve">theless, models with higher magnitudes of relative error </w:t>
      </w:r>
      <w:r>
        <w:t xml:space="preserve">were </w:t>
      </w:r>
      <w:r w:rsidRPr="002D303E">
        <w:t xml:space="preserve">further away from the observations than those with lower magnitudes. The line plot panel on the right displays the standard deviation of relative errors across GCMs for each metric. </w:t>
      </w:r>
      <w:r>
        <w:t xml:space="preserve">If </w:t>
      </w:r>
      <w:r w:rsidRPr="002D303E">
        <w:t xml:space="preserve">the performance of many models </w:t>
      </w:r>
      <w:r>
        <w:t xml:space="preserve">fell </w:t>
      </w:r>
      <w:r w:rsidRPr="002D303E">
        <w:t>in a similar category, their relative errors display</w:t>
      </w:r>
      <w:r>
        <w:t>ed</w:t>
      </w:r>
      <w:r w:rsidRPr="002D303E">
        <w:t xml:space="preserve"> a similar range of colors. High standard deviation magnitudes represent</w:t>
      </w:r>
      <w:r>
        <w:t>ed</w:t>
      </w:r>
      <w:r w:rsidRPr="002D303E">
        <w:t xml:space="preserve"> substantial variation in modeling skills across the GCMs and vice versa. Overall, many GCMs exhibit</w:t>
      </w:r>
      <w:r>
        <w:t>ed</w:t>
      </w:r>
      <w:r w:rsidRPr="002D303E">
        <w:t xml:space="preserve"> challenges in simulating key climate characteristics. For instance, </w:t>
      </w:r>
      <w:r>
        <w:t xml:space="preserve">although the </w:t>
      </w:r>
      <w:r w:rsidRPr="002D303E">
        <w:t xml:space="preserve">models </w:t>
      </w:r>
      <w:r>
        <w:t xml:space="preserve">were </w:t>
      </w:r>
      <w:r w:rsidRPr="002D303E">
        <w:t>relatively skillful in representing oceanic and atmospheric patterns associated with natural forcing (ENSO, NAO, PDO), most show</w:t>
      </w:r>
      <w:r>
        <w:t>ed</w:t>
      </w:r>
      <w:r w:rsidRPr="002D303E">
        <w:t xml:space="preserve"> limited skill in simulating their influences on the distribution of seasonal mean precipitation and temperature over the </w:t>
      </w:r>
      <w:r>
        <w:t>s</w:t>
      </w:r>
      <w:r w:rsidRPr="002D303E">
        <w:t>outh</w:t>
      </w:r>
      <w:r>
        <w:t>ern</w:t>
      </w:r>
      <w:r w:rsidRPr="002D303E">
        <w:t xml:space="preserve"> and </w:t>
      </w:r>
      <w:r>
        <w:t>w</w:t>
      </w:r>
      <w:r w:rsidRPr="002D303E">
        <w:t>est</w:t>
      </w:r>
      <w:r>
        <w:t>ern United States</w:t>
      </w:r>
      <w:r w:rsidRPr="002D303E">
        <w:t xml:space="preserve">. Difficulties in reproducing the observed timing of peak magnitudes of precipitation, minimum temperature, and maximum temperature </w:t>
      </w:r>
      <w:r>
        <w:t xml:space="preserve">were </w:t>
      </w:r>
      <w:r w:rsidRPr="002D303E">
        <w:t xml:space="preserve">also evident in the </w:t>
      </w:r>
      <w:r>
        <w:t>w</w:t>
      </w:r>
      <w:r w:rsidRPr="002D303E">
        <w:t>est</w:t>
      </w:r>
      <w:r>
        <w:t>ern</w:t>
      </w:r>
      <w:r w:rsidRPr="002D303E">
        <w:t xml:space="preserve"> and </w:t>
      </w:r>
      <w:r>
        <w:t>n</w:t>
      </w:r>
      <w:r w:rsidRPr="002D303E">
        <w:t>orth</w:t>
      </w:r>
      <w:r>
        <w:t>ern United States</w:t>
      </w:r>
      <w:r w:rsidRPr="002D303E">
        <w:t xml:space="preserve">, and metrics for precipitation characteristics </w:t>
      </w:r>
      <w:r>
        <w:t xml:space="preserve">were </w:t>
      </w:r>
      <w:r w:rsidRPr="002D303E">
        <w:t xml:space="preserve">relatively poorly simulated in the </w:t>
      </w:r>
      <w:r>
        <w:t>s</w:t>
      </w:r>
      <w:r w:rsidRPr="002D303E">
        <w:t>outh</w:t>
      </w:r>
      <w:r>
        <w:t>ern United States</w:t>
      </w:r>
      <w:r w:rsidRPr="002D303E">
        <w:t xml:space="preserve">. One noticeable distinction between poor and better performing models </w:t>
      </w:r>
      <w:r>
        <w:t xml:space="preserve">was </w:t>
      </w:r>
      <w:r w:rsidRPr="002D303E">
        <w:t xml:space="preserve">that the latter group </w:t>
      </w:r>
      <w:r>
        <w:t xml:space="preserve">was </w:t>
      </w:r>
      <w:r w:rsidRPr="002D303E">
        <w:t xml:space="preserve">deficient in reproducing several characteristics of daily-scale temperature and precipitation across all regions </w:t>
      </w:r>
      <w:r>
        <w:t>(</w:t>
      </w:r>
      <w:r>
        <w:rPr>
          <w:color w:val="000000" w:themeColor="text1"/>
        </w:rPr>
        <w:t xml:space="preserve">see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rPr>
          <w:color w:val="000000" w:themeColor="text1"/>
        </w:rPr>
        <w:t>)</w:t>
      </w:r>
      <w:r w:rsidRPr="002D303E">
        <w:t>.</w:t>
      </w:r>
    </w:p>
    <w:p w14:paraId="2EC1FAB0" w14:textId="33E26D15" w:rsidR="0006018B" w:rsidRDefault="0006018B" w:rsidP="0006018B">
      <w:pPr>
        <w:pStyle w:val="BodyText"/>
      </w:pPr>
      <w:r>
        <w:t xml:space="preserve">The 14 candidate GCMs </w:t>
      </w:r>
      <w:r w:rsidR="00936F34">
        <w:t xml:space="preserve">were </w:t>
      </w:r>
      <w:r>
        <w:t>not all unique, and several of them belong</w:t>
      </w:r>
      <w:r w:rsidR="00936F34">
        <w:t>ed</w:t>
      </w:r>
      <w:r>
        <w:t xml:space="preserve"> to the same institute and </w:t>
      </w:r>
      <w:r w:rsidR="00936F34">
        <w:t xml:space="preserve">did </w:t>
      </w:r>
      <w:r>
        <w:t>not differ substantially in their main physical configurations. These include</w:t>
      </w:r>
      <w:r w:rsidR="00936F34">
        <w:t>d</w:t>
      </w:r>
      <w:r>
        <w:t xml:space="preserve"> two models from the Max Planck Institute in Germany (MPI-ESM1-2-HR and MPI-ESM1-2-LR), three from the National Center for Meteorological Research in France (</w:t>
      </w:r>
      <w:r w:rsidRPr="003619E1">
        <w:t>CNRM-CM6-1</w:t>
      </w:r>
      <w:r>
        <w:t xml:space="preserve">, </w:t>
      </w:r>
      <w:r w:rsidRPr="003619E1">
        <w:t>CNRM-CM6-1-HR</w:t>
      </w:r>
      <w:r>
        <w:t xml:space="preserve">, and </w:t>
      </w:r>
      <w:r w:rsidRPr="003619E1">
        <w:t>CNRM-ESM2-1</w:t>
      </w:r>
      <w:r>
        <w:t xml:space="preserve">), two from the Japan Agency for Marine-Earth Science and Technology (MIROC6 and </w:t>
      </w:r>
      <w:r w:rsidRPr="003619E1">
        <w:t>MIROC-ES2L</w:t>
      </w:r>
      <w:r>
        <w:t>), and two from the Norwegian Meteorological Institute (</w:t>
      </w:r>
      <w:r w:rsidRPr="003619E1">
        <w:t>NorESM2-LM</w:t>
      </w:r>
      <w:r>
        <w:t xml:space="preserve"> and </w:t>
      </w:r>
      <w:r w:rsidRPr="003619E1">
        <w:t>NorESM2-MM</w:t>
      </w:r>
      <w:r>
        <w:t>). Generally, GCMs from the same institute tend</w:t>
      </w:r>
      <w:r w:rsidR="00936F34">
        <w:t>ed</w:t>
      </w:r>
      <w:r>
        <w:t xml:space="preserve"> to exhibit </w:t>
      </w:r>
      <w:r w:rsidR="00936F34">
        <w:t xml:space="preserve">a </w:t>
      </w:r>
      <w:r>
        <w:t>similar nature of biases (Knutti et al., 2013; Sanderson et al., 2017), which also influence</w:t>
      </w:r>
      <w:r w:rsidR="00936F34">
        <w:t>d</w:t>
      </w:r>
      <w:r>
        <w:t xml:space="preserve"> their simulated hydro-meteorological responses. This correspondence among the models from the same institute is evident in the PC1 vs. PC2 plot (</w:t>
      </w:r>
      <w:r w:rsidRPr="005266B0">
        <w:t xml:space="preserve">see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t>) because models from the same institute tend</w:t>
      </w:r>
      <w:r w:rsidR="00936F34">
        <w:t>ed</w:t>
      </w:r>
      <w:r>
        <w:t xml:space="preserve"> to be the same distance from the reference data in the PC space. These first two PCs explain</w:t>
      </w:r>
      <w:r w:rsidR="00936F34">
        <w:t>ed</w:t>
      </w:r>
      <w:r>
        <w:t xml:space="preserve"> 39.5% of the variance in the GCM evaluation metrics (shown in </w:t>
      </w:r>
      <w:r>
        <w:fldChar w:fldCharType="begin"/>
      </w:r>
      <w:r>
        <w:instrText xml:space="preserve"> REF _Ref72825209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5</w:t>
      </w:r>
      <w:r>
        <w:fldChar w:fldCharType="end"/>
      </w:r>
      <w:r>
        <w:t xml:space="preserve">). To avoid the potential systematic bias due to similar model structures and parameterizations, no more than one model from each institute </w:t>
      </w:r>
      <w:r w:rsidR="00936F34">
        <w:t xml:space="preserve">was </w:t>
      </w:r>
      <w:r>
        <w:t>allowed. Therefore, the first six models in the ranking that exhibited relatively good skill and were from unique modeling institutes were selected. Several models from different institutes may also have common land, ocean, or atmospheric components; however, given the limited number of candidate models for dynamical downscaling, model uniqueness across the institutes was not considered.</w:t>
      </w:r>
    </w:p>
    <w:p w14:paraId="4A0720F2" w14:textId="3635217A" w:rsidR="008C2351" w:rsidRDefault="004F60E8" w:rsidP="008C2351">
      <w:pPr>
        <w:pStyle w:val="BodyText"/>
      </w:pPr>
      <w:r>
        <w:fldChar w:fldCharType="begin"/>
      </w:r>
      <w:r>
        <w:instrText xml:space="preserve"> REF _Ref72825246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6</w:t>
      </w:r>
      <w:r>
        <w:fldChar w:fldCharType="end"/>
      </w:r>
      <w:r>
        <w:t xml:space="preserve"> and shows the GCMs ranked using </w:t>
      </w:r>
      <w:r w:rsidR="00936F34">
        <w:t xml:space="preserve">a </w:t>
      </w:r>
      <w:r>
        <w:t xml:space="preserve">simple weighting technique. The GCM ranking using the EOF analyses is shown in </w:t>
      </w:r>
      <w:r>
        <w:rPr>
          <w:color w:val="000000" w:themeColor="text1"/>
        </w:rPr>
        <w:fldChar w:fldCharType="begin"/>
      </w:r>
      <w:r>
        <w:rPr>
          <w:color w:val="000000" w:themeColor="text1"/>
        </w:rPr>
        <w:instrText xml:space="preserve"> REF _Ref75948561 \n \h </w:instrText>
      </w:r>
      <w:r>
        <w:rPr>
          <w:color w:val="000000" w:themeColor="text1"/>
        </w:rPr>
      </w:r>
      <w:r>
        <w:rPr>
          <w:color w:val="000000" w:themeColor="text1"/>
        </w:rPr>
        <w:fldChar w:fldCharType="separate"/>
      </w:r>
      <w:r w:rsidR="00EE0BF5">
        <w:rPr>
          <w:color w:val="000000" w:themeColor="text1"/>
        </w:rPr>
        <w:t>APPENDIX C</w:t>
      </w:r>
      <w:r>
        <w:rPr>
          <w:color w:val="000000" w:themeColor="text1"/>
        </w:rPr>
        <w:fldChar w:fldCharType="end"/>
      </w:r>
      <w:r w:rsidRPr="002D303E">
        <w:t xml:space="preserve">. </w:t>
      </w:r>
      <w:r>
        <w:rPr>
          <w:lang w:eastAsia="zh-CN"/>
        </w:rPr>
        <w:t>The two approaches yield</w:t>
      </w:r>
      <w:r w:rsidR="00936F34">
        <w:rPr>
          <w:lang w:eastAsia="zh-CN"/>
        </w:rPr>
        <w:t>ed</w:t>
      </w:r>
      <w:r>
        <w:rPr>
          <w:lang w:eastAsia="zh-CN"/>
        </w:rPr>
        <w:t xml:space="preserve"> reasonably similar results at the CONUS scale</w:t>
      </w:r>
      <w:r w:rsidR="00936F34">
        <w:rPr>
          <w:lang w:eastAsia="zh-CN"/>
        </w:rPr>
        <w:t>;</w:t>
      </w:r>
      <w:r>
        <w:rPr>
          <w:lang w:eastAsia="zh-CN"/>
        </w:rPr>
        <w:t xml:space="preserve"> not only </w:t>
      </w:r>
      <w:r w:rsidR="00936F34">
        <w:rPr>
          <w:lang w:eastAsia="zh-CN"/>
        </w:rPr>
        <w:t xml:space="preserve">were </w:t>
      </w:r>
      <w:r>
        <w:rPr>
          <w:lang w:eastAsia="zh-CN"/>
        </w:rPr>
        <w:t xml:space="preserve">the first and fourth quartiles occupied by the same GCMs in both approaches, </w:t>
      </w:r>
      <w:r w:rsidR="00936F34">
        <w:rPr>
          <w:lang w:eastAsia="zh-CN"/>
        </w:rPr>
        <w:t xml:space="preserve">but </w:t>
      </w:r>
      <w:r>
        <w:rPr>
          <w:lang w:eastAsia="zh-CN"/>
        </w:rPr>
        <w:t xml:space="preserve">the individual GCMs placements within these quartiles </w:t>
      </w:r>
      <w:r w:rsidR="00936F34">
        <w:rPr>
          <w:lang w:eastAsia="zh-CN"/>
        </w:rPr>
        <w:t xml:space="preserve">were </w:t>
      </w:r>
      <w:r>
        <w:rPr>
          <w:lang w:eastAsia="zh-CN"/>
        </w:rPr>
        <w:t xml:space="preserve">also very similar. For instance, the bottom five GCMs rankings </w:t>
      </w:r>
      <w:r w:rsidR="00936F34">
        <w:rPr>
          <w:lang w:eastAsia="zh-CN"/>
        </w:rPr>
        <w:t xml:space="preserve">were </w:t>
      </w:r>
      <w:r>
        <w:rPr>
          <w:lang w:eastAsia="zh-CN"/>
        </w:rPr>
        <w:t>identical in both cases, and the maximum difference in ranking in the fourth quartile range</w:t>
      </w:r>
      <w:r w:rsidR="00936F34">
        <w:rPr>
          <w:lang w:eastAsia="zh-CN"/>
        </w:rPr>
        <w:t>d</w:t>
      </w:r>
      <w:r>
        <w:rPr>
          <w:lang w:eastAsia="zh-CN"/>
        </w:rPr>
        <w:t xml:space="preserve"> from 0 to 2. </w:t>
      </w:r>
      <w:r>
        <w:t>More importantly, both approaches provide</w:t>
      </w:r>
      <w:r w:rsidR="00936F34">
        <w:t>d</w:t>
      </w:r>
      <w:r>
        <w:t xml:space="preserve"> the same selection of the top six models, which </w:t>
      </w:r>
      <w:r w:rsidR="00936F34">
        <w:t xml:space="preserve">were </w:t>
      </w:r>
      <w:r>
        <w:t>better skilled and belong</w:t>
      </w:r>
      <w:r w:rsidR="00936F34">
        <w:t>ed</w:t>
      </w:r>
      <w:r>
        <w:t xml:space="preserve"> to unique institutes. This highlights the relative insensitivity of the selection process to the choice of ranking methodology. These six models and their rankings in</w:t>
      </w:r>
      <w:r w:rsidRPr="00E67D0C">
        <w:t xml:space="preserve"> the simple weighting </w:t>
      </w:r>
      <w:r>
        <w:t xml:space="preserve">are listed </w:t>
      </w:r>
      <w:r w:rsidR="00936F34">
        <w:t>as follows</w:t>
      </w:r>
      <w:r>
        <w:t>:</w:t>
      </w:r>
    </w:p>
    <w:p w14:paraId="682A726D" w14:textId="77777777" w:rsidR="008D4CA3" w:rsidRDefault="008D4CA3" w:rsidP="008D4CA3">
      <w:pPr>
        <w:pStyle w:val="FIGUREposition"/>
      </w:pPr>
      <w:r w:rsidRPr="009868FB">
        <w:rPr>
          <w:noProof/>
        </w:rPr>
        <w:lastRenderedPageBreak/>
        <w:drawing>
          <wp:inline distT="0" distB="0" distL="0" distR="0" wp14:anchorId="1C8BAC65" wp14:editId="2C947358">
            <wp:extent cx="5943600" cy="369613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696134"/>
                    </a:xfrm>
                    <a:prstGeom prst="rect">
                      <a:avLst/>
                    </a:prstGeom>
                  </pic:spPr>
                </pic:pic>
              </a:graphicData>
            </a:graphic>
          </wp:inline>
        </w:drawing>
      </w:r>
    </w:p>
    <w:p w14:paraId="3F74BB4E" w14:textId="79FE287E" w:rsidR="008D4CA3" w:rsidRPr="005A5D00" w:rsidRDefault="008D4CA3" w:rsidP="008D4CA3">
      <w:pPr>
        <w:pStyle w:val="FigureCaption"/>
        <w:rPr>
          <w:vanish/>
          <w:lang w:bidi="en-US"/>
          <w:specVanish/>
        </w:rPr>
      </w:pPr>
      <w:bookmarkStart w:id="88" w:name="_Ref72825246"/>
      <w:bookmarkStart w:id="89" w:name="_Toc113380870"/>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6</w:t>
      </w:r>
      <w:r w:rsidRPr="006869CA">
        <w:rPr>
          <w:lang w:eastAsia="zh-TW"/>
        </w:rPr>
        <w:fldChar w:fldCharType="end"/>
      </w:r>
      <w:bookmarkEnd w:id="88"/>
      <w:r w:rsidRPr="006869CA">
        <w:rPr>
          <w:lang w:eastAsia="zh-TW"/>
        </w:rPr>
        <w:t xml:space="preserve">. </w:t>
      </w:r>
      <w:r w:rsidRPr="00154E06">
        <w:rPr>
          <w:lang w:bidi="en-US"/>
        </w:rPr>
        <w:t>The ranking of GCMs using the simple weighting approach.</w:t>
      </w:r>
      <w:bookmarkEnd w:id="89"/>
      <w:r w:rsidRPr="00154E06">
        <w:rPr>
          <w:lang w:bidi="en-US"/>
        </w:rPr>
        <w:t xml:space="preserve"> </w:t>
      </w:r>
    </w:p>
    <w:p w14:paraId="7C4274E7" w14:textId="3BAEAC90" w:rsidR="008D4CA3" w:rsidRDefault="008D4CA3" w:rsidP="008D4CA3">
      <w:pPr>
        <w:pStyle w:val="FigureCaptionSeparator"/>
        <w:numPr>
          <w:ilvl w:val="0"/>
          <w:numId w:val="15"/>
        </w:numPr>
      </w:pPr>
      <w:r w:rsidRPr="00154E06">
        <w:t>The bold font represents GCMs that have data available for dynamical downscaling and green represents the selected GCMs.</w:t>
      </w:r>
    </w:p>
    <w:p w14:paraId="371EE163" w14:textId="77777777" w:rsidR="008D4CA3" w:rsidRPr="006869CA" w:rsidRDefault="008D4CA3" w:rsidP="008D4CA3">
      <w:pPr>
        <w:pStyle w:val="BodyText"/>
      </w:pPr>
    </w:p>
    <w:p w14:paraId="49DDEE6D" w14:textId="77777777" w:rsidR="00F076F9" w:rsidRDefault="00F076F9" w:rsidP="008D4CA3">
      <w:pPr>
        <w:pStyle w:val="BodyText"/>
        <w:numPr>
          <w:ilvl w:val="0"/>
          <w:numId w:val="21"/>
        </w:numPr>
        <w:ind w:left="720"/>
        <w:contextualSpacing/>
      </w:pPr>
      <w:r w:rsidRPr="00F107C1">
        <w:t>MPI-ESM1-2-HR</w:t>
      </w:r>
      <w:r>
        <w:t xml:space="preserve"> </w:t>
      </w:r>
      <w:r w:rsidRPr="007E00DD">
        <w:t>ranked at 3</w:t>
      </w:r>
      <w:r>
        <w:t>,</w:t>
      </w:r>
    </w:p>
    <w:p w14:paraId="6210A3F0" w14:textId="06E28B96" w:rsidR="00F076F9" w:rsidRDefault="00F076F9" w:rsidP="008D4CA3">
      <w:pPr>
        <w:pStyle w:val="BodyText"/>
        <w:numPr>
          <w:ilvl w:val="0"/>
          <w:numId w:val="21"/>
        </w:numPr>
        <w:ind w:left="720"/>
        <w:contextualSpacing/>
      </w:pPr>
      <w:r w:rsidRPr="00F107C1">
        <w:t>ACCESS-CM2</w:t>
      </w:r>
      <w:r>
        <w:t xml:space="preserve"> ranked at 6,</w:t>
      </w:r>
    </w:p>
    <w:p w14:paraId="336E0DF2" w14:textId="761E8B72" w:rsidR="00F076F9" w:rsidRDefault="00F076F9" w:rsidP="008D4CA3">
      <w:pPr>
        <w:pStyle w:val="BodyText"/>
        <w:numPr>
          <w:ilvl w:val="0"/>
          <w:numId w:val="21"/>
        </w:numPr>
        <w:ind w:left="720"/>
        <w:contextualSpacing/>
      </w:pPr>
      <w:r w:rsidRPr="00F107C1">
        <w:t>MRI-ESM2-0</w:t>
      </w:r>
      <w:r>
        <w:t xml:space="preserve"> ranked at 7,</w:t>
      </w:r>
    </w:p>
    <w:p w14:paraId="2019DC00" w14:textId="6CA46709" w:rsidR="00F076F9" w:rsidRDefault="00F076F9" w:rsidP="008D4CA3">
      <w:pPr>
        <w:pStyle w:val="BodyText"/>
        <w:numPr>
          <w:ilvl w:val="0"/>
          <w:numId w:val="21"/>
        </w:numPr>
        <w:ind w:left="720"/>
        <w:contextualSpacing/>
      </w:pPr>
      <w:r w:rsidRPr="00F107C1">
        <w:t>NorESM2-MM</w:t>
      </w:r>
      <w:r>
        <w:t xml:space="preserve"> ranked at </w:t>
      </w:r>
      <w:r w:rsidRPr="007E00DD">
        <w:t>1</w:t>
      </w:r>
      <w:r>
        <w:t>3,</w:t>
      </w:r>
    </w:p>
    <w:p w14:paraId="1B19B2BC" w14:textId="6BEE9B78" w:rsidR="00F076F9" w:rsidRDefault="00F076F9" w:rsidP="008D4CA3">
      <w:pPr>
        <w:pStyle w:val="BodyText"/>
        <w:numPr>
          <w:ilvl w:val="0"/>
          <w:numId w:val="21"/>
        </w:numPr>
        <w:ind w:left="720"/>
        <w:contextualSpacing/>
      </w:pPr>
      <w:r w:rsidRPr="00F107C1">
        <w:t>BCC-CSM2-MR</w:t>
      </w:r>
      <w:r>
        <w:t xml:space="preserve"> ranked at </w:t>
      </w:r>
      <w:r w:rsidRPr="007E00DD">
        <w:t>1</w:t>
      </w:r>
      <w:r>
        <w:t>4, and</w:t>
      </w:r>
    </w:p>
    <w:p w14:paraId="43EA9BC1" w14:textId="1B2A74A0" w:rsidR="00F076F9" w:rsidRDefault="00F076F9" w:rsidP="008D4CA3">
      <w:pPr>
        <w:pStyle w:val="BodyText"/>
        <w:numPr>
          <w:ilvl w:val="0"/>
          <w:numId w:val="21"/>
        </w:numPr>
        <w:ind w:left="720"/>
      </w:pPr>
      <w:r w:rsidRPr="00F107C1">
        <w:t>CNRM-ESM2-1</w:t>
      </w:r>
      <w:r>
        <w:t xml:space="preserve"> ranked at 19.</w:t>
      </w:r>
    </w:p>
    <w:p w14:paraId="3AD92A41" w14:textId="1CE98718" w:rsidR="00D37325" w:rsidRDefault="00E752F7" w:rsidP="00D37325">
      <w:pPr>
        <w:pStyle w:val="BodyText"/>
      </w:pPr>
      <w:r>
        <w:t>Overall, six CMIP6 GCMs were selected for this study (</w:t>
      </w:r>
      <w:r>
        <w:fldChar w:fldCharType="begin"/>
      </w:r>
      <w:r>
        <w:instrText xml:space="preserve"> REF _Ref72825728 \h </w:instrText>
      </w:r>
      <w:r>
        <w:fldChar w:fldCharType="separate"/>
      </w:r>
      <w:r w:rsidR="00EE0BF5" w:rsidRPr="004C5793">
        <w:rPr>
          <w:rFonts w:eastAsia="PMingLiU"/>
        </w:rPr>
        <w:t xml:space="preserve">Table </w:t>
      </w:r>
      <w:r w:rsidR="00EE0BF5">
        <w:rPr>
          <w:rFonts w:eastAsia="PMingLiU"/>
          <w:noProof/>
        </w:rPr>
        <w:t>2</w:t>
      </w:r>
      <w:r w:rsidR="00EE0BF5" w:rsidRPr="004C5793">
        <w:rPr>
          <w:rFonts w:eastAsia="PMingLiU"/>
        </w:rPr>
        <w:t>.</w:t>
      </w:r>
      <w:r w:rsidR="00EE0BF5">
        <w:rPr>
          <w:rFonts w:eastAsia="PMingLiU"/>
          <w:noProof/>
        </w:rPr>
        <w:t>2</w:t>
      </w:r>
      <w:r>
        <w:fldChar w:fldCharType="end"/>
      </w:r>
      <w:r>
        <w:t>), including the Australian Community Climate and Earth System Simulator Coupled Climate Model (ACCESS-CM2), the Beijing Climate Center Climate System Model running on medium resolution (</w:t>
      </w:r>
      <w:r w:rsidRPr="00A734D1">
        <w:t>BCC-CSM</w:t>
      </w:r>
      <w:r>
        <w:t>2</w:t>
      </w:r>
      <w:r w:rsidRPr="00A734D1">
        <w:t>-</w:t>
      </w:r>
      <w:r>
        <w:t xml:space="preserve">MR), the National Centre for Meteorological Research Earth System Model of second generation (CNRM-ESM2-1), the Max Planck Institute Earth System Model run at high resolution (MPI-ESM1-2-HR), the Meteorological Research Institute Earth System Model version 2.0 (MRI-ESM2-0), and the Norwegian Earth System Model (NorESM2-MM). </w:t>
      </w:r>
      <w:r w:rsidR="005606E5">
        <w:t xml:space="preserve">The </w:t>
      </w:r>
      <w:r w:rsidRPr="00470A83">
        <w:t xml:space="preserve">general consensus regarding the equilibrium climate sensitivity </w:t>
      </w:r>
      <w:r w:rsidR="00936F34">
        <w:t xml:space="preserve">was </w:t>
      </w:r>
      <w:r w:rsidRPr="00470A83">
        <w:t>within 1.5–4.5</w:t>
      </w:r>
      <w:r w:rsidR="00936F34">
        <w:t> </w:t>
      </w:r>
      <w:r w:rsidRPr="00470A83">
        <w:t>K. However, several models in CMIP6 show</w:t>
      </w:r>
      <w:r w:rsidR="00936F34">
        <w:t>ed</w:t>
      </w:r>
      <w:r w:rsidRPr="00470A83">
        <w:t xml:space="preserve"> much higher (&gt;4.5</w:t>
      </w:r>
      <w:r w:rsidR="00936F34">
        <w:t> </w:t>
      </w:r>
      <w:r w:rsidRPr="00470A83">
        <w:t xml:space="preserve">K) sensitivity </w:t>
      </w:r>
      <w:r w:rsidR="00936F34">
        <w:t xml:space="preserve">because of </w:t>
      </w:r>
      <w:r w:rsidRPr="00470A83">
        <w:t xml:space="preserve">stronger positive cloud feedbacks with the overall values ranging </w:t>
      </w:r>
      <w:r w:rsidR="00936F34">
        <w:t xml:space="preserve">from </w:t>
      </w:r>
      <w:r w:rsidRPr="00470A83">
        <w:t>1.8</w:t>
      </w:r>
      <w:r w:rsidR="00936F34">
        <w:t xml:space="preserve"> to </w:t>
      </w:r>
      <w:r w:rsidRPr="00470A83">
        <w:t>5.6 (Zelinka et al., 2020). The equilibrium climate sensitivity in the selected six models span</w:t>
      </w:r>
      <w:r w:rsidR="00936F34">
        <w:t>ned</w:t>
      </w:r>
      <w:r w:rsidRPr="00470A83">
        <w:t xml:space="preserve"> 2.49</w:t>
      </w:r>
      <w:r w:rsidR="00936F34">
        <w:t xml:space="preserve"> to </w:t>
      </w:r>
      <w:r w:rsidRPr="00470A83">
        <w:t>4.79, showing no bias particular toward the low or the high sensitivity</w:t>
      </w:r>
      <w:r>
        <w:t xml:space="preserve"> (Table 2.2)</w:t>
      </w:r>
      <w:r w:rsidRPr="00470A83">
        <w:t>.</w:t>
      </w:r>
      <w:r>
        <w:rPr>
          <w:rFonts w:ascii="Times" w:hAnsi="Times" w:cs="Times"/>
        </w:rPr>
        <w:t xml:space="preserve"> </w:t>
      </w:r>
      <w:r>
        <w:t xml:space="preserve">For each GCM, the raw 1980–2059 GCM outputs were collected from the CMIP6 archive, where 1980–2014 </w:t>
      </w:r>
      <w:r w:rsidR="00936F34">
        <w:t xml:space="preserve">was </w:t>
      </w:r>
      <w:r>
        <w:t xml:space="preserve">under the historic greenhouse gas emission, and 2015–2059 </w:t>
      </w:r>
      <w:r w:rsidR="00936F34">
        <w:t xml:space="preserve">was </w:t>
      </w:r>
      <w:r>
        <w:t xml:space="preserve">under the SSP585 emission pathway. The data from these six GCMs </w:t>
      </w:r>
      <w:r w:rsidR="00936F34">
        <w:t xml:space="preserve">were </w:t>
      </w:r>
      <w:r>
        <w:t>used for further downscaling and simulation.</w:t>
      </w:r>
    </w:p>
    <w:p w14:paraId="163CB099" w14:textId="479F93E9" w:rsidR="00D31DFF" w:rsidRDefault="00D31DFF" w:rsidP="00D31DFF">
      <w:pPr>
        <w:pStyle w:val="TableCaption"/>
        <w:rPr>
          <w:bCs/>
          <w:szCs w:val="20"/>
        </w:rPr>
      </w:pPr>
      <w:bookmarkStart w:id="90" w:name="_Ref72825728"/>
      <w:bookmarkStart w:id="91" w:name="_Toc113380974"/>
      <w:r w:rsidRPr="004C5793">
        <w:rPr>
          <w:rFonts w:eastAsia="PMingLiU"/>
        </w:rPr>
        <w:lastRenderedPageBreak/>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2</w:t>
      </w:r>
      <w:r w:rsidRPr="004C5793">
        <w:rPr>
          <w:rFonts w:eastAsia="PMingLiU"/>
        </w:rPr>
        <w:fldChar w:fldCharType="end"/>
      </w:r>
      <w:r w:rsidRPr="004C5793">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2</w:t>
      </w:r>
      <w:r w:rsidRPr="004C5793">
        <w:rPr>
          <w:rFonts w:eastAsia="PMingLiU"/>
        </w:rPr>
        <w:fldChar w:fldCharType="end"/>
      </w:r>
      <w:bookmarkEnd w:id="90"/>
      <w:r w:rsidRPr="004C5793">
        <w:rPr>
          <w:rFonts w:eastAsia="PMingLiU"/>
        </w:rPr>
        <w:t>.</w:t>
      </w:r>
      <w:r>
        <w:rPr>
          <w:rFonts w:eastAsia="PMingLiU"/>
        </w:rPr>
        <w:t xml:space="preserve"> </w:t>
      </w:r>
      <w:r>
        <w:rPr>
          <w:bCs/>
          <w:szCs w:val="20"/>
        </w:rPr>
        <w:t>S</w:t>
      </w:r>
      <w:r w:rsidRPr="00161BF2">
        <w:rPr>
          <w:bCs/>
          <w:szCs w:val="20"/>
        </w:rPr>
        <w:t>ix selected CMIP6 models</w:t>
      </w:r>
      <w:bookmarkEnd w:id="91"/>
    </w:p>
    <w:tbl>
      <w:tblPr>
        <w:tblW w:w="8129" w:type="dxa"/>
        <w:jc w:val="center"/>
        <w:tblBorders>
          <w:top w:val="single" w:sz="4" w:space="0" w:color="auto"/>
          <w:bottom w:val="single" w:sz="4" w:space="0" w:color="auto"/>
        </w:tblBorders>
        <w:tblLayout w:type="fixed"/>
        <w:tblCellMar>
          <w:top w:w="29" w:type="dxa"/>
          <w:left w:w="58" w:type="dxa"/>
          <w:bottom w:w="29" w:type="dxa"/>
          <w:right w:w="58" w:type="dxa"/>
        </w:tblCellMar>
        <w:tblLook w:val="04A0" w:firstRow="1" w:lastRow="0" w:firstColumn="1" w:lastColumn="0" w:noHBand="0" w:noVBand="1"/>
      </w:tblPr>
      <w:tblGrid>
        <w:gridCol w:w="549"/>
        <w:gridCol w:w="1620"/>
        <w:gridCol w:w="1800"/>
        <w:gridCol w:w="1170"/>
        <w:gridCol w:w="990"/>
        <w:gridCol w:w="2000"/>
      </w:tblGrid>
      <w:tr w:rsidR="003F61D6" w:rsidRPr="00225E1A" w14:paraId="62F0838F" w14:textId="77777777" w:rsidTr="005A5D00">
        <w:trPr>
          <w:jc w:val="center"/>
        </w:trPr>
        <w:tc>
          <w:tcPr>
            <w:tcW w:w="549" w:type="dxa"/>
            <w:tcBorders>
              <w:top w:val="single" w:sz="12" w:space="0" w:color="auto"/>
              <w:bottom w:val="single" w:sz="12" w:space="0" w:color="auto"/>
            </w:tcBorders>
            <w:vAlign w:val="center"/>
            <w:hideMark/>
          </w:tcPr>
          <w:p w14:paraId="57618260" w14:textId="77777777" w:rsidR="003F61D6" w:rsidRPr="00225E1A" w:rsidRDefault="003F61D6" w:rsidP="005A5D00">
            <w:pPr>
              <w:pStyle w:val="TableHeading"/>
              <w:spacing w:before="0" w:after="0"/>
            </w:pPr>
            <w:r w:rsidRPr="00225E1A">
              <w:t>No.</w:t>
            </w:r>
          </w:p>
        </w:tc>
        <w:tc>
          <w:tcPr>
            <w:tcW w:w="1620" w:type="dxa"/>
            <w:tcBorders>
              <w:top w:val="single" w:sz="12" w:space="0" w:color="auto"/>
              <w:bottom w:val="single" w:sz="12" w:space="0" w:color="auto"/>
            </w:tcBorders>
            <w:vAlign w:val="center"/>
            <w:hideMark/>
          </w:tcPr>
          <w:p w14:paraId="52D37032" w14:textId="77777777" w:rsidR="003F61D6" w:rsidRPr="00225E1A" w:rsidRDefault="003F61D6" w:rsidP="005A5D00">
            <w:pPr>
              <w:pStyle w:val="TableHeading"/>
              <w:spacing w:before="0" w:after="0"/>
            </w:pPr>
            <w:r w:rsidRPr="00225E1A">
              <w:t>GCM name</w:t>
            </w:r>
          </w:p>
        </w:tc>
        <w:tc>
          <w:tcPr>
            <w:tcW w:w="1800" w:type="dxa"/>
            <w:tcBorders>
              <w:top w:val="single" w:sz="12" w:space="0" w:color="auto"/>
              <w:bottom w:val="single" w:sz="12" w:space="0" w:color="auto"/>
            </w:tcBorders>
            <w:vAlign w:val="center"/>
            <w:hideMark/>
          </w:tcPr>
          <w:p w14:paraId="14840768" w14:textId="77777777" w:rsidR="003F61D6" w:rsidRPr="00225E1A" w:rsidRDefault="003F61D6" w:rsidP="005A5D00">
            <w:pPr>
              <w:pStyle w:val="TableHeading"/>
              <w:spacing w:before="0" w:after="0"/>
            </w:pPr>
            <w:r w:rsidRPr="00225E1A">
              <w:t>Spatial resolution</w:t>
            </w:r>
            <w:r>
              <w:t xml:space="preserve"> </w:t>
            </w:r>
            <w:r w:rsidRPr="00225E1A">
              <w:t>(latitude/longitude)</w:t>
            </w:r>
          </w:p>
        </w:tc>
        <w:tc>
          <w:tcPr>
            <w:tcW w:w="1170" w:type="dxa"/>
            <w:tcBorders>
              <w:top w:val="single" w:sz="12" w:space="0" w:color="auto"/>
              <w:bottom w:val="single" w:sz="12" w:space="0" w:color="auto"/>
            </w:tcBorders>
            <w:vAlign w:val="center"/>
          </w:tcPr>
          <w:p w14:paraId="281CE112" w14:textId="77777777" w:rsidR="003F61D6" w:rsidRPr="00225E1A" w:rsidDel="009008C6" w:rsidRDefault="003F61D6" w:rsidP="005A5D00">
            <w:pPr>
              <w:pStyle w:val="TableHeading"/>
              <w:spacing w:before="0" w:after="0"/>
            </w:pPr>
            <w:r w:rsidRPr="00225E1A">
              <w:t>Emission scenario</w:t>
            </w:r>
          </w:p>
        </w:tc>
        <w:tc>
          <w:tcPr>
            <w:tcW w:w="990" w:type="dxa"/>
            <w:tcBorders>
              <w:top w:val="single" w:sz="12" w:space="0" w:color="auto"/>
              <w:bottom w:val="single" w:sz="12" w:space="0" w:color="auto"/>
            </w:tcBorders>
            <w:vAlign w:val="center"/>
            <w:hideMark/>
          </w:tcPr>
          <w:p w14:paraId="76F34388" w14:textId="77777777" w:rsidR="003F61D6" w:rsidRPr="00225E1A" w:rsidRDefault="003F61D6" w:rsidP="005A5D00">
            <w:pPr>
              <w:pStyle w:val="TableHeading"/>
              <w:spacing w:before="0" w:after="0"/>
            </w:pPr>
            <w:r w:rsidRPr="00225E1A">
              <w:t>Ensemble number</w:t>
            </w:r>
          </w:p>
        </w:tc>
        <w:tc>
          <w:tcPr>
            <w:tcW w:w="2000" w:type="dxa"/>
            <w:tcBorders>
              <w:top w:val="single" w:sz="12" w:space="0" w:color="auto"/>
              <w:bottom w:val="single" w:sz="12" w:space="0" w:color="auto"/>
            </w:tcBorders>
            <w:vAlign w:val="center"/>
          </w:tcPr>
          <w:p w14:paraId="6D72A9FF" w14:textId="77777777" w:rsidR="003F61D6" w:rsidRPr="00F850E1" w:rsidRDefault="003F61D6" w:rsidP="005A5D00">
            <w:pPr>
              <w:pStyle w:val="TableText"/>
              <w:jc w:val="center"/>
              <w:rPr>
                <w:b/>
                <w:bCs/>
              </w:rPr>
            </w:pPr>
            <w:r w:rsidRPr="00F850E1">
              <w:rPr>
                <w:b/>
                <w:bCs/>
              </w:rPr>
              <w:t xml:space="preserve">Equilibrium Climate </w:t>
            </w:r>
            <w:r>
              <w:rPr>
                <w:b/>
                <w:bCs/>
              </w:rPr>
              <w:t>Sensitivity</w:t>
            </w:r>
          </w:p>
        </w:tc>
      </w:tr>
      <w:tr w:rsidR="003F61D6" w:rsidRPr="004C5793" w14:paraId="0D82341D" w14:textId="77777777" w:rsidTr="005A5D00">
        <w:trPr>
          <w:jc w:val="center"/>
        </w:trPr>
        <w:tc>
          <w:tcPr>
            <w:tcW w:w="549" w:type="dxa"/>
            <w:tcBorders>
              <w:top w:val="single" w:sz="12" w:space="0" w:color="auto"/>
              <w:bottom w:val="single" w:sz="4" w:space="0" w:color="auto"/>
            </w:tcBorders>
            <w:shd w:val="clear" w:color="auto" w:fill="auto"/>
            <w:hideMark/>
          </w:tcPr>
          <w:p w14:paraId="3FF402C1" w14:textId="77777777" w:rsidR="003F61D6" w:rsidRPr="00890CD6" w:rsidRDefault="003F61D6" w:rsidP="005A5D00">
            <w:pPr>
              <w:pStyle w:val="TableText"/>
              <w:jc w:val="center"/>
              <w:rPr>
                <w:bCs/>
              </w:rPr>
            </w:pPr>
            <w:r w:rsidRPr="00890CD6">
              <w:rPr>
                <w:bCs/>
              </w:rPr>
              <w:t>1</w:t>
            </w:r>
          </w:p>
        </w:tc>
        <w:tc>
          <w:tcPr>
            <w:tcW w:w="1620" w:type="dxa"/>
            <w:tcBorders>
              <w:top w:val="single" w:sz="12" w:space="0" w:color="auto"/>
              <w:bottom w:val="single" w:sz="4" w:space="0" w:color="auto"/>
            </w:tcBorders>
            <w:shd w:val="clear" w:color="auto" w:fill="auto"/>
            <w:hideMark/>
          </w:tcPr>
          <w:p w14:paraId="0F1A7EFB" w14:textId="77777777" w:rsidR="003F61D6" w:rsidRPr="00A734D1" w:rsidRDefault="003F61D6" w:rsidP="005A5D00">
            <w:pPr>
              <w:pStyle w:val="TableText"/>
            </w:pPr>
            <w:r w:rsidRPr="00A734D1">
              <w:t>ACCESS</w:t>
            </w:r>
            <w:r>
              <w:t>-CM2</w:t>
            </w:r>
          </w:p>
        </w:tc>
        <w:tc>
          <w:tcPr>
            <w:tcW w:w="1800" w:type="dxa"/>
            <w:tcBorders>
              <w:top w:val="single" w:sz="12" w:space="0" w:color="auto"/>
              <w:bottom w:val="single" w:sz="4" w:space="0" w:color="auto"/>
            </w:tcBorders>
            <w:shd w:val="clear" w:color="auto" w:fill="auto"/>
            <w:hideMark/>
          </w:tcPr>
          <w:p w14:paraId="068626FF" w14:textId="77777777" w:rsidR="003F61D6" w:rsidRPr="00A734D1" w:rsidRDefault="003F61D6" w:rsidP="005A5D00">
            <w:pPr>
              <w:pStyle w:val="TableText"/>
              <w:jc w:val="center"/>
            </w:pPr>
            <w:r w:rsidRPr="00A734D1">
              <w:t>1.2</w:t>
            </w:r>
            <w:r>
              <w:t>5</w:t>
            </w:r>
            <w:r w:rsidRPr="00A734D1">
              <w:rPr>
                <w:lang w:eastAsia="zh-TW"/>
              </w:rPr>
              <w:t>°/1.8</w:t>
            </w:r>
            <w:r>
              <w:rPr>
                <w:lang w:eastAsia="zh-TW"/>
              </w:rPr>
              <w:t>75</w:t>
            </w:r>
            <w:r w:rsidRPr="00A734D1">
              <w:rPr>
                <w:lang w:eastAsia="zh-TW"/>
              </w:rPr>
              <w:t>°</w:t>
            </w:r>
          </w:p>
        </w:tc>
        <w:tc>
          <w:tcPr>
            <w:tcW w:w="1170" w:type="dxa"/>
            <w:tcBorders>
              <w:top w:val="single" w:sz="12" w:space="0" w:color="auto"/>
              <w:bottom w:val="single" w:sz="4" w:space="0" w:color="auto"/>
            </w:tcBorders>
            <w:shd w:val="clear" w:color="auto" w:fill="auto"/>
          </w:tcPr>
          <w:p w14:paraId="6392C6DF" w14:textId="77777777" w:rsidR="003F61D6" w:rsidRPr="00A734D1" w:rsidRDefault="003F61D6" w:rsidP="005A5D00">
            <w:pPr>
              <w:pStyle w:val="TableText"/>
              <w:jc w:val="center"/>
            </w:pPr>
            <w:r>
              <w:t>SSP585</w:t>
            </w:r>
          </w:p>
        </w:tc>
        <w:tc>
          <w:tcPr>
            <w:tcW w:w="990" w:type="dxa"/>
            <w:tcBorders>
              <w:top w:val="single" w:sz="12" w:space="0" w:color="auto"/>
              <w:bottom w:val="single" w:sz="4" w:space="0" w:color="auto"/>
            </w:tcBorders>
            <w:shd w:val="clear" w:color="auto" w:fill="auto"/>
            <w:hideMark/>
          </w:tcPr>
          <w:p w14:paraId="10E448BC" w14:textId="77777777" w:rsidR="003F61D6" w:rsidRPr="00A734D1" w:rsidRDefault="003F61D6" w:rsidP="005A5D00">
            <w:pPr>
              <w:pStyle w:val="TableText"/>
              <w:jc w:val="center"/>
            </w:pPr>
            <w:r w:rsidRPr="0009593A">
              <w:t>r1i1p1f1</w:t>
            </w:r>
          </w:p>
        </w:tc>
        <w:tc>
          <w:tcPr>
            <w:tcW w:w="2000" w:type="dxa"/>
            <w:tcBorders>
              <w:top w:val="single" w:sz="12" w:space="0" w:color="auto"/>
              <w:bottom w:val="single" w:sz="4" w:space="0" w:color="auto"/>
            </w:tcBorders>
          </w:tcPr>
          <w:p w14:paraId="20C7011B" w14:textId="14AA52BE" w:rsidR="003F61D6" w:rsidRPr="00F850E1" w:rsidRDefault="003F61D6" w:rsidP="005A5D00">
            <w:pPr>
              <w:pStyle w:val="TableText"/>
              <w:jc w:val="center"/>
            </w:pPr>
            <w:r>
              <w:t>4.66 K (2</w:t>
            </w:r>
            <w:r w:rsidR="002340EF">
              <w:t>×</w:t>
            </w:r>
            <w:r>
              <w:t>CO</w:t>
            </w:r>
            <w:r w:rsidRPr="00F850E1">
              <w:rPr>
                <w:vertAlign w:val="subscript"/>
              </w:rPr>
              <w:t>2</w:t>
            </w:r>
            <w:r>
              <w:t>)</w:t>
            </w:r>
          </w:p>
        </w:tc>
      </w:tr>
      <w:tr w:rsidR="003F61D6" w:rsidRPr="004C5793" w14:paraId="6DC0D05F" w14:textId="77777777" w:rsidTr="005A5D00">
        <w:trPr>
          <w:jc w:val="center"/>
        </w:trPr>
        <w:tc>
          <w:tcPr>
            <w:tcW w:w="549" w:type="dxa"/>
            <w:tcBorders>
              <w:top w:val="single" w:sz="4" w:space="0" w:color="auto"/>
              <w:bottom w:val="single" w:sz="4" w:space="0" w:color="auto"/>
            </w:tcBorders>
            <w:shd w:val="clear" w:color="auto" w:fill="auto"/>
            <w:hideMark/>
          </w:tcPr>
          <w:p w14:paraId="57160511" w14:textId="77777777" w:rsidR="003F61D6" w:rsidRPr="00890CD6" w:rsidRDefault="003F61D6" w:rsidP="005A5D00">
            <w:pPr>
              <w:pStyle w:val="TableText"/>
              <w:jc w:val="center"/>
              <w:rPr>
                <w:bCs/>
              </w:rPr>
            </w:pPr>
            <w:r w:rsidRPr="00890CD6">
              <w:rPr>
                <w:bCs/>
              </w:rPr>
              <w:t>2</w:t>
            </w:r>
          </w:p>
        </w:tc>
        <w:tc>
          <w:tcPr>
            <w:tcW w:w="1620" w:type="dxa"/>
            <w:tcBorders>
              <w:top w:val="single" w:sz="4" w:space="0" w:color="auto"/>
              <w:bottom w:val="single" w:sz="4" w:space="0" w:color="auto"/>
            </w:tcBorders>
            <w:shd w:val="clear" w:color="auto" w:fill="auto"/>
            <w:hideMark/>
          </w:tcPr>
          <w:p w14:paraId="02CD306D" w14:textId="77777777" w:rsidR="003F61D6" w:rsidRPr="00A734D1" w:rsidRDefault="003F61D6" w:rsidP="005A5D00">
            <w:pPr>
              <w:pStyle w:val="TableText"/>
            </w:pPr>
            <w:r w:rsidRPr="00A734D1">
              <w:t>BCC-CSM</w:t>
            </w:r>
            <w:r>
              <w:t>2</w:t>
            </w:r>
            <w:r w:rsidRPr="00A734D1">
              <w:t>-</w:t>
            </w:r>
            <w:r>
              <w:t>MR</w:t>
            </w:r>
          </w:p>
        </w:tc>
        <w:tc>
          <w:tcPr>
            <w:tcW w:w="1800" w:type="dxa"/>
            <w:tcBorders>
              <w:top w:val="single" w:sz="4" w:space="0" w:color="auto"/>
              <w:bottom w:val="single" w:sz="4" w:space="0" w:color="auto"/>
            </w:tcBorders>
            <w:shd w:val="clear" w:color="auto" w:fill="auto"/>
            <w:hideMark/>
          </w:tcPr>
          <w:p w14:paraId="14C77182" w14:textId="77777777" w:rsidR="003F61D6" w:rsidRPr="00A734D1" w:rsidRDefault="003F61D6" w:rsidP="005A5D00">
            <w:pPr>
              <w:pStyle w:val="TableText"/>
              <w:jc w:val="center"/>
            </w:pPr>
            <w:r>
              <w:t>1.125</w:t>
            </w:r>
            <w:r w:rsidRPr="00A734D1">
              <w:rPr>
                <w:lang w:eastAsia="zh-TW"/>
              </w:rPr>
              <w:t>°/</w:t>
            </w:r>
            <w:r>
              <w:rPr>
                <w:lang w:eastAsia="zh-TW"/>
              </w:rPr>
              <w:t>1.125</w:t>
            </w:r>
            <w:r w:rsidRPr="00A734D1">
              <w:rPr>
                <w:lang w:eastAsia="zh-TW"/>
              </w:rPr>
              <w:t>°</w:t>
            </w:r>
          </w:p>
        </w:tc>
        <w:tc>
          <w:tcPr>
            <w:tcW w:w="1170" w:type="dxa"/>
            <w:tcBorders>
              <w:top w:val="single" w:sz="4" w:space="0" w:color="auto"/>
              <w:bottom w:val="single" w:sz="4" w:space="0" w:color="auto"/>
            </w:tcBorders>
            <w:shd w:val="clear" w:color="auto" w:fill="auto"/>
          </w:tcPr>
          <w:p w14:paraId="425A4CA3" w14:textId="77777777" w:rsidR="003F61D6" w:rsidRPr="00A734D1" w:rsidRDefault="003F61D6" w:rsidP="005A5D00">
            <w:pPr>
              <w:pStyle w:val="TableText"/>
              <w:jc w:val="center"/>
            </w:pPr>
            <w:r>
              <w:t>SSP585</w:t>
            </w:r>
          </w:p>
        </w:tc>
        <w:tc>
          <w:tcPr>
            <w:tcW w:w="990" w:type="dxa"/>
            <w:tcBorders>
              <w:top w:val="single" w:sz="4" w:space="0" w:color="auto"/>
              <w:bottom w:val="single" w:sz="4" w:space="0" w:color="auto"/>
            </w:tcBorders>
            <w:shd w:val="clear" w:color="auto" w:fill="auto"/>
            <w:hideMark/>
          </w:tcPr>
          <w:p w14:paraId="1D3AF3D7" w14:textId="77777777" w:rsidR="003F61D6" w:rsidRPr="00A734D1" w:rsidRDefault="003F61D6" w:rsidP="005A5D00">
            <w:pPr>
              <w:pStyle w:val="TableText"/>
              <w:jc w:val="center"/>
            </w:pPr>
            <w:r w:rsidRPr="0009593A">
              <w:t>r1i1p1f1</w:t>
            </w:r>
          </w:p>
        </w:tc>
        <w:tc>
          <w:tcPr>
            <w:tcW w:w="2000" w:type="dxa"/>
            <w:tcBorders>
              <w:top w:val="single" w:sz="4" w:space="0" w:color="auto"/>
              <w:bottom w:val="single" w:sz="4" w:space="0" w:color="auto"/>
            </w:tcBorders>
          </w:tcPr>
          <w:p w14:paraId="79A944C9" w14:textId="1F46D890" w:rsidR="003F61D6" w:rsidRPr="0009593A" w:rsidRDefault="003F61D6" w:rsidP="005A5D00">
            <w:pPr>
              <w:pStyle w:val="TableText"/>
              <w:jc w:val="center"/>
            </w:pPr>
            <w:r>
              <w:t>3.02 K (2</w:t>
            </w:r>
            <w:r w:rsidR="002340EF">
              <w:t>×</w:t>
            </w:r>
            <w:r>
              <w:t>CO</w:t>
            </w:r>
            <w:r w:rsidRPr="00F850E1">
              <w:rPr>
                <w:vertAlign w:val="subscript"/>
              </w:rPr>
              <w:t>2</w:t>
            </w:r>
            <w:r>
              <w:t>)</w:t>
            </w:r>
          </w:p>
        </w:tc>
      </w:tr>
      <w:tr w:rsidR="003F61D6" w:rsidRPr="004C5793" w14:paraId="38977011" w14:textId="77777777" w:rsidTr="005A5D00">
        <w:trPr>
          <w:jc w:val="center"/>
        </w:trPr>
        <w:tc>
          <w:tcPr>
            <w:tcW w:w="549" w:type="dxa"/>
            <w:tcBorders>
              <w:top w:val="single" w:sz="4" w:space="0" w:color="auto"/>
              <w:bottom w:val="single" w:sz="4" w:space="0" w:color="auto"/>
            </w:tcBorders>
            <w:shd w:val="clear" w:color="auto" w:fill="auto"/>
            <w:hideMark/>
          </w:tcPr>
          <w:p w14:paraId="1906C85F" w14:textId="77777777" w:rsidR="003F61D6" w:rsidRPr="00890CD6" w:rsidRDefault="003F61D6" w:rsidP="005A5D00">
            <w:pPr>
              <w:pStyle w:val="TableText"/>
              <w:jc w:val="center"/>
              <w:rPr>
                <w:bCs/>
              </w:rPr>
            </w:pPr>
            <w:r w:rsidRPr="00890CD6">
              <w:rPr>
                <w:bCs/>
              </w:rPr>
              <w:t>3</w:t>
            </w:r>
          </w:p>
        </w:tc>
        <w:tc>
          <w:tcPr>
            <w:tcW w:w="1620" w:type="dxa"/>
            <w:tcBorders>
              <w:top w:val="single" w:sz="4" w:space="0" w:color="auto"/>
              <w:bottom w:val="single" w:sz="4" w:space="0" w:color="auto"/>
            </w:tcBorders>
            <w:shd w:val="clear" w:color="auto" w:fill="auto"/>
            <w:hideMark/>
          </w:tcPr>
          <w:p w14:paraId="3441A1BB" w14:textId="77777777" w:rsidR="003F61D6" w:rsidRPr="00A734D1" w:rsidRDefault="003F61D6" w:rsidP="005A5D00">
            <w:pPr>
              <w:pStyle w:val="TableText"/>
            </w:pPr>
            <w:r>
              <w:t>CNRM-ESM2-1</w:t>
            </w:r>
          </w:p>
        </w:tc>
        <w:tc>
          <w:tcPr>
            <w:tcW w:w="1800" w:type="dxa"/>
            <w:tcBorders>
              <w:top w:val="single" w:sz="4" w:space="0" w:color="auto"/>
              <w:bottom w:val="single" w:sz="4" w:space="0" w:color="auto"/>
            </w:tcBorders>
            <w:shd w:val="clear" w:color="auto" w:fill="auto"/>
            <w:hideMark/>
          </w:tcPr>
          <w:p w14:paraId="54E645C5" w14:textId="77777777" w:rsidR="003F61D6" w:rsidRPr="00A734D1" w:rsidRDefault="003F61D6" w:rsidP="005A5D00">
            <w:pPr>
              <w:pStyle w:val="TableText"/>
              <w:jc w:val="center"/>
            </w:pPr>
            <w:r>
              <w:t>1.41</w:t>
            </w:r>
            <w:r w:rsidRPr="00A734D1">
              <w:rPr>
                <w:lang w:eastAsia="zh-TW"/>
              </w:rPr>
              <w:t>°/1.</w:t>
            </w:r>
            <w:r>
              <w:rPr>
                <w:lang w:eastAsia="zh-TW"/>
              </w:rPr>
              <w:t>41</w:t>
            </w:r>
            <w:r w:rsidRPr="00A734D1">
              <w:rPr>
                <w:lang w:eastAsia="zh-TW"/>
              </w:rPr>
              <w:t>°</w:t>
            </w:r>
          </w:p>
        </w:tc>
        <w:tc>
          <w:tcPr>
            <w:tcW w:w="1170" w:type="dxa"/>
            <w:tcBorders>
              <w:top w:val="single" w:sz="4" w:space="0" w:color="auto"/>
              <w:bottom w:val="single" w:sz="4" w:space="0" w:color="auto"/>
            </w:tcBorders>
            <w:shd w:val="clear" w:color="auto" w:fill="auto"/>
          </w:tcPr>
          <w:p w14:paraId="210F714F" w14:textId="77777777" w:rsidR="003F61D6" w:rsidRPr="00A734D1" w:rsidRDefault="003F61D6" w:rsidP="005A5D00">
            <w:pPr>
              <w:pStyle w:val="TableText"/>
              <w:jc w:val="center"/>
            </w:pPr>
            <w:r>
              <w:t>SSP585</w:t>
            </w:r>
          </w:p>
        </w:tc>
        <w:tc>
          <w:tcPr>
            <w:tcW w:w="990" w:type="dxa"/>
            <w:tcBorders>
              <w:top w:val="single" w:sz="4" w:space="0" w:color="auto"/>
              <w:bottom w:val="single" w:sz="4" w:space="0" w:color="auto"/>
            </w:tcBorders>
            <w:shd w:val="clear" w:color="auto" w:fill="auto"/>
            <w:hideMark/>
          </w:tcPr>
          <w:p w14:paraId="687A95E6" w14:textId="77777777" w:rsidR="003F61D6" w:rsidRPr="00A734D1" w:rsidRDefault="003F61D6" w:rsidP="005A5D00">
            <w:pPr>
              <w:pStyle w:val="TableText"/>
              <w:jc w:val="center"/>
            </w:pPr>
            <w:r w:rsidRPr="0009593A">
              <w:t>r1i1p1f</w:t>
            </w:r>
            <w:r>
              <w:t>2</w:t>
            </w:r>
          </w:p>
        </w:tc>
        <w:tc>
          <w:tcPr>
            <w:tcW w:w="2000" w:type="dxa"/>
            <w:tcBorders>
              <w:top w:val="single" w:sz="4" w:space="0" w:color="auto"/>
              <w:bottom w:val="single" w:sz="4" w:space="0" w:color="auto"/>
            </w:tcBorders>
          </w:tcPr>
          <w:p w14:paraId="41D58D38" w14:textId="080FBCB6" w:rsidR="003F61D6" w:rsidRPr="0009593A" w:rsidRDefault="003F61D6" w:rsidP="005A5D00">
            <w:pPr>
              <w:pStyle w:val="TableText"/>
              <w:jc w:val="center"/>
            </w:pPr>
            <w:r>
              <w:t>4.79 K (2</w:t>
            </w:r>
            <w:r w:rsidR="002340EF">
              <w:t>×</w:t>
            </w:r>
            <w:r>
              <w:t>CO</w:t>
            </w:r>
            <w:r w:rsidRPr="00F850E1">
              <w:rPr>
                <w:vertAlign w:val="subscript"/>
              </w:rPr>
              <w:t>2</w:t>
            </w:r>
            <w:r>
              <w:t>)</w:t>
            </w:r>
          </w:p>
        </w:tc>
      </w:tr>
      <w:tr w:rsidR="003F61D6" w:rsidRPr="004C5793" w14:paraId="2C8AAFE4" w14:textId="77777777" w:rsidTr="005A5D00">
        <w:trPr>
          <w:jc w:val="center"/>
        </w:trPr>
        <w:tc>
          <w:tcPr>
            <w:tcW w:w="549" w:type="dxa"/>
            <w:tcBorders>
              <w:top w:val="single" w:sz="4" w:space="0" w:color="auto"/>
              <w:bottom w:val="single" w:sz="4" w:space="0" w:color="auto"/>
            </w:tcBorders>
            <w:shd w:val="clear" w:color="auto" w:fill="auto"/>
            <w:hideMark/>
          </w:tcPr>
          <w:p w14:paraId="24B30409" w14:textId="77777777" w:rsidR="003F61D6" w:rsidRPr="00890CD6" w:rsidRDefault="003F61D6" w:rsidP="005A5D00">
            <w:pPr>
              <w:pStyle w:val="TableText"/>
              <w:jc w:val="center"/>
              <w:rPr>
                <w:bCs/>
              </w:rPr>
            </w:pPr>
            <w:r w:rsidRPr="00890CD6">
              <w:rPr>
                <w:bCs/>
              </w:rPr>
              <w:t>4</w:t>
            </w:r>
          </w:p>
        </w:tc>
        <w:tc>
          <w:tcPr>
            <w:tcW w:w="1620" w:type="dxa"/>
            <w:tcBorders>
              <w:top w:val="single" w:sz="4" w:space="0" w:color="auto"/>
              <w:bottom w:val="single" w:sz="4" w:space="0" w:color="auto"/>
            </w:tcBorders>
            <w:shd w:val="clear" w:color="auto" w:fill="auto"/>
            <w:hideMark/>
          </w:tcPr>
          <w:p w14:paraId="02AE882B" w14:textId="77777777" w:rsidR="003F61D6" w:rsidRPr="00A734D1" w:rsidRDefault="003F61D6" w:rsidP="005A5D00">
            <w:pPr>
              <w:pStyle w:val="TableText"/>
            </w:pPr>
            <w:r>
              <w:t>MPI-ESM1-2-HR</w:t>
            </w:r>
          </w:p>
        </w:tc>
        <w:tc>
          <w:tcPr>
            <w:tcW w:w="1800" w:type="dxa"/>
            <w:tcBorders>
              <w:top w:val="single" w:sz="4" w:space="0" w:color="auto"/>
              <w:bottom w:val="single" w:sz="4" w:space="0" w:color="auto"/>
            </w:tcBorders>
            <w:shd w:val="clear" w:color="auto" w:fill="auto"/>
            <w:hideMark/>
          </w:tcPr>
          <w:p w14:paraId="7CAA8440" w14:textId="77777777" w:rsidR="003F61D6" w:rsidRPr="00A734D1" w:rsidRDefault="003F61D6" w:rsidP="005A5D00">
            <w:pPr>
              <w:pStyle w:val="TableText"/>
              <w:jc w:val="center"/>
            </w:pPr>
            <w:r w:rsidRPr="00A734D1">
              <w:t>0.</w:t>
            </w:r>
            <w:r>
              <w:t>94</w:t>
            </w:r>
            <w:r w:rsidRPr="00A734D1">
              <w:rPr>
                <w:lang w:eastAsia="zh-TW"/>
              </w:rPr>
              <w:t>°/0.</w:t>
            </w:r>
            <w:r>
              <w:rPr>
                <w:lang w:eastAsia="zh-TW"/>
              </w:rPr>
              <w:t>94</w:t>
            </w:r>
            <w:r w:rsidRPr="00A734D1">
              <w:rPr>
                <w:lang w:eastAsia="zh-TW"/>
              </w:rPr>
              <w:t>°</w:t>
            </w:r>
          </w:p>
        </w:tc>
        <w:tc>
          <w:tcPr>
            <w:tcW w:w="1170" w:type="dxa"/>
            <w:tcBorders>
              <w:top w:val="single" w:sz="4" w:space="0" w:color="auto"/>
              <w:bottom w:val="single" w:sz="4" w:space="0" w:color="auto"/>
            </w:tcBorders>
            <w:shd w:val="clear" w:color="auto" w:fill="auto"/>
          </w:tcPr>
          <w:p w14:paraId="34A09905" w14:textId="77777777" w:rsidR="003F61D6" w:rsidRPr="00A734D1" w:rsidRDefault="003F61D6" w:rsidP="005A5D00">
            <w:pPr>
              <w:pStyle w:val="TableText"/>
              <w:jc w:val="center"/>
            </w:pPr>
            <w:r>
              <w:t>SSP585</w:t>
            </w:r>
          </w:p>
        </w:tc>
        <w:tc>
          <w:tcPr>
            <w:tcW w:w="990" w:type="dxa"/>
            <w:tcBorders>
              <w:top w:val="single" w:sz="4" w:space="0" w:color="auto"/>
              <w:bottom w:val="single" w:sz="4" w:space="0" w:color="auto"/>
            </w:tcBorders>
            <w:shd w:val="clear" w:color="auto" w:fill="auto"/>
            <w:hideMark/>
          </w:tcPr>
          <w:p w14:paraId="101B127C" w14:textId="77777777" w:rsidR="003F61D6" w:rsidRPr="00A734D1" w:rsidRDefault="003F61D6" w:rsidP="005A5D00">
            <w:pPr>
              <w:pStyle w:val="TableText"/>
              <w:jc w:val="center"/>
            </w:pPr>
            <w:r w:rsidRPr="0009593A">
              <w:t>r1i1p1f1</w:t>
            </w:r>
          </w:p>
        </w:tc>
        <w:tc>
          <w:tcPr>
            <w:tcW w:w="2000" w:type="dxa"/>
            <w:tcBorders>
              <w:top w:val="single" w:sz="4" w:space="0" w:color="auto"/>
              <w:bottom w:val="single" w:sz="4" w:space="0" w:color="auto"/>
            </w:tcBorders>
          </w:tcPr>
          <w:p w14:paraId="79A0E554" w14:textId="2CB31CB1" w:rsidR="003F61D6" w:rsidRPr="0009593A" w:rsidRDefault="003F61D6" w:rsidP="005A5D00">
            <w:pPr>
              <w:pStyle w:val="TableText"/>
              <w:jc w:val="center"/>
            </w:pPr>
            <w:r>
              <w:t>2.98 K (2</w:t>
            </w:r>
            <w:r w:rsidR="002340EF">
              <w:t>×</w:t>
            </w:r>
            <w:r>
              <w:t>CO</w:t>
            </w:r>
            <w:r w:rsidRPr="00F850E1">
              <w:rPr>
                <w:vertAlign w:val="subscript"/>
              </w:rPr>
              <w:t>2</w:t>
            </w:r>
            <w:r>
              <w:t>)</w:t>
            </w:r>
          </w:p>
        </w:tc>
      </w:tr>
      <w:tr w:rsidR="003F61D6" w:rsidRPr="004C5793" w14:paraId="66904A1B" w14:textId="77777777" w:rsidTr="005A5D00">
        <w:trPr>
          <w:jc w:val="center"/>
        </w:trPr>
        <w:tc>
          <w:tcPr>
            <w:tcW w:w="549" w:type="dxa"/>
            <w:tcBorders>
              <w:top w:val="single" w:sz="4" w:space="0" w:color="auto"/>
              <w:bottom w:val="single" w:sz="4" w:space="0" w:color="auto"/>
            </w:tcBorders>
            <w:shd w:val="clear" w:color="auto" w:fill="auto"/>
            <w:hideMark/>
          </w:tcPr>
          <w:p w14:paraId="5F8A98B7" w14:textId="77777777" w:rsidR="003F61D6" w:rsidRPr="00890CD6" w:rsidRDefault="003F61D6" w:rsidP="005A5D00">
            <w:pPr>
              <w:pStyle w:val="TableText"/>
              <w:jc w:val="center"/>
              <w:rPr>
                <w:bCs/>
              </w:rPr>
            </w:pPr>
            <w:r w:rsidRPr="00890CD6">
              <w:rPr>
                <w:bCs/>
              </w:rPr>
              <w:t>5</w:t>
            </w:r>
          </w:p>
        </w:tc>
        <w:tc>
          <w:tcPr>
            <w:tcW w:w="1620" w:type="dxa"/>
            <w:tcBorders>
              <w:top w:val="single" w:sz="4" w:space="0" w:color="auto"/>
              <w:bottom w:val="single" w:sz="4" w:space="0" w:color="auto"/>
            </w:tcBorders>
            <w:shd w:val="clear" w:color="auto" w:fill="auto"/>
          </w:tcPr>
          <w:p w14:paraId="63118AFB" w14:textId="77777777" w:rsidR="003F61D6" w:rsidRPr="00A734D1" w:rsidRDefault="003F61D6" w:rsidP="005A5D00">
            <w:pPr>
              <w:pStyle w:val="TableText"/>
            </w:pPr>
            <w:r>
              <w:t>MRI-ESM2-0</w:t>
            </w:r>
          </w:p>
        </w:tc>
        <w:tc>
          <w:tcPr>
            <w:tcW w:w="1800" w:type="dxa"/>
            <w:tcBorders>
              <w:top w:val="single" w:sz="4" w:space="0" w:color="auto"/>
              <w:bottom w:val="single" w:sz="4" w:space="0" w:color="auto"/>
            </w:tcBorders>
            <w:shd w:val="clear" w:color="auto" w:fill="auto"/>
          </w:tcPr>
          <w:p w14:paraId="330DAB9B" w14:textId="77777777" w:rsidR="003F61D6" w:rsidRPr="00A734D1" w:rsidRDefault="003F61D6" w:rsidP="005A5D00">
            <w:pPr>
              <w:pStyle w:val="TableText"/>
              <w:jc w:val="center"/>
            </w:pPr>
            <w:r>
              <w:t>1.125</w:t>
            </w:r>
            <w:r w:rsidRPr="00A734D1">
              <w:rPr>
                <w:lang w:eastAsia="zh-TW"/>
              </w:rPr>
              <w:t>°/</w:t>
            </w:r>
            <w:r>
              <w:rPr>
                <w:lang w:eastAsia="zh-TW"/>
              </w:rPr>
              <w:t>1.125</w:t>
            </w:r>
            <w:r w:rsidRPr="00A734D1">
              <w:rPr>
                <w:lang w:eastAsia="zh-TW"/>
              </w:rPr>
              <w:t>°</w:t>
            </w:r>
          </w:p>
        </w:tc>
        <w:tc>
          <w:tcPr>
            <w:tcW w:w="1170" w:type="dxa"/>
            <w:tcBorders>
              <w:top w:val="single" w:sz="4" w:space="0" w:color="auto"/>
              <w:bottom w:val="single" w:sz="4" w:space="0" w:color="auto"/>
            </w:tcBorders>
            <w:shd w:val="clear" w:color="auto" w:fill="auto"/>
          </w:tcPr>
          <w:p w14:paraId="2E7D2CC8" w14:textId="77777777" w:rsidR="003F61D6" w:rsidRPr="00A734D1" w:rsidRDefault="003F61D6" w:rsidP="005A5D00">
            <w:pPr>
              <w:pStyle w:val="TableText"/>
              <w:jc w:val="center"/>
            </w:pPr>
            <w:r>
              <w:t>SSP585</w:t>
            </w:r>
          </w:p>
        </w:tc>
        <w:tc>
          <w:tcPr>
            <w:tcW w:w="990" w:type="dxa"/>
            <w:tcBorders>
              <w:top w:val="single" w:sz="4" w:space="0" w:color="auto"/>
              <w:bottom w:val="single" w:sz="4" w:space="0" w:color="auto"/>
            </w:tcBorders>
            <w:shd w:val="clear" w:color="auto" w:fill="auto"/>
            <w:hideMark/>
          </w:tcPr>
          <w:p w14:paraId="132BB579" w14:textId="77777777" w:rsidR="003F61D6" w:rsidRPr="00A734D1" w:rsidRDefault="003F61D6" w:rsidP="005A5D00">
            <w:pPr>
              <w:pStyle w:val="TableText"/>
              <w:jc w:val="center"/>
            </w:pPr>
            <w:r w:rsidRPr="0009593A">
              <w:t>r1i1p1f1</w:t>
            </w:r>
          </w:p>
        </w:tc>
        <w:tc>
          <w:tcPr>
            <w:tcW w:w="2000" w:type="dxa"/>
            <w:tcBorders>
              <w:top w:val="single" w:sz="4" w:space="0" w:color="auto"/>
              <w:bottom w:val="single" w:sz="4" w:space="0" w:color="auto"/>
            </w:tcBorders>
          </w:tcPr>
          <w:p w14:paraId="0EDD9B02" w14:textId="7601DDF1" w:rsidR="003F61D6" w:rsidRPr="0009593A" w:rsidRDefault="003F61D6" w:rsidP="005A5D00">
            <w:pPr>
              <w:pStyle w:val="TableText"/>
              <w:jc w:val="center"/>
            </w:pPr>
            <w:r>
              <w:t>3.13 K (2</w:t>
            </w:r>
            <w:r w:rsidR="002340EF">
              <w:t>×</w:t>
            </w:r>
            <w:r>
              <w:t>CO</w:t>
            </w:r>
            <w:r w:rsidRPr="00F850E1">
              <w:rPr>
                <w:vertAlign w:val="subscript"/>
              </w:rPr>
              <w:t>2</w:t>
            </w:r>
            <w:r>
              <w:t>)</w:t>
            </w:r>
          </w:p>
        </w:tc>
      </w:tr>
      <w:tr w:rsidR="003F61D6" w:rsidRPr="004C5793" w14:paraId="385433CB" w14:textId="77777777" w:rsidTr="005A5D00">
        <w:trPr>
          <w:jc w:val="center"/>
        </w:trPr>
        <w:tc>
          <w:tcPr>
            <w:tcW w:w="549" w:type="dxa"/>
            <w:tcBorders>
              <w:top w:val="single" w:sz="4" w:space="0" w:color="auto"/>
              <w:bottom w:val="single" w:sz="12" w:space="0" w:color="auto"/>
            </w:tcBorders>
            <w:shd w:val="clear" w:color="auto" w:fill="auto"/>
            <w:hideMark/>
          </w:tcPr>
          <w:p w14:paraId="4877D85B" w14:textId="77777777" w:rsidR="003F61D6" w:rsidRPr="00890CD6" w:rsidRDefault="003F61D6" w:rsidP="005A5D00">
            <w:pPr>
              <w:pStyle w:val="TableText"/>
              <w:jc w:val="center"/>
              <w:rPr>
                <w:bCs/>
              </w:rPr>
            </w:pPr>
            <w:r w:rsidRPr="00890CD6">
              <w:rPr>
                <w:bCs/>
              </w:rPr>
              <w:t>6</w:t>
            </w:r>
          </w:p>
        </w:tc>
        <w:tc>
          <w:tcPr>
            <w:tcW w:w="1620" w:type="dxa"/>
            <w:tcBorders>
              <w:top w:val="single" w:sz="4" w:space="0" w:color="auto"/>
              <w:bottom w:val="single" w:sz="12" w:space="0" w:color="auto"/>
            </w:tcBorders>
            <w:shd w:val="clear" w:color="auto" w:fill="auto"/>
            <w:hideMark/>
          </w:tcPr>
          <w:p w14:paraId="38B40023" w14:textId="77777777" w:rsidR="003F61D6" w:rsidRPr="00A734D1" w:rsidRDefault="003F61D6" w:rsidP="005A5D00">
            <w:pPr>
              <w:pStyle w:val="TableText"/>
            </w:pPr>
            <w:r>
              <w:t>NorESM2-MM</w:t>
            </w:r>
          </w:p>
        </w:tc>
        <w:tc>
          <w:tcPr>
            <w:tcW w:w="1800" w:type="dxa"/>
            <w:tcBorders>
              <w:top w:val="single" w:sz="4" w:space="0" w:color="auto"/>
              <w:bottom w:val="single" w:sz="12" w:space="0" w:color="auto"/>
            </w:tcBorders>
            <w:shd w:val="clear" w:color="auto" w:fill="auto"/>
            <w:hideMark/>
          </w:tcPr>
          <w:p w14:paraId="6C7619D3" w14:textId="77777777" w:rsidR="003F61D6" w:rsidRPr="00A734D1" w:rsidRDefault="003F61D6" w:rsidP="005A5D00">
            <w:pPr>
              <w:pStyle w:val="TableText"/>
              <w:jc w:val="center"/>
            </w:pPr>
            <w:r>
              <w:t>0.94</w:t>
            </w:r>
            <w:r w:rsidRPr="00A734D1">
              <w:rPr>
                <w:lang w:eastAsia="zh-TW"/>
              </w:rPr>
              <w:t>°/1.</w:t>
            </w:r>
            <w:r>
              <w:rPr>
                <w:lang w:eastAsia="zh-TW"/>
              </w:rPr>
              <w:t>25</w:t>
            </w:r>
            <w:r w:rsidRPr="00A734D1">
              <w:rPr>
                <w:lang w:eastAsia="zh-TW"/>
              </w:rPr>
              <w:t>°</w:t>
            </w:r>
          </w:p>
        </w:tc>
        <w:tc>
          <w:tcPr>
            <w:tcW w:w="1170" w:type="dxa"/>
            <w:tcBorders>
              <w:top w:val="single" w:sz="4" w:space="0" w:color="auto"/>
              <w:bottom w:val="single" w:sz="12" w:space="0" w:color="auto"/>
            </w:tcBorders>
            <w:shd w:val="clear" w:color="auto" w:fill="auto"/>
          </w:tcPr>
          <w:p w14:paraId="09C9AF10" w14:textId="77777777" w:rsidR="003F61D6" w:rsidRPr="00A734D1" w:rsidRDefault="003F61D6" w:rsidP="005A5D00">
            <w:pPr>
              <w:pStyle w:val="TableText"/>
              <w:jc w:val="center"/>
            </w:pPr>
            <w:r>
              <w:t>SSP585</w:t>
            </w:r>
          </w:p>
        </w:tc>
        <w:tc>
          <w:tcPr>
            <w:tcW w:w="990" w:type="dxa"/>
            <w:tcBorders>
              <w:top w:val="single" w:sz="4" w:space="0" w:color="auto"/>
              <w:bottom w:val="single" w:sz="12" w:space="0" w:color="auto"/>
            </w:tcBorders>
            <w:shd w:val="clear" w:color="auto" w:fill="auto"/>
            <w:hideMark/>
          </w:tcPr>
          <w:p w14:paraId="194DB296" w14:textId="77777777" w:rsidR="003F61D6" w:rsidRPr="00A734D1" w:rsidRDefault="003F61D6" w:rsidP="005A5D00">
            <w:pPr>
              <w:pStyle w:val="TableText"/>
              <w:jc w:val="center"/>
            </w:pPr>
            <w:r w:rsidRPr="0009593A">
              <w:t>r1i1p1f1</w:t>
            </w:r>
          </w:p>
        </w:tc>
        <w:tc>
          <w:tcPr>
            <w:tcW w:w="2000" w:type="dxa"/>
            <w:tcBorders>
              <w:top w:val="single" w:sz="4" w:space="0" w:color="auto"/>
              <w:bottom w:val="single" w:sz="12" w:space="0" w:color="auto"/>
            </w:tcBorders>
          </w:tcPr>
          <w:p w14:paraId="54C8D9B1" w14:textId="0FA73CFA" w:rsidR="003F61D6" w:rsidRPr="0009593A" w:rsidRDefault="003F61D6" w:rsidP="005A5D00">
            <w:pPr>
              <w:pStyle w:val="TableText"/>
              <w:jc w:val="center"/>
            </w:pPr>
            <w:r>
              <w:t>2.49 K (2</w:t>
            </w:r>
            <w:r w:rsidR="002340EF">
              <w:t>×</w:t>
            </w:r>
            <w:r>
              <w:t>CO</w:t>
            </w:r>
            <w:r w:rsidRPr="00F850E1">
              <w:rPr>
                <w:vertAlign w:val="subscript"/>
              </w:rPr>
              <w:t>2</w:t>
            </w:r>
            <w:r>
              <w:t>)</w:t>
            </w:r>
          </w:p>
        </w:tc>
      </w:tr>
    </w:tbl>
    <w:p w14:paraId="64D2F308" w14:textId="77777777" w:rsidR="0011580D" w:rsidRPr="003F61D6" w:rsidRDefault="0011580D" w:rsidP="003F61D6">
      <w:pPr>
        <w:pStyle w:val="BodyText"/>
      </w:pPr>
    </w:p>
    <w:p w14:paraId="142FBE59" w14:textId="77777777" w:rsidR="00490CBE" w:rsidRDefault="00490CBE" w:rsidP="005A5D00">
      <w:pPr>
        <w:pStyle w:val="FIGUREposition"/>
      </w:pPr>
      <w:r>
        <w:rPr>
          <w:noProof/>
        </w:rPr>
        <w:drawing>
          <wp:inline distT="0" distB="0" distL="0" distR="0" wp14:anchorId="77C55175" wp14:editId="4BD623F8">
            <wp:extent cx="5942648" cy="3752215"/>
            <wp:effectExtent l="0" t="0" r="127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rotWithShape="1">
                    <a:blip r:embed="rId28"/>
                    <a:srcRect t="5289"/>
                    <a:stretch/>
                  </pic:blipFill>
                  <pic:spPr bwMode="auto">
                    <a:xfrm>
                      <a:off x="0" y="0"/>
                      <a:ext cx="5943599" cy="3752815"/>
                    </a:xfrm>
                    <a:prstGeom prst="rect">
                      <a:avLst/>
                    </a:prstGeom>
                    <a:noFill/>
                    <a:ln>
                      <a:noFill/>
                    </a:ln>
                    <a:extLst>
                      <a:ext uri="{53640926-AAD7-44D8-BBD7-CCE9431645EC}">
                        <a14:shadowObscured xmlns:a14="http://schemas.microsoft.com/office/drawing/2010/main"/>
                      </a:ext>
                    </a:extLst>
                  </pic:spPr>
                </pic:pic>
              </a:graphicData>
            </a:graphic>
          </wp:inline>
        </w:drawing>
      </w:r>
    </w:p>
    <w:p w14:paraId="4908505A" w14:textId="3EE2C93B" w:rsidR="005A5D00" w:rsidRPr="005A5D00" w:rsidRDefault="00490CBE" w:rsidP="00490CBE">
      <w:pPr>
        <w:pStyle w:val="FigureCaption"/>
        <w:rPr>
          <w:vanish/>
          <w:lang w:eastAsia="zh-TW"/>
          <w:specVanish/>
        </w:rPr>
      </w:pPr>
      <w:bookmarkStart w:id="92" w:name="_Ref81894709"/>
      <w:bookmarkStart w:id="93" w:name="_Toc113380871"/>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7</w:t>
      </w:r>
      <w:r w:rsidRPr="006869CA">
        <w:rPr>
          <w:lang w:eastAsia="zh-TW"/>
        </w:rPr>
        <w:fldChar w:fldCharType="end"/>
      </w:r>
      <w:bookmarkEnd w:id="92"/>
      <w:r w:rsidRPr="006869CA">
        <w:rPr>
          <w:lang w:eastAsia="zh-TW"/>
        </w:rPr>
        <w:t xml:space="preserve">. </w:t>
      </w:r>
      <w:r w:rsidR="002F7BAF">
        <w:rPr>
          <w:rFonts w:eastAsia="PMingLiU"/>
          <w:lang w:eastAsia="zh-TW"/>
        </w:rPr>
        <w:t>A</w:t>
      </w:r>
      <w:r w:rsidR="002F7BAF" w:rsidRPr="0020715F">
        <w:rPr>
          <w:rFonts w:eastAsia="PMingLiU"/>
          <w:lang w:eastAsia="zh-TW"/>
        </w:rPr>
        <w:t xml:space="preserve">nnual and seasonal </w:t>
      </w:r>
      <w:r w:rsidR="00F8070B" w:rsidRPr="00C66180">
        <w:rPr>
          <w:lang w:eastAsia="zh-TW"/>
        </w:rPr>
        <w:t xml:space="preserve">CONUS </w:t>
      </w:r>
      <w:r w:rsidR="002F7BAF" w:rsidRPr="0020715F">
        <w:rPr>
          <w:rFonts w:eastAsia="PMingLiU"/>
          <w:lang w:eastAsia="zh-TW"/>
        </w:rPr>
        <w:t xml:space="preserve">temperature and precipitation changes for </w:t>
      </w:r>
      <w:r w:rsidR="002F7BAF">
        <w:rPr>
          <w:rFonts w:eastAsia="PMingLiU"/>
          <w:lang w:eastAsia="zh-TW"/>
        </w:rPr>
        <w:t>98</w:t>
      </w:r>
      <w:r w:rsidR="002F7BAF" w:rsidRPr="0020715F">
        <w:rPr>
          <w:rFonts w:eastAsia="PMingLiU"/>
          <w:lang w:eastAsia="zh-TW"/>
        </w:rPr>
        <w:t xml:space="preserve"> </w:t>
      </w:r>
      <w:r w:rsidR="002F7BAF">
        <w:rPr>
          <w:rFonts w:eastAsia="PMingLiU"/>
          <w:lang w:eastAsia="zh-TW"/>
        </w:rPr>
        <w:t>CMIP6</w:t>
      </w:r>
      <w:r w:rsidR="002F7BAF" w:rsidRPr="0020715F">
        <w:rPr>
          <w:rFonts w:eastAsia="PMingLiU"/>
          <w:lang w:eastAsia="zh-TW"/>
        </w:rPr>
        <w:t xml:space="preserve"> GCM projections under four emission scenarios (</w:t>
      </w:r>
      <w:r w:rsidR="002F7BAF">
        <w:rPr>
          <w:rFonts w:eastAsia="PMingLiU"/>
          <w:lang w:eastAsia="zh-TW"/>
        </w:rPr>
        <w:t>SSP126</w:t>
      </w:r>
      <w:r w:rsidR="002F7BAF" w:rsidRPr="0020715F">
        <w:rPr>
          <w:rFonts w:eastAsia="PMingLiU"/>
          <w:lang w:eastAsia="zh-TW"/>
        </w:rPr>
        <w:t xml:space="preserve">, </w:t>
      </w:r>
      <w:r w:rsidR="002F7BAF">
        <w:rPr>
          <w:rFonts w:eastAsia="PMingLiU"/>
          <w:lang w:eastAsia="zh-TW"/>
        </w:rPr>
        <w:t>SSP245</w:t>
      </w:r>
      <w:r w:rsidR="002F7BAF" w:rsidRPr="0020715F">
        <w:rPr>
          <w:rFonts w:eastAsia="PMingLiU"/>
          <w:lang w:eastAsia="zh-TW"/>
        </w:rPr>
        <w:t xml:space="preserve">, </w:t>
      </w:r>
      <w:r w:rsidR="002F7BAF">
        <w:rPr>
          <w:rFonts w:eastAsia="PMingLiU"/>
          <w:lang w:eastAsia="zh-TW"/>
        </w:rPr>
        <w:t>SSP370</w:t>
      </w:r>
      <w:r w:rsidR="002F7BAF" w:rsidRPr="0020715F">
        <w:rPr>
          <w:rFonts w:eastAsia="PMingLiU"/>
          <w:lang w:eastAsia="zh-TW"/>
        </w:rPr>
        <w:t xml:space="preserve">, and </w:t>
      </w:r>
      <w:r w:rsidR="002F7BAF">
        <w:rPr>
          <w:rFonts w:eastAsia="PMingLiU"/>
          <w:lang w:eastAsia="zh-TW"/>
        </w:rPr>
        <w:t>SSP585)</w:t>
      </w:r>
      <w:r w:rsidR="00823627">
        <w:rPr>
          <w:rFonts w:eastAsia="PMingLiU"/>
          <w:lang w:eastAsia="zh-TW"/>
        </w:rPr>
        <w:t>.</w:t>
      </w:r>
      <w:bookmarkEnd w:id="93"/>
      <w:r w:rsidR="00A922C1" w:rsidRPr="00A922C1">
        <w:rPr>
          <w:lang w:eastAsia="zh-TW"/>
        </w:rPr>
        <w:t xml:space="preserve"> </w:t>
      </w:r>
    </w:p>
    <w:p w14:paraId="06A629D0" w14:textId="121311D2" w:rsidR="00490CBE" w:rsidRDefault="00A922C1" w:rsidP="005A5D00">
      <w:pPr>
        <w:pStyle w:val="FigureCaptionSeparator"/>
      </w:pPr>
      <w:r w:rsidRPr="00683C55">
        <w:t>For each GCM projection, the average changes are calculated from the 1980–2019 baseline to the 2020–2059 future period.</w:t>
      </w:r>
    </w:p>
    <w:p w14:paraId="009F655B" w14:textId="2DB83284" w:rsidR="0011580D" w:rsidRPr="006869CA" w:rsidRDefault="0011580D" w:rsidP="0011580D">
      <w:pPr>
        <w:pStyle w:val="BodyText"/>
      </w:pPr>
      <w:r>
        <w:fldChar w:fldCharType="begin"/>
      </w:r>
      <w:r>
        <w:instrText xml:space="preserve"> REF _Ref81894709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7</w:t>
      </w:r>
      <w:r>
        <w:fldChar w:fldCharType="end"/>
      </w:r>
      <w:r>
        <w:t xml:space="preserve"> shows how these six GCM projections compared with other CMIP6 models and emission scenarios. In total, 98 GCM </w:t>
      </w:r>
      <w:r w:rsidRPr="00C5617A">
        <w:rPr>
          <w:lang w:eastAsia="zh-TW"/>
        </w:rPr>
        <w:t>projections</w:t>
      </w:r>
      <w:r>
        <w:rPr>
          <w:lang w:eastAsia="zh-TW"/>
        </w:rPr>
        <w:t>—with data available for download</w:t>
      </w:r>
      <w:r w:rsidRPr="00C5617A">
        <w:rPr>
          <w:lang w:eastAsia="zh-TW"/>
        </w:rPr>
        <w:t xml:space="preserve"> </w:t>
      </w:r>
      <w:r>
        <w:rPr>
          <w:lang w:eastAsia="zh-TW"/>
        </w:rPr>
        <w:t xml:space="preserve">(including the selected six) </w:t>
      </w:r>
      <w:r w:rsidRPr="00C5617A">
        <w:rPr>
          <w:lang w:eastAsia="zh-TW"/>
        </w:rPr>
        <w:t>under four emission scenarios (</w:t>
      </w:r>
      <w:r>
        <w:rPr>
          <w:lang w:eastAsia="zh-TW"/>
        </w:rPr>
        <w:t>SSP126, SSP245, SSP370, and SSP585</w:t>
      </w:r>
      <w:r w:rsidRPr="00C5617A">
        <w:rPr>
          <w:lang w:eastAsia="zh-TW"/>
        </w:rPr>
        <w:t>)</w:t>
      </w:r>
      <w:r>
        <w:rPr>
          <w:lang w:eastAsia="zh-TW"/>
        </w:rPr>
        <w:t xml:space="preserve">—were included in this analysis. For each GCM projection, the </w:t>
      </w:r>
      <w:r w:rsidRPr="00C5617A">
        <w:rPr>
          <w:lang w:eastAsia="zh-TW"/>
        </w:rPr>
        <w:t>average change</w:t>
      </w:r>
      <w:r>
        <w:rPr>
          <w:lang w:eastAsia="zh-TW"/>
        </w:rPr>
        <w:t>s in</w:t>
      </w:r>
      <w:r w:rsidRPr="00C5617A">
        <w:rPr>
          <w:lang w:eastAsia="zh-TW"/>
        </w:rPr>
        <w:t xml:space="preserve"> precipitation and temperature from the </w:t>
      </w:r>
      <w:r>
        <w:rPr>
          <w:lang w:eastAsia="zh-TW"/>
        </w:rPr>
        <w:t>1980</w:t>
      </w:r>
      <w:r w:rsidRPr="00C5617A">
        <w:rPr>
          <w:lang w:eastAsia="zh-TW"/>
        </w:rPr>
        <w:t>–</w:t>
      </w:r>
      <w:r>
        <w:rPr>
          <w:lang w:eastAsia="zh-TW"/>
        </w:rPr>
        <w:t>2019</w:t>
      </w:r>
      <w:r w:rsidRPr="00C5617A">
        <w:rPr>
          <w:lang w:eastAsia="zh-TW"/>
        </w:rPr>
        <w:t xml:space="preserve"> baseline to the </w:t>
      </w:r>
      <w:r>
        <w:rPr>
          <w:lang w:eastAsia="zh-TW"/>
        </w:rPr>
        <w:t>2020</w:t>
      </w:r>
      <w:r w:rsidRPr="00C5617A">
        <w:rPr>
          <w:lang w:eastAsia="zh-TW"/>
        </w:rPr>
        <w:t>–</w:t>
      </w:r>
      <w:r>
        <w:rPr>
          <w:lang w:eastAsia="zh-TW"/>
        </w:rPr>
        <w:t>2059</w:t>
      </w:r>
      <w:r w:rsidRPr="00C5617A">
        <w:rPr>
          <w:lang w:eastAsia="zh-TW"/>
        </w:rPr>
        <w:t xml:space="preserve"> future period for the entire </w:t>
      </w:r>
      <w:r>
        <w:rPr>
          <w:lang w:eastAsia="zh-TW"/>
        </w:rPr>
        <w:t>CONUS</w:t>
      </w:r>
      <w:r w:rsidRPr="00C5617A">
        <w:rPr>
          <w:lang w:eastAsia="zh-TW"/>
        </w:rPr>
        <w:t xml:space="preserve"> </w:t>
      </w:r>
      <w:r>
        <w:rPr>
          <w:lang w:eastAsia="zh-TW"/>
        </w:rPr>
        <w:t xml:space="preserve">were </w:t>
      </w:r>
      <w:r w:rsidRPr="00C5617A">
        <w:rPr>
          <w:lang w:eastAsia="zh-TW"/>
        </w:rPr>
        <w:t xml:space="preserve">calculated </w:t>
      </w:r>
      <w:r>
        <w:rPr>
          <w:lang w:eastAsia="zh-TW"/>
        </w:rPr>
        <w:t xml:space="preserve">for </w:t>
      </w:r>
      <w:r w:rsidRPr="00C5617A">
        <w:rPr>
          <w:lang w:eastAsia="zh-TW"/>
        </w:rPr>
        <w:t>annual</w:t>
      </w:r>
      <w:r>
        <w:rPr>
          <w:lang w:eastAsia="zh-TW"/>
        </w:rPr>
        <w:t xml:space="preserve"> periods</w:t>
      </w:r>
      <w:r w:rsidRPr="00C5617A">
        <w:rPr>
          <w:lang w:eastAsia="zh-TW"/>
        </w:rPr>
        <w:t xml:space="preserve"> and for four seasons</w:t>
      </w:r>
      <w:r>
        <w:rPr>
          <w:lang w:eastAsia="zh-TW"/>
        </w:rPr>
        <w:t>—</w:t>
      </w:r>
      <w:r w:rsidRPr="00C5617A">
        <w:rPr>
          <w:lang w:eastAsia="zh-TW"/>
        </w:rPr>
        <w:t>winter (December-January-February</w:t>
      </w:r>
      <w:r>
        <w:rPr>
          <w:lang w:eastAsia="zh-TW"/>
        </w:rPr>
        <w:t xml:space="preserve"> [DJF]</w:t>
      </w:r>
      <w:r w:rsidRPr="00C5617A">
        <w:rPr>
          <w:lang w:eastAsia="zh-TW"/>
        </w:rPr>
        <w:t>), spring (March-April-May</w:t>
      </w:r>
      <w:r>
        <w:rPr>
          <w:lang w:eastAsia="zh-TW"/>
        </w:rPr>
        <w:t xml:space="preserve"> [</w:t>
      </w:r>
      <w:r w:rsidRPr="000B4087">
        <w:rPr>
          <w:lang w:eastAsia="zh-TW"/>
        </w:rPr>
        <w:t>MAM</w:t>
      </w:r>
      <w:r>
        <w:rPr>
          <w:lang w:eastAsia="zh-TW"/>
        </w:rPr>
        <w:t>]</w:t>
      </w:r>
      <w:r w:rsidRPr="00C5617A">
        <w:rPr>
          <w:lang w:eastAsia="zh-TW"/>
        </w:rPr>
        <w:t>), summer (June-July-August</w:t>
      </w:r>
      <w:r>
        <w:rPr>
          <w:lang w:eastAsia="zh-TW"/>
        </w:rPr>
        <w:t xml:space="preserve"> [</w:t>
      </w:r>
      <w:r w:rsidRPr="000B4087">
        <w:rPr>
          <w:lang w:eastAsia="zh-TW"/>
        </w:rPr>
        <w:t>JJA</w:t>
      </w:r>
      <w:r>
        <w:rPr>
          <w:lang w:eastAsia="zh-TW"/>
        </w:rPr>
        <w:t>]</w:t>
      </w:r>
      <w:r w:rsidRPr="00C5617A">
        <w:rPr>
          <w:lang w:eastAsia="zh-TW"/>
        </w:rPr>
        <w:t>), and fall (September-October-November</w:t>
      </w:r>
      <w:r>
        <w:rPr>
          <w:lang w:eastAsia="zh-TW"/>
        </w:rPr>
        <w:t xml:space="preserve"> [</w:t>
      </w:r>
      <w:r w:rsidRPr="000B4087">
        <w:rPr>
          <w:lang w:eastAsia="zh-TW"/>
        </w:rPr>
        <w:t>SON</w:t>
      </w:r>
      <w:r>
        <w:rPr>
          <w:lang w:eastAsia="zh-TW"/>
        </w:rPr>
        <w:t>]</w:t>
      </w:r>
      <w:r w:rsidRPr="00C5617A">
        <w:rPr>
          <w:lang w:eastAsia="zh-TW"/>
        </w:rPr>
        <w:t>).</w:t>
      </w:r>
      <w:r w:rsidRPr="00FD7AE0">
        <w:rPr>
          <w:lang w:eastAsia="zh-TW"/>
        </w:rPr>
        <w:t xml:space="preserve"> </w:t>
      </w:r>
      <w:r>
        <w:rPr>
          <w:lang w:eastAsia="zh-TW"/>
        </w:rPr>
        <w:t>Overall, a</w:t>
      </w:r>
      <w:r w:rsidRPr="00C5617A">
        <w:t xml:space="preserve">ll </w:t>
      </w:r>
      <w:r>
        <w:t xml:space="preserve">projections showed </w:t>
      </w:r>
      <w:r w:rsidRPr="00C5617A">
        <w:t xml:space="preserve">a consistent increase in temperature ranging from </w:t>
      </w:r>
      <w:r>
        <w:t>1</w:t>
      </w:r>
      <w:r>
        <w:rPr>
          <w:lang w:eastAsia="zh-TW"/>
        </w:rPr>
        <w:t>°F</w:t>
      </w:r>
      <w:r w:rsidRPr="00C5617A">
        <w:t xml:space="preserve"> to </w:t>
      </w:r>
      <w:r>
        <w:t>6</w:t>
      </w:r>
      <w:r>
        <w:rPr>
          <w:lang w:eastAsia="zh-TW"/>
        </w:rPr>
        <w:t xml:space="preserve">°F across all seasons. For precipitation, except for parts of summer and fall, a </w:t>
      </w:r>
      <w:r w:rsidRPr="00C5617A">
        <w:t xml:space="preserve">consistent </w:t>
      </w:r>
      <w:r>
        <w:rPr>
          <w:lang w:eastAsia="zh-TW"/>
        </w:rPr>
        <w:t>increasing signal was projected (especially in winter), resulting in a net annual precipitation increase across most of the projections (−2% to 8%). Although</w:t>
      </w:r>
      <w:r w:rsidRPr="00C5617A">
        <w:rPr>
          <w:lang w:eastAsia="zh-TW"/>
        </w:rPr>
        <w:t xml:space="preserve"> </w:t>
      </w:r>
      <w:r>
        <w:rPr>
          <w:lang w:eastAsia="zh-TW"/>
        </w:rPr>
        <w:t xml:space="preserve">the </w:t>
      </w:r>
      <w:r>
        <w:rPr>
          <w:lang w:eastAsia="zh-TW"/>
        </w:rPr>
        <w:lastRenderedPageBreak/>
        <w:t xml:space="preserve">six selected GCM projections did </w:t>
      </w:r>
      <w:r w:rsidRPr="00C5617A">
        <w:t>not cover the full range of</w:t>
      </w:r>
      <w:r>
        <w:t xml:space="preserve"> CMIP6 models and scenarios</w:t>
      </w:r>
      <w:r w:rsidRPr="00C5617A">
        <w:t xml:space="preserve">, </w:t>
      </w:r>
      <w:r>
        <w:rPr>
          <w:lang w:eastAsia="zh-TW"/>
        </w:rPr>
        <w:t>their projections were distributed across the median of all models, suggesting that they were not biased toward any one direction. Also, although the emission scenario had a clear influence on the projected changes in temperature, its influence on the projected changes in precipitation was less obvious at the CONUS scale for the time frame of interest (up to 2059). Given the limited resources, we hence only examined the SSP585 in this study.</w:t>
      </w:r>
      <w:r w:rsidR="00201E95">
        <w:rPr>
          <w:lang w:eastAsia="zh-TW"/>
        </w:rPr>
        <w:t xml:space="preserve"> Further details about climate model evaluation can be referred to Ashfaq et al. (2022).</w:t>
      </w:r>
    </w:p>
    <w:p w14:paraId="767A4CF9" w14:textId="137C30C8" w:rsidR="00DC07F1" w:rsidRPr="00853877" w:rsidRDefault="00DC07F1" w:rsidP="00AD0C1C">
      <w:pPr>
        <w:pStyle w:val="Heading2"/>
        <w:rPr>
          <w:caps w:val="0"/>
        </w:rPr>
      </w:pPr>
      <w:bookmarkStart w:id="94" w:name="_Ref72487010"/>
      <w:bookmarkStart w:id="95" w:name="_Ref74567567"/>
      <w:bookmarkStart w:id="96" w:name="_Ref74666728"/>
      <w:bookmarkStart w:id="97" w:name="_Ref75788044"/>
      <w:bookmarkStart w:id="98" w:name="_Toc113380770"/>
      <w:r>
        <w:t xml:space="preserve">Climate </w:t>
      </w:r>
      <w:bookmarkEnd w:id="72"/>
      <w:r w:rsidR="0038664F">
        <w:t>Model Downscaling</w:t>
      </w:r>
      <w:bookmarkEnd w:id="94"/>
      <w:bookmarkEnd w:id="95"/>
      <w:bookmarkEnd w:id="96"/>
      <w:bookmarkEnd w:id="97"/>
      <w:bookmarkEnd w:id="98"/>
    </w:p>
    <w:p w14:paraId="6647464E" w14:textId="19A6EB21" w:rsidR="00B535F1" w:rsidRDefault="00936F34" w:rsidP="00B535F1">
      <w:pPr>
        <w:pStyle w:val="BodyText"/>
      </w:pPr>
      <w:bookmarkStart w:id="99" w:name="_Hlk75242429"/>
      <w:bookmarkStart w:id="100" w:name="_Hlk75444116"/>
      <w:r>
        <w:t>E</w:t>
      </w:r>
      <w:r w:rsidR="00B535F1">
        <w:t xml:space="preserve">valuation of regional-scale, hydroclimate impacts requires high-resolution </w:t>
      </w:r>
      <w:r w:rsidR="00B535F1" w:rsidRPr="0045734B">
        <w:t xml:space="preserve">climate projections </w:t>
      </w:r>
      <w:r w:rsidR="00B535F1">
        <w:t>(</w:t>
      </w:r>
      <w:r w:rsidR="00B535F1" w:rsidRPr="005B784C">
        <w:t>Ashfaq et al., 2016</w:t>
      </w:r>
      <w:r w:rsidR="00B535F1">
        <w:t>)</w:t>
      </w:r>
      <w:r w:rsidR="00B535F1" w:rsidRPr="0045734B">
        <w:t xml:space="preserve">. </w:t>
      </w:r>
      <w:r w:rsidR="00B535F1">
        <w:t>However, the</w:t>
      </w:r>
      <w:r w:rsidR="00B535F1" w:rsidRPr="0045734B">
        <w:t xml:space="preserve"> </w:t>
      </w:r>
      <w:r w:rsidR="00B535F1">
        <w:t>average</w:t>
      </w:r>
      <w:r w:rsidR="00B535F1" w:rsidRPr="0045734B">
        <w:t xml:space="preserve"> </w:t>
      </w:r>
      <w:r w:rsidR="00B535F1">
        <w:t>horizontal grid spacing</w:t>
      </w:r>
      <w:r w:rsidR="00B535F1" w:rsidRPr="0045734B">
        <w:t xml:space="preserve"> of </w:t>
      </w:r>
      <w:r w:rsidR="00B535F1">
        <w:t xml:space="preserve">CMIP6 </w:t>
      </w:r>
      <w:r w:rsidR="00B535F1" w:rsidRPr="0045734B">
        <w:t xml:space="preserve">is still </w:t>
      </w:r>
      <w:r w:rsidR="00B535F1">
        <w:t>coarser than</w:t>
      </w:r>
      <w:r w:rsidR="00B535F1" w:rsidRPr="0045734B">
        <w:t xml:space="preserve"> 1</w:t>
      </w:r>
      <w:r w:rsidR="00B535F1">
        <w:t>º</w:t>
      </w:r>
      <w:r w:rsidR="00B535F1" w:rsidRPr="0045734B">
        <w:t xml:space="preserve"> (~110 km)</w:t>
      </w:r>
      <w:r w:rsidR="00B535F1">
        <w:t>, which creates a need for further spatial refinement. Various downscaling techniques</w:t>
      </w:r>
      <w:r w:rsidR="008A7C50">
        <w:t>,</w:t>
      </w:r>
      <w:r w:rsidR="00B535F1">
        <w:t xml:space="preserve"> including dynamical downscaling, statistical downscaling</w:t>
      </w:r>
      <w:r w:rsidR="008A7C50">
        <w:t>,</w:t>
      </w:r>
      <w:r w:rsidR="00B535F1">
        <w:t xml:space="preserve"> and a combination of the two can be used to translate the coarse resolution information from the GCMs to fine spatial scales suitable for regional analyses </w:t>
      </w:r>
      <w:r w:rsidR="00B535F1" w:rsidRPr="0022368C">
        <w:t xml:space="preserve">(Ashfaq et al., 2016; </w:t>
      </w:r>
      <w:r w:rsidR="00B535F1" w:rsidRPr="000D27C0">
        <w:t>Maurer et al., 2013; Wood et al., 2004</w:t>
      </w:r>
      <w:r w:rsidR="00B535F1" w:rsidRPr="0022368C">
        <w:t>).</w:t>
      </w:r>
      <w:r w:rsidR="00B535F1" w:rsidRPr="0045734B">
        <w:t xml:space="preserve"> </w:t>
      </w:r>
      <w:r w:rsidR="00B535F1">
        <w:t xml:space="preserve">In dynamical downscaling, GCM output is used as initial and boundary conditions to run a regional climate model (RCM) simulation. The RCM independently resolves fine-scale responses, such as those </w:t>
      </w:r>
      <w:r w:rsidR="008A7C50">
        <w:t>caused by</w:t>
      </w:r>
      <w:r w:rsidR="00B535F1">
        <w:t xml:space="preserve"> complex topography, coastal lines, </w:t>
      </w:r>
      <w:r w:rsidR="008A7C50">
        <w:t xml:space="preserve">and </w:t>
      </w:r>
      <w:r w:rsidR="00B535F1">
        <w:t>mesoscale convection, which are often poorly represented in the GCMs. However, RCM simulations are</w:t>
      </w:r>
      <w:r w:rsidR="00B535F1" w:rsidRPr="0045734B">
        <w:t xml:space="preserve"> computationally</w:t>
      </w:r>
      <w:r w:rsidR="00B535F1">
        <w:t xml:space="preserve"> </w:t>
      </w:r>
      <w:r w:rsidR="00B535F1" w:rsidRPr="0045734B">
        <w:t>intensive and time</w:t>
      </w:r>
      <w:r>
        <w:t>-</w:t>
      </w:r>
      <w:r w:rsidR="00B535F1" w:rsidRPr="0045734B">
        <w:t>consuming</w:t>
      </w:r>
      <w:r w:rsidR="00B535F1">
        <w:t>. On the other hand</w:t>
      </w:r>
      <w:r w:rsidR="00B535F1" w:rsidRPr="0045734B">
        <w:t xml:space="preserve">, statistical downscaling </w:t>
      </w:r>
      <w:r w:rsidR="00B535F1">
        <w:t xml:space="preserve">is fundamentally based on the empirical relationships between the simulated and observed climate in the historical period. It is </w:t>
      </w:r>
      <w:r w:rsidR="00B535F1" w:rsidRPr="0045734B">
        <w:t>computationally efficient</w:t>
      </w:r>
      <w:r w:rsidR="00B535F1">
        <w:t xml:space="preserve"> and faster but often </w:t>
      </w:r>
      <w:r w:rsidR="00B535F1" w:rsidRPr="0045734B">
        <w:t xml:space="preserve">limited to only a few variables </w:t>
      </w:r>
      <w:r w:rsidR="00B535F1">
        <w:t>for which long-term observational records are available</w:t>
      </w:r>
      <w:r w:rsidR="00B535F1" w:rsidRPr="0045734B">
        <w:t xml:space="preserve"> </w:t>
      </w:r>
      <w:r w:rsidR="00B535F1" w:rsidRPr="0022368C">
        <w:t>(</w:t>
      </w:r>
      <w:r w:rsidR="00B535F1" w:rsidRPr="000D27C0">
        <w:t>Nikulin et al., 2018; Yoon et. al., 2012</w:t>
      </w:r>
      <w:r w:rsidR="00B535F1" w:rsidRPr="0022368C">
        <w:t>).</w:t>
      </w:r>
      <w:r w:rsidR="00B535F1">
        <w:t xml:space="preserve"> Often, a combination of the two </w:t>
      </w:r>
      <w:r w:rsidR="001E1DC5">
        <w:t>DS</w:t>
      </w:r>
      <w:r w:rsidR="00B535F1">
        <w:t>s</w:t>
      </w:r>
      <w:r w:rsidR="00441CCD">
        <w:t xml:space="preserve"> is employed, </w:t>
      </w:r>
      <w:r w:rsidR="001D62C9">
        <w:t xml:space="preserve">also known as </w:t>
      </w:r>
      <w:r w:rsidR="001D62C9" w:rsidRPr="00401C37">
        <w:rPr>
          <w:i/>
          <w:iCs/>
        </w:rPr>
        <w:t>hybrid downscaling</w:t>
      </w:r>
      <w:r w:rsidR="001D62C9">
        <w:t>,</w:t>
      </w:r>
      <w:r w:rsidR="00441CCD">
        <w:t xml:space="preserve"> in which</w:t>
      </w:r>
      <w:r w:rsidR="00B535F1">
        <w:t xml:space="preserve"> GCM</w:t>
      </w:r>
      <w:r w:rsidR="00441CCD">
        <w:t>s</w:t>
      </w:r>
      <w:r w:rsidR="00B535F1">
        <w:t xml:space="preserve"> are first dynamically downscaled to a finer resolution and then statistically corrected at a desired horizontal grid spacing.</w:t>
      </w:r>
    </w:p>
    <w:p w14:paraId="6F36E93D" w14:textId="4AB356E8" w:rsidR="00B535F1" w:rsidRDefault="00B535F1" w:rsidP="00B535F1">
      <w:pPr>
        <w:pStyle w:val="BodyText"/>
      </w:pPr>
      <w:bookmarkStart w:id="101" w:name="_Ref75959997"/>
      <w:bookmarkEnd w:id="99"/>
      <w:bookmarkEnd w:id="100"/>
      <w:r>
        <w:t xml:space="preserve">In this assessment, both dynamical and statistical </w:t>
      </w:r>
      <w:r w:rsidR="00E5504A">
        <w:t>DS</w:t>
      </w:r>
      <w:r>
        <w:t xml:space="preserve">s </w:t>
      </w:r>
      <w:r w:rsidR="00CA554F">
        <w:t xml:space="preserve">were </w:t>
      </w:r>
      <w:r>
        <w:t>applied to the six selected CMIP6 GCMs (</w:t>
      </w:r>
      <w:r>
        <w:fldChar w:fldCharType="begin"/>
      </w:r>
      <w:r>
        <w:instrText xml:space="preserve"> REF _Ref72825728 \h </w:instrText>
      </w:r>
      <w:r>
        <w:fldChar w:fldCharType="separate"/>
      </w:r>
      <w:r w:rsidR="00EE0BF5" w:rsidRPr="004C5793">
        <w:rPr>
          <w:rFonts w:eastAsia="PMingLiU"/>
        </w:rPr>
        <w:t xml:space="preserve">Table </w:t>
      </w:r>
      <w:r w:rsidR="00EE0BF5">
        <w:rPr>
          <w:rFonts w:eastAsia="PMingLiU"/>
          <w:noProof/>
        </w:rPr>
        <w:t>2</w:t>
      </w:r>
      <w:r w:rsidR="00EE0BF5" w:rsidRPr="004C5793">
        <w:rPr>
          <w:rFonts w:eastAsia="PMingLiU"/>
        </w:rPr>
        <w:t>.</w:t>
      </w:r>
      <w:r w:rsidR="00EE0BF5">
        <w:rPr>
          <w:rFonts w:eastAsia="PMingLiU"/>
          <w:noProof/>
        </w:rPr>
        <w:t>2</w:t>
      </w:r>
      <w:r>
        <w:fldChar w:fldCharType="end"/>
      </w:r>
      <w:r>
        <w:t xml:space="preserve">). Additionally, statistical correction </w:t>
      </w:r>
      <w:r w:rsidR="00CA554F">
        <w:t xml:space="preserve">was </w:t>
      </w:r>
      <w:r>
        <w:t xml:space="preserve">performed on the dynamically downscaled model output. Therefore, this technique can be considered </w:t>
      </w:r>
      <w:r w:rsidR="00B12759">
        <w:t>a</w:t>
      </w:r>
      <w:r>
        <w:t xml:space="preserve"> hybrid </w:t>
      </w:r>
      <w:r w:rsidR="001E1DC5">
        <w:t>DS</w:t>
      </w:r>
      <w:r>
        <w:t xml:space="preserve">. The </w:t>
      </w:r>
      <w:r w:rsidR="00E5504A">
        <w:t>DS</w:t>
      </w:r>
      <w:r>
        <w:t xml:space="preserve">s are detailed in Section </w:t>
      </w:r>
      <w:r w:rsidR="00757529">
        <w:fldChar w:fldCharType="begin"/>
      </w:r>
      <w:r w:rsidR="00757529">
        <w:instrText xml:space="preserve"> REF _Ref81808422 \n \h </w:instrText>
      </w:r>
      <w:r w:rsidR="00757529">
        <w:fldChar w:fldCharType="separate"/>
      </w:r>
      <w:r w:rsidR="00EE0BF5">
        <w:t>2.4.1</w:t>
      </w:r>
      <w:r w:rsidR="00757529">
        <w:fldChar w:fldCharType="end"/>
      </w:r>
      <w:r>
        <w:t xml:space="preserve"> and </w:t>
      </w:r>
      <w:r>
        <w:fldChar w:fldCharType="begin"/>
      </w:r>
      <w:r>
        <w:instrText xml:space="preserve"> REF _Ref75960007 \n \h </w:instrText>
      </w:r>
      <w:r>
        <w:fldChar w:fldCharType="separate"/>
      </w:r>
      <w:r w:rsidR="00EE0BF5">
        <w:t>2.4.2</w:t>
      </w:r>
      <w:r>
        <w:fldChar w:fldCharType="end"/>
      </w:r>
      <w:r>
        <w:t xml:space="preserve">. Two different </w:t>
      </w:r>
      <w:r w:rsidR="00B06739">
        <w:t>MetF</w:t>
      </w:r>
      <w:r>
        <w:t xml:space="preserve">s </w:t>
      </w:r>
      <w:r w:rsidR="005501E5">
        <w:t xml:space="preserve">(reference meteorological forcings) </w:t>
      </w:r>
      <w:r w:rsidR="00CA554F">
        <w:t xml:space="preserve">were </w:t>
      </w:r>
      <w:r>
        <w:t xml:space="preserve">used in this study to account for the uncertainties that arise from the choice of </w:t>
      </w:r>
      <w:r w:rsidR="00D83EC4">
        <w:rPr>
          <w:snapToGrid/>
        </w:rPr>
        <w:t>MetFs</w:t>
      </w:r>
      <w:r w:rsidR="007841EF">
        <w:rPr>
          <w:snapToGrid/>
        </w:rPr>
        <w:t xml:space="preserve"> (e.g., see </w:t>
      </w:r>
      <w:r w:rsidR="007841EF" w:rsidRPr="007412CA">
        <w:rPr>
          <w:lang w:eastAsia="zh-TW"/>
        </w:rPr>
        <w:t xml:space="preserve">Alder </w:t>
      </w:r>
      <w:r w:rsidR="007841EF">
        <w:rPr>
          <w:lang w:eastAsia="zh-TW"/>
        </w:rPr>
        <w:t xml:space="preserve">and </w:t>
      </w:r>
      <w:r w:rsidR="007841EF" w:rsidRPr="007412CA">
        <w:rPr>
          <w:lang w:eastAsia="zh-TW"/>
        </w:rPr>
        <w:t>Hostetler</w:t>
      </w:r>
      <w:r w:rsidR="007841EF">
        <w:rPr>
          <w:lang w:eastAsia="zh-TW"/>
        </w:rPr>
        <w:t>,</w:t>
      </w:r>
      <w:r w:rsidR="007841EF" w:rsidRPr="007412CA">
        <w:rPr>
          <w:lang w:eastAsia="zh-TW"/>
        </w:rPr>
        <w:t xml:space="preserve"> 2019</w:t>
      </w:r>
      <w:r w:rsidR="007841EF">
        <w:rPr>
          <w:snapToGrid/>
        </w:rPr>
        <w:t>)</w:t>
      </w:r>
      <w:r>
        <w:t xml:space="preserve">. These </w:t>
      </w:r>
      <w:r w:rsidR="00D83EC4">
        <w:rPr>
          <w:snapToGrid/>
        </w:rPr>
        <w:t>MetFs</w:t>
      </w:r>
      <w:r>
        <w:t xml:space="preserve"> served as the ground truth in bias-correcting dynamically downscaled outputs or as the training</w:t>
      </w:r>
      <w:r w:rsidR="00D64187">
        <w:t xml:space="preserve"> </w:t>
      </w:r>
      <w:r w:rsidR="005606E5">
        <w:t>data sets</w:t>
      </w:r>
      <w:r w:rsidR="00D64187">
        <w:t xml:space="preserve"> </w:t>
      </w:r>
      <w:r>
        <w:t>in performing statistical downscaling. Consequently, 24 sets of downscaled climate projections (</w:t>
      </w:r>
      <w:r w:rsidR="00CA554F">
        <w:t xml:space="preserve">6 </w:t>
      </w:r>
      <w:r>
        <w:t xml:space="preserve">GCMs </w:t>
      </w:r>
      <w:r w:rsidR="00CA554F">
        <w:t>×</w:t>
      </w:r>
      <w:r>
        <w:t xml:space="preserve"> </w:t>
      </w:r>
      <w:r w:rsidR="00CA554F">
        <w:t xml:space="preserve">2 </w:t>
      </w:r>
      <w:r w:rsidR="003E1672">
        <w:t>DS</w:t>
      </w:r>
      <w:r>
        <w:t xml:space="preserve">s </w:t>
      </w:r>
      <w:r w:rsidR="00CA554F">
        <w:t xml:space="preserve">× 2 </w:t>
      </w:r>
      <w:r w:rsidR="001531CF">
        <w:rPr>
          <w:snapToGrid/>
        </w:rPr>
        <w:t>MetFs</w:t>
      </w:r>
      <w:r>
        <w:t xml:space="preserve">) </w:t>
      </w:r>
      <w:r w:rsidR="00CA554F">
        <w:t xml:space="preserve">were </w:t>
      </w:r>
      <w:r>
        <w:t xml:space="preserve">generated. Each set of the </w:t>
      </w:r>
      <w:r w:rsidR="00CB546D">
        <w:t xml:space="preserve">downscaled </w:t>
      </w:r>
      <w:r>
        <w:t>climate projections extend</w:t>
      </w:r>
      <w:r w:rsidR="00CA554F">
        <w:t>ed</w:t>
      </w:r>
      <w:r>
        <w:t xml:space="preserve"> from 1980–2059, in which 1980–2019 is defined as the historic baseline period</w:t>
      </w:r>
      <w:r w:rsidR="005D6D10">
        <w:t>,</w:t>
      </w:r>
      <w:r>
        <w:t xml:space="preserve"> and 2020–2059 is defined as the future period.</w:t>
      </w:r>
      <w:r w:rsidRPr="47E6C8DF">
        <w:rPr>
          <w:rStyle w:val="FootnoteReference"/>
        </w:rPr>
        <w:footnoteReference w:id="5"/>
      </w:r>
      <w:r>
        <w:t xml:space="preserve"> </w:t>
      </w:r>
      <w:r w:rsidR="005D6D10">
        <w:t>Although a</w:t>
      </w:r>
      <w:r>
        <w:t xml:space="preserve"> similar approach has been used at regional scale</w:t>
      </w:r>
      <w:r w:rsidR="005D6D10">
        <w:t>s</w:t>
      </w:r>
      <w:r>
        <w:t xml:space="preserve"> (Jiang et al., </w:t>
      </w:r>
      <w:r w:rsidRPr="00535811">
        <w:t>2018</w:t>
      </w:r>
      <w:r>
        <w:t xml:space="preserve">), to the best of </w:t>
      </w:r>
      <w:r w:rsidR="001A005D">
        <w:t>the authors</w:t>
      </w:r>
      <w:r w:rsidR="00805545">
        <w:t>’</w:t>
      </w:r>
      <w:r w:rsidR="001A005D">
        <w:t xml:space="preserve"> </w:t>
      </w:r>
      <w:r>
        <w:t>knowledge</w:t>
      </w:r>
      <w:r w:rsidR="001A005D">
        <w:t>,</w:t>
      </w:r>
      <w:r>
        <w:t xml:space="preserve"> this is the first time this approach </w:t>
      </w:r>
      <w:r w:rsidR="000E55CE">
        <w:t xml:space="preserve">has been </w:t>
      </w:r>
      <w:r>
        <w:t xml:space="preserve">used for CONUS at such </w:t>
      </w:r>
      <w:r w:rsidR="00757529">
        <w:t xml:space="preserve">a </w:t>
      </w:r>
      <w:r>
        <w:t>high resolution</w:t>
      </w:r>
      <w:r w:rsidR="00757529">
        <w:t xml:space="preserve"> (~4</w:t>
      </w:r>
      <w:r w:rsidR="00254124">
        <w:t xml:space="preserve"> </w:t>
      </w:r>
      <w:r w:rsidR="00757529">
        <w:t>km)</w:t>
      </w:r>
      <w:r>
        <w:t>.</w:t>
      </w:r>
    </w:p>
    <w:p w14:paraId="022B1AC9" w14:textId="47DFC146" w:rsidR="00357BBE" w:rsidRPr="006D08C0" w:rsidRDefault="008479A8" w:rsidP="006D08C0">
      <w:pPr>
        <w:pStyle w:val="Heading3"/>
      </w:pPr>
      <w:bookmarkStart w:id="102" w:name="_Ref81808422"/>
      <w:bookmarkStart w:id="103" w:name="_Toc113380771"/>
      <w:r>
        <w:t xml:space="preserve">Regional Climate Model </w:t>
      </w:r>
      <w:r w:rsidR="00E40AEB">
        <w:t xml:space="preserve">Version </w:t>
      </w:r>
      <w:r>
        <w:t>4</w:t>
      </w:r>
      <w:bookmarkEnd w:id="101"/>
      <w:bookmarkEnd w:id="102"/>
      <w:bookmarkEnd w:id="103"/>
    </w:p>
    <w:p w14:paraId="1FACDF39" w14:textId="002E614D" w:rsidR="0028569D" w:rsidRDefault="0028569D" w:rsidP="0028569D">
      <w:pPr>
        <w:pStyle w:val="BodyText"/>
        <w:rPr>
          <w:szCs w:val="24"/>
        </w:rPr>
      </w:pPr>
      <w:r w:rsidRPr="00593500">
        <w:rPr>
          <w:szCs w:val="24"/>
        </w:rPr>
        <w:t xml:space="preserve">Regional Climate Model version 4 (RegCM4), developed and maintained by the Abdus Salam International Center for Theoretical Physics </w:t>
      </w:r>
      <w:r w:rsidRPr="0022368C">
        <w:rPr>
          <w:szCs w:val="24"/>
        </w:rPr>
        <w:t>(</w:t>
      </w:r>
      <w:r w:rsidRPr="000D27C0">
        <w:rPr>
          <w:szCs w:val="24"/>
        </w:rPr>
        <w:t>Giorgi et al., 2012</w:t>
      </w:r>
      <w:r w:rsidRPr="0022368C">
        <w:rPr>
          <w:szCs w:val="24"/>
        </w:rPr>
        <w:t>),</w:t>
      </w:r>
      <w:r w:rsidRPr="00593500">
        <w:rPr>
          <w:szCs w:val="24"/>
        </w:rPr>
        <w:t xml:space="preserve"> </w:t>
      </w:r>
      <w:r>
        <w:rPr>
          <w:szCs w:val="24"/>
        </w:rPr>
        <w:t xml:space="preserve">was applied </w:t>
      </w:r>
      <w:r w:rsidRPr="00593500">
        <w:rPr>
          <w:szCs w:val="24"/>
        </w:rPr>
        <w:t>to dynamically downscale the</w:t>
      </w:r>
      <w:r>
        <w:rPr>
          <w:szCs w:val="24"/>
        </w:rPr>
        <w:t xml:space="preserve"> six selected</w:t>
      </w:r>
      <w:r w:rsidRPr="00593500">
        <w:rPr>
          <w:szCs w:val="24"/>
        </w:rPr>
        <w:t xml:space="preserve"> </w:t>
      </w:r>
      <w:r>
        <w:rPr>
          <w:szCs w:val="24"/>
        </w:rPr>
        <w:t xml:space="preserve">CMIP6 GCMs. </w:t>
      </w:r>
      <w:r w:rsidRPr="00593500">
        <w:rPr>
          <w:szCs w:val="24"/>
        </w:rPr>
        <w:t>RegCM4</w:t>
      </w:r>
      <w:r>
        <w:rPr>
          <w:szCs w:val="24"/>
        </w:rPr>
        <w:t xml:space="preserve"> has been widely used for downscaling over the CONUS</w:t>
      </w:r>
      <w:r w:rsidR="000E55CE">
        <w:rPr>
          <w:szCs w:val="24"/>
        </w:rPr>
        <w:t>,</w:t>
      </w:r>
      <w:r>
        <w:rPr>
          <w:szCs w:val="24"/>
        </w:rPr>
        <w:t xml:space="preserve"> and </w:t>
      </w:r>
      <w:r>
        <w:t xml:space="preserve">its performance </w:t>
      </w:r>
      <w:r>
        <w:rPr>
          <w:rFonts w:eastAsia="Times New Roman"/>
        </w:rPr>
        <w:t xml:space="preserve">has been extensively evaluated </w:t>
      </w:r>
      <w:r w:rsidRPr="0022368C">
        <w:rPr>
          <w:rFonts w:eastAsia="Times New Roman"/>
        </w:rPr>
        <w:t>(</w:t>
      </w:r>
      <w:r w:rsidRPr="000D27C0">
        <w:rPr>
          <w:szCs w:val="24"/>
        </w:rPr>
        <w:t>Ashfaq et al.,</w:t>
      </w:r>
      <w:r w:rsidRPr="000D27C0">
        <w:rPr>
          <w:rFonts w:eastAsia="Times New Roman"/>
        </w:rPr>
        <w:t xml:space="preserve"> 2010, </w:t>
      </w:r>
      <w:r w:rsidRPr="000D27C0">
        <w:t>201</w:t>
      </w:r>
      <w:r w:rsidRPr="000D27C0">
        <w:rPr>
          <w:rFonts w:eastAsia="Times New Roman"/>
        </w:rPr>
        <w:t>3 and 2016;</w:t>
      </w:r>
      <w:r w:rsidRPr="000D27C0">
        <w:rPr>
          <w:rFonts w:eastAsia="Times New Roman"/>
          <w:b/>
        </w:rPr>
        <w:t xml:space="preserve"> </w:t>
      </w:r>
      <w:r w:rsidRPr="000D27C0">
        <w:rPr>
          <w:rStyle w:val="Emphasis"/>
          <w:rFonts w:eastAsia="Times New Roman"/>
          <w:b w:val="0"/>
          <w:i w:val="0"/>
        </w:rPr>
        <w:t>Diffenbaugh and Ashfaq,</w:t>
      </w:r>
      <w:r w:rsidRPr="000D27C0">
        <w:rPr>
          <w:rFonts w:eastAsia="Times New Roman"/>
        </w:rPr>
        <w:t xml:space="preserve"> 2010; </w:t>
      </w:r>
      <w:r w:rsidRPr="000D27C0">
        <w:rPr>
          <w:rStyle w:val="Emphasis"/>
          <w:rFonts w:eastAsia="Times New Roman"/>
          <w:b w:val="0"/>
          <w:i w:val="0"/>
        </w:rPr>
        <w:t>Diffenbaugh et al</w:t>
      </w:r>
      <w:r w:rsidRPr="000D27C0">
        <w:rPr>
          <w:rFonts w:eastAsia="Times New Roman"/>
          <w:i/>
        </w:rPr>
        <w:t>.</w:t>
      </w:r>
      <w:r w:rsidRPr="000D27C0">
        <w:rPr>
          <w:rFonts w:eastAsia="Times New Roman"/>
          <w:iCs/>
        </w:rPr>
        <w:t>,</w:t>
      </w:r>
      <w:r w:rsidRPr="000D27C0">
        <w:rPr>
          <w:rFonts w:eastAsia="Times New Roman"/>
        </w:rPr>
        <w:t xml:space="preserve"> 2005 and 2011; </w:t>
      </w:r>
      <w:r w:rsidRPr="000D27C0">
        <w:rPr>
          <w:rStyle w:val="Emphasis"/>
          <w:rFonts w:eastAsia="Times New Roman"/>
          <w:b w:val="0"/>
          <w:i w:val="0"/>
        </w:rPr>
        <w:t>Walker and Diffenbaugh,</w:t>
      </w:r>
      <w:r w:rsidRPr="000D27C0">
        <w:rPr>
          <w:rFonts w:eastAsia="Times New Roman"/>
        </w:rPr>
        <w:t xml:space="preserve"> 2009</w:t>
      </w:r>
      <w:r w:rsidRPr="0022368C">
        <w:rPr>
          <w:rFonts w:eastAsia="Times New Roman"/>
        </w:rPr>
        <w:t>).</w:t>
      </w:r>
      <w:r>
        <w:rPr>
          <w:rFonts w:eastAsia="Times New Roman"/>
        </w:rPr>
        <w:t xml:space="preserve"> In the current configuration, </w:t>
      </w:r>
      <w:r>
        <w:t>t</w:t>
      </w:r>
      <w:r w:rsidRPr="00223D23">
        <w:t xml:space="preserve">he </w:t>
      </w:r>
      <w:r w:rsidRPr="00593500">
        <w:rPr>
          <w:szCs w:val="24"/>
        </w:rPr>
        <w:t>RegCM4</w:t>
      </w:r>
      <w:r>
        <w:rPr>
          <w:szCs w:val="24"/>
        </w:rPr>
        <w:t xml:space="preserve"> </w:t>
      </w:r>
      <w:r w:rsidRPr="00223D23">
        <w:t xml:space="preserve">grid was centered at 39.00°N and </w:t>
      </w:r>
      <w:r>
        <w:t>98</w:t>
      </w:r>
      <w:r w:rsidRPr="00223D23">
        <w:t xml:space="preserve">.00°W and consisted of </w:t>
      </w:r>
      <w:r>
        <w:t>157</w:t>
      </w:r>
      <w:r w:rsidRPr="00223D23">
        <w:t xml:space="preserve"> points in the </w:t>
      </w:r>
      <w:r w:rsidRPr="00223D23">
        <w:lastRenderedPageBreak/>
        <w:t xml:space="preserve">latitude direction and </w:t>
      </w:r>
      <w:r>
        <w:t>227</w:t>
      </w:r>
      <w:r w:rsidRPr="00223D23">
        <w:t xml:space="preserve"> points in the longitude direction</w:t>
      </w:r>
      <w:r w:rsidR="0018496D">
        <w:t>, thereby</w:t>
      </w:r>
      <w:r>
        <w:t xml:space="preserve"> </w:t>
      </w:r>
      <w:r w:rsidRPr="00593500">
        <w:rPr>
          <w:szCs w:val="24"/>
        </w:rPr>
        <w:t>cover</w:t>
      </w:r>
      <w:r>
        <w:rPr>
          <w:szCs w:val="24"/>
        </w:rPr>
        <w:t>ing</w:t>
      </w:r>
      <w:r w:rsidRPr="00593500">
        <w:rPr>
          <w:szCs w:val="24"/>
        </w:rPr>
        <w:t xml:space="preserve"> </w:t>
      </w:r>
      <w:r w:rsidR="00F50F76">
        <w:rPr>
          <w:szCs w:val="24"/>
        </w:rPr>
        <w:t xml:space="preserve">the </w:t>
      </w:r>
      <w:r w:rsidR="000743FC" w:rsidRPr="00593500">
        <w:rPr>
          <w:szCs w:val="24"/>
        </w:rPr>
        <w:t>CONUS</w:t>
      </w:r>
      <w:r w:rsidR="000743FC">
        <w:rPr>
          <w:szCs w:val="24"/>
        </w:rPr>
        <w:t xml:space="preserve"> and</w:t>
      </w:r>
      <w:r w:rsidR="000743FC" w:rsidRPr="00593500">
        <w:rPr>
          <w:szCs w:val="24"/>
        </w:rPr>
        <w:t xml:space="preserve"> parts of Mexico and Canada</w:t>
      </w:r>
      <w:r>
        <w:t xml:space="preserve"> (</w:t>
      </w:r>
      <w:r>
        <w:fldChar w:fldCharType="begin"/>
      </w:r>
      <w:r>
        <w:instrText xml:space="preserve"> REF _Ref72825841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8</w:t>
      </w:r>
      <w:r>
        <w:fldChar w:fldCharType="end"/>
      </w:r>
      <w:r>
        <w:t>). The g</w:t>
      </w:r>
      <w:r w:rsidRPr="00223D23">
        <w:t>rid points were separated at</w:t>
      </w:r>
      <w:r w:rsidR="0018496D">
        <w:t xml:space="preserve"> a</w:t>
      </w:r>
      <w:r w:rsidRPr="00223D23">
        <w:t xml:space="preserve"> </w:t>
      </w:r>
      <w:r>
        <w:t xml:space="preserve">25 </w:t>
      </w:r>
      <w:r w:rsidRPr="00223D23">
        <w:t xml:space="preserve">km horizontal </w:t>
      </w:r>
      <w:r>
        <w:t>spacing</w:t>
      </w:r>
      <w:r w:rsidRPr="00223D23">
        <w:t xml:space="preserve"> with 18 levels in the vertical</w:t>
      </w:r>
      <w:r>
        <w:t xml:space="preserve"> direction</w:t>
      </w:r>
      <w:r w:rsidRPr="00223D23">
        <w:t xml:space="preserve">. The Lambert Conformal </w:t>
      </w:r>
      <w:r>
        <w:t>P</w:t>
      </w:r>
      <w:r w:rsidRPr="00223D23">
        <w:t>rojection placed the grid corners at 50.</w:t>
      </w:r>
      <w:r>
        <w:t>91</w:t>
      </w:r>
      <w:r w:rsidRPr="00223D23">
        <w:t>°N, 138.</w:t>
      </w:r>
      <w:r>
        <w:t>74</w:t>
      </w:r>
      <w:r w:rsidRPr="00223D23">
        <w:t>°W (northwest); 50.</w:t>
      </w:r>
      <w:r>
        <w:t>91</w:t>
      </w:r>
      <w:r w:rsidRPr="00223D23">
        <w:t xml:space="preserve">°N, </w:t>
      </w:r>
      <w:r>
        <w:t>57.26</w:t>
      </w:r>
      <w:r w:rsidRPr="00223D23">
        <w:t xml:space="preserve">°W (northeast); </w:t>
      </w:r>
      <w:r>
        <w:t>18.13</w:t>
      </w:r>
      <w:r w:rsidRPr="00223D23">
        <w:t>°N, 12</w:t>
      </w:r>
      <w:r>
        <w:t>3</w:t>
      </w:r>
      <w:r w:rsidRPr="00223D23">
        <w:t>.</w:t>
      </w:r>
      <w:r>
        <w:t>86</w:t>
      </w:r>
      <w:r w:rsidRPr="00223D23">
        <w:t xml:space="preserve">°W (southwest); and </w:t>
      </w:r>
      <w:r>
        <w:t>18.13</w:t>
      </w:r>
      <w:r w:rsidRPr="00223D23">
        <w:t xml:space="preserve">°N, </w:t>
      </w:r>
      <w:r>
        <w:t>72.14</w:t>
      </w:r>
      <w:r w:rsidRPr="00223D23">
        <w:t xml:space="preserve">°W (southeast). </w:t>
      </w:r>
      <w:r>
        <w:t xml:space="preserve">The </w:t>
      </w:r>
      <w:r w:rsidR="00CB546D">
        <w:t xml:space="preserve">RegCM4 </w:t>
      </w:r>
      <w:r>
        <w:t>simulation</w:t>
      </w:r>
      <w:r w:rsidR="00CB546D">
        <w:t xml:space="preserve"> </w:t>
      </w:r>
      <w:r>
        <w:rPr>
          <w:szCs w:val="24"/>
        </w:rPr>
        <w:t>use</w:t>
      </w:r>
      <w:r w:rsidR="00CB546D">
        <w:rPr>
          <w:szCs w:val="24"/>
        </w:rPr>
        <w:t>s</w:t>
      </w:r>
      <w:r w:rsidRPr="00593500">
        <w:rPr>
          <w:szCs w:val="24"/>
        </w:rPr>
        <w:t xml:space="preserve"> the hydrostatic dynamical core from the Fifth Generation Mesoscale Model (</w:t>
      </w:r>
      <w:r w:rsidRPr="000D27C0">
        <w:rPr>
          <w:szCs w:val="24"/>
        </w:rPr>
        <w:t>Grell et al., 1994</w:t>
      </w:r>
      <w:r w:rsidRPr="0022368C">
        <w:rPr>
          <w:szCs w:val="24"/>
        </w:rPr>
        <w:t>),</w:t>
      </w:r>
      <w:r w:rsidRPr="00593500">
        <w:rPr>
          <w:szCs w:val="24"/>
        </w:rPr>
        <w:t xml:space="preserve"> the radiation package from the Community Climate Model version 3 (</w:t>
      </w:r>
      <w:r w:rsidRPr="000D27C0">
        <w:rPr>
          <w:szCs w:val="24"/>
        </w:rPr>
        <w:t>Kiehl et al.,1998</w:t>
      </w:r>
      <w:r w:rsidRPr="0022368C">
        <w:rPr>
          <w:szCs w:val="24"/>
        </w:rPr>
        <w:t>),</w:t>
      </w:r>
      <w:r w:rsidRPr="00593500">
        <w:rPr>
          <w:szCs w:val="24"/>
        </w:rPr>
        <w:t xml:space="preserve"> the Community Land Model version 4.5 </w:t>
      </w:r>
      <w:r w:rsidRPr="0022368C">
        <w:rPr>
          <w:szCs w:val="24"/>
        </w:rPr>
        <w:t>(</w:t>
      </w:r>
      <w:r w:rsidRPr="000D27C0">
        <w:rPr>
          <w:szCs w:val="24"/>
        </w:rPr>
        <w:t>Tawfik and Steiner, 2011</w:t>
      </w:r>
      <w:r w:rsidRPr="0022368C">
        <w:rPr>
          <w:szCs w:val="24"/>
        </w:rPr>
        <w:t>),</w:t>
      </w:r>
      <w:r w:rsidRPr="00593500">
        <w:rPr>
          <w:szCs w:val="24"/>
        </w:rPr>
        <w:t xml:space="preserve"> the Holtslag boundary layer package </w:t>
      </w:r>
      <w:r w:rsidRPr="0022368C">
        <w:rPr>
          <w:szCs w:val="24"/>
        </w:rPr>
        <w:t>(</w:t>
      </w:r>
      <w:r w:rsidRPr="000D27C0">
        <w:rPr>
          <w:szCs w:val="24"/>
        </w:rPr>
        <w:t>Holtslag et al., 1990</w:t>
      </w:r>
      <w:r w:rsidRPr="0022368C">
        <w:rPr>
          <w:szCs w:val="24"/>
        </w:rPr>
        <w:t>),</w:t>
      </w:r>
      <w:r w:rsidRPr="00593500">
        <w:rPr>
          <w:szCs w:val="24"/>
        </w:rPr>
        <w:t xml:space="preserve"> the Subgrid Explicit Moisture Scheme </w:t>
      </w:r>
      <w:r w:rsidRPr="0022368C">
        <w:rPr>
          <w:szCs w:val="24"/>
        </w:rPr>
        <w:t>(</w:t>
      </w:r>
      <w:r w:rsidRPr="000D27C0">
        <w:rPr>
          <w:szCs w:val="24"/>
        </w:rPr>
        <w:t>Pal et al., 2000</w:t>
      </w:r>
      <w:r w:rsidRPr="0022368C">
        <w:rPr>
          <w:szCs w:val="24"/>
        </w:rPr>
        <w:t>), and</w:t>
      </w:r>
      <w:r w:rsidRPr="00593500">
        <w:rPr>
          <w:szCs w:val="24"/>
        </w:rPr>
        <w:t xml:space="preserve"> the Tiedke cumulus convection parameterization </w:t>
      </w:r>
      <w:r w:rsidRPr="0022368C">
        <w:rPr>
          <w:szCs w:val="24"/>
        </w:rPr>
        <w:t>(</w:t>
      </w:r>
      <w:r w:rsidRPr="000D27C0">
        <w:rPr>
          <w:szCs w:val="24"/>
        </w:rPr>
        <w:t>Tiedtke</w:t>
      </w:r>
      <w:r w:rsidRPr="004F130B">
        <w:rPr>
          <w:szCs w:val="24"/>
        </w:rPr>
        <w:t xml:space="preserve">, </w:t>
      </w:r>
      <w:r w:rsidRPr="000D27C0">
        <w:rPr>
          <w:szCs w:val="24"/>
        </w:rPr>
        <w:t>1989</w:t>
      </w:r>
      <w:r>
        <w:rPr>
          <w:szCs w:val="24"/>
        </w:rPr>
        <w:t>)</w:t>
      </w:r>
      <w:r w:rsidRPr="00593500">
        <w:rPr>
          <w:szCs w:val="24"/>
        </w:rPr>
        <w:t xml:space="preserve">. </w:t>
      </w:r>
      <w:r>
        <w:rPr>
          <w:szCs w:val="24"/>
        </w:rPr>
        <w:t>Further</w:t>
      </w:r>
      <w:r w:rsidR="0057484B">
        <w:rPr>
          <w:szCs w:val="24"/>
        </w:rPr>
        <w:t>more</w:t>
      </w:r>
      <w:r>
        <w:rPr>
          <w:szCs w:val="24"/>
        </w:rPr>
        <w:t>, daily scale bias</w:t>
      </w:r>
      <w:r w:rsidR="00DE77EF">
        <w:rPr>
          <w:szCs w:val="24"/>
        </w:rPr>
        <w:t xml:space="preserve"> </w:t>
      </w:r>
      <w:r>
        <w:rPr>
          <w:szCs w:val="24"/>
        </w:rPr>
        <w:t>correction was applied to</w:t>
      </w:r>
      <w:r w:rsidRPr="00593500">
        <w:rPr>
          <w:szCs w:val="24"/>
        </w:rPr>
        <w:t xml:space="preserve"> </w:t>
      </w:r>
      <w:r>
        <w:rPr>
          <w:szCs w:val="24"/>
        </w:rPr>
        <w:t>t</w:t>
      </w:r>
      <w:r w:rsidRPr="00593500">
        <w:rPr>
          <w:szCs w:val="24"/>
        </w:rPr>
        <w:t>he daily</w:t>
      </w:r>
      <w:r>
        <w:rPr>
          <w:szCs w:val="24"/>
        </w:rPr>
        <w:t xml:space="preserve"> scale</w:t>
      </w:r>
      <w:r w:rsidRPr="00593500">
        <w:rPr>
          <w:szCs w:val="24"/>
        </w:rPr>
        <w:t xml:space="preserve"> </w:t>
      </w:r>
      <w:r>
        <w:rPr>
          <w:szCs w:val="24"/>
        </w:rPr>
        <w:t>precipitation (P)</w:t>
      </w:r>
      <w:r w:rsidRPr="00593500">
        <w:rPr>
          <w:szCs w:val="24"/>
        </w:rPr>
        <w:t xml:space="preserve">, </w:t>
      </w:r>
      <w:r>
        <w:rPr>
          <w:szCs w:val="24"/>
        </w:rPr>
        <w:t>maximum temperature</w:t>
      </w:r>
      <w:r w:rsidRPr="00593500">
        <w:rPr>
          <w:szCs w:val="24"/>
        </w:rPr>
        <w:t xml:space="preserve"> </w:t>
      </w:r>
      <w:r>
        <w:rPr>
          <w:szCs w:val="24"/>
        </w:rPr>
        <w:t>(T</w:t>
      </w:r>
      <w:r w:rsidRPr="000658B7">
        <w:rPr>
          <w:szCs w:val="24"/>
          <w:vertAlign w:val="subscript"/>
        </w:rPr>
        <w:t>max</w:t>
      </w:r>
      <w:r>
        <w:rPr>
          <w:szCs w:val="24"/>
        </w:rPr>
        <w:t>)</w:t>
      </w:r>
      <w:r w:rsidR="00DE77EF">
        <w:rPr>
          <w:szCs w:val="24"/>
        </w:rPr>
        <w:t>,</w:t>
      </w:r>
      <w:r>
        <w:rPr>
          <w:szCs w:val="24"/>
        </w:rPr>
        <w:t xml:space="preserve"> </w:t>
      </w:r>
      <w:r w:rsidRPr="00593500">
        <w:rPr>
          <w:szCs w:val="24"/>
        </w:rPr>
        <w:t>and</w:t>
      </w:r>
      <w:r>
        <w:rPr>
          <w:szCs w:val="24"/>
        </w:rPr>
        <w:t xml:space="preserve"> minimum temperature (T</w:t>
      </w:r>
      <w:r w:rsidRPr="000658B7">
        <w:rPr>
          <w:szCs w:val="24"/>
          <w:vertAlign w:val="subscript"/>
        </w:rPr>
        <w:t>min</w:t>
      </w:r>
      <w:r>
        <w:rPr>
          <w:szCs w:val="24"/>
        </w:rPr>
        <w:t xml:space="preserve">) </w:t>
      </w:r>
      <w:r w:rsidRPr="00593500">
        <w:rPr>
          <w:szCs w:val="24"/>
        </w:rPr>
        <w:t xml:space="preserve">from each of </w:t>
      </w:r>
      <w:r>
        <w:rPr>
          <w:szCs w:val="24"/>
        </w:rPr>
        <w:t>the RCM</w:t>
      </w:r>
      <w:r w:rsidRPr="00593500">
        <w:rPr>
          <w:szCs w:val="24"/>
        </w:rPr>
        <w:t xml:space="preserve"> </w:t>
      </w:r>
      <w:r>
        <w:rPr>
          <w:szCs w:val="24"/>
        </w:rPr>
        <w:t>simulations</w:t>
      </w:r>
      <w:r w:rsidRPr="00593500">
        <w:rPr>
          <w:szCs w:val="24"/>
        </w:rPr>
        <w:t xml:space="preserve"> </w:t>
      </w:r>
      <w:r>
        <w:rPr>
          <w:szCs w:val="24"/>
        </w:rPr>
        <w:t xml:space="preserve">using both </w:t>
      </w:r>
      <w:r w:rsidRPr="00593500">
        <w:rPr>
          <w:szCs w:val="24"/>
        </w:rPr>
        <w:t>Liv</w:t>
      </w:r>
      <w:r>
        <w:rPr>
          <w:szCs w:val="24"/>
        </w:rPr>
        <w:t>ne</w:t>
      </w:r>
      <w:r w:rsidRPr="00593500">
        <w:rPr>
          <w:szCs w:val="24"/>
        </w:rPr>
        <w:t>h and Daymet</w:t>
      </w:r>
      <w:r>
        <w:rPr>
          <w:szCs w:val="24"/>
        </w:rPr>
        <w:t xml:space="preserve"> meteorological observations (discussed in Section </w:t>
      </w:r>
      <w:r>
        <w:rPr>
          <w:szCs w:val="24"/>
        </w:rPr>
        <w:fldChar w:fldCharType="begin"/>
      </w:r>
      <w:r>
        <w:rPr>
          <w:szCs w:val="24"/>
        </w:rPr>
        <w:instrText xml:space="preserve"> REF _Ref425755916 \n \h </w:instrText>
      </w:r>
      <w:r>
        <w:rPr>
          <w:szCs w:val="24"/>
        </w:rPr>
      </w:r>
      <w:r>
        <w:rPr>
          <w:szCs w:val="24"/>
        </w:rPr>
        <w:fldChar w:fldCharType="separate"/>
      </w:r>
      <w:r w:rsidR="00EE0BF5">
        <w:rPr>
          <w:szCs w:val="24"/>
        </w:rPr>
        <w:t>2.2</w:t>
      </w:r>
      <w:r>
        <w:rPr>
          <w:szCs w:val="24"/>
        </w:rPr>
        <w:fldChar w:fldCharType="end"/>
      </w:r>
      <w:r>
        <w:rPr>
          <w:szCs w:val="24"/>
        </w:rPr>
        <w:t xml:space="preserve">) </w:t>
      </w:r>
      <w:r>
        <w:t>at the 1/24° (~4 km) spatial resolution grid</w:t>
      </w:r>
      <w:r w:rsidRPr="00593500">
        <w:rPr>
          <w:szCs w:val="24"/>
        </w:rPr>
        <w:t>.</w:t>
      </w:r>
      <w:r>
        <w:rPr>
          <w:szCs w:val="24"/>
        </w:rPr>
        <w:t xml:space="preserve"> The daily bias</w:t>
      </w:r>
      <w:r w:rsidR="003B2B16">
        <w:rPr>
          <w:szCs w:val="24"/>
        </w:rPr>
        <w:t xml:space="preserve"> </w:t>
      </w:r>
      <w:r>
        <w:rPr>
          <w:szCs w:val="24"/>
        </w:rPr>
        <w:t xml:space="preserve">correction method is also one step in the statistical downscaling that </w:t>
      </w:r>
      <w:r w:rsidR="004F130B">
        <w:rPr>
          <w:szCs w:val="24"/>
        </w:rPr>
        <w:t xml:space="preserve">is </w:t>
      </w:r>
      <w:r>
        <w:rPr>
          <w:szCs w:val="24"/>
        </w:rPr>
        <w:t>discussed in the following section.</w:t>
      </w:r>
    </w:p>
    <w:p w14:paraId="18EB4E92" w14:textId="1054FA2E" w:rsidR="007F5D97" w:rsidRDefault="00262B3C" w:rsidP="005A5D00">
      <w:pPr>
        <w:pStyle w:val="FIGUREposition"/>
        <w:rPr>
          <w:lang w:eastAsia="zh-TW"/>
        </w:rPr>
      </w:pPr>
      <w:r>
        <w:rPr>
          <w:noProof/>
          <w:snapToGrid/>
          <w:lang w:eastAsia="zh-TW"/>
        </w:rPr>
        <w:drawing>
          <wp:inline distT="0" distB="0" distL="0" distR="0" wp14:anchorId="270E5F40" wp14:editId="648FD074">
            <wp:extent cx="5942330" cy="4333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56"/>
                    <a:srcRect t="21269" b="22374"/>
                    <a:stretch/>
                  </pic:blipFill>
                  <pic:spPr bwMode="auto">
                    <a:xfrm>
                      <a:off x="0" y="0"/>
                      <a:ext cx="5943600" cy="4334801"/>
                    </a:xfrm>
                    <a:prstGeom prst="rect">
                      <a:avLst/>
                    </a:prstGeom>
                    <a:ln>
                      <a:noFill/>
                    </a:ln>
                    <a:extLst>
                      <a:ext uri="{53640926-AAD7-44D8-BBD7-CCE9431645EC}">
                        <a14:shadowObscured xmlns:a14="http://schemas.microsoft.com/office/drawing/2010/main"/>
                      </a:ext>
                    </a:extLst>
                  </pic:spPr>
                </pic:pic>
              </a:graphicData>
            </a:graphic>
          </wp:inline>
        </w:drawing>
      </w:r>
    </w:p>
    <w:p w14:paraId="40F2A4BC" w14:textId="61384A6C" w:rsidR="007F5D97" w:rsidRPr="006869CA" w:rsidRDefault="007F5D97" w:rsidP="005A5D00">
      <w:pPr>
        <w:pStyle w:val="FigureCaption"/>
      </w:pPr>
      <w:bookmarkStart w:id="104" w:name="_Ref72825841"/>
      <w:bookmarkStart w:id="105" w:name="_Toc113380872"/>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8</w:t>
      </w:r>
      <w:r w:rsidRPr="006869CA">
        <w:rPr>
          <w:lang w:eastAsia="zh-TW"/>
        </w:rPr>
        <w:fldChar w:fldCharType="end"/>
      </w:r>
      <w:bookmarkEnd w:id="104"/>
      <w:r w:rsidRPr="006869CA">
        <w:rPr>
          <w:lang w:eastAsia="zh-TW"/>
        </w:rPr>
        <w:t xml:space="preserve">. </w:t>
      </w:r>
      <w:bookmarkStart w:id="106" w:name="_Hlk80018826"/>
      <w:r w:rsidR="00DB3743" w:rsidRPr="004D25D0">
        <w:rPr>
          <w:lang w:eastAsia="zh-TW"/>
        </w:rPr>
        <w:t xml:space="preserve">Domain </w:t>
      </w:r>
      <w:r w:rsidR="00DB3743">
        <w:rPr>
          <w:lang w:eastAsia="zh-TW"/>
        </w:rPr>
        <w:t xml:space="preserve">and topography </w:t>
      </w:r>
      <w:r w:rsidR="00DB3743" w:rsidRPr="004D25D0">
        <w:rPr>
          <w:lang w:eastAsia="zh-TW"/>
        </w:rPr>
        <w:t xml:space="preserve">used </w:t>
      </w:r>
      <w:bookmarkEnd w:id="106"/>
      <w:r w:rsidR="00DB3743" w:rsidRPr="004D25D0">
        <w:rPr>
          <w:lang w:eastAsia="zh-TW"/>
        </w:rPr>
        <w:t>for RCM simulation</w:t>
      </w:r>
      <w:r w:rsidR="00DB3743">
        <w:rPr>
          <w:lang w:eastAsia="zh-TW"/>
        </w:rPr>
        <w:t>s</w:t>
      </w:r>
      <w:r w:rsidR="00DB3743" w:rsidRPr="004D25D0">
        <w:rPr>
          <w:lang w:eastAsia="zh-TW"/>
        </w:rPr>
        <w:t xml:space="preserve"> in this study</w:t>
      </w:r>
      <w:r w:rsidR="00B16F49" w:rsidRPr="004D25D0">
        <w:rPr>
          <w:lang w:eastAsia="zh-TW"/>
        </w:rPr>
        <w:t>.</w:t>
      </w:r>
      <w:bookmarkEnd w:id="105"/>
    </w:p>
    <w:p w14:paraId="65F2169D" w14:textId="1A1773B3" w:rsidR="00357BBE" w:rsidRPr="006D08C0" w:rsidRDefault="008479A8" w:rsidP="006D08C0">
      <w:pPr>
        <w:pStyle w:val="Heading3"/>
      </w:pPr>
      <w:bookmarkStart w:id="107" w:name="_Ref75960007"/>
      <w:bookmarkStart w:id="108" w:name="_Toc113380772"/>
      <w:r>
        <w:t>Double Bias Correction Constructed Analogues</w:t>
      </w:r>
      <w:bookmarkEnd w:id="107"/>
      <w:bookmarkEnd w:id="108"/>
    </w:p>
    <w:p w14:paraId="135A847E" w14:textId="48EF133B" w:rsidR="00357BBE" w:rsidRDefault="00A408A3" w:rsidP="00FC444B">
      <w:pPr>
        <w:pStyle w:val="BodyText"/>
        <w:contextualSpacing/>
      </w:pPr>
      <w:r>
        <w:t>For statistical downscaling, the D</w:t>
      </w:r>
      <w:r w:rsidRPr="0045734B">
        <w:t xml:space="preserve">ouble </w:t>
      </w:r>
      <w:r>
        <w:t>B</w:t>
      </w:r>
      <w:r w:rsidRPr="0045734B">
        <w:t xml:space="preserve">ias </w:t>
      </w:r>
      <w:r>
        <w:t>C</w:t>
      </w:r>
      <w:r w:rsidRPr="0045734B">
        <w:t xml:space="preserve">orrection </w:t>
      </w:r>
      <w:r>
        <w:t>C</w:t>
      </w:r>
      <w:r w:rsidRPr="0045734B">
        <w:t xml:space="preserve">onstructed </w:t>
      </w:r>
      <w:r>
        <w:t>A</w:t>
      </w:r>
      <w:r w:rsidRPr="0045734B">
        <w:t xml:space="preserve">nalogues (DBCCA) </w:t>
      </w:r>
      <w:r>
        <w:t xml:space="preserve">method </w:t>
      </w:r>
      <w:r w:rsidRPr="0022368C">
        <w:t>(</w:t>
      </w:r>
      <w:r w:rsidRPr="000D27C0">
        <w:t>Werner and Cannon, 2016</w:t>
      </w:r>
      <w:r w:rsidRPr="0022368C">
        <w:t>)</w:t>
      </w:r>
      <w:r w:rsidRPr="0045734B">
        <w:t xml:space="preserve"> </w:t>
      </w:r>
      <w:r w:rsidR="00864CA3">
        <w:t xml:space="preserve">was </w:t>
      </w:r>
      <w:r>
        <w:t xml:space="preserve">applied </w:t>
      </w:r>
      <w:r w:rsidRPr="0045734B">
        <w:t xml:space="preserve">to </w:t>
      </w:r>
      <w:r>
        <w:t>P, T</w:t>
      </w:r>
      <w:r w:rsidRPr="47E6C8DF">
        <w:rPr>
          <w:vertAlign w:val="subscript"/>
        </w:rPr>
        <w:t>max</w:t>
      </w:r>
      <w:r w:rsidR="001E2719" w:rsidRPr="00662D11">
        <w:t>,</w:t>
      </w:r>
      <w:r>
        <w:t xml:space="preserve"> and T</w:t>
      </w:r>
      <w:r w:rsidRPr="47E6C8DF">
        <w:rPr>
          <w:vertAlign w:val="subscript"/>
        </w:rPr>
        <w:t>min</w:t>
      </w:r>
      <w:r>
        <w:t xml:space="preserve"> </w:t>
      </w:r>
      <w:r w:rsidRPr="0045734B">
        <w:t xml:space="preserve">from the six selected CMIP6 GCMs </w:t>
      </w:r>
      <w:r>
        <w:t>using both Daymet and Livneh as the training</w:t>
      </w:r>
      <w:r w:rsidR="00D64187">
        <w:t xml:space="preserve"> data sets.</w:t>
      </w:r>
      <w:r>
        <w:t xml:space="preserve"> DBCCA is based on the widely used </w:t>
      </w:r>
      <w:r w:rsidRPr="00401E56">
        <w:t>Bias Correction Constructed Analogues (BCCA)</w:t>
      </w:r>
      <w:r>
        <w:t xml:space="preserve"> method developed by </w:t>
      </w:r>
      <w:r w:rsidRPr="000D27C0">
        <w:t>Maurer et al. (2010)</w:t>
      </w:r>
      <w:r w:rsidR="00972745">
        <w:t>. Given the use of weighted linear combination</w:t>
      </w:r>
      <w:r w:rsidR="004242ED">
        <w:t>s</w:t>
      </w:r>
      <w:r w:rsidR="00972745">
        <w:t xml:space="preserve"> of analogues, BCCA may result in extended periods of </w:t>
      </w:r>
      <w:r w:rsidR="004242ED">
        <w:t>tiny-to-</w:t>
      </w:r>
      <w:r w:rsidR="00972745">
        <w:t>near</w:t>
      </w:r>
      <w:r w:rsidR="005E487C">
        <w:t>-</w:t>
      </w:r>
      <w:r w:rsidR="00E847B4">
        <w:t xml:space="preserve">zero </w:t>
      </w:r>
      <w:r w:rsidR="00972745">
        <w:t xml:space="preserve">precipitation </w:t>
      </w:r>
      <w:r w:rsidR="00972745">
        <w:lastRenderedPageBreak/>
        <w:t>that artificially increase</w:t>
      </w:r>
      <w:r w:rsidR="00E847B4">
        <w:t>s</w:t>
      </w:r>
      <w:r w:rsidR="00972745">
        <w:t xml:space="preserve"> the wet days</w:t>
      </w:r>
      <w:r w:rsidR="004242ED">
        <w:t xml:space="preserve">, </w:t>
      </w:r>
      <w:r w:rsidR="00972745">
        <w:t xml:space="preserve">known as the </w:t>
      </w:r>
      <w:r w:rsidR="00972745" w:rsidRPr="00662D11">
        <w:rPr>
          <w:i/>
          <w:iCs/>
        </w:rPr>
        <w:t>drizzling problem</w:t>
      </w:r>
      <w:r w:rsidR="00972745">
        <w:t xml:space="preserve">. DBCCA introduces </w:t>
      </w:r>
      <w:r>
        <w:t xml:space="preserve">another round of bias correction at the end to fix </w:t>
      </w:r>
      <w:r w:rsidR="005E487C">
        <w:t>this</w:t>
      </w:r>
      <w:r w:rsidR="00DB3743">
        <w:t xml:space="preserve"> </w:t>
      </w:r>
      <w:r w:rsidR="00DB3743" w:rsidRPr="00401E56">
        <w:t>drizzl</w:t>
      </w:r>
      <w:r w:rsidR="00DB3743">
        <w:t>ing</w:t>
      </w:r>
      <w:r w:rsidR="00DB3743" w:rsidRPr="00401E56">
        <w:t xml:space="preserve"> </w:t>
      </w:r>
      <w:r w:rsidR="005E487C">
        <w:t xml:space="preserve">problem </w:t>
      </w:r>
      <w:r w:rsidR="00DB3743" w:rsidRPr="00401E56">
        <w:t xml:space="preserve">and </w:t>
      </w:r>
      <w:r w:rsidR="00C767AE">
        <w:t>to</w:t>
      </w:r>
      <w:r w:rsidR="00DB3743" w:rsidRPr="00401E56">
        <w:t xml:space="preserve"> </w:t>
      </w:r>
      <w:r w:rsidR="005E487C">
        <w:t xml:space="preserve">reduce </w:t>
      </w:r>
      <w:r w:rsidR="00DB3743" w:rsidRPr="00401E56">
        <w:t>residual biases</w:t>
      </w:r>
      <w:r>
        <w:t>.</w:t>
      </w:r>
      <w:r w:rsidRPr="00401E56">
        <w:t xml:space="preserve"> Werner and Cannon (2016)</w:t>
      </w:r>
      <w:r>
        <w:t xml:space="preserve"> conducted a comprehensive evaluation of several statistical </w:t>
      </w:r>
      <w:r w:rsidR="003E1672">
        <w:t>DS</w:t>
      </w:r>
      <w:r>
        <w:t xml:space="preserve">s and reported </w:t>
      </w:r>
      <w:r w:rsidR="00C767AE">
        <w:t>that</w:t>
      </w:r>
      <w:r>
        <w:t xml:space="preserve"> DBCCA </w:t>
      </w:r>
      <w:r w:rsidR="00864CA3">
        <w:t>was</w:t>
      </w:r>
      <w:r w:rsidR="00C767AE">
        <w:t xml:space="preserve"> </w:t>
      </w:r>
      <w:r>
        <w:t>one of the two best performing methods in their case study.</w:t>
      </w:r>
    </w:p>
    <w:p w14:paraId="382AEF1F" w14:textId="197B9AE8" w:rsidR="007F5D97" w:rsidRPr="0045734B" w:rsidRDefault="007F5D97" w:rsidP="00DB3743">
      <w:pPr>
        <w:spacing w:before="0" w:line="240" w:lineRule="auto"/>
        <w:ind w:firstLine="0"/>
        <w:contextualSpacing/>
      </w:pPr>
      <w:r>
        <w:t xml:space="preserve">All </w:t>
      </w:r>
      <w:r w:rsidRPr="0045734B">
        <w:t xml:space="preserve">CMIP6 </w:t>
      </w:r>
      <w:r>
        <w:t xml:space="preserve">GCMs </w:t>
      </w:r>
      <w:r w:rsidR="00864CA3">
        <w:t xml:space="preserve">were </w:t>
      </w:r>
      <w:r>
        <w:t xml:space="preserve">remapped to a common </w:t>
      </w:r>
      <w:r w:rsidRPr="0045734B">
        <w:t>1</w:t>
      </w:r>
      <w:r>
        <w:t xml:space="preserve">° latitude-longitude grid before statistical downscaling. Similarly, both Daymet and Livneh </w:t>
      </w:r>
      <w:r w:rsidR="00864CA3">
        <w:t xml:space="preserve">were </w:t>
      </w:r>
      <w:r>
        <w:t xml:space="preserve">remapped to a common 1/24° (~4 km) latitude-longitude grid as the targeted resolution of downscaling. DBCCA includes four main steps, in which steps 1–2 are conducted at the </w:t>
      </w:r>
      <w:r w:rsidRPr="0045734B">
        <w:t>1</w:t>
      </w:r>
      <w:r>
        <w:t>° grid</w:t>
      </w:r>
      <w:r w:rsidR="00C767AE">
        <w:t>,</w:t>
      </w:r>
      <w:r>
        <w:t xml:space="preserve"> and steps 3–4 are conducted at the 1/24° grid resolution.</w:t>
      </w:r>
    </w:p>
    <w:p w14:paraId="622439F9" w14:textId="12AACC22" w:rsidR="007F5D97" w:rsidRPr="0045734B" w:rsidRDefault="007F5D97" w:rsidP="00746728">
      <w:pPr>
        <w:pStyle w:val="BodyText"/>
        <w:numPr>
          <w:ilvl w:val="0"/>
          <w:numId w:val="18"/>
        </w:numPr>
        <w:ind w:left="432" w:hanging="432"/>
      </w:pPr>
      <w:r w:rsidRPr="00901AAE">
        <w:rPr>
          <w:i/>
          <w:iCs/>
        </w:rPr>
        <w:t>First</w:t>
      </w:r>
      <w:r w:rsidR="00033D39" w:rsidRPr="00901AAE">
        <w:rPr>
          <w:i/>
          <w:iCs/>
        </w:rPr>
        <w:t xml:space="preserve"> </w:t>
      </w:r>
      <w:r w:rsidR="00033D39">
        <w:rPr>
          <w:i/>
          <w:iCs/>
        </w:rPr>
        <w:t>b</w:t>
      </w:r>
      <w:r w:rsidR="00033D39" w:rsidRPr="00901AAE">
        <w:rPr>
          <w:i/>
          <w:iCs/>
        </w:rPr>
        <w:t>ias corr</w:t>
      </w:r>
      <w:r w:rsidRPr="00901AAE">
        <w:rPr>
          <w:i/>
          <w:iCs/>
        </w:rPr>
        <w:t>ection</w:t>
      </w:r>
      <w:r>
        <w:rPr>
          <w:i/>
          <w:iCs/>
        </w:rPr>
        <w:t xml:space="preserve"> </w:t>
      </w:r>
      <w:r>
        <w:t xml:space="preserve">(at </w:t>
      </w:r>
      <w:r w:rsidRPr="0045734B">
        <w:t>1</w:t>
      </w:r>
      <w:r>
        <w:t>° grid resolution):</w:t>
      </w:r>
      <w:r w:rsidRPr="0045734B">
        <w:t xml:space="preserve"> </w:t>
      </w:r>
      <w:r w:rsidR="001B1231">
        <w:t>The observations are first aggregated to the same 1° latitude-longitude GCM grid. For each calendar day and each GCM grid, a 31-day (</w:t>
      </w:r>
      <w:r w:rsidR="001B1231" w:rsidRPr="0045734B">
        <w:t>±15 days</w:t>
      </w:r>
      <w:r w:rsidR="001B1231">
        <w:t>) window is used to create the cumulative distributions across all years from observations, GCM baseline, and GCM future.</w:t>
      </w:r>
      <w:r w:rsidR="001B1231" w:rsidRPr="0045734B">
        <w:t xml:space="preserve"> </w:t>
      </w:r>
      <w:r w:rsidR="001B1231">
        <w:t>Bias correction is then applied to the daily GCM output</w:t>
      </w:r>
      <w:r w:rsidR="001B1231" w:rsidRPr="0045734B">
        <w:t xml:space="preserve"> using a quantile mapping approach</w:t>
      </w:r>
      <w:r w:rsidR="001B1231">
        <w:t xml:space="preserve"> </w:t>
      </w:r>
      <w:r w:rsidR="001B1231" w:rsidRPr="0022368C">
        <w:t>(</w:t>
      </w:r>
      <w:r w:rsidR="001B1231" w:rsidRPr="000D27C0">
        <w:t>Thrasher et al., 2012</w:t>
      </w:r>
      <w:r w:rsidR="001B1231" w:rsidRPr="0022368C">
        <w:t>).</w:t>
      </w:r>
      <w:r w:rsidR="001B1231" w:rsidRPr="00684AA5">
        <w:t xml:space="preserve"> </w:t>
      </w:r>
      <w:r w:rsidR="001B1231">
        <w:t>For precipitation, a</w:t>
      </w:r>
      <w:r w:rsidR="001B1231" w:rsidRPr="0045734B">
        <w:t xml:space="preserve"> maximum of 150% </w:t>
      </w:r>
      <w:r w:rsidR="00613143" w:rsidRPr="0045734B">
        <w:t>future</w:t>
      </w:r>
      <w:r w:rsidR="00613143">
        <w:t>-</w:t>
      </w:r>
      <w:r w:rsidR="00613143" w:rsidRPr="0045734B">
        <w:t>to</w:t>
      </w:r>
      <w:r w:rsidR="00613143">
        <w:t>-</w:t>
      </w:r>
      <w:r w:rsidR="001B1231" w:rsidRPr="0045734B">
        <w:t xml:space="preserve">baseline quantile ratio is </w:t>
      </w:r>
      <w:r w:rsidR="001B1231">
        <w:t>enforced to avoid unreasonably large adjustment</w:t>
      </w:r>
      <w:r w:rsidR="00613143">
        <w:t>s</w:t>
      </w:r>
      <w:r w:rsidR="001B1231">
        <w:t xml:space="preserve"> </w:t>
      </w:r>
      <w:r w:rsidR="001B1231" w:rsidRPr="0022368C">
        <w:t>(</w:t>
      </w:r>
      <w:r w:rsidR="001B1231" w:rsidRPr="000D27C0">
        <w:t>Gutman et al., 2014</w:t>
      </w:r>
      <w:r w:rsidR="00FA7BE1">
        <w:t>)</w:t>
      </w:r>
      <w:r w:rsidRPr="0045734B">
        <w:t>.</w:t>
      </w:r>
    </w:p>
    <w:p w14:paraId="22D0EAC3" w14:textId="1E3F89ED" w:rsidR="007F5D97" w:rsidRPr="0045734B" w:rsidRDefault="007F5D97" w:rsidP="00746728">
      <w:pPr>
        <w:pStyle w:val="BodyText"/>
        <w:numPr>
          <w:ilvl w:val="0"/>
          <w:numId w:val="18"/>
        </w:numPr>
        <w:ind w:left="432" w:hanging="432"/>
      </w:pPr>
      <w:r w:rsidRPr="00901AAE">
        <w:rPr>
          <w:i/>
          <w:iCs/>
        </w:rPr>
        <w:t>Analogu</w:t>
      </w:r>
      <w:r w:rsidR="00033D39" w:rsidRPr="00901AAE">
        <w:rPr>
          <w:i/>
          <w:iCs/>
        </w:rPr>
        <w:t>e selection and weight dete</w:t>
      </w:r>
      <w:r w:rsidRPr="00901AAE">
        <w:rPr>
          <w:i/>
          <w:iCs/>
        </w:rPr>
        <w:t>rmination</w:t>
      </w:r>
      <w:r>
        <w:t xml:space="preserve"> (at </w:t>
      </w:r>
      <w:r w:rsidRPr="0045734B">
        <w:t>1</w:t>
      </w:r>
      <w:r>
        <w:t>° grid resolution):</w:t>
      </w:r>
      <w:r w:rsidRPr="0045734B">
        <w:t xml:space="preserve"> </w:t>
      </w:r>
      <w:r>
        <w:t xml:space="preserve">For each </w:t>
      </w:r>
      <w:r w:rsidRPr="0045734B">
        <w:t xml:space="preserve">GCM </w:t>
      </w:r>
      <w:r>
        <w:t>day, a 91-day (</w:t>
      </w:r>
      <w:r w:rsidRPr="0045734B">
        <w:t>±45 days</w:t>
      </w:r>
      <w:r>
        <w:t>)</w:t>
      </w:r>
      <w:r w:rsidRPr="0045734B">
        <w:t xml:space="preserve"> window </w:t>
      </w:r>
      <w:r>
        <w:t xml:space="preserve">is used to create a historic library across all years in observation. A total of </w:t>
      </w:r>
      <w:r w:rsidRPr="0045734B">
        <w:t xml:space="preserve">30 analogues </w:t>
      </w:r>
      <w:r>
        <w:t>from the historic library that best match the spatial pattern</w:t>
      </w:r>
      <w:r w:rsidRPr="0045734B">
        <w:t xml:space="preserve"> of </w:t>
      </w:r>
      <w:r>
        <w:t xml:space="preserve">the targeted </w:t>
      </w:r>
      <w:r w:rsidRPr="0045734B">
        <w:t xml:space="preserve">GCM </w:t>
      </w:r>
      <w:r>
        <w:t>day are selected</w:t>
      </w:r>
      <w:r w:rsidRPr="0045734B">
        <w:t xml:space="preserve">. </w:t>
      </w:r>
      <w:r w:rsidR="00613143">
        <w:t>A s</w:t>
      </w:r>
      <w:r w:rsidRPr="0045734B">
        <w:t xml:space="preserve">tatistical regression </w:t>
      </w:r>
      <w:r>
        <w:t xml:space="preserve">technique </w:t>
      </w:r>
      <w:r w:rsidRPr="0045734B">
        <w:t xml:space="preserve">is then </w:t>
      </w:r>
      <w:r>
        <w:t>used</w:t>
      </w:r>
      <w:r w:rsidRPr="0045734B">
        <w:t xml:space="preserve"> to determine </w:t>
      </w:r>
      <w:r w:rsidR="00613143">
        <w:t>the</w:t>
      </w:r>
      <w:r w:rsidRPr="0045734B">
        <w:t xml:space="preserve"> weights </w:t>
      </w:r>
      <w:r>
        <w:t>of</w:t>
      </w:r>
      <w:r w:rsidRPr="0045734B">
        <w:t xml:space="preserve"> each analogue</w:t>
      </w:r>
      <w:r>
        <w:t xml:space="preserve"> (</w:t>
      </w:r>
      <w:r w:rsidRPr="00401E56">
        <w:t>Maurer et al.</w:t>
      </w:r>
      <w:r>
        <w:t xml:space="preserve">, </w:t>
      </w:r>
      <w:r w:rsidRPr="00401E56">
        <w:t>2010</w:t>
      </w:r>
      <w:r>
        <w:t>)</w:t>
      </w:r>
      <w:r w:rsidRPr="0045734B">
        <w:t>.</w:t>
      </w:r>
    </w:p>
    <w:p w14:paraId="3CCA92EE" w14:textId="4767E237" w:rsidR="007F5D97" w:rsidRDefault="007F5D97" w:rsidP="00746728">
      <w:pPr>
        <w:pStyle w:val="BodyText"/>
        <w:numPr>
          <w:ilvl w:val="0"/>
          <w:numId w:val="18"/>
        </w:numPr>
        <w:ind w:left="432" w:hanging="432"/>
        <w:rPr>
          <w:lang w:eastAsia="zh-TW"/>
        </w:rPr>
      </w:pPr>
      <w:r w:rsidRPr="007F5D97">
        <w:rPr>
          <w:i/>
          <w:iCs/>
        </w:rPr>
        <w:t xml:space="preserve">Construct </w:t>
      </w:r>
      <w:r w:rsidR="00033D39" w:rsidRPr="007F5D97">
        <w:rPr>
          <w:i/>
          <w:iCs/>
        </w:rPr>
        <w:t>analogue</w:t>
      </w:r>
      <w:r w:rsidR="00033D39">
        <w:t xml:space="preserve"> </w:t>
      </w:r>
      <w:r>
        <w:t xml:space="preserve">(at </w:t>
      </w:r>
      <w:r w:rsidRPr="0045734B">
        <w:t>1</w:t>
      </w:r>
      <w:r>
        <w:t>/24° grid resolution)</w:t>
      </w:r>
      <w:r w:rsidRPr="006553BF">
        <w:t>:</w:t>
      </w:r>
      <w:r w:rsidRPr="00B42487">
        <w:t xml:space="preserve"> </w:t>
      </w:r>
      <w:r>
        <w:t>By assuming the same analogues and weights exist at both spatial resolutions, the previous step is reversed. The 30 analogues</w:t>
      </w:r>
      <w:r w:rsidRPr="0045734B">
        <w:t xml:space="preserve"> </w:t>
      </w:r>
      <w:r>
        <w:t>from observation at the 1/24° grid are first looked up. A linear combination of these 30 analogues</w:t>
      </w:r>
      <w:r w:rsidRPr="0045734B">
        <w:t xml:space="preserve"> </w:t>
      </w:r>
      <w:r>
        <w:t>with the</w:t>
      </w:r>
      <w:r w:rsidR="004B485F">
        <w:t>ir</w:t>
      </w:r>
      <w:r>
        <w:t xml:space="preserve"> identified weights is formed as the downscaled climate variable. Output at this step is the conventional BCCA.</w:t>
      </w:r>
    </w:p>
    <w:p w14:paraId="09FC9BF4" w14:textId="7D6BFA4D" w:rsidR="007F5D97" w:rsidRDefault="007F5D97" w:rsidP="00746728">
      <w:pPr>
        <w:pStyle w:val="BodyText"/>
        <w:numPr>
          <w:ilvl w:val="0"/>
          <w:numId w:val="18"/>
        </w:numPr>
        <w:ind w:left="432" w:hanging="432"/>
        <w:rPr>
          <w:lang w:eastAsia="zh-TW"/>
        </w:rPr>
      </w:pPr>
      <w:r w:rsidRPr="007F5D97">
        <w:rPr>
          <w:i/>
          <w:iCs/>
        </w:rPr>
        <w:t xml:space="preserve">Second </w:t>
      </w:r>
      <w:r w:rsidR="00033D39" w:rsidRPr="007F5D97">
        <w:rPr>
          <w:i/>
          <w:iCs/>
        </w:rPr>
        <w:t>bias correcti</w:t>
      </w:r>
      <w:r w:rsidRPr="007F5D97">
        <w:rPr>
          <w:i/>
          <w:iCs/>
        </w:rPr>
        <w:t>on</w:t>
      </w:r>
      <w:r>
        <w:t xml:space="preserve"> (at </w:t>
      </w:r>
      <w:r w:rsidRPr="0045734B">
        <w:t>1</w:t>
      </w:r>
      <w:r>
        <w:t>/24° grid resolution)</w:t>
      </w:r>
      <w:r w:rsidRPr="006553BF">
        <w:t>:</w:t>
      </w:r>
      <w:r w:rsidRPr="007F5D97">
        <w:rPr>
          <w:i/>
          <w:iCs/>
        </w:rPr>
        <w:t xml:space="preserve"> </w:t>
      </w:r>
      <w:r>
        <w:t>A</w:t>
      </w:r>
      <w:r w:rsidRPr="0045734B">
        <w:t xml:space="preserve"> second daily </w:t>
      </w:r>
      <w:r>
        <w:t>bias correction</w:t>
      </w:r>
      <w:r w:rsidRPr="0045734B">
        <w:t xml:space="preserve"> is applied to the </w:t>
      </w:r>
      <w:r>
        <w:t>1/24° constructed analogues</w:t>
      </w:r>
      <w:r w:rsidRPr="0045734B">
        <w:t xml:space="preserve"> to generate the </w:t>
      </w:r>
      <w:r w:rsidR="003E11C3" w:rsidRPr="0045734B">
        <w:t>results</w:t>
      </w:r>
      <w:r w:rsidRPr="0045734B">
        <w:t xml:space="preserve"> of </w:t>
      </w:r>
      <w:r w:rsidR="003E11C3">
        <w:t>the</w:t>
      </w:r>
      <w:r w:rsidRPr="0045734B">
        <w:t xml:space="preserve"> DBCCA.</w:t>
      </w:r>
      <w:r w:rsidRPr="00771AFA">
        <w:t xml:space="preserve"> </w:t>
      </w:r>
      <w:r w:rsidR="003E11C3">
        <w:t>T</w:t>
      </w:r>
      <w:r>
        <w:t xml:space="preserve">o maintain a reasonable </w:t>
      </w:r>
      <w:r w:rsidRPr="0045734B">
        <w:t>diurnal temperature range</w:t>
      </w:r>
      <w:r>
        <w:t xml:space="preserve"> (</w:t>
      </w:r>
      <w:r w:rsidRPr="00771AFA">
        <w:t>Thrasher et al., 2012</w:t>
      </w:r>
      <w:r>
        <w:t>), the second bias correction on T</w:t>
      </w:r>
      <w:r w:rsidRPr="007F5D97">
        <w:rPr>
          <w:vertAlign w:val="subscript"/>
        </w:rPr>
        <w:t>max</w:t>
      </w:r>
      <w:r>
        <w:t xml:space="preserve"> and </w:t>
      </w:r>
      <w:bookmarkStart w:id="109" w:name="_Hlk106626116"/>
      <w:r w:rsidR="00187E2F" w:rsidRPr="003D6F00">
        <w:rPr>
          <w:rFonts w:eastAsia="Times New Roman"/>
        </w:rPr>
        <w:t>diurnal temperature range</w:t>
      </w:r>
      <w:bookmarkEnd w:id="109"/>
      <w:r w:rsidR="0085522D">
        <w:t xml:space="preserve"> is applied</w:t>
      </w:r>
      <w:r w:rsidRPr="0045734B">
        <w:t xml:space="preserve">. </w:t>
      </w:r>
      <w:r w:rsidR="005927A3">
        <w:t xml:space="preserve">Then, </w:t>
      </w:r>
      <w:r>
        <w:t>T</w:t>
      </w:r>
      <w:r w:rsidRPr="007F5D97">
        <w:rPr>
          <w:vertAlign w:val="subscript"/>
        </w:rPr>
        <w:t>min</w:t>
      </w:r>
      <w:r>
        <w:t xml:space="preserve"> </w:t>
      </w:r>
      <w:r w:rsidRPr="0045734B">
        <w:t xml:space="preserve">is calculated based on the corrected </w:t>
      </w:r>
      <w:r>
        <w:t>T</w:t>
      </w:r>
      <w:r w:rsidRPr="007F5D97">
        <w:rPr>
          <w:vertAlign w:val="subscript"/>
        </w:rPr>
        <w:t>max</w:t>
      </w:r>
      <w:r>
        <w:t xml:space="preserve"> </w:t>
      </w:r>
      <w:r w:rsidRPr="0045734B">
        <w:t xml:space="preserve">and </w:t>
      </w:r>
      <w:r w:rsidR="00187E2F" w:rsidRPr="003D6F00">
        <w:rPr>
          <w:rFonts w:eastAsia="Times New Roman"/>
        </w:rPr>
        <w:t>diurnal temperature range</w:t>
      </w:r>
      <w:r w:rsidRPr="0045734B">
        <w:t>.</w:t>
      </w:r>
      <w:r>
        <w:t xml:space="preserve"> </w:t>
      </w:r>
      <w:r w:rsidR="0085522D">
        <w:t>W</w:t>
      </w:r>
      <w:r>
        <w:t>ind</w:t>
      </w:r>
      <w:r w:rsidR="00AE097C">
        <w:t>-</w:t>
      </w:r>
      <w:r>
        <w:t xml:space="preserve">speed </w:t>
      </w:r>
      <w:r w:rsidR="0085522D">
        <w:t xml:space="preserve">bias </w:t>
      </w:r>
      <w:r w:rsidR="00D13D6E">
        <w:t>is</w:t>
      </w:r>
      <w:r w:rsidR="0085522D">
        <w:t xml:space="preserve"> also corrected</w:t>
      </w:r>
      <w:r>
        <w:t xml:space="preserve"> </w:t>
      </w:r>
      <w:r w:rsidR="0085522D">
        <w:t xml:space="preserve">to be </w:t>
      </w:r>
      <w:r>
        <w:t xml:space="preserve">consistent with the </w:t>
      </w:r>
      <w:r w:rsidR="00AE097C">
        <w:t>wind-</w:t>
      </w:r>
      <w:r>
        <w:t xml:space="preserve">speed data used </w:t>
      </w:r>
      <w:r w:rsidR="0085522D">
        <w:t>in</w:t>
      </w:r>
      <w:r>
        <w:t xml:space="preserve"> Daymet and Livneh.</w:t>
      </w:r>
      <w:r w:rsidR="00FA7BE1">
        <w:t xml:space="preserve"> This final step is also the same </w:t>
      </w:r>
      <w:r w:rsidR="00FA7BE1" w:rsidRPr="00FA7BE1">
        <w:t>daily bias</w:t>
      </w:r>
      <w:r w:rsidR="003B2B16">
        <w:t xml:space="preserve"> </w:t>
      </w:r>
      <w:r w:rsidR="00FA7BE1" w:rsidRPr="00FA7BE1">
        <w:t xml:space="preserve">correction </w:t>
      </w:r>
      <w:r w:rsidR="00FA7BE1">
        <w:t xml:space="preserve">approach used to correct the raw RegCM4 outputs. Keeping the same </w:t>
      </w:r>
      <w:r w:rsidR="00E934FE">
        <w:t xml:space="preserve">final </w:t>
      </w:r>
      <w:r w:rsidR="00FA7BE1">
        <w:t>bias</w:t>
      </w:r>
      <w:r w:rsidR="003B2B16">
        <w:t xml:space="preserve"> </w:t>
      </w:r>
      <w:r w:rsidR="00FA7BE1">
        <w:t xml:space="preserve">correction </w:t>
      </w:r>
      <w:r w:rsidR="00E934FE">
        <w:t xml:space="preserve">step </w:t>
      </w:r>
      <w:r w:rsidR="00FA7BE1">
        <w:t xml:space="preserve">can reduce some additional differences </w:t>
      </w:r>
      <w:r w:rsidR="00E934FE">
        <w:t xml:space="preserve">from </w:t>
      </w:r>
      <w:r w:rsidR="00E4533A">
        <w:t xml:space="preserve">the </w:t>
      </w:r>
      <w:r w:rsidR="00804F84">
        <w:t xml:space="preserve">choice of </w:t>
      </w:r>
      <w:r w:rsidR="00E4533A">
        <w:t>bias</w:t>
      </w:r>
      <w:r w:rsidR="003B2B16">
        <w:t xml:space="preserve"> </w:t>
      </w:r>
      <w:r w:rsidR="00E4533A">
        <w:t>correction</w:t>
      </w:r>
      <w:r w:rsidR="00804F84">
        <w:t xml:space="preserve"> approach</w:t>
      </w:r>
      <w:r w:rsidR="00E4533A">
        <w:t>.</w:t>
      </w:r>
    </w:p>
    <w:p w14:paraId="1B763AA1" w14:textId="36A24153" w:rsidR="00A1687C" w:rsidRPr="004856AD" w:rsidRDefault="00AD4CB3" w:rsidP="00A1687C">
      <w:pPr>
        <w:pStyle w:val="Heading3"/>
      </w:pPr>
      <w:bookmarkStart w:id="110" w:name="_Toc113380773"/>
      <w:r>
        <w:t>Performance Evaluation</w:t>
      </w:r>
      <w:bookmarkEnd w:id="110"/>
    </w:p>
    <w:p w14:paraId="52489D29" w14:textId="4AD44B9A" w:rsidR="00B535F1" w:rsidRDefault="00B535F1" w:rsidP="00B731CD">
      <w:pPr>
        <w:pStyle w:val="BodyText"/>
        <w:rPr>
          <w:bCs/>
          <w:szCs w:val="20"/>
        </w:rPr>
      </w:pPr>
      <w:r>
        <w:t xml:space="preserve">To evaluate the </w:t>
      </w:r>
      <w:r w:rsidR="00E806A4">
        <w:t xml:space="preserve">overall </w:t>
      </w:r>
      <w:r>
        <w:t>performance, the output from GCM, RCM, bias-corrected RCM</w:t>
      </w:r>
      <w:r w:rsidR="00D705DA">
        <w:t>,</w:t>
      </w:r>
      <w:r>
        <w:t xml:space="preserve"> and DBCCA </w:t>
      </w:r>
      <w:r w:rsidR="005927A3">
        <w:t xml:space="preserve">were </w:t>
      </w:r>
      <w:r>
        <w:t xml:space="preserve">compared with </w:t>
      </w:r>
      <w:r w:rsidRPr="000D5FBF">
        <w:t>observations (</w:t>
      </w:r>
      <w:r>
        <w:fldChar w:fldCharType="begin"/>
      </w:r>
      <w:r>
        <w:instrText xml:space="preserve"> REF _Ref72825934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9</w:t>
      </w:r>
      <w:r>
        <w:fldChar w:fldCharType="end"/>
      </w:r>
      <w:r w:rsidR="005E718B">
        <w:t xml:space="preserve">, </w:t>
      </w:r>
      <w:r w:rsidR="005E718B">
        <w:fldChar w:fldCharType="begin"/>
      </w:r>
      <w:r w:rsidR="005E718B">
        <w:instrText xml:space="preserve"> REF _Ref95316429 \h </w:instrText>
      </w:r>
      <w:r w:rsidR="005E718B">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10</w:t>
      </w:r>
      <w:r w:rsidR="005E718B">
        <w:fldChar w:fldCharType="end"/>
      </w:r>
      <w:r w:rsidR="005E718B">
        <w:t xml:space="preserve">, </w:t>
      </w:r>
      <w:r w:rsidR="005E718B">
        <w:fldChar w:fldCharType="begin"/>
      </w:r>
      <w:r w:rsidR="005E718B">
        <w:instrText xml:space="preserve"> REF _Ref95316434 \h </w:instrText>
      </w:r>
      <w:r w:rsidR="005E718B">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11</w:t>
      </w:r>
      <w:r w:rsidR="005E718B">
        <w:fldChar w:fldCharType="end"/>
      </w:r>
      <w:r w:rsidR="005927A3">
        <w:t>,</w:t>
      </w:r>
      <w:r w:rsidR="00E75AB2">
        <w:t xml:space="preserve"> and </w:t>
      </w:r>
      <w:r w:rsidR="00E75AB2">
        <w:fldChar w:fldCharType="begin"/>
      </w:r>
      <w:r w:rsidR="00E75AB2">
        <w:instrText xml:space="preserve"> REF _Ref81815154 \n \h </w:instrText>
      </w:r>
      <w:r w:rsidR="00E75AB2">
        <w:fldChar w:fldCharType="separate"/>
      </w:r>
      <w:r w:rsidR="00EE0BF5">
        <w:t>APPENDIX D</w:t>
      </w:r>
      <w:r w:rsidR="00E75AB2">
        <w:fldChar w:fldCharType="end"/>
      </w:r>
      <w:r w:rsidRPr="000D5FBF">
        <w:t>).</w:t>
      </w:r>
      <w:r>
        <w:t xml:space="preserve"> </w:t>
      </w:r>
      <w:r w:rsidR="00490B2A" w:rsidRPr="00490B2A">
        <w:t xml:space="preserve">All evaluations were performed at 1/24° grid for </w:t>
      </w:r>
      <w:r w:rsidR="00C438BC">
        <w:t xml:space="preserve">the </w:t>
      </w:r>
      <w:r w:rsidR="00490B2A" w:rsidRPr="00490B2A">
        <w:t>1980</w:t>
      </w:r>
      <w:r w:rsidR="00490B2A">
        <w:t>–</w:t>
      </w:r>
      <w:r w:rsidR="00490B2A" w:rsidRPr="00490B2A">
        <w:t xml:space="preserve">2018 </w:t>
      </w:r>
      <w:r w:rsidR="007636EB">
        <w:t xml:space="preserve">historic </w:t>
      </w:r>
      <w:r w:rsidR="00490B2A" w:rsidRPr="00490B2A">
        <w:t xml:space="preserve">period. </w:t>
      </w:r>
      <w:r>
        <w:t>The heat maps show</w:t>
      </w:r>
      <w:r w:rsidR="00F266E8">
        <w:t xml:space="preserve"> the</w:t>
      </w:r>
      <w:r>
        <w:t xml:space="preserve"> </w:t>
      </w:r>
      <w:r w:rsidRPr="008E32BE">
        <w:t>Pearson product-moment coefficient of linear correlation</w:t>
      </w:r>
      <w:r>
        <w:t xml:space="preserve">, also known as </w:t>
      </w:r>
      <w:r w:rsidRPr="000743FC">
        <w:rPr>
          <w:i/>
          <w:iCs/>
        </w:rPr>
        <w:t>pattern correlation</w:t>
      </w:r>
      <w:r w:rsidR="00E03F34">
        <w:t xml:space="preserve"> (PC)</w:t>
      </w:r>
      <w:r w:rsidR="008C015B">
        <w:t>; the</w:t>
      </w:r>
      <w:r w:rsidR="008C015B" w:rsidRPr="0045734B">
        <w:t xml:space="preserve"> </w:t>
      </w:r>
      <w:r w:rsidRPr="0045734B">
        <w:t>ratio of spatial standard deviation (ROS)</w:t>
      </w:r>
      <w:r w:rsidR="008C015B">
        <w:t>;</w:t>
      </w:r>
      <w:r w:rsidRPr="0045734B">
        <w:t xml:space="preserve"> and </w:t>
      </w:r>
      <w:r w:rsidR="008C015B">
        <w:t>the</w:t>
      </w:r>
      <w:r w:rsidRPr="0045734B">
        <w:t xml:space="preserve"> absolute bias</w:t>
      </w:r>
      <w:r>
        <w:t xml:space="preserve"> in various metrics in the models </w:t>
      </w:r>
      <w:r w:rsidR="002D7F87">
        <w:t>for</w:t>
      </w:r>
      <w:r>
        <w:t xml:space="preserve"> Livneh and Daymet observations.</w:t>
      </w:r>
      <w:r w:rsidRPr="0045734B">
        <w:t xml:space="preserve"> </w:t>
      </w:r>
      <w:r>
        <w:t xml:space="preserve">The evaluated metrics </w:t>
      </w:r>
      <w:r w:rsidRPr="0045734B">
        <w:t>in</w:t>
      </w:r>
      <w:r>
        <w:t>clude</w:t>
      </w:r>
      <w:r w:rsidR="005927A3">
        <w:t>d</w:t>
      </w:r>
      <w:r w:rsidRPr="0045734B">
        <w:t xml:space="preserve"> </w:t>
      </w:r>
      <w:r>
        <w:t xml:space="preserve">the </w:t>
      </w:r>
      <w:r w:rsidRPr="0045734B">
        <w:t xml:space="preserve">annual and seasonal </w:t>
      </w:r>
      <w:r>
        <w:t>magnitudes of P, T</w:t>
      </w:r>
      <w:r w:rsidRPr="001B03D6">
        <w:rPr>
          <w:vertAlign w:val="subscript"/>
        </w:rPr>
        <w:t>max</w:t>
      </w:r>
      <w:r w:rsidR="00E61A16" w:rsidRPr="009746FD">
        <w:t>,</w:t>
      </w:r>
      <w:r>
        <w:t xml:space="preserve"> and T</w:t>
      </w:r>
      <w:r w:rsidRPr="001B03D6">
        <w:rPr>
          <w:vertAlign w:val="subscript"/>
        </w:rPr>
        <w:t>min</w:t>
      </w:r>
      <w:r w:rsidR="005927A3">
        <w:t>,</w:t>
      </w:r>
      <w:r>
        <w:t xml:space="preserve"> and </w:t>
      </w:r>
      <w:r w:rsidR="00E61A16">
        <w:t>the</w:t>
      </w:r>
      <w:r>
        <w:t xml:space="preserve"> annual magnitudes of </w:t>
      </w:r>
      <w:r w:rsidR="00E61A16">
        <w:t>the</w:t>
      </w:r>
      <w:r>
        <w:t xml:space="preserve"> </w:t>
      </w:r>
      <w:r w:rsidR="00662620">
        <w:t>95</w:t>
      </w:r>
      <w:r w:rsidR="00FA458A" w:rsidRPr="00FA458A">
        <w:t>th</w:t>
      </w:r>
      <w:r>
        <w:t xml:space="preserve"> percentile of P (P</w:t>
      </w:r>
      <w:r w:rsidRPr="004245D5">
        <w:rPr>
          <w:vertAlign w:val="subscript"/>
        </w:rPr>
        <w:t>95</w:t>
      </w:r>
      <w:r>
        <w:t xml:space="preserve">), </w:t>
      </w:r>
      <w:r w:rsidR="00662620">
        <w:t>95</w:t>
      </w:r>
      <w:r w:rsidR="00FA458A" w:rsidRPr="00FA458A">
        <w:t>th</w:t>
      </w:r>
      <w:r w:rsidR="00175DA8">
        <w:t xml:space="preserve"> </w:t>
      </w:r>
      <w:r>
        <w:t>percentile of T</w:t>
      </w:r>
      <w:r w:rsidRPr="001B03D6">
        <w:rPr>
          <w:vertAlign w:val="subscript"/>
        </w:rPr>
        <w:t>max</w:t>
      </w:r>
      <w:r>
        <w:t xml:space="preserve"> (T</w:t>
      </w:r>
      <w:r w:rsidRPr="004245D5">
        <w:rPr>
          <w:vertAlign w:val="subscript"/>
        </w:rPr>
        <w:t>95</w:t>
      </w:r>
      <w:r>
        <w:t>),</w:t>
      </w:r>
      <w:r w:rsidR="004B5CC9">
        <w:t xml:space="preserve"> 5</w:t>
      </w:r>
      <w:r w:rsidR="00FA458A" w:rsidRPr="00FA458A">
        <w:t>th</w:t>
      </w:r>
      <w:r w:rsidR="00175DA8">
        <w:t xml:space="preserve"> </w:t>
      </w:r>
      <w:r>
        <w:t>percentile of T</w:t>
      </w:r>
      <w:r w:rsidRPr="001B03D6">
        <w:rPr>
          <w:vertAlign w:val="subscript"/>
        </w:rPr>
        <w:t>min</w:t>
      </w:r>
      <w:r>
        <w:rPr>
          <w:i/>
          <w:iCs/>
        </w:rPr>
        <w:t xml:space="preserve"> </w:t>
      </w:r>
      <w:r>
        <w:t>(T</w:t>
      </w:r>
      <w:r>
        <w:rPr>
          <w:vertAlign w:val="subscript"/>
        </w:rPr>
        <w:t>0</w:t>
      </w:r>
      <w:r w:rsidRPr="004245D5">
        <w:rPr>
          <w:vertAlign w:val="subscript"/>
        </w:rPr>
        <w:t>5</w:t>
      </w:r>
      <w:r>
        <w:t>), wet days defined as number of days with P above 1</w:t>
      </w:r>
      <w:r w:rsidR="00E61A16">
        <w:t xml:space="preserve"> </w:t>
      </w:r>
      <w:r>
        <w:t>mm (W</w:t>
      </w:r>
      <w:r w:rsidRPr="001B03D6">
        <w:rPr>
          <w:vertAlign w:val="subscript"/>
        </w:rPr>
        <w:t>days</w:t>
      </w:r>
      <w:r>
        <w:t>)</w:t>
      </w:r>
      <w:r w:rsidR="00E61A16">
        <w:t>,</w:t>
      </w:r>
      <w:r>
        <w:t xml:space="preserve"> and frost days defined as number of days with T</w:t>
      </w:r>
      <w:r w:rsidRPr="001B03D6">
        <w:rPr>
          <w:vertAlign w:val="subscript"/>
        </w:rPr>
        <w:t>min</w:t>
      </w:r>
      <w:r>
        <w:t xml:space="preserve"> below 0</w:t>
      </w:r>
      <w:r w:rsidR="009369B2">
        <w:rPr>
          <w:bCs/>
          <w:szCs w:val="20"/>
        </w:rPr>
        <w:t>°</w:t>
      </w:r>
      <w:r>
        <w:t xml:space="preserve">C </w:t>
      </w:r>
      <w:r w:rsidR="000743FC">
        <w:t>(32</w:t>
      </w:r>
      <w:r w:rsidR="000743FC">
        <w:rPr>
          <w:bCs/>
          <w:szCs w:val="20"/>
        </w:rPr>
        <w:t>°</w:t>
      </w:r>
      <w:r w:rsidR="000743FC">
        <w:t xml:space="preserve">F) </w:t>
      </w:r>
      <w:r>
        <w:t>(F</w:t>
      </w:r>
      <w:r w:rsidRPr="001B03D6">
        <w:rPr>
          <w:vertAlign w:val="subscript"/>
        </w:rPr>
        <w:t>days</w:t>
      </w:r>
      <w:r>
        <w:t>)</w:t>
      </w:r>
      <w:r w:rsidRPr="0045734B">
        <w:t>.</w:t>
      </w:r>
      <w:r>
        <w:t xml:space="preserve"> </w:t>
      </w:r>
      <w:r w:rsidR="00B0246C" w:rsidRPr="00A32098">
        <w:rPr>
          <w:bCs/>
          <w:szCs w:val="20"/>
        </w:rPr>
        <w:t xml:space="preserve">The simulations trained and/or corrected with an observation </w:t>
      </w:r>
      <w:r w:rsidR="005927A3">
        <w:rPr>
          <w:bCs/>
          <w:szCs w:val="20"/>
        </w:rPr>
        <w:t xml:space="preserve">were </w:t>
      </w:r>
      <w:r w:rsidR="00B0246C" w:rsidRPr="00A32098">
        <w:rPr>
          <w:bCs/>
          <w:szCs w:val="20"/>
        </w:rPr>
        <w:t xml:space="preserve">compared with the respective observation. </w:t>
      </w:r>
      <w:r w:rsidR="00EB46C8">
        <w:rPr>
          <w:bCs/>
          <w:szCs w:val="20"/>
        </w:rPr>
        <w:t xml:space="preserve">The </w:t>
      </w:r>
      <w:r w:rsidR="00B0246C">
        <w:rPr>
          <w:bCs/>
          <w:szCs w:val="20"/>
        </w:rPr>
        <w:t xml:space="preserve">PC </w:t>
      </w:r>
      <w:r w:rsidR="00EB46C8">
        <w:rPr>
          <w:bCs/>
          <w:szCs w:val="20"/>
        </w:rPr>
        <w:t>(</w:t>
      </w:r>
      <w:r w:rsidR="00B0246C">
        <w:fldChar w:fldCharType="begin"/>
      </w:r>
      <w:r w:rsidR="00B0246C">
        <w:instrText xml:space="preserve"> REF _Ref72825934 \h </w:instrText>
      </w:r>
      <w:r w:rsidR="00B0246C">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9</w:t>
      </w:r>
      <w:r w:rsidR="00B0246C">
        <w:fldChar w:fldCharType="end"/>
      </w:r>
      <w:r w:rsidR="00B0246C">
        <w:t>)</w:t>
      </w:r>
      <w:r w:rsidR="00B0246C" w:rsidRPr="00A32098">
        <w:rPr>
          <w:bCs/>
          <w:szCs w:val="20"/>
        </w:rPr>
        <w:t xml:space="preserve"> and </w:t>
      </w:r>
      <w:r w:rsidR="00B0246C">
        <w:rPr>
          <w:bCs/>
          <w:szCs w:val="20"/>
        </w:rPr>
        <w:t xml:space="preserve">ROS </w:t>
      </w:r>
      <w:r w:rsidR="00EB46C8">
        <w:rPr>
          <w:bCs/>
          <w:szCs w:val="20"/>
        </w:rPr>
        <w:t>(</w:t>
      </w:r>
      <w:r w:rsidR="00B0246C">
        <w:fldChar w:fldCharType="begin"/>
      </w:r>
      <w:r w:rsidR="00B0246C">
        <w:instrText xml:space="preserve"> REF _Ref95316429 \h </w:instrText>
      </w:r>
      <w:r w:rsidR="00B0246C">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10</w:t>
      </w:r>
      <w:r w:rsidR="00B0246C">
        <w:fldChar w:fldCharType="end"/>
      </w:r>
      <w:r w:rsidR="00B0246C">
        <w:rPr>
          <w:bCs/>
          <w:szCs w:val="20"/>
        </w:rPr>
        <w:t>)</w:t>
      </w:r>
      <w:r w:rsidR="00B0246C" w:rsidRPr="00A32098">
        <w:rPr>
          <w:bCs/>
          <w:szCs w:val="20"/>
        </w:rPr>
        <w:t xml:space="preserve"> </w:t>
      </w:r>
      <w:r w:rsidR="005927A3">
        <w:rPr>
          <w:bCs/>
          <w:szCs w:val="20"/>
        </w:rPr>
        <w:t xml:space="preserve">were </w:t>
      </w:r>
      <w:r w:rsidR="00B0246C" w:rsidRPr="00A32098">
        <w:rPr>
          <w:bCs/>
          <w:szCs w:val="20"/>
        </w:rPr>
        <w:t>unitless</w:t>
      </w:r>
      <w:r w:rsidR="00B0246C">
        <w:rPr>
          <w:bCs/>
          <w:szCs w:val="20"/>
        </w:rPr>
        <w:t>,</w:t>
      </w:r>
      <w:r w:rsidR="00B0246C" w:rsidRPr="00A32098">
        <w:rPr>
          <w:bCs/>
          <w:szCs w:val="20"/>
        </w:rPr>
        <w:t xml:space="preserve"> </w:t>
      </w:r>
      <w:r w:rsidR="005927A3">
        <w:rPr>
          <w:bCs/>
          <w:szCs w:val="20"/>
        </w:rPr>
        <w:t xml:space="preserve">and </w:t>
      </w:r>
      <w:r w:rsidR="00B0246C" w:rsidRPr="00A32098">
        <w:rPr>
          <w:bCs/>
          <w:szCs w:val="20"/>
        </w:rPr>
        <w:t xml:space="preserve">biases </w:t>
      </w:r>
      <w:r w:rsidR="00E96FDD">
        <w:rPr>
          <w:bCs/>
          <w:szCs w:val="20"/>
        </w:rPr>
        <w:t>(</w:t>
      </w:r>
      <w:r w:rsidR="00E96FDD">
        <w:fldChar w:fldCharType="begin"/>
      </w:r>
      <w:r w:rsidR="00E96FDD">
        <w:instrText xml:space="preserve"> REF _Ref95316434 \h </w:instrText>
      </w:r>
      <w:r w:rsidR="00E96FDD">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11</w:t>
      </w:r>
      <w:r w:rsidR="00E96FDD">
        <w:fldChar w:fldCharType="end"/>
      </w:r>
      <w:r w:rsidR="00E96FDD">
        <w:rPr>
          <w:bCs/>
          <w:szCs w:val="20"/>
        </w:rPr>
        <w:t xml:space="preserve">) </w:t>
      </w:r>
      <w:r w:rsidR="005927A3">
        <w:rPr>
          <w:bCs/>
          <w:szCs w:val="20"/>
        </w:rPr>
        <w:t xml:space="preserve">were </w:t>
      </w:r>
      <w:r w:rsidR="00B0246C" w:rsidRPr="00A32098">
        <w:rPr>
          <w:bCs/>
          <w:szCs w:val="20"/>
        </w:rPr>
        <w:t>calculated as absolute with the units for T</w:t>
      </w:r>
      <w:r w:rsidR="00B0246C" w:rsidRPr="00A32098">
        <w:rPr>
          <w:bCs/>
          <w:szCs w:val="20"/>
          <w:vertAlign w:val="subscript"/>
        </w:rPr>
        <w:t>max</w:t>
      </w:r>
      <w:r w:rsidR="00B0246C" w:rsidRPr="00A32098">
        <w:rPr>
          <w:bCs/>
          <w:szCs w:val="20"/>
        </w:rPr>
        <w:t>, T</w:t>
      </w:r>
      <w:r w:rsidR="00B0246C" w:rsidRPr="00A32098">
        <w:rPr>
          <w:bCs/>
          <w:szCs w:val="20"/>
          <w:vertAlign w:val="subscript"/>
        </w:rPr>
        <w:t>min</w:t>
      </w:r>
      <w:r w:rsidR="00B0246C" w:rsidRPr="00A32098">
        <w:rPr>
          <w:bCs/>
          <w:szCs w:val="20"/>
        </w:rPr>
        <w:t>, T</w:t>
      </w:r>
      <w:r w:rsidR="00B0246C" w:rsidRPr="00A32098">
        <w:rPr>
          <w:bCs/>
          <w:szCs w:val="20"/>
          <w:vertAlign w:val="subscript"/>
        </w:rPr>
        <w:t>95</w:t>
      </w:r>
      <w:r w:rsidR="00B0246C" w:rsidRPr="00A32098">
        <w:rPr>
          <w:bCs/>
          <w:szCs w:val="20"/>
        </w:rPr>
        <w:t>, T</w:t>
      </w:r>
      <w:r w:rsidR="00B0246C" w:rsidRPr="00A32098">
        <w:rPr>
          <w:bCs/>
          <w:szCs w:val="20"/>
          <w:vertAlign w:val="subscript"/>
        </w:rPr>
        <w:t xml:space="preserve">05 </w:t>
      </w:r>
      <w:r w:rsidR="00B0246C" w:rsidRPr="00A32098">
        <w:rPr>
          <w:bCs/>
          <w:szCs w:val="20"/>
        </w:rPr>
        <w:t xml:space="preserve">in </w:t>
      </w:r>
      <w:r w:rsidR="005927A3">
        <w:rPr>
          <w:bCs/>
          <w:szCs w:val="20"/>
        </w:rPr>
        <w:t>degrees Celsius</w:t>
      </w:r>
      <w:r w:rsidR="00B0246C">
        <w:rPr>
          <w:bCs/>
          <w:szCs w:val="20"/>
        </w:rPr>
        <w:t>,</w:t>
      </w:r>
      <w:r w:rsidR="00B0246C" w:rsidRPr="00A32098">
        <w:rPr>
          <w:bCs/>
          <w:szCs w:val="20"/>
        </w:rPr>
        <w:t xml:space="preserve"> and P in </w:t>
      </w:r>
      <w:r w:rsidR="00B0246C">
        <w:rPr>
          <w:bCs/>
          <w:szCs w:val="20"/>
        </w:rPr>
        <w:t>mm/</w:t>
      </w:r>
      <w:r w:rsidR="00B0246C" w:rsidRPr="00A32098">
        <w:rPr>
          <w:bCs/>
          <w:szCs w:val="20"/>
        </w:rPr>
        <w:t>day</w:t>
      </w:r>
      <w:r w:rsidR="00B0246C">
        <w:rPr>
          <w:bCs/>
          <w:szCs w:val="20"/>
        </w:rPr>
        <w:t xml:space="preserve"> (</w:t>
      </w:r>
      <w:r w:rsidR="004677A3">
        <w:rPr>
          <w:bCs/>
          <w:szCs w:val="20"/>
        </w:rPr>
        <w:t xml:space="preserve">note: </w:t>
      </w:r>
      <w:r w:rsidR="00B0246C">
        <w:rPr>
          <w:bCs/>
          <w:szCs w:val="20"/>
        </w:rPr>
        <w:t xml:space="preserve">biases in </w:t>
      </w:r>
      <w:r w:rsidR="005927A3">
        <w:rPr>
          <w:bCs/>
          <w:szCs w:val="20"/>
        </w:rPr>
        <w:t xml:space="preserve">degrees Fahrenheit </w:t>
      </w:r>
      <w:r w:rsidR="00E96FDD">
        <w:rPr>
          <w:bCs/>
          <w:szCs w:val="20"/>
        </w:rPr>
        <w:t>and inch</w:t>
      </w:r>
      <w:r w:rsidR="005927A3">
        <w:rPr>
          <w:bCs/>
          <w:szCs w:val="20"/>
        </w:rPr>
        <w:t xml:space="preserve">es per </w:t>
      </w:r>
      <w:r w:rsidR="00E96FDD">
        <w:rPr>
          <w:bCs/>
          <w:szCs w:val="20"/>
        </w:rPr>
        <w:lastRenderedPageBreak/>
        <w:t xml:space="preserve">day </w:t>
      </w:r>
      <w:r w:rsidR="00B0246C">
        <w:rPr>
          <w:bCs/>
          <w:szCs w:val="20"/>
        </w:rPr>
        <w:t xml:space="preserve">are tabulated in </w:t>
      </w:r>
      <w:r w:rsidR="00B0246C">
        <w:fldChar w:fldCharType="begin"/>
      </w:r>
      <w:r w:rsidR="00B0246C">
        <w:instrText xml:space="preserve"> REF _Ref81815154 \n \h </w:instrText>
      </w:r>
      <w:r w:rsidR="00B0246C">
        <w:fldChar w:fldCharType="separate"/>
      </w:r>
      <w:r w:rsidR="00EE0BF5">
        <w:t>APPENDIX D</w:t>
      </w:r>
      <w:r w:rsidR="00B0246C">
        <w:fldChar w:fldCharType="end"/>
      </w:r>
      <w:r w:rsidR="00B0246C">
        <w:rPr>
          <w:bCs/>
          <w:szCs w:val="20"/>
        </w:rPr>
        <w:t>)</w:t>
      </w:r>
      <w:r w:rsidR="00B0246C" w:rsidRPr="00A32098">
        <w:rPr>
          <w:bCs/>
          <w:szCs w:val="20"/>
        </w:rPr>
        <w:t>. The biases in P</w:t>
      </w:r>
      <w:r w:rsidR="00B0246C" w:rsidRPr="00A32098">
        <w:rPr>
          <w:bCs/>
          <w:szCs w:val="20"/>
          <w:vertAlign w:val="subscript"/>
        </w:rPr>
        <w:t>95</w:t>
      </w:r>
      <w:r w:rsidR="00B0246C" w:rsidRPr="00A32098">
        <w:rPr>
          <w:bCs/>
          <w:szCs w:val="20"/>
        </w:rPr>
        <w:t>, W</w:t>
      </w:r>
      <w:r w:rsidR="00B0246C" w:rsidRPr="00A32098">
        <w:rPr>
          <w:bCs/>
          <w:szCs w:val="20"/>
          <w:vertAlign w:val="subscript"/>
        </w:rPr>
        <w:t>days</w:t>
      </w:r>
      <w:r w:rsidR="00B0246C">
        <w:rPr>
          <w:bCs/>
          <w:szCs w:val="20"/>
        </w:rPr>
        <w:t>,</w:t>
      </w:r>
      <w:r w:rsidR="00B0246C" w:rsidRPr="00A32098">
        <w:rPr>
          <w:bCs/>
          <w:szCs w:val="20"/>
        </w:rPr>
        <w:t xml:space="preserve"> and F</w:t>
      </w:r>
      <w:r w:rsidR="00B0246C" w:rsidRPr="00A32098">
        <w:rPr>
          <w:bCs/>
          <w:szCs w:val="20"/>
          <w:vertAlign w:val="subscript"/>
        </w:rPr>
        <w:t>days</w:t>
      </w:r>
      <w:r w:rsidR="00B0246C" w:rsidRPr="00A32098">
        <w:rPr>
          <w:bCs/>
          <w:szCs w:val="20"/>
        </w:rPr>
        <w:t xml:space="preserve"> </w:t>
      </w:r>
      <w:r w:rsidR="005927A3">
        <w:rPr>
          <w:bCs/>
          <w:szCs w:val="20"/>
        </w:rPr>
        <w:t xml:space="preserve">were </w:t>
      </w:r>
      <w:r w:rsidR="00B0246C" w:rsidRPr="00A32098">
        <w:rPr>
          <w:bCs/>
          <w:szCs w:val="20"/>
        </w:rPr>
        <w:t>normalized using the mean ensemble bias for presentation and comparison</w:t>
      </w:r>
      <w:r w:rsidR="00B0246C">
        <w:rPr>
          <w:bCs/>
          <w:szCs w:val="20"/>
        </w:rPr>
        <w:t>.</w:t>
      </w:r>
    </w:p>
    <w:p w14:paraId="42C99764" w14:textId="77777777" w:rsidR="00A6793D" w:rsidRDefault="00A6793D" w:rsidP="00A6793D">
      <w:pPr>
        <w:pStyle w:val="FIGUREposition"/>
      </w:pPr>
      <w:r>
        <w:rPr>
          <w:noProof/>
          <w:snapToGrid/>
        </w:rPr>
        <w:drawing>
          <wp:inline distT="0" distB="0" distL="0" distR="0" wp14:anchorId="02214288" wp14:editId="5102140D">
            <wp:extent cx="5943600" cy="35089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57"/>
                    <a:srcRect t="3868" r="1234" b="53725"/>
                    <a:stretch/>
                  </pic:blipFill>
                  <pic:spPr bwMode="auto">
                    <a:xfrm>
                      <a:off x="0" y="0"/>
                      <a:ext cx="5943600" cy="3508948"/>
                    </a:xfrm>
                    <a:prstGeom prst="rect">
                      <a:avLst/>
                    </a:prstGeom>
                    <a:ln>
                      <a:noFill/>
                    </a:ln>
                    <a:extLst>
                      <a:ext uri="{53640926-AAD7-44D8-BBD7-CCE9431645EC}">
                        <a14:shadowObscured xmlns:a14="http://schemas.microsoft.com/office/drawing/2010/main"/>
                      </a:ext>
                    </a:extLst>
                  </pic:spPr>
                </pic:pic>
              </a:graphicData>
            </a:graphic>
          </wp:inline>
        </w:drawing>
      </w:r>
    </w:p>
    <w:p w14:paraId="4AC1A69A" w14:textId="3C91240F" w:rsidR="00A6793D" w:rsidRPr="006869CA" w:rsidRDefault="00A6793D" w:rsidP="00A6793D">
      <w:pPr>
        <w:pStyle w:val="FigureCaption"/>
      </w:pPr>
      <w:bookmarkStart w:id="111" w:name="_Ref72825934"/>
      <w:bookmarkStart w:id="112" w:name="_Toc113380873"/>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9</w:t>
      </w:r>
      <w:r w:rsidRPr="006869CA">
        <w:rPr>
          <w:lang w:eastAsia="zh-TW"/>
        </w:rPr>
        <w:fldChar w:fldCharType="end"/>
      </w:r>
      <w:bookmarkEnd w:id="111"/>
      <w:r w:rsidRPr="006869CA">
        <w:rPr>
          <w:lang w:eastAsia="zh-TW"/>
        </w:rPr>
        <w:t xml:space="preserve">. </w:t>
      </w:r>
      <w:r w:rsidRPr="00A32098">
        <w:rPr>
          <w:bCs/>
          <w:szCs w:val="20"/>
        </w:rPr>
        <w:t xml:space="preserve">Heat maps showing </w:t>
      </w:r>
      <w:r>
        <w:rPr>
          <w:bCs/>
          <w:szCs w:val="20"/>
        </w:rPr>
        <w:t>the pattern correlation</w:t>
      </w:r>
      <w:r w:rsidRPr="00EE1100">
        <w:rPr>
          <w:bCs/>
          <w:szCs w:val="20"/>
        </w:rPr>
        <w:t xml:space="preserve"> </w:t>
      </w:r>
      <w:r>
        <w:rPr>
          <w:bCs/>
          <w:szCs w:val="20"/>
        </w:rPr>
        <w:t>for</w:t>
      </w:r>
      <w:r w:rsidRPr="00EE1100">
        <w:rPr>
          <w:bCs/>
          <w:szCs w:val="20"/>
        </w:rPr>
        <w:t xml:space="preserve"> </w:t>
      </w:r>
      <w:r>
        <w:rPr>
          <w:bCs/>
          <w:szCs w:val="20"/>
        </w:rPr>
        <w:t>climate projections with respect to the corresponding observations.</w:t>
      </w:r>
      <w:bookmarkEnd w:id="112"/>
    </w:p>
    <w:p w14:paraId="56E1EB06" w14:textId="77777777" w:rsidR="00A6793D" w:rsidRDefault="00A6793D" w:rsidP="00A6793D">
      <w:pPr>
        <w:pStyle w:val="FIGUREposition"/>
      </w:pPr>
      <w:r w:rsidRPr="00C82290">
        <w:rPr>
          <w:noProof/>
        </w:rPr>
        <w:drawing>
          <wp:inline distT="0" distB="0" distL="0" distR="0" wp14:anchorId="528EFBEA" wp14:editId="52633006">
            <wp:extent cx="5902990" cy="33477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58"/>
                    <a:srcRect t="2682" r="666" b="56348"/>
                    <a:stretch/>
                  </pic:blipFill>
                  <pic:spPr bwMode="auto">
                    <a:xfrm>
                      <a:off x="0" y="0"/>
                      <a:ext cx="5904018" cy="3348303"/>
                    </a:xfrm>
                    <a:prstGeom prst="rect">
                      <a:avLst/>
                    </a:prstGeom>
                    <a:ln>
                      <a:noFill/>
                    </a:ln>
                    <a:extLst>
                      <a:ext uri="{53640926-AAD7-44D8-BBD7-CCE9431645EC}">
                        <a14:shadowObscured xmlns:a14="http://schemas.microsoft.com/office/drawing/2010/main"/>
                      </a:ext>
                    </a:extLst>
                  </pic:spPr>
                </pic:pic>
              </a:graphicData>
            </a:graphic>
          </wp:inline>
        </w:drawing>
      </w:r>
    </w:p>
    <w:p w14:paraId="34022D42" w14:textId="7E150ADF" w:rsidR="00A6793D" w:rsidRPr="006869CA" w:rsidRDefault="00A6793D" w:rsidP="00A6793D">
      <w:pPr>
        <w:pStyle w:val="FigureCaption"/>
      </w:pPr>
      <w:bookmarkStart w:id="113" w:name="_Ref95316429"/>
      <w:bookmarkStart w:id="114" w:name="_Toc113380874"/>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10</w:t>
      </w:r>
      <w:r w:rsidRPr="006869CA">
        <w:rPr>
          <w:lang w:eastAsia="zh-TW"/>
        </w:rPr>
        <w:fldChar w:fldCharType="end"/>
      </w:r>
      <w:bookmarkEnd w:id="113"/>
      <w:r w:rsidRPr="006869CA">
        <w:rPr>
          <w:lang w:eastAsia="zh-TW"/>
        </w:rPr>
        <w:t xml:space="preserve">. </w:t>
      </w:r>
      <w:r w:rsidRPr="00A32098">
        <w:rPr>
          <w:bCs/>
          <w:szCs w:val="20"/>
        </w:rPr>
        <w:t xml:space="preserve">Heat maps showing </w:t>
      </w:r>
      <w:r>
        <w:rPr>
          <w:bCs/>
          <w:szCs w:val="20"/>
        </w:rPr>
        <w:t>the ratio of standard deviation</w:t>
      </w:r>
      <w:r w:rsidRPr="00EE1100">
        <w:rPr>
          <w:bCs/>
          <w:szCs w:val="20"/>
        </w:rPr>
        <w:t xml:space="preserve"> </w:t>
      </w:r>
      <w:r>
        <w:rPr>
          <w:bCs/>
          <w:szCs w:val="20"/>
        </w:rPr>
        <w:t>for</w:t>
      </w:r>
      <w:r w:rsidRPr="00EE1100">
        <w:rPr>
          <w:bCs/>
          <w:szCs w:val="20"/>
        </w:rPr>
        <w:t xml:space="preserve"> </w:t>
      </w:r>
      <w:r>
        <w:rPr>
          <w:bCs/>
          <w:szCs w:val="20"/>
        </w:rPr>
        <w:t>climate projections with respect to the corresponding observations.</w:t>
      </w:r>
      <w:bookmarkEnd w:id="114"/>
    </w:p>
    <w:p w14:paraId="4AD19B35" w14:textId="77777777" w:rsidR="00A6793D" w:rsidRDefault="00A6793D" w:rsidP="00A6793D">
      <w:pPr>
        <w:pStyle w:val="FIGUREposition"/>
      </w:pPr>
      <w:r>
        <w:rPr>
          <w:noProof/>
          <w:snapToGrid/>
        </w:rPr>
        <w:lastRenderedPageBreak/>
        <w:drawing>
          <wp:inline distT="0" distB="0" distL="0" distR="0" wp14:anchorId="28B0F430" wp14:editId="2794A5D6">
            <wp:extent cx="5930068" cy="33909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rotWithShape="1">
                    <a:blip r:embed="rId59"/>
                    <a:srcRect l="-1" t="2348" r="199" b="56148"/>
                    <a:stretch/>
                  </pic:blipFill>
                  <pic:spPr bwMode="auto">
                    <a:xfrm>
                      <a:off x="0" y="0"/>
                      <a:ext cx="5931801" cy="3391891"/>
                    </a:xfrm>
                    <a:prstGeom prst="rect">
                      <a:avLst/>
                    </a:prstGeom>
                    <a:ln>
                      <a:noFill/>
                    </a:ln>
                    <a:extLst>
                      <a:ext uri="{53640926-AAD7-44D8-BBD7-CCE9431645EC}">
                        <a14:shadowObscured xmlns:a14="http://schemas.microsoft.com/office/drawing/2010/main"/>
                      </a:ext>
                    </a:extLst>
                  </pic:spPr>
                </pic:pic>
              </a:graphicData>
            </a:graphic>
          </wp:inline>
        </w:drawing>
      </w:r>
    </w:p>
    <w:p w14:paraId="663C0C4E" w14:textId="241F4AE9" w:rsidR="00A6793D" w:rsidRPr="006869CA" w:rsidRDefault="00A6793D" w:rsidP="00A6793D">
      <w:pPr>
        <w:pStyle w:val="FigureCaption"/>
      </w:pPr>
      <w:bookmarkStart w:id="115" w:name="_Ref95316434"/>
      <w:bookmarkStart w:id="116" w:name="_Toc113380875"/>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11</w:t>
      </w:r>
      <w:r w:rsidRPr="006869CA">
        <w:rPr>
          <w:lang w:eastAsia="zh-TW"/>
        </w:rPr>
        <w:fldChar w:fldCharType="end"/>
      </w:r>
      <w:bookmarkEnd w:id="115"/>
      <w:r w:rsidRPr="006869CA">
        <w:rPr>
          <w:lang w:eastAsia="zh-TW"/>
        </w:rPr>
        <w:t xml:space="preserve">. </w:t>
      </w:r>
      <w:r w:rsidRPr="00A32098">
        <w:t xml:space="preserve">Heat maps showing </w:t>
      </w:r>
      <w:r>
        <w:t>the biases</w:t>
      </w:r>
      <w:r w:rsidRPr="00EE1100">
        <w:t xml:space="preserve"> </w:t>
      </w:r>
      <w:r>
        <w:t>in the</w:t>
      </w:r>
      <w:r w:rsidRPr="00EE1100">
        <w:t xml:space="preserve"> </w:t>
      </w:r>
      <w:r>
        <w:t>climate projections with respect to the corresponding observations.</w:t>
      </w:r>
      <w:bookmarkEnd w:id="116"/>
    </w:p>
    <w:p w14:paraId="2DDD2DDF" w14:textId="77526477" w:rsidR="00931C81" w:rsidRDefault="00931C81" w:rsidP="00B731CD">
      <w:pPr>
        <w:pStyle w:val="BodyText"/>
      </w:pPr>
      <w:r w:rsidRPr="0045734B">
        <w:t xml:space="preserve">The </w:t>
      </w:r>
      <w:r>
        <w:t>bias</w:t>
      </w:r>
      <w:r w:rsidRPr="0045734B">
        <w:t xml:space="preserve">-corrected </w:t>
      </w:r>
      <w:r>
        <w:t xml:space="preserve">RCM </w:t>
      </w:r>
      <w:r w:rsidRPr="0045734B">
        <w:t xml:space="preserve">and </w:t>
      </w:r>
      <w:r>
        <w:t>DBCCA</w:t>
      </w:r>
      <w:r w:rsidRPr="0045734B">
        <w:t xml:space="preserve"> compare</w:t>
      </w:r>
      <w:r w:rsidR="005927A3">
        <w:t>d</w:t>
      </w:r>
      <w:r w:rsidRPr="0045734B">
        <w:t xml:space="preserve"> well for each of the three statistics</w:t>
      </w:r>
      <w:r>
        <w:t>,</w:t>
      </w:r>
      <w:r w:rsidRPr="0045734B">
        <w:t xml:space="preserve"> </w:t>
      </w:r>
      <w:r>
        <w:t>showing</w:t>
      </w:r>
      <w:r w:rsidRPr="0045734B">
        <w:t xml:space="preserve"> </w:t>
      </w:r>
      <w:r>
        <w:t>a</w:t>
      </w:r>
      <w:r w:rsidRPr="0045734B">
        <w:t xml:space="preserve"> </w:t>
      </w:r>
      <w:r>
        <w:t>pattern correlation</w:t>
      </w:r>
      <w:r w:rsidRPr="0045734B">
        <w:t xml:space="preserve"> above 0.99 and </w:t>
      </w:r>
      <w:r>
        <w:t>a</w:t>
      </w:r>
      <w:r w:rsidRPr="0045734B">
        <w:t xml:space="preserve"> ROS close to </w:t>
      </w:r>
      <w:r w:rsidR="005927A3">
        <w:t xml:space="preserve">1 </w:t>
      </w:r>
      <w:r w:rsidRPr="0045734B">
        <w:t xml:space="preserve">for all mean and extreme indices and negligible biases in </w:t>
      </w:r>
      <w:r>
        <w:t>the</w:t>
      </w:r>
      <w:r w:rsidRPr="0045734B">
        <w:t xml:space="preserve"> mean P (±0.0</w:t>
      </w:r>
      <w:r>
        <w:t>016</w:t>
      </w:r>
      <w:r w:rsidRPr="0045734B">
        <w:t xml:space="preserve"> </w:t>
      </w:r>
      <w:r>
        <w:t>in</w:t>
      </w:r>
      <w:r w:rsidR="00BD0EBA">
        <w:t>.</w:t>
      </w:r>
      <w:r w:rsidRPr="0045734B">
        <w:t>/day), T</w:t>
      </w:r>
      <w:r w:rsidRPr="0045734B">
        <w:rPr>
          <w:vertAlign w:val="subscript"/>
        </w:rPr>
        <w:t>min</w:t>
      </w:r>
      <w:r w:rsidRPr="0045734B">
        <w:t xml:space="preserve"> (</w:t>
      </w:r>
      <w:r>
        <w:t>−</w:t>
      </w:r>
      <w:r w:rsidRPr="0045734B">
        <w:t>0.</w:t>
      </w:r>
      <w:r>
        <w:t xml:space="preserve">23°F to </w:t>
      </w:r>
      <w:r w:rsidRPr="0045734B">
        <w:t>0.1</w:t>
      </w:r>
      <w:r>
        <w:t>8°F</w:t>
      </w:r>
      <w:r w:rsidRPr="0045734B">
        <w:t>) and T</w:t>
      </w:r>
      <w:r w:rsidRPr="0045734B">
        <w:rPr>
          <w:vertAlign w:val="subscript"/>
        </w:rPr>
        <w:t>max</w:t>
      </w:r>
      <w:r w:rsidRPr="0045734B">
        <w:t xml:space="preserve"> (</w:t>
      </w:r>
      <w:r>
        <w:t>−</w:t>
      </w:r>
      <w:r w:rsidRPr="0045734B">
        <w:t>0.</w:t>
      </w:r>
      <w:r>
        <w:t xml:space="preserve">27°F to </w:t>
      </w:r>
      <w:r w:rsidRPr="0045734B">
        <w:t>0.1</w:t>
      </w:r>
      <w:r>
        <w:t>8°F</w:t>
      </w:r>
      <w:r w:rsidRPr="0045734B">
        <w:t>), T</w:t>
      </w:r>
      <w:r w:rsidRPr="0045734B">
        <w:rPr>
          <w:vertAlign w:val="subscript"/>
        </w:rPr>
        <w:t>95</w:t>
      </w:r>
      <w:r w:rsidRPr="0045734B">
        <w:t xml:space="preserve"> (</w:t>
      </w:r>
      <w:r>
        <w:t>−</w:t>
      </w:r>
      <w:r w:rsidRPr="0045734B">
        <w:t>0.</w:t>
      </w:r>
      <w:r>
        <w:t>4</w:t>
      </w:r>
      <w:r w:rsidRPr="0045734B">
        <w:t>5</w:t>
      </w:r>
      <w:r>
        <w:t xml:space="preserve">°F to </w:t>
      </w:r>
      <w:r w:rsidRPr="0045734B">
        <w:t>0.0</w:t>
      </w:r>
      <w:r>
        <w:t>4°F</w:t>
      </w:r>
      <w:r w:rsidRPr="0045734B">
        <w:t>), P</w:t>
      </w:r>
      <w:r w:rsidRPr="0045734B">
        <w:rPr>
          <w:vertAlign w:val="subscript"/>
        </w:rPr>
        <w:t>95</w:t>
      </w:r>
      <w:r>
        <w:t xml:space="preserve"> </w:t>
      </w:r>
      <w:r w:rsidRPr="0045734B">
        <w:t>(&lt;0.</w:t>
      </w:r>
      <w:r>
        <w:t>016 in</w:t>
      </w:r>
      <w:r w:rsidR="00BD0EBA">
        <w:t>.</w:t>
      </w:r>
      <w:r w:rsidRPr="0045734B">
        <w:t>/day)</w:t>
      </w:r>
      <w:r>
        <w:t>,</w:t>
      </w:r>
      <w:r w:rsidRPr="0045734B">
        <w:t xml:space="preserve"> and </w:t>
      </w:r>
      <w:r>
        <w:t>W</w:t>
      </w:r>
      <w:r w:rsidRPr="0045734B">
        <w:rPr>
          <w:vertAlign w:val="subscript"/>
        </w:rPr>
        <w:t>d</w:t>
      </w:r>
      <w:r>
        <w:rPr>
          <w:vertAlign w:val="subscript"/>
        </w:rPr>
        <w:t>ays</w:t>
      </w:r>
      <w:r w:rsidRPr="0045734B" w:rsidDel="008E78E3">
        <w:t xml:space="preserve"> </w:t>
      </w:r>
      <w:r w:rsidRPr="0045734B">
        <w:t>(&lt;1 day) but relatively higher biases in T</w:t>
      </w:r>
      <w:r w:rsidRPr="0045734B">
        <w:rPr>
          <w:vertAlign w:val="subscript"/>
        </w:rPr>
        <w:t>05</w:t>
      </w:r>
      <w:r w:rsidRPr="0045734B">
        <w:t xml:space="preserve"> (up to </w:t>
      </w:r>
      <w:r>
        <w:t>−3.2°F</w:t>
      </w:r>
      <w:r w:rsidRPr="0045734B">
        <w:t xml:space="preserve">) and </w:t>
      </w:r>
      <w:r>
        <w:t>F</w:t>
      </w:r>
      <w:r>
        <w:rPr>
          <w:vertAlign w:val="subscript"/>
        </w:rPr>
        <w:t>days</w:t>
      </w:r>
      <w:r w:rsidRPr="0045734B">
        <w:t xml:space="preserve"> (up</w:t>
      </w:r>
      <w:r>
        <w:t xml:space="preserve"> </w:t>
      </w:r>
      <w:r w:rsidRPr="0045734B">
        <w:t>to</w:t>
      </w:r>
      <w:r>
        <w:t xml:space="preserve"> </w:t>
      </w:r>
      <w:r w:rsidRPr="0045734B">
        <w:t>8</w:t>
      </w:r>
      <w:r>
        <w:t xml:space="preserve"> </w:t>
      </w:r>
      <w:r w:rsidRPr="0045734B">
        <w:t xml:space="preserve">days) for </w:t>
      </w:r>
      <w:r w:rsidRPr="0050416A">
        <w:t>bias-corrected</w:t>
      </w:r>
      <w:r w:rsidRPr="0045734B">
        <w:t xml:space="preserve"> </w:t>
      </w:r>
      <w:r>
        <w:t>RCM vs.</w:t>
      </w:r>
      <w:r w:rsidRPr="0045734B">
        <w:t xml:space="preserve"> </w:t>
      </w:r>
      <w:r>
        <w:t>DBCCA for both observations</w:t>
      </w:r>
      <w:r w:rsidRPr="0045734B">
        <w:t>. Contrarily,</w:t>
      </w:r>
      <w:r>
        <w:t xml:space="preserve"> in these metrics</w:t>
      </w:r>
      <w:r w:rsidRPr="0045734B">
        <w:t xml:space="preserve">, the GCM and </w:t>
      </w:r>
      <w:r>
        <w:t xml:space="preserve">RCM </w:t>
      </w:r>
      <w:r w:rsidRPr="0045734B">
        <w:t>show</w:t>
      </w:r>
      <w:r w:rsidR="005927A3">
        <w:t>ed</w:t>
      </w:r>
      <w:r w:rsidRPr="0045734B">
        <w:t xml:space="preserve"> larger differences in the magnitude </w:t>
      </w:r>
      <w:r>
        <w:t>and</w:t>
      </w:r>
      <w:r w:rsidRPr="0045734B">
        <w:t xml:space="preserve"> the spatial pattern. For instance, most of the </w:t>
      </w:r>
      <w:r>
        <w:t>GCMs</w:t>
      </w:r>
      <w:r w:rsidRPr="0045734B">
        <w:t xml:space="preserve"> show</w:t>
      </w:r>
      <w:r w:rsidR="005927A3">
        <w:t>ed</w:t>
      </w:r>
      <w:r w:rsidRPr="0045734B">
        <w:t xml:space="preserve"> </w:t>
      </w:r>
      <w:r>
        <w:t xml:space="preserve">a </w:t>
      </w:r>
      <w:r w:rsidRPr="0045734B">
        <w:t>predominantly cold bias in T</w:t>
      </w:r>
      <w:r w:rsidRPr="0045734B">
        <w:rPr>
          <w:vertAlign w:val="subscript"/>
        </w:rPr>
        <w:t>max</w:t>
      </w:r>
      <w:r>
        <w:t xml:space="preserve">, which </w:t>
      </w:r>
      <w:r w:rsidRPr="0045734B">
        <w:t>also persist</w:t>
      </w:r>
      <w:r w:rsidR="005927A3">
        <w:t>ed</w:t>
      </w:r>
      <w:r w:rsidRPr="0045734B">
        <w:t xml:space="preserve"> in T</w:t>
      </w:r>
      <w:r w:rsidRPr="0045734B">
        <w:rPr>
          <w:vertAlign w:val="subscript"/>
        </w:rPr>
        <w:t>95</w:t>
      </w:r>
      <w:r>
        <w:t xml:space="preserve">. These biases in mean and extreme temperatures </w:t>
      </w:r>
      <w:r w:rsidRPr="0045734B">
        <w:t>are</w:t>
      </w:r>
      <w:r>
        <w:t xml:space="preserve"> generally</w:t>
      </w:r>
      <w:r w:rsidRPr="0045734B">
        <w:t xml:space="preserve"> associated with the</w:t>
      </w:r>
      <w:r>
        <w:t xml:space="preserve"> wet</w:t>
      </w:r>
      <w:r w:rsidRPr="0045734B">
        <w:t xml:space="preserve"> biases in the </w:t>
      </w:r>
      <w:r w:rsidRPr="00BF4BBC">
        <w:t xml:space="preserve">GCM </w:t>
      </w:r>
      <w:r w:rsidRPr="0045734B">
        <w:t>simulation of P</w:t>
      </w:r>
      <w:r>
        <w:t>, which</w:t>
      </w:r>
      <w:r w:rsidRPr="0045734B">
        <w:t xml:space="preserve"> </w:t>
      </w:r>
      <w:r w:rsidR="005927A3">
        <w:t xml:space="preserve">were </w:t>
      </w:r>
      <w:r w:rsidRPr="0045734B">
        <w:t xml:space="preserve">further exacerbated in the </w:t>
      </w:r>
      <w:r>
        <w:t>RCM</w:t>
      </w:r>
      <w:r w:rsidRPr="0045734B">
        <w:t>.</w:t>
      </w:r>
    </w:p>
    <w:p w14:paraId="244DB361" w14:textId="71FBBCEF" w:rsidR="004044F5" w:rsidRDefault="004044F5" w:rsidP="00C82290">
      <w:pPr>
        <w:pStyle w:val="BodyText"/>
      </w:pPr>
      <w:r w:rsidRPr="0045734B">
        <w:t>The majority of</w:t>
      </w:r>
      <w:r>
        <w:t xml:space="preserve"> the</w:t>
      </w:r>
      <w:r w:rsidRPr="0045734B">
        <w:t xml:space="preserve"> GCM</w:t>
      </w:r>
      <w:r>
        <w:t>s</w:t>
      </w:r>
      <w:r w:rsidRPr="0045734B">
        <w:t xml:space="preserve"> show</w:t>
      </w:r>
      <w:r w:rsidR="00C65940">
        <w:t>ed</w:t>
      </w:r>
      <w:r w:rsidRPr="0045734B">
        <w:t xml:space="preserve"> wet bias in the simulation of mean annual and seasonal P</w:t>
      </w:r>
      <w:r>
        <w:t>,</w:t>
      </w:r>
      <w:r w:rsidRPr="0045734B">
        <w:t xml:space="preserve"> except during the </w:t>
      </w:r>
      <w:r>
        <w:t>s</w:t>
      </w:r>
      <w:r w:rsidRPr="0045734B">
        <w:t xml:space="preserve">ummer and </w:t>
      </w:r>
      <w:r>
        <w:t>f</w:t>
      </w:r>
      <w:r w:rsidRPr="0045734B">
        <w:t>all</w:t>
      </w:r>
      <w:r>
        <w:t>.</w:t>
      </w:r>
      <w:r w:rsidRPr="0045734B">
        <w:t xml:space="preserve"> </w:t>
      </w:r>
      <w:r>
        <w:t>However,</w:t>
      </w:r>
      <w:r w:rsidRPr="0045734B">
        <w:t xml:space="preserve"> all GCM</w:t>
      </w:r>
      <w:r>
        <w:t>s</w:t>
      </w:r>
      <w:r w:rsidRPr="0045734B">
        <w:t xml:space="preserve"> </w:t>
      </w:r>
      <w:r>
        <w:t>show</w:t>
      </w:r>
      <w:r w:rsidR="00C65940">
        <w:t>ed</w:t>
      </w:r>
      <w:r w:rsidRPr="0045734B">
        <w:t xml:space="preserve"> higher </w:t>
      </w:r>
      <w:r>
        <w:t>W</w:t>
      </w:r>
      <w:r w:rsidRPr="000E380A">
        <w:rPr>
          <w:vertAlign w:val="subscript"/>
        </w:rPr>
        <w:t>days</w:t>
      </w:r>
      <w:r w:rsidRPr="0045734B">
        <w:t xml:space="preserve"> compared </w:t>
      </w:r>
      <w:r>
        <w:t>with</w:t>
      </w:r>
      <w:r w:rsidRPr="0045734B">
        <w:t xml:space="preserve"> the observations (</w:t>
      </w:r>
      <w:r w:rsidR="009D4C44">
        <w:fldChar w:fldCharType="begin"/>
      </w:r>
      <w:r w:rsidR="009D4C44">
        <w:instrText xml:space="preserve"> REF _Ref95316434 \h </w:instrText>
      </w:r>
      <w:r w:rsidR="009D4C44">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11</w:t>
      </w:r>
      <w:r w:rsidR="009D4C44">
        <w:fldChar w:fldCharType="end"/>
      </w:r>
      <w:r w:rsidRPr="0045734B">
        <w:t xml:space="preserve">). These biases in P and </w:t>
      </w:r>
      <w:r>
        <w:t>W</w:t>
      </w:r>
      <w:r w:rsidRPr="0045734B">
        <w:rPr>
          <w:vertAlign w:val="subscript"/>
        </w:rPr>
        <w:t>d</w:t>
      </w:r>
      <w:r>
        <w:rPr>
          <w:vertAlign w:val="subscript"/>
        </w:rPr>
        <w:t>ays</w:t>
      </w:r>
      <w:r w:rsidRPr="0045734B">
        <w:t xml:space="preserve"> </w:t>
      </w:r>
      <w:r w:rsidR="00C65940">
        <w:t xml:space="preserve">were </w:t>
      </w:r>
      <w:r w:rsidRPr="0045734B">
        <w:t xml:space="preserve">further exacerbated in the </w:t>
      </w:r>
      <w:r>
        <w:t>RCM</w:t>
      </w:r>
      <w:r w:rsidRPr="0045734B">
        <w:t xml:space="preserve">. Both the GCM and </w:t>
      </w:r>
      <w:r>
        <w:t>RCM</w:t>
      </w:r>
      <w:r w:rsidRPr="0045734B">
        <w:t xml:space="preserve"> also exhibit</w:t>
      </w:r>
      <w:r w:rsidR="00C65940">
        <w:t>ed</w:t>
      </w:r>
      <w:r w:rsidRPr="0045734B">
        <w:t xml:space="preserve"> </w:t>
      </w:r>
      <w:r>
        <w:t>dry</w:t>
      </w:r>
      <w:r w:rsidRPr="0045734B">
        <w:t xml:space="preserve"> biases in P</w:t>
      </w:r>
      <w:r w:rsidRPr="0045734B">
        <w:rPr>
          <w:vertAlign w:val="subscript"/>
        </w:rPr>
        <w:t>95</w:t>
      </w:r>
      <w:r>
        <w:t xml:space="preserve">, thereby </w:t>
      </w:r>
      <w:r w:rsidRPr="0045734B">
        <w:t xml:space="preserve">implying that the larger </w:t>
      </w:r>
      <w:r>
        <w:t xml:space="preserve">wet </w:t>
      </w:r>
      <w:r w:rsidRPr="0045734B">
        <w:t xml:space="preserve">bias in P can be attributed to the simulation of a higher </w:t>
      </w:r>
      <w:r>
        <w:t>W</w:t>
      </w:r>
      <w:r w:rsidRPr="0045734B">
        <w:rPr>
          <w:vertAlign w:val="subscript"/>
        </w:rPr>
        <w:t>d</w:t>
      </w:r>
      <w:r>
        <w:rPr>
          <w:vertAlign w:val="subscript"/>
        </w:rPr>
        <w:t>ays</w:t>
      </w:r>
      <w:r>
        <w:t>, whereas</w:t>
      </w:r>
      <w:r w:rsidRPr="0045734B">
        <w:t xml:space="preserve"> the magnitude</w:t>
      </w:r>
      <w:r>
        <w:t>s</w:t>
      </w:r>
      <w:r w:rsidRPr="0045734B">
        <w:t xml:space="preserve"> of extremes </w:t>
      </w:r>
      <w:r w:rsidR="00C65940">
        <w:t xml:space="preserve">were </w:t>
      </w:r>
      <w:r w:rsidRPr="0045734B">
        <w:t xml:space="preserve">underestimated. </w:t>
      </w:r>
      <w:r>
        <w:t>Although</w:t>
      </w:r>
      <w:r w:rsidRPr="0045734B">
        <w:t xml:space="preserve"> the </w:t>
      </w:r>
      <w:r>
        <w:t>RCM</w:t>
      </w:r>
      <w:r w:rsidRPr="0045734B">
        <w:t xml:space="preserve"> underestimate</w:t>
      </w:r>
      <w:r w:rsidR="00C65940">
        <w:t>d</w:t>
      </w:r>
      <w:r w:rsidRPr="0045734B">
        <w:t xml:space="preserve"> </w:t>
      </w:r>
      <w:r>
        <w:t xml:space="preserve">the </w:t>
      </w:r>
      <w:r w:rsidRPr="0045734B">
        <w:t>average P</w:t>
      </w:r>
      <w:r w:rsidRPr="0045734B">
        <w:rPr>
          <w:vertAlign w:val="subscript"/>
        </w:rPr>
        <w:t>95</w:t>
      </w:r>
      <w:r w:rsidRPr="0045734B">
        <w:t xml:space="preserve"> </w:t>
      </w:r>
      <w:r>
        <w:t>when</w:t>
      </w:r>
      <w:r w:rsidRPr="0045734B">
        <w:t xml:space="preserve"> compared </w:t>
      </w:r>
      <w:r>
        <w:t>with</w:t>
      </w:r>
      <w:r w:rsidRPr="0045734B">
        <w:t xml:space="preserve"> observations, </w:t>
      </w:r>
      <w:r>
        <w:t>it</w:t>
      </w:r>
      <w:r w:rsidRPr="0045734B">
        <w:t xml:space="preserve"> show</w:t>
      </w:r>
      <w:r w:rsidR="00C65940">
        <w:t>ed</w:t>
      </w:r>
      <w:r w:rsidRPr="0045734B">
        <w:t xml:space="preserve"> improvement in the simulation of P</w:t>
      </w:r>
      <w:r w:rsidRPr="0045734B">
        <w:rPr>
          <w:vertAlign w:val="subscript"/>
        </w:rPr>
        <w:t>95</w:t>
      </w:r>
      <w:r>
        <w:t xml:space="preserve"> compared with the GCM</w:t>
      </w:r>
      <w:r w:rsidRPr="0045734B">
        <w:t xml:space="preserve">. </w:t>
      </w:r>
      <w:r>
        <w:t>The</w:t>
      </w:r>
      <w:r w:rsidRPr="0045734B">
        <w:t xml:space="preserve"> </w:t>
      </w:r>
      <w:r>
        <w:t>RCM</w:t>
      </w:r>
      <w:r w:rsidRPr="0045734B">
        <w:t xml:space="preserve"> </w:t>
      </w:r>
      <w:r>
        <w:t xml:space="preserve">also </w:t>
      </w:r>
      <w:r w:rsidRPr="0045734B">
        <w:t>show</w:t>
      </w:r>
      <w:r w:rsidR="00C65940">
        <w:t>ed</w:t>
      </w:r>
      <w:r w:rsidRPr="0045734B">
        <w:t xml:space="preserve"> improvement in the simulation of T</w:t>
      </w:r>
      <w:r w:rsidRPr="0045734B">
        <w:rPr>
          <w:vertAlign w:val="subscript"/>
        </w:rPr>
        <w:t>min</w:t>
      </w:r>
      <w:r w:rsidRPr="0045734B">
        <w:t>, T</w:t>
      </w:r>
      <w:r w:rsidRPr="0045734B">
        <w:rPr>
          <w:vertAlign w:val="subscript"/>
        </w:rPr>
        <w:t>05</w:t>
      </w:r>
      <w:r>
        <w:t xml:space="preserve">, </w:t>
      </w:r>
      <w:r w:rsidRPr="0045734B">
        <w:t xml:space="preserve">and </w:t>
      </w:r>
      <w:r>
        <w:t>F</w:t>
      </w:r>
      <w:r w:rsidRPr="0045734B">
        <w:rPr>
          <w:vertAlign w:val="subscript"/>
        </w:rPr>
        <w:t>d</w:t>
      </w:r>
      <w:r>
        <w:rPr>
          <w:vertAlign w:val="subscript"/>
        </w:rPr>
        <w:t>ays</w:t>
      </w:r>
      <w:r w:rsidRPr="0045734B">
        <w:t>. For instance, the GCM show</w:t>
      </w:r>
      <w:r w:rsidR="00C65940">
        <w:t>ed</w:t>
      </w:r>
      <w:r w:rsidRPr="0045734B">
        <w:t xml:space="preserve"> a dominant warm bias of up to </w:t>
      </w:r>
      <w:r>
        <w:t>9</w:t>
      </w:r>
      <w:r w:rsidR="00AA0F7F">
        <w:t>°F</w:t>
      </w:r>
      <w:r>
        <w:t>,</w:t>
      </w:r>
      <w:r w:rsidRPr="0045734B">
        <w:t xml:space="preserve"> whereas the </w:t>
      </w:r>
      <w:r>
        <w:t>RCM</w:t>
      </w:r>
      <w:r w:rsidRPr="0045734B">
        <w:t xml:space="preserve"> exhibit</w:t>
      </w:r>
      <w:r w:rsidR="00C65940">
        <w:t>ed</w:t>
      </w:r>
      <w:r w:rsidRPr="0045734B">
        <w:t xml:space="preserve"> bias ranging </w:t>
      </w:r>
      <w:r>
        <w:t>from</w:t>
      </w:r>
      <w:r w:rsidRPr="0045734B">
        <w:t xml:space="preserve"> </w:t>
      </w:r>
      <w:r>
        <w:t>−3.2</w:t>
      </w:r>
      <w:r w:rsidR="00AA0F7F">
        <w:t>°F</w:t>
      </w:r>
      <w:r>
        <w:t xml:space="preserve"> to 4.7</w:t>
      </w:r>
      <w:r w:rsidR="00AA0F7F">
        <w:t>°F</w:t>
      </w:r>
      <w:r w:rsidRPr="0045734B">
        <w:t xml:space="preserve"> </w:t>
      </w:r>
      <w:r w:rsidRPr="004C1E25">
        <w:t xml:space="preserve">with respect to Daymet </w:t>
      </w:r>
      <w:r w:rsidRPr="0045734B">
        <w:t>and</w:t>
      </w:r>
      <w:r>
        <w:t xml:space="preserve"> from</w:t>
      </w:r>
      <w:r w:rsidRPr="0045734B">
        <w:t xml:space="preserve"> </w:t>
      </w:r>
      <w:r>
        <w:t>−6.7</w:t>
      </w:r>
      <w:r w:rsidR="00AA0F7F">
        <w:t>°F</w:t>
      </w:r>
      <w:r w:rsidRPr="0045734B">
        <w:t xml:space="preserve"> </w:t>
      </w:r>
      <w:r>
        <w:t>to</w:t>
      </w:r>
      <w:r w:rsidRPr="0045734B">
        <w:t xml:space="preserve"> </w:t>
      </w:r>
      <w:r>
        <w:t>5.4</w:t>
      </w:r>
      <w:r w:rsidR="00AA0F7F">
        <w:t>°F</w:t>
      </w:r>
      <w:r w:rsidRPr="0045734B">
        <w:t xml:space="preserve"> in T</w:t>
      </w:r>
      <w:r w:rsidRPr="0045734B">
        <w:rPr>
          <w:vertAlign w:val="subscript"/>
        </w:rPr>
        <w:t>min</w:t>
      </w:r>
      <w:r w:rsidRPr="0045734B">
        <w:t xml:space="preserve"> with respect to Livneh (</w:t>
      </w:r>
      <w:r w:rsidR="009D4C44">
        <w:fldChar w:fldCharType="begin"/>
      </w:r>
      <w:r w:rsidR="009D4C44">
        <w:instrText xml:space="preserve"> REF _Ref95316434 \h </w:instrText>
      </w:r>
      <w:r w:rsidR="009D4C44">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11</w:t>
      </w:r>
      <w:r w:rsidR="009D4C44">
        <w:fldChar w:fldCharType="end"/>
      </w:r>
      <w:r w:rsidRPr="0045734B">
        <w:t>). Consequently, the majority of GCM</w:t>
      </w:r>
      <w:r>
        <w:t>s</w:t>
      </w:r>
      <w:r w:rsidRPr="0045734B">
        <w:t xml:space="preserve"> also exhibit</w:t>
      </w:r>
      <w:r w:rsidR="00C65940">
        <w:t>ed</w:t>
      </w:r>
      <w:r w:rsidRPr="0045734B">
        <w:t xml:space="preserve"> warm bias in simulating T</w:t>
      </w:r>
      <w:r w:rsidRPr="0045734B">
        <w:rPr>
          <w:vertAlign w:val="subscript"/>
        </w:rPr>
        <w:t>05</w:t>
      </w:r>
      <w:r w:rsidRPr="00022629">
        <w:t>,</w:t>
      </w:r>
      <w:r w:rsidRPr="0045734B">
        <w:t xml:space="preserve"> whereas the </w:t>
      </w:r>
      <w:r>
        <w:t>RCMs</w:t>
      </w:r>
      <w:r w:rsidRPr="0045734B">
        <w:t xml:space="preserve"> show</w:t>
      </w:r>
      <w:r w:rsidR="00C65940">
        <w:t>ed</w:t>
      </w:r>
      <w:r w:rsidRPr="0045734B">
        <w:t xml:space="preserve"> overall improvement in the simulation of T</w:t>
      </w:r>
      <w:r w:rsidRPr="0045734B">
        <w:rPr>
          <w:vertAlign w:val="subscript"/>
        </w:rPr>
        <w:t>05</w:t>
      </w:r>
      <w:r w:rsidRPr="0045734B">
        <w:t>.</w:t>
      </w:r>
    </w:p>
    <w:p w14:paraId="0A25CD6C" w14:textId="7AB68268" w:rsidR="00B535F1" w:rsidRDefault="00B535F1" w:rsidP="00C82290">
      <w:pPr>
        <w:pStyle w:val="BodyText"/>
      </w:pPr>
      <w:r>
        <w:t xml:space="preserve">The </w:t>
      </w:r>
      <w:r w:rsidR="00005B6F">
        <w:t>pattern correlation</w:t>
      </w:r>
      <w:r w:rsidRPr="0045734B">
        <w:t xml:space="preserve"> for most of the T</w:t>
      </w:r>
      <w:r w:rsidRPr="0045734B">
        <w:rPr>
          <w:vertAlign w:val="subscript"/>
        </w:rPr>
        <w:t>max</w:t>
      </w:r>
      <w:r w:rsidRPr="0045734B">
        <w:t xml:space="preserve"> and T</w:t>
      </w:r>
      <w:r w:rsidRPr="0045734B">
        <w:rPr>
          <w:vertAlign w:val="subscript"/>
        </w:rPr>
        <w:t>min</w:t>
      </w:r>
      <w:r w:rsidRPr="0045734B">
        <w:t xml:space="preserve"> </w:t>
      </w:r>
      <w:r>
        <w:t>metrics</w:t>
      </w:r>
      <w:r w:rsidRPr="0045734B">
        <w:t xml:space="preserve"> </w:t>
      </w:r>
      <w:r w:rsidR="00C65940">
        <w:t xml:space="preserve">was </w:t>
      </w:r>
      <w:r w:rsidRPr="0045734B">
        <w:t xml:space="preserve">above 0.9 </w:t>
      </w:r>
      <w:r>
        <w:t xml:space="preserve">with the </w:t>
      </w:r>
      <w:r w:rsidRPr="0045734B">
        <w:t>except</w:t>
      </w:r>
      <w:r>
        <w:t>ion</w:t>
      </w:r>
      <w:r w:rsidRPr="0045734B">
        <w:t xml:space="preserve"> </w:t>
      </w:r>
      <w:r>
        <w:t>of summer</w:t>
      </w:r>
      <w:r w:rsidRPr="0045734B">
        <w:t xml:space="preserve"> T</w:t>
      </w:r>
      <w:r w:rsidRPr="0045734B">
        <w:rPr>
          <w:vertAlign w:val="subscript"/>
        </w:rPr>
        <w:t>max</w:t>
      </w:r>
      <w:r w:rsidRPr="0045734B">
        <w:t xml:space="preserve"> and </w:t>
      </w:r>
      <w:r>
        <w:t xml:space="preserve">annual </w:t>
      </w:r>
      <w:r w:rsidRPr="0045734B">
        <w:t>T</w:t>
      </w:r>
      <w:r w:rsidRPr="0045734B">
        <w:rPr>
          <w:vertAlign w:val="subscript"/>
        </w:rPr>
        <w:t>95</w:t>
      </w:r>
      <w:r w:rsidR="004D4D0F">
        <w:t xml:space="preserve">, </w:t>
      </w:r>
      <w:r w:rsidR="006F44BC">
        <w:t>which</w:t>
      </w:r>
      <w:r>
        <w:t xml:space="preserve"> </w:t>
      </w:r>
      <w:r w:rsidR="00C65940">
        <w:t xml:space="preserve">had </w:t>
      </w:r>
      <w:r w:rsidR="00005B6F">
        <w:t xml:space="preserve">pattern correlation </w:t>
      </w:r>
      <w:r>
        <w:t xml:space="preserve">values between 0.7 </w:t>
      </w:r>
      <w:r w:rsidR="006F44BC">
        <w:t xml:space="preserve">and </w:t>
      </w:r>
      <w:r>
        <w:t xml:space="preserve">0.9 </w:t>
      </w:r>
      <w:r w:rsidRPr="0045734B">
        <w:t xml:space="preserve">for both the GCM and the </w:t>
      </w:r>
      <w:r>
        <w:t xml:space="preserve">RCM </w:t>
      </w:r>
      <w:r w:rsidRPr="0045734B">
        <w:t>(</w:t>
      </w:r>
      <w:r>
        <w:fldChar w:fldCharType="begin"/>
      </w:r>
      <w:r>
        <w:instrText xml:space="preserve"> REF _Ref72825934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9</w:t>
      </w:r>
      <w:r>
        <w:fldChar w:fldCharType="end"/>
      </w:r>
      <w:r w:rsidRPr="0045734B">
        <w:t xml:space="preserve">). Contrarily, </w:t>
      </w:r>
      <w:r w:rsidR="006F44BC">
        <w:t xml:space="preserve">the </w:t>
      </w:r>
      <w:r w:rsidRPr="0045734B">
        <w:t xml:space="preserve">ROS value </w:t>
      </w:r>
      <w:r w:rsidR="00C65940">
        <w:t xml:space="preserve">was </w:t>
      </w:r>
      <w:r w:rsidRPr="0045734B">
        <w:t xml:space="preserve">close to </w:t>
      </w:r>
      <w:r w:rsidR="00C65940">
        <w:t xml:space="preserve">1 </w:t>
      </w:r>
      <w:r w:rsidRPr="0045734B">
        <w:t xml:space="preserve">(0.9 and 1.1) for </w:t>
      </w:r>
      <w:r w:rsidR="00EB3F00">
        <w:t>the</w:t>
      </w:r>
      <w:r w:rsidRPr="0045734B">
        <w:t xml:space="preserve"> majority of </w:t>
      </w:r>
      <w:r w:rsidR="00EB3F00">
        <w:t xml:space="preserve">the </w:t>
      </w:r>
      <w:r w:rsidRPr="0045734B">
        <w:t>mean T</w:t>
      </w:r>
      <w:r w:rsidRPr="0045734B">
        <w:rPr>
          <w:vertAlign w:val="subscript"/>
        </w:rPr>
        <w:t>max</w:t>
      </w:r>
      <w:r w:rsidRPr="0045734B">
        <w:t xml:space="preserve"> and T</w:t>
      </w:r>
      <w:r w:rsidRPr="0045734B">
        <w:rPr>
          <w:vertAlign w:val="subscript"/>
        </w:rPr>
        <w:t>min</w:t>
      </w:r>
      <w:r w:rsidRPr="0045734B">
        <w:t xml:space="preserve"> </w:t>
      </w:r>
      <w:r>
        <w:t>metrics</w:t>
      </w:r>
      <w:r w:rsidRPr="0045734B">
        <w:t xml:space="preserve"> with respect to Daymet. However, with respect to Livneh, several of the mean T</w:t>
      </w:r>
      <w:r w:rsidRPr="0045734B">
        <w:rPr>
          <w:vertAlign w:val="subscript"/>
        </w:rPr>
        <w:t>min</w:t>
      </w:r>
      <w:r w:rsidRPr="0045734B">
        <w:t xml:space="preserve"> </w:t>
      </w:r>
      <w:r>
        <w:lastRenderedPageBreak/>
        <w:t>metrics</w:t>
      </w:r>
      <w:r w:rsidRPr="0045734B">
        <w:t xml:space="preserve"> (12/30) for the GCM</w:t>
      </w:r>
      <w:r w:rsidR="004D2698">
        <w:t>,</w:t>
      </w:r>
      <w:r w:rsidRPr="0045734B">
        <w:t xml:space="preserve"> and a few (6/30) for the </w:t>
      </w:r>
      <w:r>
        <w:t>RCM</w:t>
      </w:r>
      <w:r w:rsidR="004D2698">
        <w:t>,</w:t>
      </w:r>
      <w:r w:rsidRPr="0045734B">
        <w:t xml:space="preserve"> show</w:t>
      </w:r>
      <w:r w:rsidR="00C65940">
        <w:t>ed</w:t>
      </w:r>
      <w:r w:rsidRPr="0045734B">
        <w:t xml:space="preserve"> values </w:t>
      </w:r>
      <w:r w:rsidR="00C65940">
        <w:t>&lt;</w:t>
      </w:r>
      <w:r w:rsidRPr="0045734B">
        <w:t xml:space="preserve">0.9. For annual </w:t>
      </w:r>
      <w:r w:rsidR="004D2698">
        <w:t>and</w:t>
      </w:r>
      <w:r w:rsidRPr="0045734B">
        <w:t xml:space="preserve"> seasonal mean P, P</w:t>
      </w:r>
      <w:r w:rsidRPr="0045734B">
        <w:rPr>
          <w:vertAlign w:val="subscript"/>
        </w:rPr>
        <w:t>95</w:t>
      </w:r>
      <w:r w:rsidR="008B360D">
        <w:t xml:space="preserve">, </w:t>
      </w:r>
      <w:r w:rsidRPr="0045734B">
        <w:t xml:space="preserve">and </w:t>
      </w:r>
      <w:r>
        <w:t>W</w:t>
      </w:r>
      <w:r w:rsidRPr="0045734B">
        <w:rPr>
          <w:vertAlign w:val="subscript"/>
        </w:rPr>
        <w:t>d</w:t>
      </w:r>
      <w:r>
        <w:rPr>
          <w:vertAlign w:val="subscript"/>
        </w:rPr>
        <w:t>ays</w:t>
      </w:r>
      <w:r w:rsidRPr="0045734B">
        <w:t xml:space="preserve">, </w:t>
      </w:r>
      <w:r w:rsidR="004D2698">
        <w:t>the pattern correlation</w:t>
      </w:r>
      <w:r w:rsidR="004D2698" w:rsidRPr="0045734B">
        <w:t xml:space="preserve"> </w:t>
      </w:r>
      <w:r w:rsidRPr="0045734B">
        <w:t>range</w:t>
      </w:r>
      <w:r w:rsidR="00C65940">
        <w:t>d</w:t>
      </w:r>
      <w:r w:rsidRPr="0045734B">
        <w:t xml:space="preserve"> between 0.6 and 0.87 for GCM and </w:t>
      </w:r>
      <w:r>
        <w:t>RCM</w:t>
      </w:r>
      <w:r w:rsidRPr="0045734B">
        <w:t>. The ROS value for mean P range</w:t>
      </w:r>
      <w:r w:rsidR="00C65940">
        <w:t>d</w:t>
      </w:r>
      <w:r w:rsidRPr="0045734B">
        <w:t xml:space="preserve"> </w:t>
      </w:r>
      <w:r>
        <w:t>from</w:t>
      </w:r>
      <w:r w:rsidRPr="0045734B">
        <w:t xml:space="preserve"> 0.6 to 1.4 with values &lt;1 for </w:t>
      </w:r>
      <w:r w:rsidR="00FC498E">
        <w:t>most</w:t>
      </w:r>
      <w:r w:rsidRPr="0045734B">
        <w:t xml:space="preserve"> </w:t>
      </w:r>
      <w:r>
        <w:t>metrics</w:t>
      </w:r>
      <w:r w:rsidRPr="0045734B">
        <w:t xml:space="preserve">/models in the GCM and close to or </w:t>
      </w:r>
      <w:r w:rsidR="00C65940">
        <w:t>&gt;1</w:t>
      </w:r>
      <w:r w:rsidR="00C65940" w:rsidRPr="0045734B">
        <w:t xml:space="preserve"> </w:t>
      </w:r>
      <w:r w:rsidRPr="0045734B">
        <w:t xml:space="preserve">for the </w:t>
      </w:r>
      <w:r>
        <w:t>RCM</w:t>
      </w:r>
      <w:r w:rsidRPr="0045734B">
        <w:t xml:space="preserve"> model output (</w:t>
      </w:r>
      <w:r>
        <w:fldChar w:fldCharType="begin"/>
      </w:r>
      <w:r>
        <w:instrText xml:space="preserve"> REF _Ref72825934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9</w:t>
      </w:r>
      <w:r>
        <w:fldChar w:fldCharType="end"/>
      </w:r>
      <w:r w:rsidRPr="0045734B">
        <w:t>). For P</w:t>
      </w:r>
      <w:r w:rsidRPr="001F4F2D">
        <w:rPr>
          <w:vertAlign w:val="subscript"/>
        </w:rPr>
        <w:t>95</w:t>
      </w:r>
      <w:r w:rsidRPr="0045734B">
        <w:t xml:space="preserve">, the ROS value </w:t>
      </w:r>
      <w:r w:rsidR="00C65940">
        <w:t xml:space="preserve">was </w:t>
      </w:r>
      <w:r w:rsidR="00CB62C1" w:rsidRPr="00CB62C1">
        <w:t>≥</w:t>
      </w:r>
      <w:r w:rsidRPr="0045734B">
        <w:t xml:space="preserve">0.9 for </w:t>
      </w:r>
      <w:r w:rsidR="001C0D73">
        <w:t xml:space="preserve">five </w:t>
      </w:r>
      <w:r>
        <w:t xml:space="preserve">out of </w:t>
      </w:r>
      <w:r w:rsidR="001C0D73">
        <w:t>six</w:t>
      </w:r>
      <w:r w:rsidR="001C0D73" w:rsidRPr="0045734B">
        <w:t xml:space="preserve"> </w:t>
      </w:r>
      <w:r>
        <w:t>RCMs</w:t>
      </w:r>
      <w:r w:rsidRPr="0045734B">
        <w:t xml:space="preserve"> compared </w:t>
      </w:r>
      <w:r w:rsidR="00E00B99">
        <w:t xml:space="preserve">with </w:t>
      </w:r>
      <w:r w:rsidR="00076666" w:rsidRPr="00076666">
        <w:t>≤</w:t>
      </w:r>
      <w:r w:rsidRPr="0045734B">
        <w:t xml:space="preserve">0.75 for </w:t>
      </w:r>
      <w:r>
        <w:t xml:space="preserve">all </w:t>
      </w:r>
      <w:r w:rsidR="001C0D73">
        <w:t xml:space="preserve">six </w:t>
      </w:r>
      <w:r w:rsidRPr="0045734B">
        <w:t>GCM</w:t>
      </w:r>
      <w:r>
        <w:t>s.</w:t>
      </w:r>
      <w:r w:rsidRPr="0045734B">
        <w:t xml:space="preserve"> </w:t>
      </w:r>
      <w:r>
        <w:t>The W</w:t>
      </w:r>
      <w:r w:rsidRPr="001F4F2D">
        <w:rPr>
          <w:vertAlign w:val="subscript"/>
        </w:rPr>
        <w:t>days</w:t>
      </w:r>
      <w:r w:rsidRPr="0045734B">
        <w:t xml:space="preserve"> ROS value </w:t>
      </w:r>
      <w:r w:rsidR="00C65940">
        <w:t xml:space="preserve">was </w:t>
      </w:r>
      <w:r w:rsidRPr="0045734B">
        <w:t xml:space="preserve">between 0.9 and 1.18 </w:t>
      </w:r>
      <w:r w:rsidR="001C0D73" w:rsidRPr="001C0D73">
        <w:t>for the RCM</w:t>
      </w:r>
      <w:r w:rsidRPr="0045734B">
        <w:t xml:space="preserve"> and</w:t>
      </w:r>
      <w:r w:rsidR="001C0D73">
        <w:t xml:space="preserve"> between</w:t>
      </w:r>
      <w:r w:rsidRPr="0045734B">
        <w:t xml:space="preserve"> 0.82 and 1.22 </w:t>
      </w:r>
      <w:r w:rsidR="001C0D73">
        <w:t>for the</w:t>
      </w:r>
      <w:r w:rsidRPr="0045734B">
        <w:t xml:space="preserve"> GCM (</w:t>
      </w:r>
      <w:r w:rsidR="009C54D1">
        <w:fldChar w:fldCharType="begin"/>
      </w:r>
      <w:r w:rsidR="009C54D1">
        <w:instrText xml:space="preserve"> REF _Ref95316429 \h </w:instrText>
      </w:r>
      <w:r w:rsidR="009C54D1">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10</w:t>
      </w:r>
      <w:r w:rsidR="009C54D1">
        <w:fldChar w:fldCharType="end"/>
      </w:r>
      <w:r w:rsidRPr="0045734B">
        <w:t>).</w:t>
      </w:r>
    </w:p>
    <w:p w14:paraId="1EF3241C" w14:textId="24908597" w:rsidR="00EE1100" w:rsidRDefault="00EE1100" w:rsidP="00C82290">
      <w:pPr>
        <w:pStyle w:val="BodyText"/>
        <w:rPr>
          <w:lang w:eastAsia="zh-TW"/>
        </w:rPr>
      </w:pPr>
      <w:r w:rsidRPr="0045734B">
        <w:t xml:space="preserve">Overall, </w:t>
      </w:r>
      <w:r w:rsidR="00FC498E">
        <w:t>although</w:t>
      </w:r>
      <w:r w:rsidRPr="0045734B">
        <w:t xml:space="preserve"> GCM and </w:t>
      </w:r>
      <w:r>
        <w:t>RCM</w:t>
      </w:r>
      <w:r w:rsidRPr="0045734B">
        <w:t xml:space="preserve"> show</w:t>
      </w:r>
      <w:r w:rsidR="00C65940">
        <w:t>ed</w:t>
      </w:r>
      <w:r w:rsidRPr="0045734B">
        <w:t xml:space="preserve"> higher biases in the simulation of the mean and extreme T</w:t>
      </w:r>
      <w:r w:rsidRPr="0045734B">
        <w:rPr>
          <w:vertAlign w:val="subscript"/>
        </w:rPr>
        <w:t>max</w:t>
      </w:r>
      <w:r w:rsidRPr="0045734B">
        <w:t xml:space="preserve"> that </w:t>
      </w:r>
      <w:r w:rsidR="00C65940">
        <w:t xml:space="preserve">were </w:t>
      </w:r>
      <w:r w:rsidRPr="0045734B">
        <w:t xml:space="preserve">generally associated with the biases in the simulation of magnitude and frequency of P, the </w:t>
      </w:r>
      <w:r>
        <w:t xml:space="preserve">RCM </w:t>
      </w:r>
      <w:r w:rsidRPr="0045734B">
        <w:t>show</w:t>
      </w:r>
      <w:r w:rsidR="00C65940">
        <w:t>ed</w:t>
      </w:r>
      <w:r w:rsidRPr="0045734B">
        <w:t xml:space="preserve"> improvement in the simulation of T</w:t>
      </w:r>
      <w:r w:rsidRPr="0045734B">
        <w:rPr>
          <w:vertAlign w:val="subscript"/>
        </w:rPr>
        <w:t>min</w:t>
      </w:r>
      <w:r w:rsidRPr="0045734B">
        <w:t xml:space="preserve">, </w:t>
      </w:r>
      <w:r>
        <w:t>F</w:t>
      </w:r>
      <w:r w:rsidRPr="0045734B">
        <w:rPr>
          <w:vertAlign w:val="subscript"/>
        </w:rPr>
        <w:t>d</w:t>
      </w:r>
      <w:r>
        <w:rPr>
          <w:vertAlign w:val="subscript"/>
        </w:rPr>
        <w:t>ays</w:t>
      </w:r>
      <w:r w:rsidRPr="0045734B">
        <w:t>, T</w:t>
      </w:r>
      <w:r w:rsidRPr="00FE50F6">
        <w:rPr>
          <w:vertAlign w:val="subscript"/>
        </w:rPr>
        <w:t>05</w:t>
      </w:r>
      <w:r w:rsidR="00FC498E">
        <w:t xml:space="preserve">, </w:t>
      </w:r>
      <w:r w:rsidRPr="0045734B">
        <w:t>and P</w:t>
      </w:r>
      <w:r w:rsidRPr="00FE50F6">
        <w:rPr>
          <w:vertAlign w:val="subscript"/>
        </w:rPr>
        <w:t>95</w:t>
      </w:r>
      <w:r w:rsidRPr="0045734B">
        <w:t xml:space="preserve"> </w:t>
      </w:r>
      <w:r w:rsidR="00FC498E">
        <w:t>over</w:t>
      </w:r>
      <w:r w:rsidRPr="0045734B">
        <w:t xml:space="preserve"> the GCM.</w:t>
      </w:r>
      <w:r>
        <w:t xml:space="preserve"> Furthermore, t</w:t>
      </w:r>
      <w:r w:rsidRPr="0045734B">
        <w:t xml:space="preserve">he </w:t>
      </w:r>
      <w:r>
        <w:t>bias</w:t>
      </w:r>
      <w:r w:rsidRPr="0045734B">
        <w:t xml:space="preserve">-corrected </w:t>
      </w:r>
      <w:r>
        <w:t xml:space="preserve">RCM </w:t>
      </w:r>
      <w:r w:rsidRPr="0045734B">
        <w:t xml:space="preserve">and </w:t>
      </w:r>
      <w:r>
        <w:t>DBCCA exhibit</w:t>
      </w:r>
      <w:r w:rsidR="00C65940">
        <w:t>ed</w:t>
      </w:r>
      <w:r>
        <w:t xml:space="preserve"> </w:t>
      </w:r>
      <w:r w:rsidR="001D6C08">
        <w:t>skills and substantial improvement</w:t>
      </w:r>
      <w:r>
        <w:t xml:space="preserve"> in the simulation of all metrics compared </w:t>
      </w:r>
      <w:r w:rsidR="00E00B99">
        <w:t xml:space="preserve">with </w:t>
      </w:r>
      <w:r>
        <w:t>both GCM and RCM.</w:t>
      </w:r>
      <w:r w:rsidR="00201E95" w:rsidRPr="00201E95">
        <w:rPr>
          <w:lang w:eastAsia="zh-TW"/>
        </w:rPr>
        <w:t xml:space="preserve"> </w:t>
      </w:r>
      <w:r w:rsidR="00201E95">
        <w:rPr>
          <w:lang w:eastAsia="zh-TW"/>
        </w:rPr>
        <w:t>Further details about climate model downscaling can be referred to Rastogi et al. (2022).</w:t>
      </w:r>
    </w:p>
    <w:p w14:paraId="4C489560" w14:textId="7BC93329" w:rsidR="00AD4CB3" w:rsidRPr="004856AD" w:rsidRDefault="00AD4CB3" w:rsidP="00AD4CB3">
      <w:pPr>
        <w:pStyle w:val="Heading3"/>
      </w:pPr>
      <w:bookmarkStart w:id="117" w:name="_Toc113380774"/>
      <w:r>
        <w:t xml:space="preserve">Climate Projection </w:t>
      </w:r>
      <w:r w:rsidRPr="004856AD">
        <w:t>Limitation</w:t>
      </w:r>
      <w:r>
        <w:t>s</w:t>
      </w:r>
      <w:bookmarkEnd w:id="117"/>
    </w:p>
    <w:p w14:paraId="08041E05" w14:textId="308D9747" w:rsidR="00B535F1" w:rsidRPr="005F6244" w:rsidRDefault="00B535F1" w:rsidP="00B535F1">
      <w:pPr>
        <w:pStyle w:val="BodyText"/>
      </w:pPr>
      <w:r w:rsidRPr="005F6244">
        <w:t xml:space="preserve">Some major limitations related to </w:t>
      </w:r>
      <w:r>
        <w:t xml:space="preserve">downscaled </w:t>
      </w:r>
      <w:r w:rsidRPr="005F6244">
        <w:t xml:space="preserve">climate projection are summarized </w:t>
      </w:r>
      <w:r w:rsidR="00C65940">
        <w:t>as follows</w:t>
      </w:r>
      <w:r w:rsidRPr="005F6244">
        <w:t>:</w:t>
      </w:r>
    </w:p>
    <w:p w14:paraId="71E0B4DA" w14:textId="68F3C5AE" w:rsidR="00B535F1" w:rsidRPr="005F6244" w:rsidRDefault="000C1EC2" w:rsidP="002954B7">
      <w:pPr>
        <w:pStyle w:val="BulletListspace"/>
      </w:pPr>
      <w:r>
        <w:t>Although</w:t>
      </w:r>
      <w:r w:rsidRPr="005F6244">
        <w:t xml:space="preserve"> </w:t>
      </w:r>
      <w:r>
        <w:t>GCM-</w:t>
      </w:r>
      <w:r w:rsidRPr="005F6244">
        <w:t xml:space="preserve">driven dynamical/statistical downscaling may provide the most scientifically defensible regional scale climate projections, </w:t>
      </w:r>
      <w:r>
        <w:t xml:space="preserve">it </w:t>
      </w:r>
      <w:r w:rsidRPr="005F6244">
        <w:t>i</w:t>
      </w:r>
      <w:r>
        <w:t xml:space="preserve">s not </w:t>
      </w:r>
      <w:r w:rsidRPr="005F6244">
        <w:t>an absolute</w:t>
      </w:r>
      <w:r>
        <w:t>,</w:t>
      </w:r>
      <w:r w:rsidRPr="005F6244">
        <w:t xml:space="preserve"> day-to-day weather prediction </w:t>
      </w:r>
      <w:r>
        <w:t>model</w:t>
      </w:r>
      <w:r w:rsidRPr="005F6244">
        <w:t>. The main purpose of climate modeling is to simulate how general climate statistics may evolve with respect to the specified future emission scenarios</w:t>
      </w:r>
      <w:r>
        <w:t>—</w:t>
      </w:r>
      <w:r w:rsidRPr="005F6244">
        <w:t xml:space="preserve">not to provide </w:t>
      </w:r>
      <w:r>
        <w:t xml:space="preserve">a </w:t>
      </w:r>
      <w:r w:rsidRPr="005F6244">
        <w:t>prediction of weather and hydrologic conditions</w:t>
      </w:r>
      <w:r>
        <w:t xml:space="preserve"> on a specific future date</w:t>
      </w:r>
      <w:r w:rsidR="00B535F1" w:rsidRPr="005F6244">
        <w:t>.</w:t>
      </w:r>
    </w:p>
    <w:p w14:paraId="5486F2ED" w14:textId="402780A5" w:rsidR="00B535F1" w:rsidRPr="001272AF" w:rsidRDefault="00B535F1" w:rsidP="002954B7">
      <w:pPr>
        <w:pStyle w:val="BulletListspace"/>
      </w:pPr>
      <w:r w:rsidRPr="001272AF">
        <w:t>Given the large</w:t>
      </w:r>
      <w:r w:rsidR="00B80B17">
        <w:t xml:space="preserve"> variability in the</w:t>
      </w:r>
      <w:r w:rsidRPr="001272AF">
        <w:t xml:space="preserve"> climate system, a large ensemble (with various models, initial conditions, and long-term simulation) will be required to capture the overall mean and </w:t>
      </w:r>
      <w:r>
        <w:t>spread</w:t>
      </w:r>
      <w:r w:rsidRPr="001272AF">
        <w:t xml:space="preserve">. Depending on the region and variables of interests (e.g., temperature </w:t>
      </w:r>
      <w:r w:rsidR="008E03C3">
        <w:t>vs.</w:t>
      </w:r>
      <w:r w:rsidR="008E03C3" w:rsidRPr="001272AF">
        <w:t xml:space="preserve"> </w:t>
      </w:r>
      <w:r w:rsidRPr="001272AF">
        <w:t>precipitation), the required size of an ensemble could be vastly different. Nevertheless, such</w:t>
      </w:r>
      <w:r w:rsidR="0047036D">
        <w:t xml:space="preserve"> a</w:t>
      </w:r>
      <w:r w:rsidRPr="001272AF">
        <w:t xml:space="preserve"> quantitative measure </w:t>
      </w:r>
      <w:r w:rsidR="0047036D">
        <w:t>is not</w:t>
      </w:r>
      <w:r w:rsidRPr="001272AF">
        <w:t xml:space="preserve"> fully understood in the current state of climate science.</w:t>
      </w:r>
      <w:r>
        <w:t xml:space="preserve"> In practice, the choice is usually controlled by the available resource</w:t>
      </w:r>
      <w:r w:rsidR="000C233B">
        <w:t>s</w:t>
      </w:r>
      <w:r>
        <w:t>.</w:t>
      </w:r>
    </w:p>
    <w:p w14:paraId="58223EF2" w14:textId="5CB89509" w:rsidR="00B535F1" w:rsidRPr="001272AF" w:rsidRDefault="00930433" w:rsidP="002954B7">
      <w:pPr>
        <w:pStyle w:val="BulletListspace"/>
      </w:pPr>
      <w:r>
        <w:t xml:space="preserve">A </w:t>
      </w:r>
      <w:r w:rsidR="00B535F1" w:rsidRPr="001272AF">
        <w:t xml:space="preserve">variety of downscaling techniques have been extensively used in various hydroclimate impact studies, </w:t>
      </w:r>
      <w:r>
        <w:t xml:space="preserve">but </w:t>
      </w:r>
      <w:r w:rsidR="00B535F1" w:rsidRPr="001272AF">
        <w:t>a consensus on the best downscaling practice has yet to be reached</w:t>
      </w:r>
      <w:r w:rsidR="00B535F1">
        <w:t xml:space="preserve">, and </w:t>
      </w:r>
      <w:r w:rsidR="00497678">
        <w:t xml:space="preserve">this </w:t>
      </w:r>
      <w:r w:rsidR="00B1227F">
        <w:t>decision</w:t>
      </w:r>
      <w:r w:rsidR="00B535F1">
        <w:t xml:space="preserve"> may vary based on the hydroclimate analysis need</w:t>
      </w:r>
      <w:r w:rsidR="00B535F1" w:rsidRPr="001272AF">
        <w:t xml:space="preserve">. These different </w:t>
      </w:r>
      <w:r w:rsidR="001E1DC5">
        <w:t>DS</w:t>
      </w:r>
      <w:r w:rsidR="00B535F1" w:rsidRPr="001272AF">
        <w:t xml:space="preserve">s inevitably add a layer of uncertainty and complexity to projected future climate conditions. </w:t>
      </w:r>
      <w:r w:rsidR="00B1227F">
        <w:t>T</w:t>
      </w:r>
      <w:r w:rsidR="00B535F1" w:rsidRPr="001272AF">
        <w:t xml:space="preserve">his </w:t>
      </w:r>
      <w:r>
        <w:t xml:space="preserve">study </w:t>
      </w:r>
      <w:r w:rsidR="00B535F1" w:rsidRPr="001272AF">
        <w:t>capture</w:t>
      </w:r>
      <w:r>
        <w:t>d</w:t>
      </w:r>
      <w:r w:rsidR="00B535F1" w:rsidRPr="001272AF">
        <w:t xml:space="preserve"> the uncertainty arising from </w:t>
      </w:r>
      <w:r w:rsidR="00B535F1">
        <w:t xml:space="preserve">two very different </w:t>
      </w:r>
      <w:r w:rsidR="00B535F1" w:rsidRPr="001272AF">
        <w:t>downscaling technique</w:t>
      </w:r>
      <w:r w:rsidR="00B535F1">
        <w:t>s</w:t>
      </w:r>
      <w:r>
        <w:t>,</w:t>
      </w:r>
      <w:r w:rsidR="00B535F1" w:rsidRPr="001272AF">
        <w:t xml:space="preserve"> as well as the choice of </w:t>
      </w:r>
      <w:r w:rsidR="00B535F1">
        <w:t xml:space="preserve">two different </w:t>
      </w:r>
      <w:r w:rsidR="00A47445">
        <w:t xml:space="preserve">reference </w:t>
      </w:r>
      <w:r w:rsidR="00B535F1">
        <w:t xml:space="preserve">meteorological </w:t>
      </w:r>
      <w:r w:rsidR="00B535F1" w:rsidRPr="001272AF">
        <w:t xml:space="preserve">observations. </w:t>
      </w:r>
      <w:r w:rsidR="00E1295B" w:rsidRPr="001272AF">
        <w:t xml:space="preserve">However, </w:t>
      </w:r>
      <w:r w:rsidR="00E1295B">
        <w:t>the</w:t>
      </w:r>
      <w:r w:rsidR="00E1295B" w:rsidRPr="001272AF">
        <w:t xml:space="preserve"> methodology </w:t>
      </w:r>
      <w:r>
        <w:t xml:space="preserve">was </w:t>
      </w:r>
      <w:r w:rsidR="00E1295B" w:rsidRPr="001272AF">
        <w:t xml:space="preserve">limited to </w:t>
      </w:r>
      <w:r w:rsidR="00E1295B">
        <w:t xml:space="preserve">only </w:t>
      </w:r>
      <w:r w:rsidR="00E1295B" w:rsidRPr="001272AF">
        <w:t xml:space="preserve">one RCM and one statistical </w:t>
      </w:r>
      <w:r w:rsidR="00E1295B">
        <w:t>DS</w:t>
      </w:r>
      <w:r w:rsidR="00E1295B" w:rsidRPr="001272AF">
        <w:t xml:space="preserve"> </w:t>
      </w:r>
      <w:r w:rsidR="00E1295B">
        <w:t xml:space="preserve">and </w:t>
      </w:r>
      <w:r>
        <w:t xml:space="preserve">did </w:t>
      </w:r>
      <w:r w:rsidR="00E1295B" w:rsidRPr="001272AF">
        <w:t xml:space="preserve">not capture the </w:t>
      </w:r>
      <w:r w:rsidR="00E1295B">
        <w:t xml:space="preserve">full range of biases associated with the choice of RCMs and statistical DSs. In other words, the true uncertainties </w:t>
      </w:r>
      <w:r>
        <w:t xml:space="preserve">could not </w:t>
      </w:r>
      <w:r w:rsidR="00E1295B">
        <w:t xml:space="preserve">be captured at the national scale </w:t>
      </w:r>
      <w:r>
        <w:t xml:space="preserve">because of </w:t>
      </w:r>
      <w:r w:rsidR="00E1295B">
        <w:t>resource limitations.</w:t>
      </w:r>
    </w:p>
    <w:p w14:paraId="34D5A361" w14:textId="303A58FB" w:rsidR="00B535F1" w:rsidRPr="001272AF" w:rsidRDefault="00B535F1" w:rsidP="002954B7">
      <w:pPr>
        <w:pStyle w:val="BulletListspace"/>
      </w:pPr>
      <w:r w:rsidRPr="001272AF">
        <w:t xml:space="preserve">Although the capabilities of GCMs have continuously improved through the years, </w:t>
      </w:r>
      <w:r>
        <w:t xml:space="preserve">many open challenges </w:t>
      </w:r>
      <w:r w:rsidR="00A52B22">
        <w:t>remain</w:t>
      </w:r>
      <w:r w:rsidRPr="001272AF">
        <w:t xml:space="preserve">. For instance, </w:t>
      </w:r>
      <w:r w:rsidR="00763044">
        <w:t>although</w:t>
      </w:r>
      <w:r w:rsidR="00763044" w:rsidRPr="001272AF">
        <w:t xml:space="preserve"> </w:t>
      </w:r>
      <w:r w:rsidRPr="001272AF">
        <w:t xml:space="preserve">human activities play an important role in the </w:t>
      </w:r>
      <w:r w:rsidR="00C27D82">
        <w:t>Earth system</w:t>
      </w:r>
      <w:r w:rsidRPr="001272AF">
        <w:t xml:space="preserve"> environment, many of the GCM simulations were conducted without considering the potential human influence on the land use </w:t>
      </w:r>
      <w:r w:rsidR="007F5630">
        <w:t xml:space="preserve">and </w:t>
      </w:r>
      <w:r w:rsidRPr="001272AF">
        <w:t>land cover change</w:t>
      </w:r>
      <w:r w:rsidR="00763044">
        <w:t>,</w:t>
      </w:r>
      <w:r w:rsidRPr="001272AF">
        <w:t xml:space="preserve"> and surface hydrologic alterations. Therefore, recurring climate impact assessments based on the best available climate science remain necessary.</w:t>
      </w:r>
    </w:p>
    <w:p w14:paraId="0676A259" w14:textId="77777777" w:rsidR="00357BBE" w:rsidRPr="006D08C0" w:rsidRDefault="00357BBE" w:rsidP="00AD0C1C">
      <w:pPr>
        <w:pStyle w:val="Heading2"/>
      </w:pPr>
      <w:bookmarkStart w:id="118" w:name="_Ref425755949"/>
      <w:bookmarkStart w:id="119" w:name="_Ref425755963"/>
      <w:bookmarkStart w:id="120" w:name="_Ref425755984"/>
      <w:bookmarkStart w:id="121" w:name="_Ref425756015"/>
      <w:bookmarkStart w:id="122" w:name="_Ref425756027"/>
      <w:bookmarkStart w:id="123" w:name="_Ref425756791"/>
      <w:bookmarkStart w:id="124" w:name="_Toc113380775"/>
      <w:r w:rsidRPr="006D08C0">
        <w:t>Hydrologic Modeling</w:t>
      </w:r>
      <w:bookmarkEnd w:id="118"/>
      <w:bookmarkEnd w:id="119"/>
      <w:bookmarkEnd w:id="120"/>
      <w:bookmarkEnd w:id="121"/>
      <w:bookmarkEnd w:id="122"/>
      <w:bookmarkEnd w:id="123"/>
      <w:bookmarkEnd w:id="124"/>
    </w:p>
    <w:p w14:paraId="0FCA5465" w14:textId="1ACA7C52" w:rsidR="006E4E91" w:rsidRPr="005A1CA6" w:rsidRDefault="006E4E91" w:rsidP="006E4E91">
      <w:pPr>
        <w:pStyle w:val="BodyText"/>
        <w:rPr>
          <w:iCs/>
        </w:rPr>
      </w:pPr>
      <w:r>
        <w:t>The downscaled climate projections generated from</w:t>
      </w:r>
      <w:r w:rsidR="00763044">
        <w:t xml:space="preserve"> work described in</w:t>
      </w:r>
      <w:r>
        <w:t xml:space="preserve"> Section </w:t>
      </w:r>
      <w:r>
        <w:fldChar w:fldCharType="begin"/>
      </w:r>
      <w:r>
        <w:instrText xml:space="preserve"> REF _Ref72487010 \n \h </w:instrText>
      </w:r>
      <w:r>
        <w:fldChar w:fldCharType="separate"/>
      </w:r>
      <w:r w:rsidR="00EE0BF5">
        <w:t>2.4</w:t>
      </w:r>
      <w:r>
        <w:fldChar w:fldCharType="end"/>
      </w:r>
      <w:r>
        <w:t xml:space="preserve"> </w:t>
      </w:r>
      <w:r w:rsidR="003E1E35">
        <w:t xml:space="preserve">were </w:t>
      </w:r>
      <w:r>
        <w:t>then translated into hydrologic projections through hydrologic modeling, which simulate</w:t>
      </w:r>
      <w:r w:rsidR="003E1E35">
        <w:t>d</w:t>
      </w:r>
      <w:r>
        <w:t xml:space="preserve"> watershed behaviors (i.e., </w:t>
      </w:r>
      <w:r>
        <w:lastRenderedPageBreak/>
        <w:t>response of hydrologic variables such as runoff, evaporation, and snow) subject to a set of meteorological forcings (</w:t>
      </w:r>
      <w:r w:rsidR="006F09C6">
        <w:t>e.g.,</w:t>
      </w:r>
      <w:r>
        <w:t xml:space="preserve"> daily precipitation, temperature). These hydrologic projections can be used to </w:t>
      </w:r>
      <w:r w:rsidRPr="00820F8D">
        <w:t xml:space="preserve">evaluate the regional hydrologic response and changes in future water availability </w:t>
      </w:r>
      <w:r>
        <w:t>(</w:t>
      </w:r>
      <w:r>
        <w:fldChar w:fldCharType="begin"/>
      </w:r>
      <w:r>
        <w:instrText xml:space="preserve"> REF _Ref72830666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w:t>
      </w:r>
      <w:r>
        <w:fldChar w:fldCharType="end"/>
      </w:r>
      <w:r w:rsidRPr="00386340">
        <w:t xml:space="preserve">). </w:t>
      </w:r>
      <w:r>
        <w:t>In this study, a</w:t>
      </w:r>
      <w:r w:rsidRPr="00386340">
        <w:t xml:space="preserve"> 48-member ensemble with six CMIP6 GCMs, two </w:t>
      </w:r>
      <w:r w:rsidR="003E1672">
        <w:t>DS</w:t>
      </w:r>
      <w:r w:rsidRPr="00386340">
        <w:t xml:space="preserve">s, two </w:t>
      </w:r>
      <w:r w:rsidR="001531CF">
        <w:rPr>
          <w:snapToGrid/>
        </w:rPr>
        <w:t>MetFs</w:t>
      </w:r>
      <w:r>
        <w:t xml:space="preserve">, </w:t>
      </w:r>
      <w:r w:rsidRPr="00386340">
        <w:t xml:space="preserve">and two </w:t>
      </w:r>
      <w:r w:rsidR="00EB7D73">
        <w:t>HM</w:t>
      </w:r>
      <w:r w:rsidRPr="00386340">
        <w:t>s that project</w:t>
      </w:r>
      <w:r w:rsidR="003E1E35">
        <w:t>ed</w:t>
      </w:r>
      <w:r w:rsidRPr="00386340">
        <w:t xml:space="preserve"> </w:t>
      </w:r>
      <w:r>
        <w:t xml:space="preserve">future </w:t>
      </w:r>
      <w:r w:rsidRPr="00386340">
        <w:t xml:space="preserve">hydrologic conditions </w:t>
      </w:r>
      <w:r>
        <w:t xml:space="preserve">under </w:t>
      </w:r>
      <w:r w:rsidR="00AC40AB">
        <w:t>the</w:t>
      </w:r>
      <w:r>
        <w:t xml:space="preserve"> SSP585 emission scenario </w:t>
      </w:r>
      <w:r w:rsidR="003E1E35">
        <w:t xml:space="preserve">were </w:t>
      </w:r>
      <w:r w:rsidRPr="00386340">
        <w:t xml:space="preserve">developed. In other words, </w:t>
      </w:r>
      <w:r>
        <w:t xml:space="preserve">the </w:t>
      </w:r>
      <w:r w:rsidRPr="00386340">
        <w:t xml:space="preserve">24 </w:t>
      </w:r>
      <w:r>
        <w:t xml:space="preserve">sets of downscaled </w:t>
      </w:r>
      <w:r w:rsidRPr="00386340">
        <w:t xml:space="preserve">climate projections from Section </w:t>
      </w:r>
      <w:r>
        <w:fldChar w:fldCharType="begin"/>
      </w:r>
      <w:r>
        <w:instrText xml:space="preserve"> REF _Ref72487010 \n \h </w:instrText>
      </w:r>
      <w:r>
        <w:fldChar w:fldCharType="separate"/>
      </w:r>
      <w:r w:rsidR="00EE0BF5">
        <w:t>2.4</w:t>
      </w:r>
      <w:r>
        <w:fldChar w:fldCharType="end"/>
      </w:r>
      <w:r>
        <w:t xml:space="preserve"> </w:t>
      </w:r>
      <w:r w:rsidR="003E1E35">
        <w:t xml:space="preserve">were </w:t>
      </w:r>
      <w:r w:rsidRPr="00386340">
        <w:t xml:space="preserve">used to drive two calibrated distributed </w:t>
      </w:r>
      <w:r w:rsidR="00EB7D73">
        <w:t>HM</w:t>
      </w:r>
      <w:r w:rsidRPr="00386340">
        <w:t xml:space="preserve">s (VIC and PRMS) </w:t>
      </w:r>
      <w:r>
        <w:t>at the CONUS scale</w:t>
      </w:r>
      <w:r w:rsidRPr="00386340">
        <w:t>. The</w:t>
      </w:r>
      <w:r>
        <w:t xml:space="preserve"> u</w:t>
      </w:r>
      <w:r w:rsidRPr="00820F8D">
        <w:t xml:space="preserve">se of a second </w:t>
      </w:r>
      <w:r w:rsidR="00EB7D73">
        <w:t>HM</w:t>
      </w:r>
      <w:r w:rsidRPr="00820F8D">
        <w:t xml:space="preserve">, compared </w:t>
      </w:r>
      <w:r w:rsidR="00EA32DC">
        <w:t>with</w:t>
      </w:r>
      <w:r w:rsidRPr="00820F8D">
        <w:t xml:space="preserve"> </w:t>
      </w:r>
      <w:r>
        <w:t>the previous</w:t>
      </w:r>
      <w:r w:rsidRPr="00820F8D">
        <w:t xml:space="preserve"> 9505 assessment</w:t>
      </w:r>
      <w:r>
        <w:t>s</w:t>
      </w:r>
      <w:r w:rsidRPr="00820F8D">
        <w:t>, add</w:t>
      </w:r>
      <w:r w:rsidR="003E1E35">
        <w:t>ed</w:t>
      </w:r>
      <w:r w:rsidRPr="00820F8D">
        <w:t xml:space="preserve"> an extra dimension to the </w:t>
      </w:r>
      <w:r>
        <w:t xml:space="preserve">hydroclimate </w:t>
      </w:r>
      <w:r w:rsidRPr="00820F8D">
        <w:t xml:space="preserve">analysis and </w:t>
      </w:r>
      <w:r w:rsidR="003E1E35">
        <w:t xml:space="preserve">provided additional information on </w:t>
      </w:r>
      <w:r w:rsidRPr="00820F8D">
        <w:t xml:space="preserve">the uncertainty related to the choice of </w:t>
      </w:r>
      <w:r w:rsidR="00EB7D73">
        <w:t>HM</w:t>
      </w:r>
      <w:r w:rsidRPr="00820F8D">
        <w:t xml:space="preserve">s. The following subsections provide an overview of each </w:t>
      </w:r>
      <w:r w:rsidR="00EB7D73">
        <w:t>HM</w:t>
      </w:r>
      <w:r w:rsidRPr="00820F8D">
        <w:t xml:space="preserve">, their implementation, and their </w:t>
      </w:r>
      <w:r>
        <w:t xml:space="preserve">model </w:t>
      </w:r>
      <w:r w:rsidRPr="00820F8D">
        <w:t>performance.</w:t>
      </w:r>
    </w:p>
    <w:p w14:paraId="59BBB697" w14:textId="4B03B9E3" w:rsidR="00357BBE" w:rsidRPr="006D08C0" w:rsidRDefault="008C3834" w:rsidP="006D08C0">
      <w:pPr>
        <w:pStyle w:val="Heading3"/>
      </w:pPr>
      <w:bookmarkStart w:id="125" w:name="_Toc113380776"/>
      <w:r>
        <w:t>VIC</w:t>
      </w:r>
      <w:bookmarkEnd w:id="125"/>
    </w:p>
    <w:p w14:paraId="5FAC7369" w14:textId="49DE9128" w:rsidR="006E4E91" w:rsidRDefault="006E4E91" w:rsidP="006E4E91">
      <w:pPr>
        <w:pStyle w:val="BodyText"/>
      </w:pPr>
      <w:r>
        <w:t xml:space="preserve">The first </w:t>
      </w:r>
      <w:r w:rsidR="00EB7D73">
        <w:t>HM</w:t>
      </w:r>
      <w:r>
        <w:t>,</w:t>
      </w:r>
      <w:r w:rsidR="00542ECA">
        <w:t xml:space="preserve"> the</w:t>
      </w:r>
      <w:r>
        <w:t xml:space="preserve"> VIC model, is a macroscale, semi-distributed model that simulates spatially distributed water and energy fluxes, allowing for the representation of various hydrologic processes (e.g., evaporation, runoff, base</w:t>
      </w:r>
      <w:r w:rsidR="00B36ABF">
        <w:t xml:space="preserve"> </w:t>
      </w:r>
      <w:r>
        <w:t xml:space="preserve">flow, snowmelt) </w:t>
      </w:r>
      <w:r w:rsidRPr="002A64F4">
        <w:t>(Liang et al., 1994)</w:t>
      </w:r>
      <w:r>
        <w:t xml:space="preserve">. VIC </w:t>
      </w:r>
      <w:r w:rsidR="000B6662">
        <w:t xml:space="preserve">uses </w:t>
      </w:r>
      <w:r>
        <w:t xml:space="preserve">a variable infiltration capacity curve to determine the infiltration and surface runoff and uses </w:t>
      </w:r>
      <w:r w:rsidR="00066600">
        <w:t xml:space="preserve">the </w:t>
      </w:r>
      <w:r>
        <w:t xml:space="preserve">empirical Arno curve for </w:t>
      </w:r>
      <w:r w:rsidR="00066600">
        <w:t>base</w:t>
      </w:r>
      <w:r w:rsidR="00B36ABF">
        <w:t xml:space="preserve"> </w:t>
      </w:r>
      <w:r>
        <w:t xml:space="preserve">flow calculation. </w:t>
      </w:r>
      <w:r w:rsidR="00B36ABF">
        <w:t xml:space="preserve">The </w:t>
      </w:r>
      <w:r w:rsidR="00363135">
        <w:t xml:space="preserve">Arno curve allows </w:t>
      </w:r>
      <w:r w:rsidR="00B36ABF">
        <w:t xml:space="preserve">VIC </w:t>
      </w:r>
      <w:r w:rsidR="00363135">
        <w:t>to calculate base</w:t>
      </w:r>
      <w:r w:rsidR="00B36ABF">
        <w:t xml:space="preserve"> </w:t>
      </w:r>
      <w:r w:rsidR="00363135">
        <w:t>flow as a function of soil moisture, such that base</w:t>
      </w:r>
      <w:r w:rsidR="00B36ABF">
        <w:t xml:space="preserve"> </w:t>
      </w:r>
      <w:r w:rsidR="00363135">
        <w:t>flow response var</w:t>
      </w:r>
      <w:r w:rsidR="000B6662">
        <w:t>ies</w:t>
      </w:r>
      <w:r w:rsidR="00363135">
        <w:t xml:space="preserve"> linearly under low</w:t>
      </w:r>
      <w:r w:rsidR="000B6662">
        <w:t>-</w:t>
      </w:r>
      <w:r w:rsidR="00363135">
        <w:t xml:space="preserve">moisture conditions and nonlinearly </w:t>
      </w:r>
      <w:r w:rsidR="000B6662">
        <w:t xml:space="preserve">under </w:t>
      </w:r>
      <w:r w:rsidR="00363135">
        <w:t>high</w:t>
      </w:r>
      <w:r w:rsidR="000B6662">
        <w:t>-</w:t>
      </w:r>
      <w:r w:rsidR="00363135">
        <w:t xml:space="preserve">moisture conditions. </w:t>
      </w:r>
      <w:r w:rsidRPr="00B011CF">
        <w:t xml:space="preserve">The water and energy balances are solved for multiple elevation bands and vegetation types, which </w:t>
      </w:r>
      <w:r w:rsidR="00066600">
        <w:t>enables</w:t>
      </w:r>
      <w:r w:rsidR="00066600" w:rsidRPr="00B011CF">
        <w:t xml:space="preserve"> </w:t>
      </w:r>
      <w:r w:rsidRPr="00B011CF">
        <w:t>the model to capture the subgrid variability of these land surface features</w:t>
      </w:r>
      <w:r>
        <w:t xml:space="preserve"> </w:t>
      </w:r>
      <w:r w:rsidRPr="002A64F4">
        <w:t>(Liang et al., 1994)</w:t>
      </w:r>
      <w:r>
        <w:t xml:space="preserve">. </w:t>
      </w:r>
      <w:r w:rsidR="00066600">
        <w:t>Although</w:t>
      </w:r>
      <w:r>
        <w:t xml:space="preserve"> </w:t>
      </w:r>
      <w:r w:rsidRPr="00B011CF">
        <w:t xml:space="preserve">VIC is </w:t>
      </w:r>
      <w:r w:rsidR="000B6662">
        <w:t xml:space="preserve">essentially </w:t>
      </w:r>
      <w:r w:rsidRPr="00B011CF">
        <w:t xml:space="preserve">a </w:t>
      </w:r>
      <w:r>
        <w:t>1D</w:t>
      </w:r>
      <w:r w:rsidRPr="00B011CF">
        <w:t xml:space="preserve"> model</w:t>
      </w:r>
      <w:r>
        <w:t xml:space="preserve"> that solves mass and energy balance in the vertical direction</w:t>
      </w:r>
      <w:r w:rsidRPr="00B011CF">
        <w:t xml:space="preserve">, an external </w:t>
      </w:r>
      <w:r w:rsidR="00066600">
        <w:t>2D</w:t>
      </w:r>
      <w:r>
        <w:t xml:space="preserve"> horizontal </w:t>
      </w:r>
      <w:r w:rsidRPr="00B011CF">
        <w:t>routing algorithm can be used to estimate streamflow at a specified location</w:t>
      </w:r>
      <w:r>
        <w:t xml:space="preserve"> (</w:t>
      </w:r>
      <w:r w:rsidRPr="007E3B4E">
        <w:t>Lohmann et al.</w:t>
      </w:r>
      <w:r>
        <w:t>,</w:t>
      </w:r>
      <w:r w:rsidRPr="007E3B4E">
        <w:t xml:space="preserve"> 1996</w:t>
      </w:r>
      <w:r>
        <w:t xml:space="preserve"> and </w:t>
      </w:r>
      <w:r w:rsidRPr="007E3B4E">
        <w:t>1998)</w:t>
      </w:r>
      <w:r>
        <w:t xml:space="preserve">. VIC has been widely used in many national and international hydroclimate studies </w:t>
      </w:r>
      <w:r w:rsidRPr="004434E4">
        <w:t>(</w:t>
      </w:r>
      <w:r>
        <w:t xml:space="preserve">e.g., </w:t>
      </w:r>
      <w:r w:rsidRPr="004434E4">
        <w:t>Harding et al., 2012; Hengade et al., 2018; Islam et al., 2017; Yan et al., 2015)</w:t>
      </w:r>
      <w:r>
        <w:t xml:space="preserve">, including the previous two 9505 assessments </w:t>
      </w:r>
      <w:r w:rsidRPr="004434E4">
        <w:t>(Sale et al., 2012</w:t>
      </w:r>
      <w:r>
        <w:t xml:space="preserve">; </w:t>
      </w:r>
      <w:r w:rsidRPr="004434E4">
        <w:t>Kao et al., 2016)</w:t>
      </w:r>
      <w:r>
        <w:t>.</w:t>
      </w:r>
    </w:p>
    <w:p w14:paraId="5726C9B2" w14:textId="370EBB89" w:rsidR="006E4E91" w:rsidRDefault="006E4E91" w:rsidP="006E4E91">
      <w:pPr>
        <w:pStyle w:val="BodyText"/>
        <w:rPr>
          <w:lang w:eastAsia="zh-TW"/>
        </w:rPr>
      </w:pPr>
      <w:r w:rsidRPr="00F316DF">
        <w:t xml:space="preserve">Building </w:t>
      </w:r>
      <w:r>
        <w:t>on</w:t>
      </w:r>
      <w:r w:rsidRPr="00F316DF">
        <w:t xml:space="preserve"> the </w:t>
      </w:r>
      <w:r>
        <w:t>CONUS VIC implementation (</w:t>
      </w:r>
      <w:r w:rsidRPr="00790189">
        <w:t>Naz et al.</w:t>
      </w:r>
      <w:r>
        <w:t>,</w:t>
      </w:r>
      <w:r w:rsidRPr="00790189">
        <w:t xml:space="preserve"> 2016</w:t>
      </w:r>
      <w:r>
        <w:t>;</w:t>
      </w:r>
      <w:r w:rsidRPr="00790189">
        <w:t xml:space="preserve"> Oubeidillah et al. 2014)</w:t>
      </w:r>
      <w:r>
        <w:t xml:space="preserve"> used in the previous 9505 assessment</w:t>
      </w:r>
      <w:r w:rsidRPr="00F316DF">
        <w:t xml:space="preserve">, the latest </w:t>
      </w:r>
      <w:r>
        <w:t xml:space="preserve">VIC </w:t>
      </w:r>
      <w:r w:rsidR="000B6662">
        <w:t xml:space="preserve">version </w:t>
      </w:r>
      <w:r>
        <w:t xml:space="preserve">5 </w:t>
      </w:r>
      <w:r w:rsidRPr="00F316DF">
        <w:t>(Hamman et al., 2018)</w:t>
      </w:r>
      <w:r>
        <w:t xml:space="preserve"> </w:t>
      </w:r>
      <w:r w:rsidR="00066600">
        <w:t xml:space="preserve">was used </w:t>
      </w:r>
      <w:r>
        <w:t>in this study</w:t>
      </w:r>
      <w:r w:rsidRPr="00F316DF">
        <w:t xml:space="preserve">. </w:t>
      </w:r>
      <w:r w:rsidR="000B6662">
        <w:t xml:space="preserve">This </w:t>
      </w:r>
      <w:r>
        <w:t xml:space="preserve">model is </w:t>
      </w:r>
      <w:r w:rsidRPr="00F316DF">
        <w:t>set</w:t>
      </w:r>
      <w:r>
        <w:t xml:space="preserve"> </w:t>
      </w:r>
      <w:r w:rsidRPr="00F316DF">
        <w:t xml:space="preserve">up at </w:t>
      </w:r>
      <w:r>
        <w:t xml:space="preserve">the same </w:t>
      </w:r>
      <w:r w:rsidRPr="00F316DF">
        <w:t>1/24° (~4 km) grid resolution with a</w:t>
      </w:r>
      <w:r>
        <w:t xml:space="preserve"> 3-</w:t>
      </w:r>
      <w:r w:rsidRPr="0046639B">
        <w:t>hourly</w:t>
      </w:r>
      <w:r w:rsidRPr="00F316DF">
        <w:t xml:space="preserve"> time step </w:t>
      </w:r>
      <w:r>
        <w:t xml:space="preserve">and </w:t>
      </w:r>
      <w:r w:rsidRPr="00F316DF">
        <w:t>five elevation bands</w:t>
      </w:r>
      <w:r>
        <w:t xml:space="preserve">. Although VIC was calibrated in the previous assessment, given the change in model version and </w:t>
      </w:r>
      <w:r w:rsidR="005B7411">
        <w:t xml:space="preserve">reference </w:t>
      </w:r>
      <w:r>
        <w:t xml:space="preserve">meteorological </w:t>
      </w:r>
      <w:r w:rsidR="005B7411">
        <w:t>observations</w:t>
      </w:r>
      <w:r>
        <w:t xml:space="preserve">, further calibration </w:t>
      </w:r>
      <w:r w:rsidR="008839C3">
        <w:t xml:space="preserve">was conducted </w:t>
      </w:r>
      <w:r>
        <w:t>in this study (Section</w:t>
      </w:r>
      <w:r w:rsidR="007A6021">
        <w:t xml:space="preserve"> </w:t>
      </w:r>
      <w:r w:rsidR="007A6021">
        <w:fldChar w:fldCharType="begin"/>
      </w:r>
      <w:r w:rsidR="007A6021">
        <w:instrText xml:space="preserve"> REF _Ref81816912 \n \h </w:instrText>
      </w:r>
      <w:r w:rsidR="007A6021">
        <w:fldChar w:fldCharType="separate"/>
      </w:r>
      <w:r w:rsidR="00EE0BF5">
        <w:t>2.5.3</w:t>
      </w:r>
      <w:r w:rsidR="007A6021">
        <w:fldChar w:fldCharType="end"/>
      </w:r>
      <w:r w:rsidRPr="00157E93">
        <w:t>)</w:t>
      </w:r>
      <w:r>
        <w:t xml:space="preserve">. Similar to </w:t>
      </w:r>
      <w:r w:rsidR="000B6662">
        <w:t xml:space="preserve">in </w:t>
      </w:r>
      <w:r>
        <w:t>the previous assessment, t</w:t>
      </w:r>
      <w:r>
        <w:rPr>
          <w:lang w:eastAsia="zh-TW"/>
        </w:rPr>
        <w:t>he calibration was performed at the HUC8 subbasin scale using the USGS WaterWatch monthly runoff</w:t>
      </w:r>
      <w:r w:rsidR="005606E5">
        <w:rPr>
          <w:lang w:eastAsia="zh-TW"/>
        </w:rPr>
        <w:t xml:space="preserve"> data set </w:t>
      </w:r>
      <w:r w:rsidRPr="003C77EC">
        <w:rPr>
          <w:lang w:eastAsia="zh-TW"/>
        </w:rPr>
        <w:t xml:space="preserve">(Brakebill et al., 2011) </w:t>
      </w:r>
      <w:r>
        <w:rPr>
          <w:lang w:eastAsia="zh-TW"/>
        </w:rPr>
        <w:t xml:space="preserve">as the benchmark. </w:t>
      </w:r>
      <w:r>
        <w:t xml:space="preserve">Furthermore, recognizing the impacts of </w:t>
      </w:r>
      <w:r w:rsidR="002D3DE5">
        <w:t>MetFs</w:t>
      </w:r>
      <w:r>
        <w:t xml:space="preserve"> on the hydrologic modeling (Elsner et al., 2014), the calibration </w:t>
      </w:r>
      <w:r w:rsidR="00C05EB4">
        <w:t>was performed</w:t>
      </w:r>
      <w:r>
        <w:t xml:space="preserve"> separately for Daymet and Livneh meteorological</w:t>
      </w:r>
      <w:r w:rsidR="00D64187">
        <w:t xml:space="preserve"> data sets.</w:t>
      </w:r>
      <w:r>
        <w:t xml:space="preserve"> The two optimized parameter sets </w:t>
      </w:r>
      <w:r w:rsidR="00C05EB4">
        <w:t xml:space="preserve">were </w:t>
      </w:r>
      <w:r>
        <w:t>then used in conjunction with their corresponding downscaled climate projections during the hydrologic simulation</w:t>
      </w:r>
      <w:r>
        <w:rPr>
          <w:lang w:eastAsia="zh-TW"/>
        </w:rPr>
        <w:t>.</w:t>
      </w:r>
    </w:p>
    <w:p w14:paraId="12A6CB25" w14:textId="5962C10B" w:rsidR="00357BBE" w:rsidRPr="006D08C0" w:rsidRDefault="008C3834" w:rsidP="006D08C0">
      <w:pPr>
        <w:pStyle w:val="Heading3"/>
      </w:pPr>
      <w:bookmarkStart w:id="126" w:name="_Toc113380777"/>
      <w:r>
        <w:t>PRMS</w:t>
      </w:r>
      <w:bookmarkEnd w:id="126"/>
    </w:p>
    <w:p w14:paraId="140F811D" w14:textId="3C94AD65" w:rsidR="006E4E91" w:rsidRDefault="00E1295B" w:rsidP="006E4E91">
      <w:pPr>
        <w:pStyle w:val="BodyText"/>
      </w:pPr>
      <w:bookmarkStart w:id="127" w:name="_Ref75161315"/>
      <w:bookmarkStart w:id="128" w:name="_Ref75963892"/>
      <w:bookmarkStart w:id="129" w:name="_Ref75964700"/>
      <w:bookmarkStart w:id="130" w:name="_Ref76013471"/>
      <w:r>
        <w:t xml:space="preserve">The second HM, PRMS, is a deterministic, process-based, distributed HM developed by USGS </w:t>
      </w:r>
      <w:r w:rsidRPr="00827289">
        <w:t>(Leavesley et al., 1983)</w:t>
      </w:r>
      <w:r>
        <w:t xml:space="preserve">. PRMS </w:t>
      </w:r>
      <w:r w:rsidR="000B6662">
        <w:t xml:space="preserve">uses </w:t>
      </w:r>
      <w:r>
        <w:t xml:space="preserve">a modular framework to allow alternative algorithms to simulate several hydrologic processes, such as precipitation, evapotranspiration, runoff, infiltration, and groundwater </w:t>
      </w:r>
      <w:r w:rsidRPr="00827289">
        <w:t>(Markstrom et al., 2015)</w:t>
      </w:r>
      <w:r>
        <w:t xml:space="preserve">. PRMS allows for a spatially discretized representation of the physical and geologic properties, such as topography, soil, vegetation, and land use, typically through HRUs. </w:t>
      </w:r>
      <w:r w:rsidR="00301376">
        <w:t xml:space="preserve">The individual HRUs have homogenous physical characteristics and hydrologic response. </w:t>
      </w:r>
      <w:r>
        <w:t xml:space="preserve">The water fluxes and storages are </w:t>
      </w:r>
      <w:r w:rsidRPr="007C1A24">
        <w:t>computed at daily time</w:t>
      </w:r>
      <w:r w:rsidR="000B6662">
        <w:t xml:space="preserve"> </w:t>
      </w:r>
      <w:r w:rsidRPr="007C1A24">
        <w:t>step</w:t>
      </w:r>
      <w:r>
        <w:t>s</w:t>
      </w:r>
      <w:r w:rsidRPr="007C1A24">
        <w:t xml:space="preserve"> to simulate hydrologic response subject to </w:t>
      </w:r>
      <w:r>
        <w:t xml:space="preserve">the driving </w:t>
      </w:r>
      <w:r w:rsidRPr="007C1A24">
        <w:t>meteorological forcing</w:t>
      </w:r>
      <w:r>
        <w:t xml:space="preserve"> (e.g., </w:t>
      </w:r>
      <w:r w:rsidRPr="007C1A24">
        <w:t>precipitation and temperature</w:t>
      </w:r>
      <w:r>
        <w:t>)</w:t>
      </w:r>
      <w:r w:rsidRPr="007C1A24">
        <w:t xml:space="preserve">. </w:t>
      </w:r>
      <w:r>
        <w:t xml:space="preserve">Similar to VIC, </w:t>
      </w:r>
      <w:r w:rsidRPr="007C1A24">
        <w:t>PRMS has been applied in several model</w:t>
      </w:r>
      <w:r>
        <w:t>ing</w:t>
      </w:r>
      <w:r w:rsidRPr="007C1A24">
        <w:t xml:space="preserve"> studies </w:t>
      </w:r>
      <w:r>
        <w:t xml:space="preserve">to evaluate </w:t>
      </w:r>
      <w:r w:rsidRPr="007C1A24">
        <w:t xml:space="preserve">climate change impacts on water availability </w:t>
      </w:r>
      <w:r w:rsidRPr="00827289">
        <w:t>(Gangrade et</w:t>
      </w:r>
      <w:r w:rsidR="000B6662">
        <w:t> </w:t>
      </w:r>
      <w:r w:rsidRPr="00827289">
        <w:t>al., 2020; Hay et al., 2011; LaFontaine et al., 2019; Najafi et al., 2011)</w:t>
      </w:r>
      <w:r w:rsidRPr="007C1A24">
        <w:t>.</w:t>
      </w:r>
    </w:p>
    <w:p w14:paraId="31D8F560" w14:textId="44DEB897" w:rsidR="006E4E91" w:rsidRDefault="00301376" w:rsidP="006E4E91">
      <w:pPr>
        <w:pStyle w:val="BodyText"/>
        <w:rPr>
          <w:lang w:eastAsia="zh-TW"/>
        </w:rPr>
      </w:pPr>
      <w:r>
        <w:lastRenderedPageBreak/>
        <w:t xml:space="preserve">In this study, PRMS </w:t>
      </w:r>
      <w:r w:rsidR="000B6662" w:rsidRPr="009E64D1">
        <w:t>version</w:t>
      </w:r>
      <w:r w:rsidRPr="009E64D1">
        <w:t xml:space="preserve"> 5.1.0</w:t>
      </w:r>
      <w:r>
        <w:t xml:space="preserve"> </w:t>
      </w:r>
      <w:r w:rsidR="000B6662">
        <w:t xml:space="preserve">was </w:t>
      </w:r>
      <w:r>
        <w:t>implemented using a national-scale application of the National Hydrologic Model Infrastructure (</w:t>
      </w:r>
      <w:r w:rsidRPr="00827289">
        <w:t>Regan et al., 2019</w:t>
      </w:r>
      <w:r>
        <w:t xml:space="preserve">), </w:t>
      </w:r>
      <w:r w:rsidRPr="00DA740D">
        <w:t>which used HRUs defined by the Geospatial Fabric</w:t>
      </w:r>
      <w:r w:rsidRPr="00DA740D" w:rsidDel="00DA740D">
        <w:t xml:space="preserve"> </w:t>
      </w:r>
      <w:r w:rsidRPr="00827289">
        <w:t>(Viger and Bock, 2014)</w:t>
      </w:r>
      <w:r>
        <w:t>. The model setup consist</w:t>
      </w:r>
      <w:r w:rsidR="000B6662">
        <w:t>ed</w:t>
      </w:r>
      <w:r>
        <w:t xml:space="preserve"> of 109,951 HRUs ranging from 1 km</w:t>
      </w:r>
      <w:r w:rsidRPr="00CF5450">
        <w:rPr>
          <w:vertAlign w:val="superscript"/>
        </w:rPr>
        <w:t>2</w:t>
      </w:r>
      <w:r>
        <w:t xml:space="preserve"> to more than 67,000 km</w:t>
      </w:r>
      <w:r w:rsidRPr="00CF5450">
        <w:rPr>
          <w:vertAlign w:val="superscript"/>
        </w:rPr>
        <w:t>2</w:t>
      </w:r>
      <w:r w:rsidRPr="004D247D">
        <w:t>,</w:t>
      </w:r>
      <w:r>
        <w:t xml:space="preserve"> with a median area of 33 km</w:t>
      </w:r>
      <w:r w:rsidRPr="00CF5450">
        <w:rPr>
          <w:vertAlign w:val="superscript"/>
        </w:rPr>
        <w:t>2</w:t>
      </w:r>
      <w:r>
        <w:t xml:space="preserve"> (</w:t>
      </w:r>
      <w:r w:rsidRPr="00827289">
        <w:t>Sexstone et al.</w:t>
      </w:r>
      <w:r>
        <w:t>,</w:t>
      </w:r>
      <w:r w:rsidRPr="00827289">
        <w:t xml:space="preserve"> 2020)</w:t>
      </w:r>
      <w:r>
        <w:t xml:space="preserve">. The initial parameter set was obtained from a national calibration of PRMS using Daymet V3 by </w:t>
      </w:r>
      <w:r w:rsidRPr="00827289">
        <w:t xml:space="preserve">Hay </w:t>
      </w:r>
      <w:r>
        <w:t>(</w:t>
      </w:r>
      <w:r w:rsidRPr="00827289">
        <w:t>2020)</w:t>
      </w:r>
      <w:r>
        <w:t xml:space="preserve">. The daily precipitation and maximum and minimum temperatures </w:t>
      </w:r>
      <w:r w:rsidR="000B6662">
        <w:t xml:space="preserve">were </w:t>
      </w:r>
      <w:r>
        <w:t>computed at each HRU and then aggregated to each HUC8 through area-weighted averaging. Similar to VIC, the calibration was performed separately for the Daymet and Livneh meteorological</w:t>
      </w:r>
      <w:r w:rsidR="00D64187">
        <w:t xml:space="preserve"> </w:t>
      </w:r>
      <w:r w:rsidR="005606E5">
        <w:t>data sets</w:t>
      </w:r>
      <w:r w:rsidR="00D64187">
        <w:t xml:space="preserve"> </w:t>
      </w:r>
      <w:r>
        <w:t xml:space="preserve">using </w:t>
      </w:r>
      <w:r>
        <w:rPr>
          <w:lang w:eastAsia="zh-TW"/>
        </w:rPr>
        <w:t>USGS WaterWatch monthly runoff as the benchmark</w:t>
      </w:r>
      <w:r>
        <w:t>. The overall calibration approach was kept consistent to avoid introducing additional uncertainty caused by different calibration algorithms.</w:t>
      </w:r>
    </w:p>
    <w:p w14:paraId="66C73E66" w14:textId="779B4789" w:rsidR="00357BBE" w:rsidRPr="006D08C0" w:rsidRDefault="00357BBE" w:rsidP="00C82290">
      <w:pPr>
        <w:pStyle w:val="Heading3"/>
      </w:pPr>
      <w:bookmarkStart w:id="131" w:name="_Ref81816912"/>
      <w:bookmarkStart w:id="132" w:name="_Ref81819178"/>
      <w:bookmarkStart w:id="133" w:name="_Ref81824283"/>
      <w:bookmarkStart w:id="134" w:name="_Ref81828856"/>
      <w:bookmarkStart w:id="135" w:name="_Toc113380778"/>
      <w:r w:rsidRPr="006D08C0">
        <w:t>Model Calibration and Validation</w:t>
      </w:r>
      <w:bookmarkEnd w:id="127"/>
      <w:bookmarkEnd w:id="128"/>
      <w:bookmarkEnd w:id="129"/>
      <w:bookmarkEnd w:id="130"/>
      <w:bookmarkEnd w:id="131"/>
      <w:bookmarkEnd w:id="132"/>
      <w:bookmarkEnd w:id="133"/>
      <w:bookmarkEnd w:id="134"/>
      <w:bookmarkEnd w:id="135"/>
    </w:p>
    <w:p w14:paraId="33F97915" w14:textId="77777777" w:rsidR="00CF5450" w:rsidRPr="006D08C0" w:rsidRDefault="00CF5450" w:rsidP="00C82290">
      <w:pPr>
        <w:pStyle w:val="Heading4"/>
      </w:pPr>
      <w:r w:rsidRPr="006D08C0">
        <w:t>Calibration</w:t>
      </w:r>
    </w:p>
    <w:p w14:paraId="52972DE4" w14:textId="122C51FE" w:rsidR="006E4E91" w:rsidRDefault="00E1295B" w:rsidP="006E4E91">
      <w:pPr>
        <w:pStyle w:val="BodyText"/>
      </w:pPr>
      <w:r>
        <w:t xml:space="preserve">Although both HMs are physics-based, </w:t>
      </w:r>
      <w:r w:rsidRPr="00385A30">
        <w:t xml:space="preserve">several </w:t>
      </w:r>
      <w:r>
        <w:t xml:space="preserve">complicated hydrologic </w:t>
      </w:r>
      <w:r w:rsidRPr="00385A30">
        <w:t xml:space="preserve">processes are represented </w:t>
      </w:r>
      <w:r>
        <w:t>by</w:t>
      </w:r>
      <w:r w:rsidRPr="00385A30">
        <w:t xml:space="preserve"> simplified </w:t>
      </w:r>
      <w:r>
        <w:t xml:space="preserve">relationships and </w:t>
      </w:r>
      <w:r w:rsidRPr="00385A30">
        <w:t>parameterization</w:t>
      </w:r>
      <w:r>
        <w:t xml:space="preserve">s. </w:t>
      </w:r>
      <w:r w:rsidR="006E4E91">
        <w:t xml:space="preserve">Therefore, model calibration </w:t>
      </w:r>
      <w:r w:rsidR="000B6662">
        <w:t xml:space="preserve">was </w:t>
      </w:r>
      <w:r w:rsidR="006E4E91">
        <w:t xml:space="preserve">necessary to ensure that both models may reasonably simulate the historical hydrology. Following a similar procedure with the previous 9505 assessments, both models </w:t>
      </w:r>
      <w:r w:rsidR="000B6662">
        <w:t xml:space="preserve">were </w:t>
      </w:r>
      <w:r w:rsidR="006E4E91">
        <w:t>calibrated at each HUC8 subbasin using the USGS WaterWatch</w:t>
      </w:r>
      <w:r w:rsidR="005606E5">
        <w:t xml:space="preserve"> data set </w:t>
      </w:r>
      <w:r w:rsidR="006E4E91">
        <w:t xml:space="preserve">as the benchmark. As demonstrated by the previous 9505 assessments, since </w:t>
      </w:r>
      <w:r w:rsidR="006E4E91" w:rsidRPr="00FA2013">
        <w:t>WaterWatch runoff is the most significant variable in explaining historic annual hydropower generation (Sale et al.</w:t>
      </w:r>
      <w:r w:rsidR="006E4E91">
        <w:t>,</w:t>
      </w:r>
      <w:r w:rsidR="006E4E91" w:rsidRPr="00FA2013">
        <w:t xml:space="preserve"> 2012), calibrating </w:t>
      </w:r>
      <w:r w:rsidR="006E4E91">
        <w:t>a</w:t>
      </w:r>
      <w:r w:rsidR="00906BFB">
        <w:t>n</w:t>
      </w:r>
      <w:r w:rsidR="006E4E91">
        <w:t xml:space="preserve"> </w:t>
      </w:r>
      <w:r w:rsidR="00533D84">
        <w:t>HM</w:t>
      </w:r>
      <w:r w:rsidR="006E4E91" w:rsidRPr="00FA2013">
        <w:t xml:space="preserve"> to WaterWatch </w:t>
      </w:r>
      <w:r w:rsidR="006E4E91">
        <w:t xml:space="preserve">should </w:t>
      </w:r>
      <w:r w:rsidR="006E4E91" w:rsidRPr="00FA2013">
        <w:t>enhance the accuracy of the subsequent hydropower simulation</w:t>
      </w:r>
      <w:r w:rsidR="006E4E91">
        <w:t>s.</w:t>
      </w:r>
      <w:r w:rsidR="006E4E91" w:rsidDel="003F29FD">
        <w:t xml:space="preserve"> </w:t>
      </w:r>
      <w:r w:rsidR="006E4E91">
        <w:t xml:space="preserve">In general, both models </w:t>
      </w:r>
      <w:r w:rsidR="000B6662">
        <w:t xml:space="preserve">were </w:t>
      </w:r>
      <w:r w:rsidR="00A01CC0">
        <w:t>calibrated</w:t>
      </w:r>
      <w:r w:rsidR="006E4E91">
        <w:t xml:space="preserve"> in a consistent manner to reduce the potential bias </w:t>
      </w:r>
      <w:r w:rsidR="00A01CC0">
        <w:t>caused by</w:t>
      </w:r>
      <w:r w:rsidR="006E4E91">
        <w:t xml:space="preserve"> different calibration procedures. Nevertheless, since VIC is much more computationally demanding than PRMS (more than tenfold in terms of processing time), some</w:t>
      </w:r>
      <w:r w:rsidR="007A6021">
        <w:t xml:space="preserve"> necessary</w:t>
      </w:r>
      <w:r w:rsidR="006E4E91">
        <w:t xml:space="preserve"> s</w:t>
      </w:r>
      <w:r w:rsidR="007A6021">
        <w:t>implificatio</w:t>
      </w:r>
      <w:r w:rsidR="00D657A0">
        <w:t>ns</w:t>
      </w:r>
      <w:r w:rsidR="00A01CC0">
        <w:t xml:space="preserve"> were made</w:t>
      </w:r>
      <w:r w:rsidR="007A6021">
        <w:t xml:space="preserve"> </w:t>
      </w:r>
      <w:r w:rsidR="00653F05">
        <w:t xml:space="preserve">to the VIC workflow to ensure that both models </w:t>
      </w:r>
      <w:r w:rsidR="000B6662">
        <w:t xml:space="preserve">could </w:t>
      </w:r>
      <w:r w:rsidR="00653F05">
        <w:t>be reasonably calibrated within the project timeline</w:t>
      </w:r>
      <w:r w:rsidR="006E4E91">
        <w:t>.</w:t>
      </w:r>
    </w:p>
    <w:p w14:paraId="17684410" w14:textId="5E492F1A" w:rsidR="004E4D07" w:rsidRDefault="006E4E91" w:rsidP="006E4E91">
      <w:pPr>
        <w:pStyle w:val="BodyText"/>
      </w:pPr>
      <w:r>
        <w:t xml:space="preserve">During VIC calibration, the model was driven by daily precipitation and maximum/minimum temperature obtained from Daymet V3 and the original Livneh (2015) meteorological </w:t>
      </w:r>
      <w:r w:rsidR="008C38B9">
        <w:t>data</w:t>
      </w:r>
      <w:r w:rsidR="005606E5">
        <w:t xml:space="preserve"> </w:t>
      </w:r>
      <w:r w:rsidR="008C38B9">
        <w:t>set</w:t>
      </w:r>
      <w:r>
        <w:t xml:space="preserve">. </w:t>
      </w:r>
      <w:r w:rsidR="00951B00">
        <w:t>Because</w:t>
      </w:r>
      <w:r>
        <w:t xml:space="preserve"> VIC also requires wind speed, the daily surface wind speed from NARR </w:t>
      </w:r>
      <w:r w:rsidR="00951B00">
        <w:t>was used</w:t>
      </w:r>
      <w:r>
        <w:t xml:space="preserve"> in conjunction with Daymet during the VIC simulation. The Livneh</w:t>
      </w:r>
      <w:r w:rsidR="005606E5">
        <w:t xml:space="preserve"> data set </w:t>
      </w:r>
      <w:r>
        <w:t>provide</w:t>
      </w:r>
      <w:r w:rsidR="000B6662">
        <w:t>d</w:t>
      </w:r>
      <w:r>
        <w:t xml:space="preserve"> daily wind speed, which was processed from the </w:t>
      </w:r>
      <w:r w:rsidRPr="00650609">
        <w:t xml:space="preserve">National Center for Environmental Prediction </w:t>
      </w:r>
      <w:r>
        <w:t>reanalysis</w:t>
      </w:r>
      <w:r w:rsidR="005606E5">
        <w:t xml:space="preserve"> data set </w:t>
      </w:r>
      <w:r>
        <w:t xml:space="preserve">(NCEP1; </w:t>
      </w:r>
      <w:r w:rsidRPr="00650609">
        <w:t>Kalnay et al.</w:t>
      </w:r>
      <w:r>
        <w:t>,</w:t>
      </w:r>
      <w:r w:rsidRPr="00650609">
        <w:t xml:space="preserve"> 1996</w:t>
      </w:r>
      <w:r>
        <w:t>). The</w:t>
      </w:r>
      <w:r w:rsidR="00647D77">
        <w:t xml:space="preserve"> </w:t>
      </w:r>
      <w:r w:rsidR="00C41331" w:rsidRPr="00647D77">
        <w:t xml:space="preserve">Mountain Microclimate </w:t>
      </w:r>
      <w:r w:rsidR="00C41331">
        <w:rPr>
          <w:rFonts w:eastAsia="Times New Roman"/>
        </w:rPr>
        <w:t xml:space="preserve">Simulation Model </w:t>
      </w:r>
      <w:r w:rsidR="00647D77" w:rsidRPr="00647D77">
        <w:t>(MTCLIM</w:t>
      </w:r>
      <w:r w:rsidR="008C38B9">
        <w:t xml:space="preserve">; </w:t>
      </w:r>
      <w:r w:rsidRPr="00D326FC">
        <w:t>Thornton and Running</w:t>
      </w:r>
      <w:r>
        <w:t>,</w:t>
      </w:r>
      <w:r w:rsidRPr="00D326FC">
        <w:t xml:space="preserve"> 1999</w:t>
      </w:r>
      <w:r>
        <w:t xml:space="preserve">) </w:t>
      </w:r>
      <w:r w:rsidR="004B075B">
        <w:t xml:space="preserve">version 4.2 </w:t>
      </w:r>
      <w:r>
        <w:t>was used to convert these input data into additional meteorological variables, such as shortwave</w:t>
      </w:r>
      <w:r w:rsidRPr="00062259">
        <w:t xml:space="preserve"> </w:t>
      </w:r>
      <w:r>
        <w:t xml:space="preserve">radiation, longwave radiation, and humidity, for the hydrologic simulation. For model spin-up, the first year (e.g., </w:t>
      </w:r>
      <w:r w:rsidR="00F25415">
        <w:t xml:space="preserve">1980) </w:t>
      </w:r>
      <w:r w:rsidR="00C41331">
        <w:t xml:space="preserve">was </w:t>
      </w:r>
      <w:r w:rsidR="00F25415">
        <w:t>repeated for an additional year.</w:t>
      </w:r>
      <w:r w:rsidR="00D50DBB">
        <w:t xml:space="preserve"> The 1-year spin-up period </w:t>
      </w:r>
      <w:r w:rsidR="00D50DBB" w:rsidRPr="00D50DBB">
        <w:t xml:space="preserve">can be considered sufficient </w:t>
      </w:r>
      <w:r w:rsidR="00D50DBB">
        <w:t xml:space="preserve">for a land surface model </w:t>
      </w:r>
      <w:r w:rsidR="00C41331">
        <w:t xml:space="preserve">such as </w:t>
      </w:r>
      <w:r w:rsidR="00D50DBB">
        <w:t xml:space="preserve">VIC </w:t>
      </w:r>
      <w:r w:rsidR="00D50DBB" w:rsidRPr="00D50DBB">
        <w:t>(Cosgrove et al., 2003)</w:t>
      </w:r>
    </w:p>
    <w:p w14:paraId="401601D6" w14:textId="2328B0B7" w:rsidR="004E4D07" w:rsidRDefault="00F25415" w:rsidP="006E4E91">
      <w:pPr>
        <w:pStyle w:val="BodyText"/>
      </w:pPr>
      <w:r>
        <w:t xml:space="preserve">Six sensitive VIC parameters were used for calibration and were also calibrated in the second 9505 assessment </w:t>
      </w:r>
      <w:r w:rsidRPr="007F495E">
        <w:t>(Kao et al., 2016</w:t>
      </w:r>
      <w:r w:rsidR="006E4E91" w:rsidRPr="007F495E">
        <w:t>)</w:t>
      </w:r>
      <w:r w:rsidR="006E4E91">
        <w:t>. C</w:t>
      </w:r>
      <w:r w:rsidR="006E4E91" w:rsidRPr="007351A1">
        <w:t xml:space="preserve">alibration </w:t>
      </w:r>
      <w:r w:rsidR="006E4E91">
        <w:t>was</w:t>
      </w:r>
      <w:r w:rsidR="006E4E91" w:rsidRPr="007351A1">
        <w:t xml:space="preserve"> performed </w:t>
      </w:r>
      <w:r w:rsidR="006E4E91">
        <w:t xml:space="preserve">by minimizing the difference between the </w:t>
      </w:r>
      <w:r w:rsidR="006E4E91" w:rsidRPr="007351A1">
        <w:t>simul</w:t>
      </w:r>
      <w:r w:rsidR="006E4E91">
        <w:t>ated total monthly runoff (base</w:t>
      </w:r>
      <w:r w:rsidR="00B36ABF">
        <w:t xml:space="preserve"> </w:t>
      </w:r>
      <w:r w:rsidR="006E4E91" w:rsidRPr="007351A1">
        <w:t>flow</w:t>
      </w:r>
      <w:r w:rsidR="006E4E91">
        <w:t xml:space="preserve"> </w:t>
      </w:r>
      <w:r w:rsidR="006E4E91" w:rsidRPr="007351A1">
        <w:t>+</w:t>
      </w:r>
      <w:r w:rsidR="006E4E91">
        <w:t xml:space="preserve"> </w:t>
      </w:r>
      <w:r w:rsidR="006E4E91" w:rsidRPr="007351A1">
        <w:t xml:space="preserve">surface runoff) </w:t>
      </w:r>
      <w:r w:rsidR="006E4E91">
        <w:t>and</w:t>
      </w:r>
      <w:r w:rsidR="006E4E91" w:rsidRPr="007351A1">
        <w:t xml:space="preserve"> the WaterWatch monthly runoff.</w:t>
      </w:r>
      <w:r w:rsidR="006E4E91">
        <w:t xml:space="preserve"> Parameters were updated using </w:t>
      </w:r>
      <w:r w:rsidR="00F72EE8">
        <w:t xml:space="preserve">the </w:t>
      </w:r>
      <w:r w:rsidR="00947A6D">
        <w:t>p</w:t>
      </w:r>
      <w:r w:rsidR="006E4E91">
        <w:t xml:space="preserve">article </w:t>
      </w:r>
      <w:r w:rsidR="00947A6D">
        <w:t>s</w:t>
      </w:r>
      <w:r w:rsidR="006E4E91">
        <w:t xml:space="preserve">warm </w:t>
      </w:r>
      <w:r w:rsidR="00947A6D">
        <w:t>o</w:t>
      </w:r>
      <w:r w:rsidR="006E4E91">
        <w:t xml:space="preserve">ptimization </w:t>
      </w:r>
      <w:r w:rsidR="005035B7">
        <w:t xml:space="preserve">algorithm </w:t>
      </w:r>
      <w:r w:rsidR="006E4E91">
        <w:t xml:space="preserve">(PSO; Kennedy and Eberhart, 1995) to maximize the </w:t>
      </w:r>
      <w:r w:rsidR="003B0D42">
        <w:t>Nash–</w:t>
      </w:r>
      <w:r w:rsidR="006E4E91">
        <w:t xml:space="preserve">Sutcliffe </w:t>
      </w:r>
      <w:r w:rsidR="003B0D42">
        <w:t>e</w:t>
      </w:r>
      <w:r w:rsidR="006E4E91">
        <w:t xml:space="preserve">fficiency (NSE), a common evaluation metric for </w:t>
      </w:r>
      <w:r w:rsidR="00533D84">
        <w:t>HM</w:t>
      </w:r>
      <w:r w:rsidR="006E4E91">
        <w:t xml:space="preserve"> performance.</w:t>
      </w:r>
      <w:r w:rsidR="00A00447" w:rsidRPr="00A00447">
        <w:t xml:space="preserve"> </w:t>
      </w:r>
      <w:r w:rsidR="004E4D07" w:rsidRPr="004E4D07">
        <w:t>PSO is a swarm intelligence</w:t>
      </w:r>
      <w:r w:rsidR="00C41331">
        <w:t>–</w:t>
      </w:r>
      <w:r w:rsidR="004E4D07" w:rsidRPr="004E4D07">
        <w:t xml:space="preserve">based optimization technique and is effective for use in </w:t>
      </w:r>
      <w:r w:rsidR="00E80222">
        <w:rPr>
          <w:snapToGrid/>
        </w:rPr>
        <w:t>HM</w:t>
      </w:r>
      <w:r w:rsidR="004E4D07" w:rsidRPr="004E4D07">
        <w:t xml:space="preserve"> calibration (Jiang et al., 2007). PSO is conceptually simple</w:t>
      </w:r>
      <w:r w:rsidR="008A2E46">
        <w:t>,</w:t>
      </w:r>
      <w:r w:rsidR="004E4D07">
        <w:t xml:space="preserve"> </w:t>
      </w:r>
      <w:r w:rsidR="004E4D07" w:rsidRPr="004E4D07">
        <w:t xml:space="preserve">computationally </w:t>
      </w:r>
      <w:r w:rsidR="008A2E46">
        <w:t xml:space="preserve">efficient, and can </w:t>
      </w:r>
      <w:r w:rsidR="004E4D07" w:rsidRPr="004E4D07">
        <w:t xml:space="preserve">take advantage of parallel processing in </w:t>
      </w:r>
      <w:r w:rsidR="008A2E46">
        <w:t xml:space="preserve">large high-performance computing </w:t>
      </w:r>
      <w:r w:rsidR="004E4D07" w:rsidRPr="004E4D07">
        <w:t>systems (Guo et al., 2014; Lee et</w:t>
      </w:r>
      <w:r w:rsidR="00C41331">
        <w:t> </w:t>
      </w:r>
      <w:r w:rsidR="004E4D07" w:rsidRPr="004E4D07">
        <w:t>al., 2006)</w:t>
      </w:r>
      <w:r w:rsidR="00DD35BC">
        <w:t xml:space="preserve">, which </w:t>
      </w:r>
      <w:r w:rsidR="00C41331">
        <w:t xml:space="preserve">was </w:t>
      </w:r>
      <w:r w:rsidR="00DD35BC">
        <w:t xml:space="preserve">suitable to </w:t>
      </w:r>
      <w:r w:rsidR="00C41331">
        <w:t xml:space="preserve">the </w:t>
      </w:r>
      <w:r w:rsidR="00DD35BC">
        <w:t>application in this study</w:t>
      </w:r>
      <w:r w:rsidR="004E4D07">
        <w:t>.</w:t>
      </w:r>
    </w:p>
    <w:p w14:paraId="29D12AA0" w14:textId="6B101A4B" w:rsidR="006E4E91" w:rsidRDefault="00A00447" w:rsidP="006E4E91">
      <w:pPr>
        <w:pStyle w:val="BodyText"/>
      </w:pPr>
      <w:r>
        <w:t xml:space="preserve">To reduce the computing </w:t>
      </w:r>
      <w:r w:rsidR="00653F05">
        <w:t>time</w:t>
      </w:r>
      <w:r>
        <w:t xml:space="preserve"> for VIC calibration, further simplifications </w:t>
      </w:r>
      <w:r w:rsidR="00F72EE8">
        <w:t>were implemented,</w:t>
      </w:r>
      <w:r>
        <w:t xml:space="preserve"> such as using one elevation band and water </w:t>
      </w:r>
      <w:r w:rsidR="00F72EE8">
        <w:t>balance–</w:t>
      </w:r>
      <w:r>
        <w:t xml:space="preserve">only mode only during calibration. </w:t>
      </w:r>
      <w:r w:rsidR="00F53733">
        <w:t>Although</w:t>
      </w:r>
      <w:r>
        <w:t xml:space="preserve"> these simplified </w:t>
      </w:r>
      <w:r>
        <w:lastRenderedPageBreak/>
        <w:t xml:space="preserve">VIC options may cause some local differences at </w:t>
      </w:r>
      <w:r w:rsidR="006735F5">
        <w:t>a</w:t>
      </w:r>
      <w:r>
        <w:t xml:space="preserve"> daily time step, they do not result in noticeable differences to </w:t>
      </w:r>
      <w:r w:rsidR="001A005D">
        <w:t xml:space="preserve">the </w:t>
      </w:r>
      <w:r>
        <w:t xml:space="preserve">calibration target (i.e., </w:t>
      </w:r>
      <w:r w:rsidR="004F1965">
        <w:t xml:space="preserve">NSE of </w:t>
      </w:r>
      <w:r>
        <w:t xml:space="preserve">monthly HUC8-aggregated total runoff). For other VIC simulations, the </w:t>
      </w:r>
      <w:r w:rsidR="006735F5">
        <w:t>more</w:t>
      </w:r>
      <w:r>
        <w:t xml:space="preserve"> computationally</w:t>
      </w:r>
      <w:r w:rsidR="006735F5">
        <w:t xml:space="preserve"> </w:t>
      </w:r>
      <w:r>
        <w:t xml:space="preserve">intensive options (five elevation bands and water/energy balance mode) </w:t>
      </w:r>
      <w:r w:rsidR="00C41331">
        <w:t xml:space="preserve">were </w:t>
      </w:r>
      <w:r>
        <w:t>used.</w:t>
      </w:r>
    </w:p>
    <w:p w14:paraId="578CEFF7" w14:textId="64072F5D" w:rsidR="006E4E91" w:rsidRDefault="006E4E91" w:rsidP="006E4E91">
      <w:pPr>
        <w:pStyle w:val="BodyText"/>
        <w:rPr>
          <w:lang w:eastAsia="zh-TW"/>
        </w:rPr>
      </w:pPr>
      <w:r w:rsidRPr="0009736D">
        <w:t>During</w:t>
      </w:r>
      <w:r>
        <w:t xml:space="preserve"> </w:t>
      </w:r>
      <w:r w:rsidRPr="0009736D">
        <w:t>PRMS calibration, the model was driven by daily precipitation, maximum and minimum temperature obtained from Daymet</w:t>
      </w:r>
      <w:r>
        <w:t xml:space="preserve"> </w:t>
      </w:r>
      <w:r w:rsidRPr="0009736D">
        <w:t>V4</w:t>
      </w:r>
      <w:r w:rsidR="00333E29">
        <w:t>,</w:t>
      </w:r>
      <w:r w:rsidRPr="0009736D">
        <w:t xml:space="preserve"> and </w:t>
      </w:r>
      <w:r>
        <w:t xml:space="preserve">the updated </w:t>
      </w:r>
      <w:r w:rsidRPr="0009736D">
        <w:t>Livneh</w:t>
      </w:r>
      <w:r w:rsidR="005606E5">
        <w:t xml:space="preserve"> data set </w:t>
      </w:r>
      <w:r>
        <w:t xml:space="preserve">from </w:t>
      </w:r>
      <w:r w:rsidR="00995C7E">
        <w:t xml:space="preserve">Pierce </w:t>
      </w:r>
      <w:r>
        <w:t xml:space="preserve">et al. (2021). For modeling spin-up, the first year (e.g., 1980) </w:t>
      </w:r>
      <w:r w:rsidR="00C41331">
        <w:t xml:space="preserve">was </w:t>
      </w:r>
      <w:r w:rsidR="00333E29">
        <w:t>repeated</w:t>
      </w:r>
      <w:r>
        <w:t xml:space="preserve"> for an additional </w:t>
      </w:r>
      <w:r w:rsidR="00C41331">
        <w:t xml:space="preserve">3 </w:t>
      </w:r>
      <w:r>
        <w:t xml:space="preserve">years. </w:t>
      </w:r>
      <w:r w:rsidR="00466CF8">
        <w:t xml:space="preserve">The </w:t>
      </w:r>
      <w:r w:rsidR="00466CF8" w:rsidRPr="00466CF8">
        <w:t>3</w:t>
      </w:r>
      <w:r w:rsidR="00466CF8">
        <w:t>-</w:t>
      </w:r>
      <w:r w:rsidR="00466CF8" w:rsidRPr="00466CF8">
        <w:t xml:space="preserve">year spin-up period is suggested by USGS for NHM-PRMS </w:t>
      </w:r>
      <w:r w:rsidR="00466CF8">
        <w:t xml:space="preserve">implementation </w:t>
      </w:r>
      <w:r w:rsidR="00466CF8" w:rsidRPr="00466CF8">
        <w:t>(Hay, 2019</w:t>
      </w:r>
      <w:r w:rsidR="00466CF8">
        <w:t xml:space="preserve">). </w:t>
      </w:r>
      <w:r w:rsidRPr="00A2727B">
        <w:t>Eight selected dominant parameters</w:t>
      </w:r>
      <w:r w:rsidRPr="00594672">
        <w:t xml:space="preserve"> </w:t>
      </w:r>
      <w:r w:rsidRPr="00A2727B">
        <w:t xml:space="preserve">were </w:t>
      </w:r>
      <w:r>
        <w:t xml:space="preserve">calibrated </w:t>
      </w:r>
      <w:r w:rsidRPr="00A2727B">
        <w:t xml:space="preserve">using </w:t>
      </w:r>
      <w:r>
        <w:t xml:space="preserve">the PSO </w:t>
      </w:r>
      <w:r w:rsidRPr="00A2727B">
        <w:t>algorithm based on the detailed work performed by Markstrom et al. (2016).</w:t>
      </w:r>
      <w:r>
        <w:t xml:space="preserve"> An area-weighted approach </w:t>
      </w:r>
      <w:r w:rsidR="00C41331">
        <w:t xml:space="preserve">was </w:t>
      </w:r>
      <w:r>
        <w:t xml:space="preserve">used to aggregate the HRU-based results within each HUC8 </w:t>
      </w:r>
      <w:r>
        <w:rPr>
          <w:lang w:eastAsia="zh-TW"/>
        </w:rPr>
        <w:t>subbasin</w:t>
      </w:r>
      <w:r>
        <w:t>. When calibrating,</w:t>
      </w:r>
      <w:r>
        <w:rPr>
          <w:lang w:eastAsia="zh-TW"/>
        </w:rPr>
        <w:t xml:space="preserve"> a one-to-one mapping between HRUs and HUC8s was generated by assigning the HRU to the HUC8 with a maximum areal contribution. </w:t>
      </w:r>
      <w:r w:rsidRPr="00401AFF">
        <w:rPr>
          <w:lang w:eastAsia="zh-TW"/>
        </w:rPr>
        <w:t xml:space="preserve">The calibration was </w:t>
      </w:r>
      <w:r>
        <w:rPr>
          <w:lang w:eastAsia="zh-TW"/>
        </w:rPr>
        <w:t xml:space="preserve">then performed </w:t>
      </w:r>
      <w:r w:rsidRPr="00401AFF">
        <w:rPr>
          <w:lang w:eastAsia="zh-TW"/>
        </w:rPr>
        <w:t xml:space="preserve">by maximizing </w:t>
      </w:r>
      <w:r>
        <w:rPr>
          <w:lang w:eastAsia="zh-TW"/>
        </w:rPr>
        <w:t xml:space="preserve">the </w:t>
      </w:r>
      <w:r w:rsidRPr="00401AFF">
        <w:rPr>
          <w:lang w:eastAsia="zh-TW"/>
        </w:rPr>
        <w:t xml:space="preserve">NSE </w:t>
      </w:r>
      <w:r>
        <w:rPr>
          <w:lang w:eastAsia="zh-TW"/>
        </w:rPr>
        <w:t xml:space="preserve">between </w:t>
      </w:r>
      <w:r w:rsidRPr="00401AFF">
        <w:rPr>
          <w:lang w:eastAsia="zh-TW"/>
        </w:rPr>
        <w:t xml:space="preserve">the </w:t>
      </w:r>
      <w:r>
        <w:rPr>
          <w:lang w:eastAsia="zh-TW"/>
        </w:rPr>
        <w:t xml:space="preserve">monthly </w:t>
      </w:r>
      <w:r w:rsidRPr="00401AFF">
        <w:rPr>
          <w:lang w:eastAsia="zh-TW"/>
        </w:rPr>
        <w:t xml:space="preserve">simulated </w:t>
      </w:r>
      <w:r>
        <w:rPr>
          <w:lang w:eastAsia="zh-TW"/>
        </w:rPr>
        <w:t xml:space="preserve">PRMS </w:t>
      </w:r>
      <w:r w:rsidRPr="00401AFF">
        <w:rPr>
          <w:lang w:eastAsia="zh-TW"/>
        </w:rPr>
        <w:t xml:space="preserve">runoff </w:t>
      </w:r>
      <w:r>
        <w:rPr>
          <w:lang w:eastAsia="zh-TW"/>
        </w:rPr>
        <w:t xml:space="preserve">and WaterWatch </w:t>
      </w:r>
      <w:r w:rsidRPr="00401AFF">
        <w:rPr>
          <w:lang w:eastAsia="zh-TW"/>
        </w:rPr>
        <w:t>runoff</w:t>
      </w:r>
      <w:r>
        <w:rPr>
          <w:lang w:eastAsia="zh-TW"/>
        </w:rPr>
        <w:t xml:space="preserve"> at each HUC8</w:t>
      </w:r>
      <w:r w:rsidRPr="00401AFF">
        <w:rPr>
          <w:lang w:eastAsia="zh-TW"/>
        </w:rPr>
        <w:t>.</w:t>
      </w:r>
      <w:r>
        <w:rPr>
          <w:lang w:eastAsia="zh-TW"/>
        </w:rPr>
        <w:t xml:space="preserve"> </w:t>
      </w:r>
      <w:r>
        <w:t>Similar to VIC, PRMS was calibrated separately for Daymet and Livneh, thereby producing two set</w:t>
      </w:r>
      <w:r w:rsidR="003A1504">
        <w:t>s</w:t>
      </w:r>
      <w:r>
        <w:t xml:space="preserve"> of calibrated parameters</w:t>
      </w:r>
      <w:r w:rsidRPr="0009736D">
        <w:t>.</w:t>
      </w:r>
    </w:p>
    <w:p w14:paraId="32CDC010" w14:textId="61A99CD3" w:rsidR="006E4E91" w:rsidRDefault="00F53733" w:rsidP="006E4E91">
      <w:pPr>
        <w:pStyle w:val="BodyText"/>
        <w:rPr>
          <w:lang w:eastAsia="zh-TW"/>
        </w:rPr>
      </w:pPr>
      <w:bookmarkStart w:id="136" w:name="_Ref75783856"/>
      <w:r>
        <w:t>Because</w:t>
      </w:r>
      <w:r w:rsidR="006E4E91">
        <w:t xml:space="preserve"> </w:t>
      </w:r>
      <w:r w:rsidR="00000D7A" w:rsidRPr="00000D7A">
        <w:t>VIC calibration</w:t>
      </w:r>
      <w:r w:rsidR="00000D7A" w:rsidRPr="00000D7A" w:rsidDel="00000D7A">
        <w:t xml:space="preserve"> </w:t>
      </w:r>
      <w:r w:rsidR="006E4E91">
        <w:t>requires</w:t>
      </w:r>
      <w:r w:rsidR="00000D7A">
        <w:t xml:space="preserve"> a</w:t>
      </w:r>
      <w:r w:rsidR="006E4E91">
        <w:t xml:space="preserve"> tremendous amount of time, it was completed before the release of the latest Daymet and Livneh</w:t>
      </w:r>
      <w:r w:rsidR="00D64187">
        <w:t xml:space="preserve"> data sets.</w:t>
      </w:r>
      <w:r w:rsidR="006E4E91">
        <w:t xml:space="preserve"> Although it would be desirable to recalibrate these VIC parameters based on the latest meteorological observations, it was not feasible given the limited project timeline and computational resources. </w:t>
      </w:r>
      <w:r w:rsidR="00C41331">
        <w:t>Conversely</w:t>
      </w:r>
      <w:r w:rsidR="006E4E91">
        <w:t xml:space="preserve">, since PRMS is less computationally demanding, </w:t>
      </w:r>
      <w:r w:rsidR="00C521E7">
        <w:t xml:space="preserve">it was </w:t>
      </w:r>
      <w:r w:rsidR="006E4E91">
        <w:t>calibrate</w:t>
      </w:r>
      <w:r w:rsidR="00C41331">
        <w:t>d</w:t>
      </w:r>
      <w:r w:rsidR="006E4E91">
        <w:t xml:space="preserve"> using the latest Daymet and Livneh for better consistency with the downscaled climate projection data</w:t>
      </w:r>
      <w:r w:rsidR="005606E5">
        <w:t xml:space="preserve"> </w:t>
      </w:r>
      <w:r w:rsidR="006E4E91">
        <w:t xml:space="preserve">set. </w:t>
      </w:r>
      <w:r w:rsidR="0062423A">
        <w:t>M</w:t>
      </w:r>
      <w:r w:rsidR="006E4E91">
        <w:t xml:space="preserve">ore PSO interactions </w:t>
      </w:r>
      <w:r w:rsidR="0062423A">
        <w:t>were also possible,</w:t>
      </w:r>
      <w:r w:rsidR="006E4E91">
        <w:t xml:space="preserve"> </w:t>
      </w:r>
      <w:r w:rsidR="00C41331">
        <w:t xml:space="preserve">which enabled </w:t>
      </w:r>
      <w:r w:rsidR="006E4E91">
        <w:t>better PRMS performance.</w:t>
      </w:r>
      <w:r w:rsidR="00BA5594">
        <w:t xml:space="preserve"> Upon further evaluation, it was found that the differences between different versions of Daymet and Livneh are mainly </w:t>
      </w:r>
      <w:r w:rsidR="008C38B9">
        <w:t xml:space="preserve">for the timing at the </w:t>
      </w:r>
      <w:r w:rsidR="00BA5594">
        <w:t xml:space="preserve">daily scale </w:t>
      </w:r>
      <w:r w:rsidR="00B759E3">
        <w:t>and</w:t>
      </w:r>
      <w:r w:rsidR="00BA5594">
        <w:t xml:space="preserve"> not so much at the monthly scale (</w:t>
      </w:r>
      <w:r w:rsidR="00B759E3">
        <w:t>the</w:t>
      </w:r>
      <w:r w:rsidR="00BA5594">
        <w:t xml:space="preserve"> time scale of calibration). Furthermore, the differences between </w:t>
      </w:r>
      <w:r w:rsidR="00B759E3">
        <w:t xml:space="preserve">the </w:t>
      </w:r>
      <w:r w:rsidR="00BD380C">
        <w:t>MetFs</w:t>
      </w:r>
      <w:r w:rsidR="00BA5594">
        <w:t xml:space="preserve"> are much larger than the differences between versions of the forcings. Therefore, the calibrated parameters </w:t>
      </w:r>
      <w:r w:rsidR="00AB0879">
        <w:t xml:space="preserve">from </w:t>
      </w:r>
      <w:r w:rsidR="00BA5594">
        <w:t xml:space="preserve">earlier </w:t>
      </w:r>
      <w:r w:rsidR="00D23695">
        <w:t xml:space="preserve">versions </w:t>
      </w:r>
      <w:r w:rsidR="00BA5594">
        <w:t xml:space="preserve">of forcings </w:t>
      </w:r>
      <w:r w:rsidR="00C41331">
        <w:t xml:space="preserve">were </w:t>
      </w:r>
      <w:r w:rsidR="00D23695">
        <w:t xml:space="preserve">considered </w:t>
      </w:r>
      <w:r w:rsidR="00BA5594">
        <w:t xml:space="preserve">acceptable. </w:t>
      </w:r>
      <w:r w:rsidR="006E4E91">
        <w:t xml:space="preserve">These inconsistencies may introduce some additional bias and uncertainties in </w:t>
      </w:r>
      <w:r w:rsidR="00D23695">
        <w:t xml:space="preserve">the </w:t>
      </w:r>
      <w:r w:rsidR="006E4E91">
        <w:t xml:space="preserve">ensemble hydrologic projections that </w:t>
      </w:r>
      <w:r w:rsidR="00D23695">
        <w:t xml:space="preserve">are </w:t>
      </w:r>
      <w:r w:rsidR="006E4E91">
        <w:t>currently</w:t>
      </w:r>
      <w:r w:rsidR="00D23695">
        <w:t xml:space="preserve"> </w:t>
      </w:r>
      <w:r w:rsidR="006E4E91">
        <w:t>unavoidable given resource limitations.</w:t>
      </w:r>
    </w:p>
    <w:p w14:paraId="7F8B52D7" w14:textId="5BD21848" w:rsidR="00CF5450" w:rsidRPr="00CF5450" w:rsidRDefault="00CF5450" w:rsidP="000E4792">
      <w:pPr>
        <w:pStyle w:val="Heading4"/>
      </w:pPr>
      <w:r w:rsidRPr="00CF5450">
        <w:t>Model Performance</w:t>
      </w:r>
      <w:bookmarkEnd w:id="136"/>
    </w:p>
    <w:p w14:paraId="1A138B6A" w14:textId="60601112" w:rsidR="006E4E91" w:rsidRPr="00D9144E" w:rsidRDefault="006E4E91" w:rsidP="006E4E91">
      <w:pPr>
        <w:pStyle w:val="BodyText"/>
      </w:pPr>
      <w:r w:rsidRPr="00D9144E">
        <w:t xml:space="preserve">To </w:t>
      </w:r>
      <w:r w:rsidR="007211B4" w:rsidRPr="007211B4">
        <w:t>consistently</w:t>
      </w:r>
      <w:r w:rsidRPr="00D9144E">
        <w:t xml:space="preserve"> evaluate model performance, VIC and PRMS were driven by a common set of </w:t>
      </w:r>
      <w:bookmarkStart w:id="137" w:name="_Hlk80019432"/>
      <w:r w:rsidR="001531CF">
        <w:rPr>
          <w:snapToGrid/>
        </w:rPr>
        <w:t>MetFs</w:t>
      </w:r>
      <w:bookmarkEnd w:id="137"/>
      <w:r>
        <w:t xml:space="preserve"> (i.e., </w:t>
      </w:r>
      <w:r w:rsidRPr="00D9144E">
        <w:t xml:space="preserve">Daymet V4 and </w:t>
      </w:r>
      <w:r>
        <w:t>the updated Livneh by Pierce et al. [2021])</w:t>
      </w:r>
      <w:r w:rsidRPr="00D9144E">
        <w:t xml:space="preserve">. </w:t>
      </w:r>
      <w:r w:rsidR="00D8053E">
        <w:t>T</w:t>
      </w:r>
      <w:r w:rsidRPr="00D9144E">
        <w:t xml:space="preserve">hese </w:t>
      </w:r>
      <w:r>
        <w:t xml:space="preserve">simulations </w:t>
      </w:r>
      <w:r w:rsidR="008A708D">
        <w:t>are</w:t>
      </w:r>
      <w:r w:rsidR="00D8053E">
        <w:t xml:space="preserve"> referred to</w:t>
      </w:r>
      <w:r>
        <w:t xml:space="preserve"> as VIC and PRMS </w:t>
      </w:r>
      <w:r w:rsidRPr="00D9144E">
        <w:t>control</w:t>
      </w:r>
      <w:r>
        <w:t xml:space="preserve"> runs</w:t>
      </w:r>
      <w:r w:rsidRPr="00D9144E">
        <w:t xml:space="preserve"> </w:t>
      </w:r>
      <w:r w:rsidR="008A708D">
        <w:t>and</w:t>
      </w:r>
      <w:r w:rsidRPr="00D9144E">
        <w:t xml:space="preserve"> </w:t>
      </w:r>
      <w:r>
        <w:t xml:space="preserve">defined </w:t>
      </w:r>
      <w:r w:rsidR="00C41331">
        <w:t>as follows</w:t>
      </w:r>
      <w:r>
        <w:t>:</w:t>
      </w:r>
    </w:p>
    <w:p w14:paraId="5D9B4FB1" w14:textId="75182364" w:rsidR="00CF5450" w:rsidRDefault="00CF5450" w:rsidP="00746728">
      <w:pPr>
        <w:pStyle w:val="BodyText"/>
        <w:numPr>
          <w:ilvl w:val="0"/>
          <w:numId w:val="13"/>
        </w:numPr>
        <w:ind w:left="432" w:hanging="432"/>
      </w:pPr>
      <w:r w:rsidRPr="00CF5450">
        <w:rPr>
          <w:b/>
          <w:bCs/>
        </w:rPr>
        <w:t>VIC-Daymet</w:t>
      </w:r>
      <w:r w:rsidR="00C41331" w:rsidRPr="00CF5450">
        <w:rPr>
          <w:b/>
          <w:bCs/>
        </w:rPr>
        <w:t xml:space="preserve"> control run</w:t>
      </w:r>
      <w:r w:rsidR="00C41331">
        <w:t xml:space="preserve">: </w:t>
      </w:r>
      <w:r w:rsidRPr="00D9144E">
        <w:t xml:space="preserve">VIC </w:t>
      </w:r>
      <w:r>
        <w:t xml:space="preserve">with Daymet-optimized parameters, </w:t>
      </w:r>
      <w:r w:rsidRPr="00D9144E">
        <w:t xml:space="preserve">driven by Daymet meteorological forcing </w:t>
      </w:r>
      <w:r>
        <w:t xml:space="preserve">from </w:t>
      </w:r>
      <w:r w:rsidRPr="00D9144E">
        <w:t>1980</w:t>
      </w:r>
      <w:r w:rsidR="0031151D">
        <w:t xml:space="preserve"> to </w:t>
      </w:r>
      <w:r w:rsidRPr="00D9144E">
        <w:t>2019</w:t>
      </w:r>
      <w:r w:rsidR="0031151D">
        <w:t>;</w:t>
      </w:r>
    </w:p>
    <w:p w14:paraId="2A4D152A" w14:textId="71909460" w:rsidR="00CF5450" w:rsidRDefault="00CF5450" w:rsidP="00746728">
      <w:pPr>
        <w:pStyle w:val="BodyText"/>
        <w:numPr>
          <w:ilvl w:val="0"/>
          <w:numId w:val="13"/>
        </w:numPr>
        <w:ind w:left="432" w:hanging="432"/>
      </w:pPr>
      <w:r w:rsidRPr="00CF5450">
        <w:rPr>
          <w:b/>
          <w:bCs/>
        </w:rPr>
        <w:t xml:space="preserve">VIC-Livneh </w:t>
      </w:r>
      <w:r w:rsidR="00C41331" w:rsidRPr="00CF5450">
        <w:rPr>
          <w:b/>
          <w:bCs/>
        </w:rPr>
        <w:t>control ru</w:t>
      </w:r>
      <w:r w:rsidRPr="00CF5450">
        <w:rPr>
          <w:b/>
          <w:bCs/>
        </w:rPr>
        <w:t>n</w:t>
      </w:r>
      <w:r>
        <w:t xml:space="preserve">: </w:t>
      </w:r>
      <w:r w:rsidRPr="00D9144E">
        <w:t xml:space="preserve">VIC </w:t>
      </w:r>
      <w:r>
        <w:t xml:space="preserve">with Livneh-optimized parameters, </w:t>
      </w:r>
      <w:r w:rsidRPr="00D9144E">
        <w:t xml:space="preserve">driven by Livneh meteorological forcing </w:t>
      </w:r>
      <w:r>
        <w:t xml:space="preserve">from </w:t>
      </w:r>
      <w:r w:rsidRPr="00D9144E">
        <w:t>1980</w:t>
      </w:r>
      <w:r w:rsidR="0031151D">
        <w:t xml:space="preserve"> to </w:t>
      </w:r>
      <w:r w:rsidRPr="00D9144E">
        <w:t>201</w:t>
      </w:r>
      <w:r>
        <w:t>3</w:t>
      </w:r>
      <w:r w:rsidR="0031151D">
        <w:t>;</w:t>
      </w:r>
    </w:p>
    <w:p w14:paraId="6A31BA42" w14:textId="024F9A63" w:rsidR="00CF5450" w:rsidRDefault="00CF5450" w:rsidP="00746728">
      <w:pPr>
        <w:pStyle w:val="BodyText"/>
        <w:numPr>
          <w:ilvl w:val="0"/>
          <w:numId w:val="13"/>
        </w:numPr>
        <w:ind w:left="432" w:hanging="432"/>
      </w:pPr>
      <w:r w:rsidRPr="00CF5450">
        <w:rPr>
          <w:b/>
          <w:bCs/>
        </w:rPr>
        <w:t>PRMS-Daymet</w:t>
      </w:r>
      <w:r w:rsidR="00C41331" w:rsidRPr="00CF5450">
        <w:rPr>
          <w:b/>
          <w:bCs/>
        </w:rPr>
        <w:t xml:space="preserve"> control run</w:t>
      </w:r>
      <w:r>
        <w:t xml:space="preserve">: </w:t>
      </w:r>
      <w:r w:rsidRPr="00D9144E">
        <w:t xml:space="preserve">PRMS </w:t>
      </w:r>
      <w:r>
        <w:t xml:space="preserve">with Daymet-optimized parameters, </w:t>
      </w:r>
      <w:r w:rsidRPr="00D9144E">
        <w:t xml:space="preserve">driven by Daymet meteorological forcing </w:t>
      </w:r>
      <w:r>
        <w:t xml:space="preserve">from </w:t>
      </w:r>
      <w:r w:rsidRPr="00D9144E">
        <w:t>1980</w:t>
      </w:r>
      <w:r w:rsidR="0031151D">
        <w:t xml:space="preserve"> to </w:t>
      </w:r>
      <w:r w:rsidRPr="00D9144E">
        <w:t>2019</w:t>
      </w:r>
      <w:r w:rsidR="0031151D">
        <w:t>; and</w:t>
      </w:r>
    </w:p>
    <w:p w14:paraId="10C35331" w14:textId="6E4F611A" w:rsidR="00CF5450" w:rsidRPr="00D9144E" w:rsidRDefault="00CF5450" w:rsidP="00746728">
      <w:pPr>
        <w:pStyle w:val="BodyText"/>
        <w:numPr>
          <w:ilvl w:val="0"/>
          <w:numId w:val="13"/>
        </w:numPr>
        <w:ind w:left="432" w:hanging="432"/>
      </w:pPr>
      <w:r w:rsidRPr="00CF5450">
        <w:rPr>
          <w:b/>
          <w:bCs/>
        </w:rPr>
        <w:t xml:space="preserve">PRMS-Livneh </w:t>
      </w:r>
      <w:r w:rsidR="00C41331" w:rsidRPr="00CF5450">
        <w:rPr>
          <w:b/>
          <w:bCs/>
        </w:rPr>
        <w:t>control r</w:t>
      </w:r>
      <w:r w:rsidRPr="00CF5450">
        <w:rPr>
          <w:b/>
          <w:bCs/>
        </w:rPr>
        <w:t>un</w:t>
      </w:r>
      <w:r>
        <w:t xml:space="preserve">: </w:t>
      </w:r>
      <w:r w:rsidRPr="00D9144E">
        <w:t xml:space="preserve">PRMS </w:t>
      </w:r>
      <w:r>
        <w:t xml:space="preserve">with Livneh-optimized parameters, </w:t>
      </w:r>
      <w:r w:rsidRPr="00D9144E">
        <w:t xml:space="preserve">driven by Livneh meteorological forcing </w:t>
      </w:r>
      <w:r>
        <w:t xml:space="preserve">from </w:t>
      </w:r>
      <w:r w:rsidRPr="00D9144E">
        <w:t>1980</w:t>
      </w:r>
      <w:r w:rsidR="002D42D0">
        <w:t xml:space="preserve"> to </w:t>
      </w:r>
      <w:r w:rsidRPr="00D9144E">
        <w:t>201</w:t>
      </w:r>
      <w:r>
        <w:t>3</w:t>
      </w:r>
      <w:r w:rsidR="002D42D0">
        <w:t>.</w:t>
      </w:r>
    </w:p>
    <w:p w14:paraId="305B30C7" w14:textId="607BC8E3" w:rsidR="00CF5450" w:rsidRDefault="002D42D0" w:rsidP="00CF5450">
      <w:pPr>
        <w:pStyle w:val="BodyText"/>
        <w:jc w:val="both"/>
      </w:pPr>
      <w:r>
        <w:t>Because</w:t>
      </w:r>
      <w:r w:rsidR="006E4E91">
        <w:t xml:space="preserve"> the updated Livneh</w:t>
      </w:r>
      <w:r w:rsidR="005606E5">
        <w:t xml:space="preserve"> data set </w:t>
      </w:r>
      <w:r w:rsidR="006E4E91">
        <w:t>provided by Pierce et al. (2021) from 2014</w:t>
      </w:r>
      <w:r w:rsidR="00C132A3">
        <w:t xml:space="preserve"> to </w:t>
      </w:r>
      <w:r w:rsidR="006E4E91">
        <w:t xml:space="preserve">2018 </w:t>
      </w:r>
      <w:r w:rsidR="00C41331">
        <w:t xml:space="preserve">was </w:t>
      </w:r>
      <w:r w:rsidR="006E4E91">
        <w:t xml:space="preserve">not available </w:t>
      </w:r>
      <w:r w:rsidR="0042796E">
        <w:t xml:space="preserve">for </w:t>
      </w:r>
      <w:r w:rsidR="006E4E91">
        <w:t>parts of the watersheds (i.e., the Mexican headwater basins of the Rio Grande River), Livneh-based control runs were ended in 2013 for spatial consistency</w:t>
      </w:r>
      <w:r w:rsidR="00CF5450">
        <w:t>.</w:t>
      </w:r>
    </w:p>
    <w:p w14:paraId="5A98E656" w14:textId="65C1C969" w:rsidR="00C132A3" w:rsidRDefault="00056FDB" w:rsidP="00C132A3">
      <w:pPr>
        <w:pStyle w:val="BodyText"/>
      </w:pPr>
      <w:r w:rsidRPr="008658F8">
        <w:lastRenderedPageBreak/>
        <w:t xml:space="preserve">The </w:t>
      </w:r>
      <w:r>
        <w:t xml:space="preserve">model performance </w:t>
      </w:r>
      <w:r w:rsidR="00C41331">
        <w:t xml:space="preserve">was </w:t>
      </w:r>
      <w:r>
        <w:t xml:space="preserve">evaluated for each of the control </w:t>
      </w:r>
      <w:r w:rsidR="00C41331">
        <w:t xml:space="preserve">runs </w:t>
      </w:r>
      <w:r>
        <w:t>at</w:t>
      </w:r>
      <w:r w:rsidRPr="008658F8">
        <w:t xml:space="preserve"> each HUC8. </w:t>
      </w:r>
      <w:r>
        <w:fldChar w:fldCharType="begin"/>
      </w:r>
      <w:r>
        <w:instrText xml:space="preserve"> REF _Ref81738607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12</w:t>
      </w:r>
      <w:r>
        <w:fldChar w:fldCharType="end"/>
      </w:r>
      <w:r>
        <w:t xml:space="preserve"> and </w:t>
      </w:r>
      <w:r>
        <w:rPr>
          <w:highlight w:val="yellow"/>
        </w:rPr>
        <w:fldChar w:fldCharType="begin"/>
      </w:r>
      <w:r>
        <w:instrText xml:space="preserve"> REF _Ref72830820 \h </w:instrText>
      </w:r>
      <w:r>
        <w:rPr>
          <w:highlight w:val="yellow"/>
        </w:rPr>
      </w:r>
      <w:r>
        <w:rPr>
          <w:highlight w:val="yellow"/>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13</w:t>
      </w:r>
      <w:r>
        <w:rPr>
          <w:highlight w:val="yellow"/>
        </w:rPr>
        <w:fldChar w:fldCharType="end"/>
      </w:r>
      <w:r w:rsidRPr="008658F8">
        <w:t xml:space="preserve"> present the overall performance of VIC</w:t>
      </w:r>
      <w:r>
        <w:t xml:space="preserve"> and PRMS, respectively</w:t>
      </w:r>
      <w:r w:rsidRPr="008658F8">
        <w:t>.</w:t>
      </w:r>
      <w:r>
        <w:t xml:space="preserve"> </w:t>
      </w:r>
      <w:r>
        <w:fldChar w:fldCharType="begin"/>
      </w:r>
      <w:r>
        <w:instrText xml:space="preserve"> REF _Ref81738607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12</w:t>
      </w:r>
      <w:r>
        <w:fldChar w:fldCharType="end"/>
      </w:r>
      <w:r>
        <w:t xml:space="preserve"> shows</w:t>
      </w:r>
      <w:r w:rsidRPr="008658F8">
        <w:t xml:space="preserve"> </w:t>
      </w:r>
      <w:r>
        <w:t xml:space="preserve">the </w:t>
      </w:r>
      <w:r w:rsidRPr="008658F8">
        <w:t xml:space="preserve">mean </w:t>
      </w:r>
      <w:r>
        <w:t xml:space="preserve">1981–2000 </w:t>
      </w:r>
      <w:r w:rsidRPr="008658F8">
        <w:t>annual runoff from the WaterWatch</w:t>
      </w:r>
      <w:r>
        <w:t xml:space="preserve"> benchmark </w:t>
      </w:r>
      <w:r w:rsidRPr="0081387F">
        <w:t>(a)</w:t>
      </w:r>
      <w:r w:rsidRPr="008658F8">
        <w:t>,</w:t>
      </w:r>
      <w:r>
        <w:t xml:space="preserve"> </w:t>
      </w:r>
      <w:r w:rsidRPr="008658F8">
        <w:t>VIC-Daymet</w:t>
      </w:r>
      <w:r>
        <w:t xml:space="preserve"> </w:t>
      </w:r>
      <w:r w:rsidRPr="0081387F">
        <w:t>(b)</w:t>
      </w:r>
      <w:r w:rsidRPr="008658F8">
        <w:t>, and VIC-Livneh</w:t>
      </w:r>
      <w:r>
        <w:t xml:space="preserve"> </w:t>
      </w:r>
      <w:r w:rsidRPr="0081387F">
        <w:t>(c)</w:t>
      </w:r>
      <w:r w:rsidRPr="008658F8">
        <w:t xml:space="preserve">. A qualitative evaluation </w:t>
      </w:r>
      <w:r w:rsidR="00C41331">
        <w:t xml:space="preserve">of </w:t>
      </w:r>
      <w:r w:rsidRPr="008658F8">
        <w:t>the</w:t>
      </w:r>
      <w:r>
        <w:t>se</w:t>
      </w:r>
      <w:r w:rsidRPr="008658F8">
        <w:t xml:space="preserve"> panels indicate</w:t>
      </w:r>
      <w:r>
        <w:t>s</w:t>
      </w:r>
      <w:r w:rsidRPr="008658F8">
        <w:t xml:space="preserve"> that VIC </w:t>
      </w:r>
      <w:r>
        <w:t xml:space="preserve">may </w:t>
      </w:r>
      <w:r w:rsidRPr="008658F8">
        <w:t xml:space="preserve">closely simulate observed annual runoff for many HUC8s across the </w:t>
      </w:r>
      <w:r>
        <w:t>United States.</w:t>
      </w:r>
      <w:r w:rsidRPr="008658F8">
        <w:t xml:space="preserve"> Panel </w:t>
      </w:r>
      <w:r>
        <w:t>(</w:t>
      </w:r>
      <w:r w:rsidRPr="008658F8">
        <w:t>d</w:t>
      </w:r>
      <w:r>
        <w:t>)</w:t>
      </w:r>
      <w:r w:rsidRPr="008658F8">
        <w:t xml:space="preserve"> shows </w:t>
      </w:r>
      <w:r>
        <w:t xml:space="preserve">the </w:t>
      </w:r>
      <w:r w:rsidRPr="008658F8">
        <w:t xml:space="preserve">scatter plots </w:t>
      </w:r>
      <w:r>
        <w:t xml:space="preserve">of </w:t>
      </w:r>
      <w:r w:rsidRPr="008658F8">
        <w:t>HUC8</w:t>
      </w:r>
      <w:r>
        <w:t>-</w:t>
      </w:r>
      <w:r w:rsidRPr="008658F8">
        <w:t xml:space="preserve">based annual runoff </w:t>
      </w:r>
      <w:r>
        <w:t>and the R</w:t>
      </w:r>
      <w:r w:rsidRPr="00CF5450">
        <w:rPr>
          <w:vertAlign w:val="superscript"/>
        </w:rPr>
        <w:t>2</w:t>
      </w:r>
      <w:r>
        <w:t xml:space="preserve"> values of the </w:t>
      </w:r>
      <w:r w:rsidRPr="008658F8">
        <w:t xml:space="preserve">two VIC control simulations. </w:t>
      </w:r>
      <w:r>
        <w:t>In general, both control simulations show</w:t>
      </w:r>
      <w:r w:rsidR="00C41331">
        <w:t>ed</w:t>
      </w:r>
      <w:r>
        <w:t xml:space="preserve"> good </w:t>
      </w:r>
      <w:r w:rsidR="00B7138F">
        <w:t>results</w:t>
      </w:r>
      <w:r w:rsidR="00C41331">
        <w:t>,</w:t>
      </w:r>
      <w:r>
        <w:t xml:space="preserve"> with R</w:t>
      </w:r>
      <w:r w:rsidRPr="00CF5450">
        <w:rPr>
          <w:vertAlign w:val="superscript"/>
        </w:rPr>
        <w:t>2</w:t>
      </w:r>
      <w:r>
        <w:t xml:space="preserve"> = 0.927 for VIC-Daymet </w:t>
      </w:r>
      <w:r w:rsidRPr="008658F8">
        <w:t xml:space="preserve">and </w:t>
      </w:r>
      <w:r>
        <w:t>R</w:t>
      </w:r>
      <w:r w:rsidRPr="00CF5450">
        <w:rPr>
          <w:vertAlign w:val="superscript"/>
        </w:rPr>
        <w:t>2</w:t>
      </w:r>
      <w:r>
        <w:t xml:space="preserve"> = 0.932 for VIC-Livneh for annual runoff</w:t>
      </w:r>
      <w:r w:rsidRPr="008658F8">
        <w:t xml:space="preserve">. </w:t>
      </w:r>
      <w:r>
        <w:fldChar w:fldCharType="begin"/>
      </w:r>
      <w:r>
        <w:instrText xml:space="preserve"> REF _Ref81738607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12</w:t>
      </w:r>
      <w:r>
        <w:fldChar w:fldCharType="end"/>
      </w:r>
      <w:r>
        <w:t xml:space="preserve"> also shows the</w:t>
      </w:r>
      <w:r w:rsidRPr="008658F8">
        <w:t xml:space="preserve"> NSE values of monthly runoff</w:t>
      </w:r>
      <w:r>
        <w:t xml:space="preserve"> </w:t>
      </w:r>
      <w:r w:rsidRPr="008658F8">
        <w:t xml:space="preserve">for VIC-Daymet </w:t>
      </w:r>
      <w:r w:rsidRPr="00D92B28">
        <w:t>(e)</w:t>
      </w:r>
      <w:r w:rsidRPr="008658F8">
        <w:t xml:space="preserve"> and VIC-Livneh</w:t>
      </w:r>
      <w:r>
        <w:t xml:space="preserve"> </w:t>
      </w:r>
      <w:r w:rsidRPr="00D92B28">
        <w:t>(f)</w:t>
      </w:r>
      <w:r>
        <w:t xml:space="preserve"> at each HUC8 subbasin</w:t>
      </w:r>
      <w:r w:rsidRPr="008658F8">
        <w:t xml:space="preserve">. </w:t>
      </w:r>
      <w:r>
        <w:t xml:space="preserve">At </w:t>
      </w:r>
      <w:r w:rsidR="00C41331">
        <w:t xml:space="preserve">the </w:t>
      </w:r>
      <w:r>
        <w:t xml:space="preserve">national scale, 63% </w:t>
      </w:r>
      <w:r w:rsidR="00C41331">
        <w:t xml:space="preserve">of </w:t>
      </w:r>
      <w:r>
        <w:t>HUC8s show</w:t>
      </w:r>
      <w:r w:rsidR="00C41331">
        <w:t>ed</w:t>
      </w:r>
      <w:r>
        <w:t xml:space="preserve"> monthly NSE &gt;0.5 for VIC-Daymet</w:t>
      </w:r>
      <w:r w:rsidR="00C41331">
        <w:t>,</w:t>
      </w:r>
      <w:r>
        <w:t xml:space="preserve"> and 68% </w:t>
      </w:r>
      <w:r w:rsidR="00C41331">
        <w:t xml:space="preserve">of </w:t>
      </w:r>
      <w:r>
        <w:t>HUC8s show</w:t>
      </w:r>
      <w:r w:rsidR="00C41331">
        <w:t>ed</w:t>
      </w:r>
      <w:r>
        <w:t xml:space="preserve"> monthly NSE</w:t>
      </w:r>
      <w:r w:rsidR="00E63FF5">
        <w:t xml:space="preserve"> </w:t>
      </w:r>
      <w:r>
        <w:t>&gt;0.5 for VIC-Livneh. A subset of the HUC8s within PMA areas reveal</w:t>
      </w:r>
      <w:r w:rsidR="00C41331">
        <w:t>ed</w:t>
      </w:r>
      <w:r>
        <w:t xml:space="preserve"> that 48% </w:t>
      </w:r>
      <w:r w:rsidR="00C41331">
        <w:t xml:space="preserve">showed monthly NSE &gt;0.5 for VIC-Daymet, </w:t>
      </w:r>
      <w:r>
        <w:t xml:space="preserve">and 53% </w:t>
      </w:r>
      <w:r w:rsidR="00C41331">
        <w:t xml:space="preserve">showed monthly NSE &gt;0.5 for </w:t>
      </w:r>
      <w:r>
        <w:t xml:space="preserve">VIC-Livneh. </w:t>
      </w:r>
      <w:r w:rsidRPr="008658F8">
        <w:t>In general, the</w:t>
      </w:r>
      <w:r>
        <w:t>se results indicate that</w:t>
      </w:r>
      <w:r w:rsidRPr="008658F8">
        <w:t xml:space="preserve"> </w:t>
      </w:r>
      <w:r>
        <w:t xml:space="preserve">VIC performs better in wetter regions </w:t>
      </w:r>
      <w:r w:rsidR="00C41331">
        <w:t xml:space="preserve">than in </w:t>
      </w:r>
      <w:r>
        <w:t xml:space="preserve">drier/arid regions across CONUS (additional analysis presented in </w:t>
      </w:r>
      <w:r w:rsidR="00470C04">
        <w:fldChar w:fldCharType="begin"/>
      </w:r>
      <w:r w:rsidR="00470C04">
        <w:instrText xml:space="preserve"> REF _Ref106977813 \r \h </w:instrText>
      </w:r>
      <w:r w:rsidR="00470C04">
        <w:fldChar w:fldCharType="separate"/>
      </w:r>
      <w:r w:rsidR="00EE0BF5">
        <w:t>APPENDIX I</w:t>
      </w:r>
      <w:r w:rsidR="00470C04">
        <w:fldChar w:fldCharType="end"/>
      </w:r>
      <w:r>
        <w:t>). Similar findings were also reported by Newman et al. (2017). Additionally, in terms of R</w:t>
      </w:r>
      <w:r w:rsidRPr="00CF5450">
        <w:rPr>
          <w:vertAlign w:val="superscript"/>
        </w:rPr>
        <w:t>2</w:t>
      </w:r>
      <w:r>
        <w:t xml:space="preserve">, VIC-Daymet </w:t>
      </w:r>
      <w:r w:rsidR="00C41331">
        <w:t xml:space="preserve">appears </w:t>
      </w:r>
      <w:r>
        <w:t>to perform better than VIC-Livneh relative to WaterWatch runoff.</w:t>
      </w:r>
    </w:p>
    <w:p w14:paraId="5083312E" w14:textId="77777777" w:rsidR="00FD438C" w:rsidRDefault="00FD438C" w:rsidP="00C132A3">
      <w:pPr>
        <w:pStyle w:val="BodyText"/>
      </w:pPr>
    </w:p>
    <w:p w14:paraId="69A37024" w14:textId="77777777" w:rsidR="009868FB" w:rsidRDefault="009868FB" w:rsidP="009868FB">
      <w:pPr>
        <w:pStyle w:val="FIGUREposition"/>
        <w:rPr>
          <w:lang w:eastAsia="zh-TW"/>
        </w:rPr>
      </w:pPr>
      <w:bookmarkStart w:id="138" w:name="_Ref72830775"/>
      <w:bookmarkStart w:id="139" w:name="_Toc72785142"/>
      <w:r>
        <w:rPr>
          <w:noProof/>
        </w:rPr>
        <w:drawing>
          <wp:inline distT="0" distB="0" distL="0" distR="0" wp14:anchorId="52BF4B41" wp14:editId="270A98B7">
            <wp:extent cx="5943600" cy="428018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4280183"/>
                    </a:xfrm>
                    <a:prstGeom prst="rect">
                      <a:avLst/>
                    </a:prstGeom>
                    <a:noFill/>
                  </pic:spPr>
                </pic:pic>
              </a:graphicData>
            </a:graphic>
          </wp:inline>
        </w:drawing>
      </w:r>
    </w:p>
    <w:p w14:paraId="3E11FA62" w14:textId="02DEE8EC" w:rsidR="009868FB" w:rsidRDefault="009868FB" w:rsidP="009868FB">
      <w:pPr>
        <w:pStyle w:val="FigureCaption"/>
      </w:pPr>
      <w:bookmarkStart w:id="140" w:name="_Ref81738607"/>
      <w:bookmarkStart w:id="141" w:name="_Toc113380876"/>
      <w:r>
        <w:rPr>
          <w:lang w:eastAsia="zh-TW"/>
        </w:rPr>
        <w:t>Figure</w:t>
      </w:r>
      <w:r w:rsidRPr="006869CA">
        <w:rPr>
          <w:lang w:eastAsia="zh-TW"/>
        </w:rPr>
        <w:t xml:space="preserve"> </w:t>
      </w:r>
      <w:r>
        <w:rPr>
          <w:lang w:eastAsia="zh-TW"/>
        </w:rPr>
        <w:fldChar w:fldCharType="begin"/>
      </w:r>
      <w:r>
        <w:rPr>
          <w:lang w:eastAsia="zh-TW"/>
        </w:rPr>
        <w:instrText xml:space="preserve"> STYLEREF 1 \s </w:instrText>
      </w:r>
      <w:r>
        <w:rPr>
          <w:lang w:eastAsia="zh-TW"/>
        </w:rPr>
        <w:fldChar w:fldCharType="separate"/>
      </w:r>
      <w:r w:rsidR="00EE0BF5">
        <w:rPr>
          <w:noProof/>
          <w:lang w:eastAsia="zh-TW"/>
        </w:rPr>
        <w:t>2</w:t>
      </w:r>
      <w:r>
        <w:rPr>
          <w:lang w:eastAsia="zh-TW"/>
        </w:rPr>
        <w:fldChar w:fldCharType="end"/>
      </w:r>
      <w:r>
        <w:rPr>
          <w:lang w:eastAsia="zh-TW"/>
        </w:rPr>
        <w:t>.</w:t>
      </w:r>
      <w:r>
        <w:rPr>
          <w:lang w:eastAsia="zh-TW"/>
        </w:rPr>
        <w:fldChar w:fldCharType="begin"/>
      </w:r>
      <w:r>
        <w:rPr>
          <w:lang w:eastAsia="zh-TW"/>
        </w:rPr>
        <w:instrText xml:space="preserve"> SEQ Figure \* ARABIC \s 1 </w:instrText>
      </w:r>
      <w:r>
        <w:rPr>
          <w:lang w:eastAsia="zh-TW"/>
        </w:rPr>
        <w:fldChar w:fldCharType="separate"/>
      </w:r>
      <w:r w:rsidR="00EE0BF5">
        <w:rPr>
          <w:noProof/>
          <w:lang w:eastAsia="zh-TW"/>
        </w:rPr>
        <w:t>12</w:t>
      </w:r>
      <w:r>
        <w:rPr>
          <w:lang w:eastAsia="zh-TW"/>
        </w:rPr>
        <w:fldChar w:fldCharType="end"/>
      </w:r>
      <w:bookmarkEnd w:id="138"/>
      <w:bookmarkEnd w:id="140"/>
      <w:r w:rsidRPr="006869CA">
        <w:rPr>
          <w:lang w:eastAsia="zh-TW"/>
        </w:rPr>
        <w:t xml:space="preserve">. </w:t>
      </w:r>
      <w:bookmarkEnd w:id="139"/>
      <w:r>
        <w:rPr>
          <w:lang w:eastAsia="zh-TW"/>
        </w:rPr>
        <w:t>Performance of VIC at various HUC8s in the CONUS.</w:t>
      </w:r>
      <w:bookmarkEnd w:id="141"/>
    </w:p>
    <w:p w14:paraId="512B33B1" w14:textId="4AA9CE85" w:rsidR="00C91C8C" w:rsidRDefault="003003FD" w:rsidP="00C82290">
      <w:pPr>
        <w:pStyle w:val="FIGUREposition"/>
        <w:rPr>
          <w:lang w:eastAsia="zh-TW"/>
        </w:rPr>
      </w:pPr>
      <w:r>
        <w:rPr>
          <w:noProof/>
          <w:lang w:eastAsia="zh-TW"/>
        </w:rPr>
        <w:lastRenderedPageBreak/>
        <w:drawing>
          <wp:inline distT="0" distB="0" distL="0" distR="0" wp14:anchorId="6F649E74" wp14:editId="378EE671">
            <wp:extent cx="5943600" cy="413457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134576"/>
                    </a:xfrm>
                    <a:prstGeom prst="rect">
                      <a:avLst/>
                    </a:prstGeom>
                    <a:noFill/>
                  </pic:spPr>
                </pic:pic>
              </a:graphicData>
            </a:graphic>
          </wp:inline>
        </w:drawing>
      </w:r>
    </w:p>
    <w:p w14:paraId="6957B9EB" w14:textId="10D4D1DF" w:rsidR="003036AF" w:rsidRDefault="003036AF" w:rsidP="003036AF">
      <w:pPr>
        <w:pStyle w:val="FigureCaption"/>
        <w:rPr>
          <w:lang w:eastAsia="zh-TW"/>
        </w:rPr>
      </w:pPr>
      <w:bookmarkStart w:id="142" w:name="_Ref72830820"/>
      <w:bookmarkStart w:id="143" w:name="_Toc113380877"/>
      <w:r>
        <w:rPr>
          <w:lang w:eastAsia="zh-TW"/>
        </w:rPr>
        <w:t>Figure</w:t>
      </w:r>
      <w:r w:rsidRPr="006869CA">
        <w:rPr>
          <w:lang w:eastAsia="zh-TW"/>
        </w:rPr>
        <w:t xml:space="preserve"> </w:t>
      </w:r>
      <w:r>
        <w:rPr>
          <w:lang w:eastAsia="zh-TW"/>
        </w:rPr>
        <w:fldChar w:fldCharType="begin"/>
      </w:r>
      <w:r>
        <w:rPr>
          <w:lang w:eastAsia="zh-TW"/>
        </w:rPr>
        <w:instrText xml:space="preserve"> STYLEREF 1 \s </w:instrText>
      </w:r>
      <w:r>
        <w:rPr>
          <w:lang w:eastAsia="zh-TW"/>
        </w:rPr>
        <w:fldChar w:fldCharType="separate"/>
      </w:r>
      <w:r w:rsidR="00EE0BF5">
        <w:rPr>
          <w:noProof/>
          <w:lang w:eastAsia="zh-TW"/>
        </w:rPr>
        <w:t>2</w:t>
      </w:r>
      <w:r>
        <w:rPr>
          <w:lang w:eastAsia="zh-TW"/>
        </w:rPr>
        <w:fldChar w:fldCharType="end"/>
      </w:r>
      <w:r w:rsidR="00125600">
        <w:rPr>
          <w:lang w:eastAsia="zh-TW"/>
        </w:rPr>
        <w:t>.</w:t>
      </w:r>
      <w:r>
        <w:rPr>
          <w:lang w:eastAsia="zh-TW"/>
        </w:rPr>
        <w:fldChar w:fldCharType="begin"/>
      </w:r>
      <w:r>
        <w:rPr>
          <w:lang w:eastAsia="zh-TW"/>
        </w:rPr>
        <w:instrText xml:space="preserve"> SEQ Figure \* ARABIC \s 1 </w:instrText>
      </w:r>
      <w:r>
        <w:rPr>
          <w:lang w:eastAsia="zh-TW"/>
        </w:rPr>
        <w:fldChar w:fldCharType="separate"/>
      </w:r>
      <w:r w:rsidR="00EE0BF5">
        <w:rPr>
          <w:noProof/>
          <w:lang w:eastAsia="zh-TW"/>
        </w:rPr>
        <w:t>13</w:t>
      </w:r>
      <w:r>
        <w:rPr>
          <w:lang w:eastAsia="zh-TW"/>
        </w:rPr>
        <w:fldChar w:fldCharType="end"/>
      </w:r>
      <w:bookmarkEnd w:id="142"/>
      <w:r w:rsidRPr="006869CA">
        <w:rPr>
          <w:lang w:eastAsia="zh-TW"/>
        </w:rPr>
        <w:t xml:space="preserve">. </w:t>
      </w:r>
      <w:r>
        <w:rPr>
          <w:lang w:eastAsia="zh-TW"/>
        </w:rPr>
        <w:t xml:space="preserve">Performance of PRMS at various HUC8s in the </w:t>
      </w:r>
      <w:r w:rsidR="001324FA">
        <w:rPr>
          <w:lang w:eastAsia="zh-TW"/>
        </w:rPr>
        <w:t>CONUS</w:t>
      </w:r>
      <w:r>
        <w:rPr>
          <w:lang w:eastAsia="zh-TW"/>
        </w:rPr>
        <w:t>.</w:t>
      </w:r>
      <w:bookmarkEnd w:id="143"/>
    </w:p>
    <w:p w14:paraId="18641534" w14:textId="087C6D0A" w:rsidR="00C132A3" w:rsidRDefault="00C132A3" w:rsidP="00C132A3">
      <w:pPr>
        <w:pStyle w:val="BodyText"/>
      </w:pPr>
      <w:r>
        <w:rPr>
          <w:highlight w:val="yellow"/>
        </w:rPr>
        <w:fldChar w:fldCharType="begin"/>
      </w:r>
      <w:r>
        <w:instrText xml:space="preserve"> REF _Ref72830820 \h </w:instrText>
      </w:r>
      <w:r>
        <w:rPr>
          <w:highlight w:val="yellow"/>
        </w:rPr>
      </w:r>
      <w:r>
        <w:rPr>
          <w:highlight w:val="yellow"/>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13</w:t>
      </w:r>
      <w:r>
        <w:rPr>
          <w:highlight w:val="yellow"/>
        </w:rPr>
        <w:fldChar w:fldCharType="end"/>
      </w:r>
      <w:r>
        <w:t xml:space="preserve"> </w:t>
      </w:r>
      <w:r w:rsidRPr="008658F8">
        <w:t>show</w:t>
      </w:r>
      <w:r>
        <w:t>s the</w:t>
      </w:r>
      <w:r w:rsidRPr="008658F8">
        <w:t xml:space="preserve"> mean </w:t>
      </w:r>
      <w:r>
        <w:t xml:space="preserve">1981–2000 </w:t>
      </w:r>
      <w:r w:rsidRPr="008658F8">
        <w:t xml:space="preserve">annual runoff from the </w:t>
      </w:r>
      <w:r>
        <w:t xml:space="preserve">WaterWatch </w:t>
      </w:r>
      <w:r w:rsidRPr="008658F8">
        <w:t>benchmark</w:t>
      </w:r>
      <w:r>
        <w:t xml:space="preserve"> (a)</w:t>
      </w:r>
      <w:r w:rsidRPr="008658F8">
        <w:t xml:space="preserve">, </w:t>
      </w:r>
      <w:r>
        <w:t>PRMS</w:t>
      </w:r>
      <w:r w:rsidRPr="008658F8">
        <w:t>-Daymet</w:t>
      </w:r>
      <w:r>
        <w:t xml:space="preserve"> (b)</w:t>
      </w:r>
      <w:r w:rsidRPr="008658F8">
        <w:t xml:space="preserve">, and </w:t>
      </w:r>
      <w:r>
        <w:t>PRMS</w:t>
      </w:r>
      <w:r w:rsidRPr="008658F8">
        <w:t>-Livneh</w:t>
      </w:r>
      <w:r>
        <w:t xml:space="preserve"> (c)</w:t>
      </w:r>
      <w:r w:rsidRPr="008658F8">
        <w:t xml:space="preserve">. A qualitative evaluation </w:t>
      </w:r>
      <w:r w:rsidR="00B7138F">
        <w:t xml:space="preserve">of </w:t>
      </w:r>
      <w:r w:rsidRPr="008658F8">
        <w:t>the</w:t>
      </w:r>
      <w:r>
        <w:t>se</w:t>
      </w:r>
      <w:r w:rsidRPr="008658F8">
        <w:t xml:space="preserve"> panels indicates that </w:t>
      </w:r>
      <w:r>
        <w:t>PRMS</w:t>
      </w:r>
      <w:r w:rsidRPr="008658F8">
        <w:t xml:space="preserve"> </w:t>
      </w:r>
      <w:r>
        <w:t xml:space="preserve">may also </w:t>
      </w:r>
      <w:r w:rsidRPr="008658F8">
        <w:t xml:space="preserve">closely simulate observed annual runoff for many HUC8s across the </w:t>
      </w:r>
      <w:r>
        <w:t>United States.</w:t>
      </w:r>
      <w:r w:rsidRPr="008658F8">
        <w:t xml:space="preserve"> Panel</w:t>
      </w:r>
      <w:r>
        <w:t xml:space="preserve"> (</w:t>
      </w:r>
      <w:r w:rsidRPr="008658F8">
        <w:t>d</w:t>
      </w:r>
      <w:r>
        <w:t>)</w:t>
      </w:r>
      <w:r w:rsidRPr="008658F8">
        <w:t xml:space="preserve"> shows scatter plots </w:t>
      </w:r>
      <w:r>
        <w:t xml:space="preserve">of </w:t>
      </w:r>
      <w:r w:rsidRPr="008658F8">
        <w:t>HUC8</w:t>
      </w:r>
      <w:r>
        <w:t>-</w:t>
      </w:r>
      <w:r w:rsidRPr="008658F8">
        <w:t xml:space="preserve">based annual runoff </w:t>
      </w:r>
      <w:r>
        <w:t>and their R</w:t>
      </w:r>
      <w:r w:rsidRPr="00BC121F">
        <w:rPr>
          <w:vertAlign w:val="superscript"/>
        </w:rPr>
        <w:t>2</w:t>
      </w:r>
      <w:r>
        <w:t xml:space="preserve"> values of</w:t>
      </w:r>
      <w:r w:rsidRPr="008658F8">
        <w:t xml:space="preserve"> the two </w:t>
      </w:r>
      <w:r>
        <w:t>PRMS</w:t>
      </w:r>
      <w:r w:rsidRPr="008658F8">
        <w:t xml:space="preserve"> control simulations. </w:t>
      </w:r>
      <w:r>
        <w:t>In general, both control simulations show</w:t>
      </w:r>
      <w:r w:rsidR="00B7138F">
        <w:t>ed</w:t>
      </w:r>
      <w:r>
        <w:t xml:space="preserve"> reasonably good results</w:t>
      </w:r>
      <w:r w:rsidR="00B7138F">
        <w:t>,</w:t>
      </w:r>
      <w:r>
        <w:t xml:space="preserve"> with R</w:t>
      </w:r>
      <w:r w:rsidRPr="00121E84">
        <w:rPr>
          <w:vertAlign w:val="superscript"/>
        </w:rPr>
        <w:t>2</w:t>
      </w:r>
      <w:r>
        <w:t xml:space="preserve"> = 0.982 for </w:t>
      </w:r>
      <w:r w:rsidR="00A14D94">
        <w:t xml:space="preserve">PRMS-Daymet </w:t>
      </w:r>
      <w:r w:rsidR="00A14D94" w:rsidRPr="008658F8">
        <w:t xml:space="preserve">and </w:t>
      </w:r>
      <w:r w:rsidR="00A14D94">
        <w:t>R</w:t>
      </w:r>
      <w:r w:rsidR="00A14D94" w:rsidRPr="00121E84">
        <w:rPr>
          <w:vertAlign w:val="superscript"/>
        </w:rPr>
        <w:t>2</w:t>
      </w:r>
      <w:r w:rsidR="00A14D94">
        <w:t xml:space="preserve"> = 0.980 for PRMS-Livneh for annual runoff</w:t>
      </w:r>
      <w:r w:rsidRPr="008658F8">
        <w:t xml:space="preserve">. </w:t>
      </w:r>
      <w:r>
        <w:fldChar w:fldCharType="begin"/>
      </w:r>
      <w:r>
        <w:instrText xml:space="preserve"> REF _Ref72830820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13</w:t>
      </w:r>
      <w:r>
        <w:fldChar w:fldCharType="end"/>
      </w:r>
      <w:r>
        <w:t xml:space="preserve"> shows</w:t>
      </w:r>
      <w:r w:rsidRPr="008658F8">
        <w:t xml:space="preserve"> NSE values of monthly runoff</w:t>
      </w:r>
      <w:r>
        <w:t xml:space="preserve"> </w:t>
      </w:r>
      <w:r w:rsidRPr="008658F8">
        <w:t xml:space="preserve">for </w:t>
      </w:r>
      <w:r>
        <w:t>PRMS</w:t>
      </w:r>
      <w:r w:rsidRPr="008658F8">
        <w:t xml:space="preserve">-Daymet </w:t>
      </w:r>
      <w:r w:rsidRPr="00131C9F">
        <w:t>(e)</w:t>
      </w:r>
      <w:r w:rsidRPr="008658F8">
        <w:t xml:space="preserve"> and </w:t>
      </w:r>
      <w:r>
        <w:t>PRMS</w:t>
      </w:r>
      <w:r w:rsidRPr="008658F8">
        <w:t>-Livneh</w:t>
      </w:r>
      <w:r w:rsidRPr="00CF47FC">
        <w:t xml:space="preserve"> </w:t>
      </w:r>
      <w:r>
        <w:t>(f)</w:t>
      </w:r>
      <w:r w:rsidRPr="00CF47FC">
        <w:t xml:space="preserve"> </w:t>
      </w:r>
      <w:r>
        <w:t>at each HUC8 subbasin</w:t>
      </w:r>
      <w:r w:rsidRPr="008658F8">
        <w:t xml:space="preserve">. </w:t>
      </w:r>
      <w:r w:rsidR="00402EC8">
        <w:t xml:space="preserve">At </w:t>
      </w:r>
      <w:r w:rsidR="00B7138F">
        <w:t xml:space="preserve">the </w:t>
      </w:r>
      <w:r w:rsidR="00402EC8">
        <w:t xml:space="preserve">national scale, 65% </w:t>
      </w:r>
      <w:r w:rsidR="00B7138F">
        <w:t xml:space="preserve">of </w:t>
      </w:r>
      <w:r w:rsidR="00402EC8">
        <w:t>HUC8s show</w:t>
      </w:r>
      <w:r w:rsidR="00B7138F">
        <w:t>ed</w:t>
      </w:r>
      <w:r w:rsidR="00402EC8">
        <w:t xml:space="preserve"> monthly NSE</w:t>
      </w:r>
      <w:r w:rsidR="00B7138F">
        <w:t> </w:t>
      </w:r>
      <w:r w:rsidR="00402EC8">
        <w:t>&gt;0.5 for both PRMS-Daymet and PRMS-Livneh. A subset of the HUC8s within PMA areas reveal</w:t>
      </w:r>
      <w:r w:rsidR="00B7138F">
        <w:t>ed</w:t>
      </w:r>
      <w:r w:rsidR="00402EC8">
        <w:t xml:space="preserve"> that 43% </w:t>
      </w:r>
      <w:r w:rsidR="00B7138F">
        <w:t xml:space="preserve">showed monthly NSE &gt;0.5 for PRMS-Daymet, </w:t>
      </w:r>
      <w:r w:rsidR="00402EC8">
        <w:t xml:space="preserve">and 44% </w:t>
      </w:r>
      <w:r w:rsidR="00B7138F">
        <w:t xml:space="preserve">showed monthly NSE &gt;0.5 for </w:t>
      </w:r>
      <w:r w:rsidR="00402EC8">
        <w:t xml:space="preserve">PRMS-Livneh. Similar to VIC, PRMS performed better </w:t>
      </w:r>
      <w:r w:rsidR="00B7138F">
        <w:t xml:space="preserve">in </w:t>
      </w:r>
      <w:r w:rsidR="00402EC8">
        <w:t xml:space="preserve">wetter regions </w:t>
      </w:r>
      <w:r w:rsidR="00B7138F">
        <w:t xml:space="preserve">than in </w:t>
      </w:r>
      <w:r w:rsidR="00402EC8">
        <w:t>arid</w:t>
      </w:r>
      <w:r w:rsidR="00B7138F">
        <w:t>/drier</w:t>
      </w:r>
      <w:r w:rsidR="00402EC8">
        <w:t xml:space="preserve"> areas. However, unlike VIC, PRMS-Daymet and PRMS-Livneh achieved comparable performance in terms of R</w:t>
      </w:r>
      <w:r w:rsidR="00402EC8" w:rsidRPr="00BC121F">
        <w:rPr>
          <w:vertAlign w:val="superscript"/>
        </w:rPr>
        <w:t>2</w:t>
      </w:r>
      <w:r w:rsidR="00402EC8">
        <w:t>. Also, PRMS control simulations achieved higher performance than VIC control simulations. These differences can be attributed to VIC being calibrated with the earlier versions of Daymet and Livneh</w:t>
      </w:r>
      <w:r w:rsidR="00D64187">
        <w:t xml:space="preserve"> </w:t>
      </w:r>
      <w:r w:rsidR="005606E5">
        <w:t>data sets</w:t>
      </w:r>
      <w:r w:rsidR="00402EC8">
        <w:t xml:space="preserve">; therefore, a slight deterioration in the performance </w:t>
      </w:r>
      <w:r w:rsidR="00B7138F">
        <w:t xml:space="preserve">was </w:t>
      </w:r>
      <w:r w:rsidR="00402EC8">
        <w:t xml:space="preserve">expected when driven with updated </w:t>
      </w:r>
      <w:r w:rsidR="00402EC8">
        <w:rPr>
          <w:snapToGrid/>
        </w:rPr>
        <w:t>MetFs</w:t>
      </w:r>
      <w:r w:rsidR="00402EC8">
        <w:t xml:space="preserve"> during control simulations. On the other hand, PRMS was calibrated using the latest version of </w:t>
      </w:r>
      <w:r w:rsidR="00402EC8">
        <w:rPr>
          <w:snapToGrid/>
        </w:rPr>
        <w:t>MetFs</w:t>
      </w:r>
      <w:r w:rsidR="00402EC8">
        <w:t xml:space="preserve"> along with more robust calibration and </w:t>
      </w:r>
      <w:r w:rsidR="00B7138F">
        <w:t xml:space="preserve">therefore </w:t>
      </w:r>
      <w:r w:rsidR="00402EC8">
        <w:t>show</w:t>
      </w:r>
      <w:r w:rsidR="00B7138F">
        <w:t>ed</w:t>
      </w:r>
      <w:r w:rsidR="00402EC8">
        <w:t xml:space="preserve"> better performance. A further comparison is needed to investigate the physical reasons behind these differences, but that is beyond the scope of this report.</w:t>
      </w:r>
    </w:p>
    <w:p w14:paraId="528E2788" w14:textId="6CC5E718" w:rsidR="00C132A3" w:rsidRPr="002448AA" w:rsidRDefault="00402EC8" w:rsidP="00C132A3">
      <w:pPr>
        <w:pStyle w:val="BodyText"/>
      </w:pPr>
      <w:r w:rsidRPr="002448AA">
        <w:t xml:space="preserve">To </w:t>
      </w:r>
      <w:r w:rsidRPr="002448AA">
        <w:rPr>
          <w:rFonts w:hint="eastAsia"/>
        </w:rPr>
        <w:t xml:space="preserve">further </w:t>
      </w:r>
      <w:r w:rsidRPr="002448AA">
        <w:t xml:space="preserve">evaluate the model performance for snow </w:t>
      </w:r>
      <w:r>
        <w:t>processes</w:t>
      </w:r>
      <w:r w:rsidRPr="002448AA">
        <w:t>, the simulated</w:t>
      </w:r>
      <w:r w:rsidRPr="002448AA">
        <w:rPr>
          <w:rFonts w:hint="eastAsia"/>
        </w:rPr>
        <w:t xml:space="preserve"> </w:t>
      </w:r>
      <w:r>
        <w:t>April 1</w:t>
      </w:r>
      <w:r w:rsidRPr="002448AA">
        <w:rPr>
          <w:rFonts w:hint="eastAsia"/>
        </w:rPr>
        <w:t xml:space="preserve"> </w:t>
      </w:r>
      <w:r w:rsidRPr="002448AA">
        <w:t>SWE</w:t>
      </w:r>
      <w:r>
        <w:t xml:space="preserve"> </w:t>
      </w:r>
      <w:r w:rsidRPr="002448AA">
        <w:t>wa</w:t>
      </w:r>
      <w:r w:rsidRPr="002448AA">
        <w:rPr>
          <w:rFonts w:hint="eastAsia"/>
        </w:rPr>
        <w:t>s</w:t>
      </w:r>
      <w:r w:rsidRPr="002448AA">
        <w:t xml:space="preserve"> compared with </w:t>
      </w:r>
      <w:r w:rsidRPr="006C7BDA">
        <w:t>Snow Telemetry (SNOTEL)</w:t>
      </w:r>
      <w:r>
        <w:t xml:space="preserve"> </w:t>
      </w:r>
      <w:r w:rsidRPr="002448AA">
        <w:t xml:space="preserve">observations. The </w:t>
      </w:r>
      <w:r>
        <w:t>SWE data</w:t>
      </w:r>
      <w:r w:rsidRPr="002448AA">
        <w:t xml:space="preserve"> </w:t>
      </w:r>
      <w:r w:rsidR="00B7138F">
        <w:t xml:space="preserve">were </w:t>
      </w:r>
      <w:r w:rsidRPr="002448AA">
        <w:t xml:space="preserve">obtained from Bias Correction and Quality Control SNOTEL </w:t>
      </w:r>
      <w:r>
        <w:t>d</w:t>
      </w:r>
      <w:r w:rsidRPr="002448AA">
        <w:t>ata</w:t>
      </w:r>
      <w:r>
        <w:t xml:space="preserve"> </w:t>
      </w:r>
      <w:r w:rsidRPr="002448AA">
        <w:t>for</w:t>
      </w:r>
      <w:r>
        <w:t xml:space="preserve"> </w:t>
      </w:r>
      <w:r w:rsidRPr="002448AA">
        <w:t>829</w:t>
      </w:r>
      <w:r>
        <w:t xml:space="preserve"> </w:t>
      </w:r>
      <w:r w:rsidRPr="002448AA">
        <w:t xml:space="preserve">active stations in the </w:t>
      </w:r>
      <w:r w:rsidR="006C6778">
        <w:t>w</w:t>
      </w:r>
      <w:r w:rsidRPr="002448AA">
        <w:t xml:space="preserve">estern United States and Alaska </w:t>
      </w:r>
      <w:r w:rsidRPr="00885996">
        <w:t>(Sun et al., 2019; Yan et al., 2018)</w:t>
      </w:r>
      <w:r w:rsidRPr="002448AA">
        <w:t xml:space="preserve">. Focusing on the </w:t>
      </w:r>
      <w:r>
        <w:t xml:space="preserve">period of </w:t>
      </w:r>
      <w:r w:rsidRPr="002448AA">
        <w:t xml:space="preserve">1981–2000, 482 stations with at least 10 years of </w:t>
      </w:r>
      <w:r w:rsidRPr="002448AA">
        <w:lastRenderedPageBreak/>
        <w:t xml:space="preserve">annual </w:t>
      </w:r>
      <w:r>
        <w:t>April 1</w:t>
      </w:r>
      <w:r w:rsidRPr="002448AA">
        <w:rPr>
          <w:rFonts w:hint="eastAsia"/>
        </w:rPr>
        <w:t xml:space="preserve"> </w:t>
      </w:r>
      <w:r w:rsidRPr="002448AA">
        <w:t>SWE observations we</w:t>
      </w:r>
      <w:r w:rsidRPr="002448AA">
        <w:rPr>
          <w:rFonts w:hint="eastAsia"/>
        </w:rPr>
        <w:t>re</w:t>
      </w:r>
      <w:r w:rsidRPr="002448AA">
        <w:t xml:space="preserve"> selected.</w:t>
      </w:r>
      <w:r w:rsidRPr="002448AA">
        <w:rPr>
          <w:rFonts w:hint="eastAsia"/>
        </w:rPr>
        <w:t xml:space="preserve"> </w:t>
      </w:r>
      <w:r w:rsidRPr="002448AA">
        <w:t xml:space="preserve">For each station, the simulated </w:t>
      </w:r>
      <w:r>
        <w:t>April 1</w:t>
      </w:r>
      <w:r w:rsidRPr="002448AA">
        <w:rPr>
          <w:rFonts w:hint="eastAsia"/>
        </w:rPr>
        <w:t xml:space="preserve"> </w:t>
      </w:r>
      <w:r w:rsidRPr="002448AA">
        <w:t xml:space="preserve">SWE at the nearest VIC grid and PRMS HRU was </w:t>
      </w:r>
      <w:r>
        <w:t>referenced</w:t>
      </w:r>
      <w:r w:rsidRPr="002448AA">
        <w:t xml:space="preserve">. </w:t>
      </w:r>
      <w:r>
        <w:t>Because</w:t>
      </w:r>
      <w:r w:rsidRPr="002448AA">
        <w:t xml:space="preserve"> the point observation may be </w:t>
      </w:r>
      <w:r>
        <w:t>at</w:t>
      </w:r>
      <w:r w:rsidRPr="002448AA">
        <w:t xml:space="preserve"> a different scale </w:t>
      </w:r>
      <w:r>
        <w:t xml:space="preserve">than </w:t>
      </w:r>
      <w:r w:rsidRPr="002448AA">
        <w:t>the grid-based VIC SWE and HRU</w:t>
      </w:r>
      <w:r>
        <w:t>-</w:t>
      </w:r>
      <w:r w:rsidRPr="002448AA">
        <w:t xml:space="preserve">based PRMS SWE, the </w:t>
      </w:r>
      <w:r>
        <w:t>R</w:t>
      </w:r>
      <w:r w:rsidRPr="003F0A02">
        <w:rPr>
          <w:vertAlign w:val="superscript"/>
        </w:rPr>
        <w:t>2</w:t>
      </w:r>
      <w:r>
        <w:t xml:space="preserve"> </w:t>
      </w:r>
      <w:r w:rsidRPr="002448AA">
        <w:t>between observation and simulation was computed for evaluation. The results</w:t>
      </w:r>
      <w:r>
        <w:t xml:space="preserve"> </w:t>
      </w:r>
      <w:r w:rsidRPr="00434A01">
        <w:t>for the four control simulations</w:t>
      </w:r>
      <w:r w:rsidRPr="002448AA">
        <w:t xml:space="preserve"> are </w:t>
      </w:r>
      <w:r w:rsidR="00B7138F">
        <w:t xml:space="preserve">demonstrated </w:t>
      </w:r>
      <w:r w:rsidRPr="002448AA">
        <w:t xml:space="preserve">in </w:t>
      </w:r>
      <w:r>
        <w:fldChar w:fldCharType="begin"/>
      </w:r>
      <w:r>
        <w:instrText xml:space="preserve"> REF _Ref72830915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14</w:t>
      </w:r>
      <w:r>
        <w:fldChar w:fldCharType="end"/>
      </w:r>
      <w:r w:rsidRPr="002448AA">
        <w:t xml:space="preserve">. The results </w:t>
      </w:r>
      <w:r>
        <w:t xml:space="preserve">indicate </w:t>
      </w:r>
      <w:r w:rsidRPr="002448AA">
        <w:t>that 63% of VIC-Daymet stations</w:t>
      </w:r>
      <w:r>
        <w:t>,</w:t>
      </w:r>
      <w:r w:rsidRPr="002448AA">
        <w:t xml:space="preserve"> 61% </w:t>
      </w:r>
      <w:r>
        <w:t xml:space="preserve">of </w:t>
      </w:r>
      <w:r w:rsidRPr="002448AA">
        <w:t>VIC-Livneh station</w:t>
      </w:r>
      <w:r>
        <w:t>s,</w:t>
      </w:r>
      <w:r w:rsidRPr="002448AA">
        <w:t xml:space="preserve"> 62% of PRMS-Daymet station</w:t>
      </w:r>
      <w:r>
        <w:t>s,</w:t>
      </w:r>
      <w:r w:rsidRPr="002448AA">
        <w:t xml:space="preserve"> and 52% of PRMS-Livneh station</w:t>
      </w:r>
      <w:r>
        <w:t>s</w:t>
      </w:r>
      <w:r w:rsidRPr="002448AA">
        <w:t xml:space="preserve"> </w:t>
      </w:r>
      <w:r w:rsidR="00B7138F">
        <w:t xml:space="preserve">had </w:t>
      </w:r>
      <w:r w:rsidRPr="002448AA">
        <w:t>R</w:t>
      </w:r>
      <w:r w:rsidRPr="003F0A02">
        <w:rPr>
          <w:vertAlign w:val="superscript"/>
        </w:rPr>
        <w:t>2</w:t>
      </w:r>
      <w:r w:rsidRPr="002448AA">
        <w:t xml:space="preserve"> </w:t>
      </w:r>
      <w:r>
        <w:t xml:space="preserve">values </w:t>
      </w:r>
      <w:r w:rsidRPr="002448AA">
        <w:t xml:space="preserve">greater than 0.5. </w:t>
      </w:r>
      <w:r>
        <w:t xml:space="preserve">Both models performed relatively well in the Wyoming and Idaho regions. For the p-values of the corresponding correlation coefficients (R), </w:t>
      </w:r>
      <w:r w:rsidRPr="002448AA">
        <w:t xml:space="preserve">82% of </w:t>
      </w:r>
      <w:r>
        <w:t xml:space="preserve">Daymet-driven </w:t>
      </w:r>
      <w:r w:rsidRPr="002448AA">
        <w:t xml:space="preserve">stations </w:t>
      </w:r>
      <w:r>
        <w:t xml:space="preserve">have </w:t>
      </w:r>
      <w:r w:rsidRPr="002448AA">
        <w:t>p</w:t>
      </w:r>
      <w:r w:rsidR="00B7138F">
        <w:t>-</w:t>
      </w:r>
      <w:r w:rsidRPr="002448AA">
        <w:t>value</w:t>
      </w:r>
      <w:r>
        <w:t>s</w:t>
      </w:r>
      <w:r w:rsidRPr="002448AA">
        <w:t xml:space="preserve"> less than 0.05, </w:t>
      </w:r>
      <w:r>
        <w:t xml:space="preserve">whereas </w:t>
      </w:r>
      <w:r w:rsidRPr="002448AA">
        <w:t xml:space="preserve">78% of </w:t>
      </w:r>
      <w:r>
        <w:t xml:space="preserve">Livneh-driven </w:t>
      </w:r>
      <w:r w:rsidRPr="002448AA">
        <w:t xml:space="preserve">stations </w:t>
      </w:r>
      <w:r>
        <w:t xml:space="preserve">have </w:t>
      </w:r>
      <w:r w:rsidRPr="002448AA">
        <w:t>p</w:t>
      </w:r>
      <w:r w:rsidR="00B7138F">
        <w:t>-</w:t>
      </w:r>
      <w:r w:rsidRPr="002448AA">
        <w:t>value</w:t>
      </w:r>
      <w:r>
        <w:t>s</w:t>
      </w:r>
      <w:r w:rsidRPr="002448AA">
        <w:t xml:space="preserve"> less than 0.05, indicating that correlation </w:t>
      </w:r>
      <w:r w:rsidR="00B7138F">
        <w:t xml:space="preserve">was </w:t>
      </w:r>
      <w:r w:rsidRPr="002448AA">
        <w:t>statistically significant at 5% significance level. This suggests that the control simulations captured the interannual variability</w:t>
      </w:r>
      <w:r w:rsidRPr="002448AA" w:rsidDel="0016452D">
        <w:t xml:space="preserve"> </w:t>
      </w:r>
      <w:r>
        <w:t xml:space="preserve">of SWE </w:t>
      </w:r>
      <w:r w:rsidRPr="002448AA">
        <w:t>for most of the stations</w:t>
      </w:r>
      <w:r w:rsidR="00C132A3" w:rsidRPr="002448AA">
        <w:t>.</w:t>
      </w:r>
    </w:p>
    <w:p w14:paraId="7B40B238" w14:textId="4131DDC9" w:rsidR="00C91C8C" w:rsidRDefault="002D0243" w:rsidP="00C82290">
      <w:pPr>
        <w:pStyle w:val="FIGUREposition"/>
        <w:rPr>
          <w:lang w:eastAsia="zh-TW"/>
        </w:rPr>
      </w:pPr>
      <w:r>
        <w:rPr>
          <w:noProof/>
        </w:rPr>
        <w:drawing>
          <wp:inline distT="0" distB="0" distL="0" distR="0" wp14:anchorId="311637F8" wp14:editId="14121F11">
            <wp:extent cx="5943419" cy="4187824"/>
            <wp:effectExtent l="0" t="0" r="635" b="381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2"/>
                    <a:stretch>
                      <a:fillRect/>
                    </a:stretch>
                  </pic:blipFill>
                  <pic:spPr bwMode="auto">
                    <a:xfrm>
                      <a:off x="0" y="0"/>
                      <a:ext cx="5943419" cy="4187824"/>
                    </a:xfrm>
                    <a:prstGeom prst="rect">
                      <a:avLst/>
                    </a:prstGeom>
                    <a:noFill/>
                  </pic:spPr>
                </pic:pic>
              </a:graphicData>
            </a:graphic>
          </wp:inline>
        </w:drawing>
      </w:r>
    </w:p>
    <w:p w14:paraId="796F2407" w14:textId="5D49432E" w:rsidR="003036AF" w:rsidRDefault="003036AF" w:rsidP="003036AF">
      <w:pPr>
        <w:pStyle w:val="FigureCaption"/>
      </w:pPr>
      <w:bookmarkStart w:id="144" w:name="_Ref72830915"/>
      <w:bookmarkStart w:id="145" w:name="_Toc113380878"/>
      <w:r>
        <w:rPr>
          <w:lang w:eastAsia="zh-TW"/>
        </w:rPr>
        <w:t>Figure</w:t>
      </w:r>
      <w:r w:rsidRPr="006869CA">
        <w:rPr>
          <w:lang w:eastAsia="zh-TW"/>
        </w:rPr>
        <w:t xml:space="preserve"> </w:t>
      </w:r>
      <w:r>
        <w:rPr>
          <w:lang w:eastAsia="zh-TW"/>
        </w:rPr>
        <w:fldChar w:fldCharType="begin"/>
      </w:r>
      <w:r>
        <w:rPr>
          <w:lang w:eastAsia="zh-TW"/>
        </w:rPr>
        <w:instrText xml:space="preserve"> STYLEREF 1 \s </w:instrText>
      </w:r>
      <w:r>
        <w:rPr>
          <w:lang w:eastAsia="zh-TW"/>
        </w:rPr>
        <w:fldChar w:fldCharType="separate"/>
      </w:r>
      <w:r w:rsidR="00EE0BF5">
        <w:rPr>
          <w:noProof/>
          <w:lang w:eastAsia="zh-TW"/>
        </w:rPr>
        <w:t>2</w:t>
      </w:r>
      <w:r>
        <w:rPr>
          <w:lang w:eastAsia="zh-TW"/>
        </w:rPr>
        <w:fldChar w:fldCharType="end"/>
      </w:r>
      <w:r w:rsidR="00125600">
        <w:rPr>
          <w:lang w:eastAsia="zh-TW"/>
        </w:rPr>
        <w:t>.</w:t>
      </w:r>
      <w:r>
        <w:rPr>
          <w:lang w:eastAsia="zh-TW"/>
        </w:rPr>
        <w:fldChar w:fldCharType="begin"/>
      </w:r>
      <w:r>
        <w:rPr>
          <w:lang w:eastAsia="zh-TW"/>
        </w:rPr>
        <w:instrText xml:space="preserve"> SEQ Figure \* ARABIC \s 1 </w:instrText>
      </w:r>
      <w:r>
        <w:rPr>
          <w:lang w:eastAsia="zh-TW"/>
        </w:rPr>
        <w:fldChar w:fldCharType="separate"/>
      </w:r>
      <w:r w:rsidR="00EE0BF5">
        <w:rPr>
          <w:noProof/>
          <w:lang w:eastAsia="zh-TW"/>
        </w:rPr>
        <w:t>14</w:t>
      </w:r>
      <w:r>
        <w:rPr>
          <w:lang w:eastAsia="zh-TW"/>
        </w:rPr>
        <w:fldChar w:fldCharType="end"/>
      </w:r>
      <w:bookmarkEnd w:id="144"/>
      <w:r w:rsidRPr="006869CA">
        <w:rPr>
          <w:lang w:eastAsia="zh-TW"/>
        </w:rPr>
        <w:t xml:space="preserve">. </w:t>
      </w:r>
      <w:r>
        <w:rPr>
          <w:lang w:eastAsia="zh-TW"/>
        </w:rPr>
        <w:t>Performance of VIC and PRMS at various SNOTEL sites.</w:t>
      </w:r>
      <w:bookmarkEnd w:id="145"/>
    </w:p>
    <w:p w14:paraId="15FDCDE0" w14:textId="77777777" w:rsidR="00C132A3" w:rsidRPr="004856AD" w:rsidRDefault="00C132A3" w:rsidP="00F90A77">
      <w:pPr>
        <w:pStyle w:val="Heading3"/>
      </w:pPr>
      <w:bookmarkStart w:id="146" w:name="_Toc113380779"/>
      <w:r>
        <w:t>Hydrologic</w:t>
      </w:r>
      <w:r w:rsidRPr="004856AD">
        <w:t xml:space="preserve"> </w:t>
      </w:r>
      <w:r>
        <w:t>Evaluation</w:t>
      </w:r>
      <w:bookmarkEnd w:id="146"/>
    </w:p>
    <w:p w14:paraId="44CFBB3A" w14:textId="66D5C001" w:rsidR="00C132A3" w:rsidRDefault="00C132A3" w:rsidP="00C132A3">
      <w:pPr>
        <w:pStyle w:val="BodyText"/>
        <w:rPr>
          <w:rFonts w:eastAsia="PMingLiU"/>
          <w:lang w:eastAsia="zh-TW"/>
        </w:rPr>
      </w:pPr>
      <w:r w:rsidRPr="00AC275B">
        <w:t xml:space="preserve">For each PMA study area, the effects of future changes </w:t>
      </w:r>
      <w:r>
        <w:t xml:space="preserve">on </w:t>
      </w:r>
      <w:r w:rsidRPr="00AC275B">
        <w:t>major hydrologic variables, including total runoff</w:t>
      </w:r>
      <w:r w:rsidRPr="00C733E7">
        <w:t xml:space="preserve"> and SWE</w:t>
      </w:r>
      <w:r>
        <w:t>,</w:t>
      </w:r>
      <w:r w:rsidRPr="00C733E7">
        <w:t xml:space="preserve"> </w:t>
      </w:r>
      <w:r>
        <w:t xml:space="preserve">were </w:t>
      </w:r>
      <w:r w:rsidRPr="00C733E7">
        <w:t xml:space="preserve">analyzed </w:t>
      </w:r>
      <w:r>
        <w:t xml:space="preserve">and </w:t>
      </w:r>
      <w:r w:rsidR="00ED337D">
        <w:t xml:space="preserve">are </w:t>
      </w:r>
      <w:r w:rsidRPr="00C733E7">
        <w:t xml:space="preserve">presented in Sections </w:t>
      </w:r>
      <w:r w:rsidRPr="00C733E7">
        <w:fldChar w:fldCharType="begin"/>
      </w:r>
      <w:r w:rsidRPr="00C733E7">
        <w:instrText xml:space="preserve"> REF _Ref425755847 \n \h </w:instrText>
      </w:r>
      <w:r>
        <w:instrText xml:space="preserve"> \* MERGEFORMAT </w:instrText>
      </w:r>
      <w:r w:rsidRPr="00C733E7">
        <w:fldChar w:fldCharType="separate"/>
      </w:r>
      <w:r w:rsidR="00EE0BF5">
        <w:t>3</w:t>
      </w:r>
      <w:r w:rsidRPr="00C733E7">
        <w:fldChar w:fldCharType="end"/>
      </w:r>
      <w:r w:rsidRPr="00C733E7">
        <w:t>–</w:t>
      </w:r>
      <w:r w:rsidRPr="00C733E7">
        <w:fldChar w:fldCharType="begin"/>
      </w:r>
      <w:r w:rsidRPr="00C733E7">
        <w:instrText xml:space="preserve"> REF _Ref432925465 \n \h </w:instrText>
      </w:r>
      <w:r>
        <w:instrText xml:space="preserve"> \* MERGEFORMAT </w:instrText>
      </w:r>
      <w:r w:rsidRPr="00C733E7">
        <w:fldChar w:fldCharType="separate"/>
      </w:r>
      <w:r w:rsidR="00EE0BF5">
        <w:t>6</w:t>
      </w:r>
      <w:r w:rsidRPr="00C733E7">
        <w:fldChar w:fldCharType="end"/>
      </w:r>
      <w:r w:rsidRPr="00C733E7">
        <w:t xml:space="preserve">. </w:t>
      </w:r>
      <w:r>
        <w:t xml:space="preserve">The </w:t>
      </w:r>
      <w:r w:rsidRPr="00C733E7">
        <w:t xml:space="preserve">simulated </w:t>
      </w:r>
      <w:r>
        <w:t xml:space="preserve">runoff was </w:t>
      </w:r>
      <w:r w:rsidRPr="00C733E7">
        <w:t xml:space="preserve">first summarized for each PMA region by calculating the average daily timeseries </w:t>
      </w:r>
      <w:r>
        <w:t xml:space="preserve">of </w:t>
      </w:r>
      <w:r w:rsidRPr="00C733E7">
        <w:t xml:space="preserve">each </w:t>
      </w:r>
      <w:r>
        <w:t>ensemble member</w:t>
      </w:r>
      <w:r w:rsidRPr="00C733E7">
        <w:t xml:space="preserve"> </w:t>
      </w:r>
      <w:r>
        <w:t xml:space="preserve">in the </w:t>
      </w:r>
      <w:r w:rsidRPr="00C733E7">
        <w:t xml:space="preserve">baseline </w:t>
      </w:r>
      <w:r w:rsidR="00ED337D">
        <w:t xml:space="preserve">period </w:t>
      </w:r>
      <w:r w:rsidRPr="00C733E7">
        <w:t>(1</w:t>
      </w:r>
      <w:r>
        <w:t>980</w:t>
      </w:r>
      <w:r w:rsidRPr="00C733E7">
        <w:t>–20</w:t>
      </w:r>
      <w:r>
        <w:t>19</w:t>
      </w:r>
      <w:r w:rsidRPr="00C733E7">
        <w:t>)</w:t>
      </w:r>
      <w:r w:rsidRPr="00C733E7">
        <w:rPr>
          <w:rFonts w:eastAsia="PMingLiU" w:hint="eastAsia"/>
          <w:lang w:eastAsia="zh-TW"/>
        </w:rPr>
        <w:t xml:space="preserve"> </w:t>
      </w:r>
      <w:r w:rsidR="00ED337D">
        <w:rPr>
          <w:rFonts w:eastAsia="PMingLiU"/>
          <w:lang w:eastAsia="zh-TW"/>
        </w:rPr>
        <w:t xml:space="preserve">and </w:t>
      </w:r>
      <w:r w:rsidRPr="00C733E7">
        <w:rPr>
          <w:rFonts w:eastAsia="PMingLiU" w:hint="eastAsia"/>
          <w:lang w:eastAsia="zh-TW"/>
        </w:rPr>
        <w:t>near-</w:t>
      </w:r>
      <w:r>
        <w:rPr>
          <w:rFonts w:eastAsia="PMingLiU"/>
          <w:lang w:eastAsia="zh-TW"/>
        </w:rPr>
        <w:t xml:space="preserve">term </w:t>
      </w:r>
      <w:r w:rsidRPr="00C733E7">
        <w:rPr>
          <w:rFonts w:eastAsia="PMingLiU" w:hint="eastAsia"/>
          <w:lang w:eastAsia="zh-TW"/>
        </w:rPr>
        <w:t>(20</w:t>
      </w:r>
      <w:r>
        <w:rPr>
          <w:rFonts w:eastAsia="PMingLiU"/>
          <w:lang w:eastAsia="zh-TW"/>
        </w:rPr>
        <w:t>20</w:t>
      </w:r>
      <w:r w:rsidRPr="00C733E7">
        <w:rPr>
          <w:rFonts w:eastAsia="PMingLiU"/>
          <w:lang w:eastAsia="zh-TW"/>
        </w:rPr>
        <w:t>–</w:t>
      </w:r>
      <w:r w:rsidRPr="00C733E7">
        <w:rPr>
          <w:rFonts w:eastAsia="PMingLiU" w:hint="eastAsia"/>
          <w:lang w:eastAsia="zh-TW"/>
        </w:rPr>
        <w:t>20</w:t>
      </w:r>
      <w:r>
        <w:rPr>
          <w:rFonts w:eastAsia="PMingLiU"/>
          <w:lang w:eastAsia="zh-TW"/>
        </w:rPr>
        <w:t>39</w:t>
      </w:r>
      <w:r w:rsidRPr="00C733E7">
        <w:rPr>
          <w:rFonts w:eastAsia="PMingLiU" w:hint="eastAsia"/>
          <w:lang w:eastAsia="zh-TW"/>
        </w:rPr>
        <w:t xml:space="preserve">) </w:t>
      </w:r>
      <w:r w:rsidRPr="00C733E7">
        <w:rPr>
          <w:rFonts w:eastAsia="PMingLiU"/>
          <w:lang w:eastAsia="zh-TW"/>
        </w:rPr>
        <w:t xml:space="preserve">and </w:t>
      </w:r>
      <w:r w:rsidRPr="00C733E7">
        <w:rPr>
          <w:rFonts w:eastAsia="PMingLiU" w:hint="eastAsia"/>
          <w:lang w:eastAsia="zh-TW"/>
        </w:rPr>
        <w:t>mid</w:t>
      </w:r>
      <w:r>
        <w:rPr>
          <w:rFonts w:eastAsia="PMingLiU"/>
          <w:lang w:eastAsia="zh-TW"/>
        </w:rPr>
        <w:t>-</w:t>
      </w:r>
      <w:r w:rsidRPr="00C733E7">
        <w:rPr>
          <w:rFonts w:eastAsia="PMingLiU" w:hint="eastAsia"/>
          <w:lang w:eastAsia="zh-TW"/>
        </w:rPr>
        <w:t>term (20</w:t>
      </w:r>
      <w:r>
        <w:rPr>
          <w:rFonts w:eastAsia="PMingLiU"/>
          <w:lang w:eastAsia="zh-TW"/>
        </w:rPr>
        <w:t>40</w:t>
      </w:r>
      <w:r w:rsidRPr="00C733E7">
        <w:rPr>
          <w:rFonts w:eastAsia="PMingLiU"/>
          <w:lang w:eastAsia="zh-TW"/>
        </w:rPr>
        <w:t>–</w:t>
      </w:r>
      <w:r w:rsidRPr="00C733E7">
        <w:rPr>
          <w:rFonts w:eastAsia="PMingLiU" w:hint="eastAsia"/>
          <w:lang w:eastAsia="zh-TW"/>
        </w:rPr>
        <w:t>205</w:t>
      </w:r>
      <w:r>
        <w:rPr>
          <w:rFonts w:eastAsia="PMingLiU"/>
          <w:lang w:eastAsia="zh-TW"/>
        </w:rPr>
        <w:t>9</w:t>
      </w:r>
      <w:r w:rsidRPr="00C733E7">
        <w:rPr>
          <w:rFonts w:eastAsia="PMingLiU" w:hint="eastAsia"/>
          <w:lang w:eastAsia="zh-TW"/>
        </w:rPr>
        <w:t xml:space="preserve">) </w:t>
      </w:r>
      <w:r w:rsidR="00ED337D" w:rsidRPr="00C733E7">
        <w:rPr>
          <w:rFonts w:eastAsia="PMingLiU" w:hint="eastAsia"/>
          <w:lang w:eastAsia="zh-TW"/>
        </w:rPr>
        <w:t xml:space="preserve">future </w:t>
      </w:r>
      <w:r w:rsidRPr="00C733E7">
        <w:rPr>
          <w:rFonts w:eastAsia="PMingLiU" w:hint="eastAsia"/>
          <w:lang w:eastAsia="zh-TW"/>
        </w:rPr>
        <w:t>periods.</w:t>
      </w:r>
      <w:r w:rsidRPr="00C733E7">
        <w:t xml:space="preserve"> The projected</w:t>
      </w:r>
      <w:r>
        <w:t xml:space="preserve"> runoff</w:t>
      </w:r>
      <w:r w:rsidRPr="00C733E7">
        <w:t xml:space="preserve"> changes</w:t>
      </w:r>
      <w:r>
        <w:t xml:space="preserve"> </w:t>
      </w:r>
      <w:r w:rsidRPr="00E54B9C">
        <w:t>from baseline to future periods</w:t>
      </w:r>
      <w:r w:rsidRPr="00C733E7">
        <w:t xml:space="preserve"> in mean annual, spring</w:t>
      </w:r>
      <w:r w:rsidRPr="00C733E7">
        <w:rPr>
          <w:rFonts w:eastAsia="PMingLiU" w:hint="eastAsia"/>
          <w:lang w:eastAsia="zh-TW"/>
        </w:rPr>
        <w:t xml:space="preserve"> (</w:t>
      </w:r>
      <w:r w:rsidRPr="00C733E7">
        <w:rPr>
          <w:rFonts w:eastAsia="PMingLiU"/>
          <w:lang w:eastAsia="zh-TW"/>
        </w:rPr>
        <w:t>MAM</w:t>
      </w:r>
      <w:r w:rsidRPr="00C733E7">
        <w:rPr>
          <w:rFonts w:eastAsia="PMingLiU" w:hint="eastAsia"/>
          <w:lang w:eastAsia="zh-TW"/>
        </w:rPr>
        <w:t>)</w:t>
      </w:r>
      <w:r w:rsidRPr="00C733E7">
        <w:t>, summer</w:t>
      </w:r>
      <w:r w:rsidRPr="00C733E7">
        <w:rPr>
          <w:rFonts w:eastAsia="PMingLiU" w:hint="eastAsia"/>
          <w:lang w:eastAsia="zh-TW"/>
        </w:rPr>
        <w:t xml:space="preserve"> (</w:t>
      </w:r>
      <w:r w:rsidRPr="00C733E7">
        <w:rPr>
          <w:rFonts w:eastAsia="PMingLiU"/>
          <w:lang w:eastAsia="zh-TW"/>
        </w:rPr>
        <w:t>JJA</w:t>
      </w:r>
      <w:r w:rsidRPr="00C733E7">
        <w:rPr>
          <w:rFonts w:eastAsia="PMingLiU" w:hint="eastAsia"/>
          <w:lang w:eastAsia="zh-TW"/>
        </w:rPr>
        <w:t>)</w:t>
      </w:r>
      <w:r w:rsidRPr="00C733E7">
        <w:t>, fall</w:t>
      </w:r>
      <w:r w:rsidRPr="00C733E7">
        <w:rPr>
          <w:rFonts w:eastAsia="PMingLiU" w:hint="eastAsia"/>
          <w:lang w:eastAsia="zh-TW"/>
        </w:rPr>
        <w:t xml:space="preserve"> (</w:t>
      </w:r>
      <w:r w:rsidRPr="00C733E7">
        <w:rPr>
          <w:rFonts w:eastAsia="PMingLiU"/>
          <w:lang w:eastAsia="zh-TW"/>
        </w:rPr>
        <w:t>SON</w:t>
      </w:r>
      <w:r w:rsidRPr="00C733E7">
        <w:rPr>
          <w:rFonts w:eastAsia="PMingLiU" w:hint="eastAsia"/>
          <w:lang w:eastAsia="zh-TW"/>
        </w:rPr>
        <w:t>)</w:t>
      </w:r>
      <w:r w:rsidRPr="00C733E7">
        <w:t xml:space="preserve">, and winter </w:t>
      </w:r>
      <w:r w:rsidRPr="00C733E7">
        <w:rPr>
          <w:rFonts w:eastAsia="PMingLiU" w:hint="eastAsia"/>
          <w:lang w:eastAsia="zh-TW"/>
        </w:rPr>
        <w:t>(</w:t>
      </w:r>
      <w:r w:rsidRPr="00C733E7">
        <w:rPr>
          <w:rFonts w:eastAsia="PMingLiU"/>
          <w:lang w:eastAsia="zh-TW"/>
        </w:rPr>
        <w:t>DJF</w:t>
      </w:r>
      <w:r w:rsidRPr="00C733E7">
        <w:rPr>
          <w:rFonts w:eastAsia="PMingLiU" w:hint="eastAsia"/>
          <w:lang w:eastAsia="zh-TW"/>
        </w:rPr>
        <w:t xml:space="preserve">) </w:t>
      </w:r>
      <w:r w:rsidR="00ED337D">
        <w:rPr>
          <w:rFonts w:eastAsia="PMingLiU"/>
          <w:lang w:eastAsia="zh-TW"/>
        </w:rPr>
        <w:t xml:space="preserve">values </w:t>
      </w:r>
      <w:r w:rsidRPr="00C733E7">
        <w:t xml:space="preserve">were </w:t>
      </w:r>
      <w:r>
        <w:t xml:space="preserve">then </w:t>
      </w:r>
      <w:r w:rsidRPr="00C733E7">
        <w:t>estimated</w:t>
      </w:r>
      <w:r w:rsidRPr="00C733E7">
        <w:rPr>
          <w:rFonts w:eastAsia="PMingLiU" w:hint="eastAsia"/>
          <w:lang w:eastAsia="zh-TW"/>
        </w:rPr>
        <w:t>.</w:t>
      </w:r>
    </w:p>
    <w:p w14:paraId="322E54A8" w14:textId="1FB9C522" w:rsidR="005E1023" w:rsidRPr="00A423EE" w:rsidRDefault="00E54B9C" w:rsidP="005E1023">
      <w:pPr>
        <w:pStyle w:val="BodyText"/>
        <w:rPr>
          <w:rFonts w:eastAsia="PMingLiU"/>
          <w:lang w:eastAsia="zh-TW"/>
        </w:rPr>
      </w:pPr>
      <w:r>
        <w:lastRenderedPageBreak/>
        <w:t>T</w:t>
      </w:r>
      <w:r w:rsidR="005E1023" w:rsidRPr="00C733E7">
        <w:t xml:space="preserve">he change in extreme runoff conditions (high and low runoff) </w:t>
      </w:r>
      <w:r>
        <w:t>i</w:t>
      </w:r>
      <w:r w:rsidRPr="00C733E7">
        <w:t>s</w:t>
      </w:r>
      <w:r>
        <w:t xml:space="preserve"> also</w:t>
      </w:r>
      <w:r w:rsidRPr="00C733E7">
        <w:t xml:space="preserve"> </w:t>
      </w:r>
      <w:r>
        <w:t>described</w:t>
      </w:r>
      <w:r w:rsidRPr="00C733E7">
        <w:t xml:space="preserve"> </w:t>
      </w:r>
      <w:r w:rsidR="005E1023" w:rsidRPr="00C733E7">
        <w:t xml:space="preserve">(Sections </w:t>
      </w:r>
      <w:r w:rsidR="005E1023" w:rsidRPr="00C733E7">
        <w:fldChar w:fldCharType="begin"/>
      </w:r>
      <w:r w:rsidR="005E1023" w:rsidRPr="00C733E7">
        <w:instrText xml:space="preserve"> REF _Ref425755847 \n \h </w:instrText>
      </w:r>
      <w:r w:rsidR="005E1023">
        <w:instrText xml:space="preserve"> \* MERGEFORMAT </w:instrText>
      </w:r>
      <w:r w:rsidR="005E1023" w:rsidRPr="00C733E7">
        <w:fldChar w:fldCharType="separate"/>
      </w:r>
      <w:r w:rsidR="00EE0BF5">
        <w:t>3</w:t>
      </w:r>
      <w:r w:rsidR="005E1023" w:rsidRPr="00C733E7">
        <w:fldChar w:fldCharType="end"/>
      </w:r>
      <w:r w:rsidR="005E1023" w:rsidRPr="00C733E7">
        <w:t>–</w:t>
      </w:r>
      <w:r w:rsidR="005E1023" w:rsidRPr="00C733E7">
        <w:fldChar w:fldCharType="begin"/>
      </w:r>
      <w:r w:rsidR="005E1023" w:rsidRPr="00C733E7">
        <w:instrText xml:space="preserve"> REF _Ref432925465 \n \h </w:instrText>
      </w:r>
      <w:r w:rsidR="005E1023">
        <w:instrText xml:space="preserve"> \* MERGEFORMAT </w:instrText>
      </w:r>
      <w:r w:rsidR="005E1023" w:rsidRPr="00C733E7">
        <w:fldChar w:fldCharType="separate"/>
      </w:r>
      <w:r w:rsidR="00EE0BF5">
        <w:t>6</w:t>
      </w:r>
      <w:r w:rsidR="005E1023" w:rsidRPr="00C733E7">
        <w:fldChar w:fldCharType="end"/>
      </w:r>
      <w:r w:rsidR="005E1023" w:rsidRPr="00C733E7">
        <w:t>). High</w:t>
      </w:r>
      <w:r w:rsidR="00E931CC">
        <w:t xml:space="preserve"> </w:t>
      </w:r>
      <w:r w:rsidR="005E1023" w:rsidRPr="00C733E7">
        <w:t xml:space="preserve">runoff (R95) was defined as the </w:t>
      </w:r>
      <w:r w:rsidR="00662620">
        <w:t>95</w:t>
      </w:r>
      <w:r w:rsidR="00FA458A" w:rsidRPr="00FA458A">
        <w:t>th</w:t>
      </w:r>
      <w:r w:rsidR="005E1023" w:rsidRPr="00C733E7">
        <w:t xml:space="preserve"> percentile of daily runoff, </w:t>
      </w:r>
      <w:r>
        <w:t>and</w:t>
      </w:r>
      <w:r w:rsidRPr="00C733E7">
        <w:t xml:space="preserve"> </w:t>
      </w:r>
      <w:r w:rsidR="005E1023">
        <w:t>low</w:t>
      </w:r>
      <w:r w:rsidR="00E931CC">
        <w:t xml:space="preserve"> </w:t>
      </w:r>
      <w:r w:rsidR="005E1023">
        <w:t xml:space="preserve">runoff </w:t>
      </w:r>
      <w:r w:rsidR="00E931CC">
        <w:t>(</w:t>
      </w:r>
      <w:r w:rsidR="005E1023" w:rsidRPr="00C733E7">
        <w:t>R5</w:t>
      </w:r>
      <w:r w:rsidR="00E931CC">
        <w:t>)</w:t>
      </w:r>
      <w:r w:rsidR="005E1023" w:rsidRPr="00C733E7">
        <w:t xml:space="preserve"> was defined as the</w:t>
      </w:r>
      <w:r w:rsidR="004B5CC9">
        <w:t xml:space="preserve"> </w:t>
      </w:r>
      <w:r>
        <w:t>5</w:t>
      </w:r>
      <w:r w:rsidR="00FA458A" w:rsidRPr="00FA458A">
        <w:t>th</w:t>
      </w:r>
      <w:r w:rsidR="007A088E">
        <w:t xml:space="preserve"> </w:t>
      </w:r>
      <w:r w:rsidR="005E1023" w:rsidRPr="00C733E7">
        <w:t xml:space="preserve">percentile of the </w:t>
      </w:r>
      <w:r w:rsidR="005E1023">
        <w:t xml:space="preserve">average </w:t>
      </w:r>
      <w:r w:rsidR="00E931CC">
        <w:t>7</w:t>
      </w:r>
      <w:r w:rsidR="005E1023">
        <w:t xml:space="preserve">-day </w:t>
      </w:r>
      <w:r w:rsidR="005E1023" w:rsidRPr="00C733E7">
        <w:t xml:space="preserve">runoff </w:t>
      </w:r>
      <w:r w:rsidR="005E1023">
        <w:t>calculated at each 1/24° (~4 km) VIC grid cell</w:t>
      </w:r>
      <w:r w:rsidR="005E1023" w:rsidRPr="00C733E7">
        <w:t xml:space="preserve">. </w:t>
      </w:r>
      <w:r w:rsidR="005E1023">
        <w:t xml:space="preserve">For a consistent comparison between PRMS and VIC, the PRMS HRU-based runoff estimates were first bilinearly interpolated to the corresponding VIC grids for extreme runoff analysis. </w:t>
      </w:r>
      <w:r w:rsidR="005E1023" w:rsidRPr="00C733E7">
        <w:t xml:space="preserve">The annual percentage change (future minus baseline) </w:t>
      </w:r>
      <w:r w:rsidR="005E1023">
        <w:t>of</w:t>
      </w:r>
      <w:r w:rsidR="005E1023" w:rsidRPr="00C733E7">
        <w:t xml:space="preserve"> high</w:t>
      </w:r>
      <w:r w:rsidR="005E1023">
        <w:t xml:space="preserve"> and low </w:t>
      </w:r>
      <w:r w:rsidR="005E1023" w:rsidRPr="00C733E7">
        <w:t xml:space="preserve">runoff </w:t>
      </w:r>
      <w:r w:rsidR="005E1023">
        <w:t xml:space="preserve">were </w:t>
      </w:r>
      <w:r w:rsidR="005E1023" w:rsidRPr="00C733E7">
        <w:t xml:space="preserve">then calculated for each </w:t>
      </w:r>
      <w:r w:rsidR="005E1023">
        <w:t xml:space="preserve">1/24° </w:t>
      </w:r>
      <w:r w:rsidR="005E1023" w:rsidRPr="00C733E7">
        <w:t>grid.</w:t>
      </w:r>
    </w:p>
    <w:p w14:paraId="0CB90408" w14:textId="29E6AB64" w:rsidR="006E4E91" w:rsidRDefault="006E4E91" w:rsidP="006E4E91">
      <w:pPr>
        <w:pStyle w:val="BodyText"/>
      </w:pPr>
      <w:r w:rsidRPr="00C733E7">
        <w:t xml:space="preserve">For the projected change in snow conditions, the relative change in </w:t>
      </w:r>
      <w:r w:rsidRPr="00C733E7">
        <w:rPr>
          <w:rFonts w:eastAsia="PMingLiU" w:hint="eastAsia"/>
          <w:lang w:eastAsia="zh-TW"/>
        </w:rPr>
        <w:t xml:space="preserve">average </w:t>
      </w:r>
      <w:r w:rsidR="003F23A1">
        <w:t>April 1</w:t>
      </w:r>
      <w:r w:rsidRPr="00C733E7">
        <w:t xml:space="preserve"> SWE was calculated separately for each </w:t>
      </w:r>
      <w:r>
        <w:t xml:space="preserve">ensemble member </w:t>
      </w:r>
      <w:r w:rsidRPr="00C733E7">
        <w:t xml:space="preserve">and shown as </w:t>
      </w:r>
      <w:r>
        <w:t xml:space="preserve">the ensemble </w:t>
      </w:r>
      <w:r w:rsidRPr="00C733E7">
        <w:t>median for</w:t>
      </w:r>
      <w:r>
        <w:t xml:space="preserve"> the two snow-dominated </w:t>
      </w:r>
      <w:r w:rsidRPr="00C733E7">
        <w:rPr>
          <w:rFonts w:eastAsia="PMingLiU" w:hint="eastAsia"/>
          <w:lang w:eastAsia="zh-TW"/>
        </w:rPr>
        <w:t>PMA</w:t>
      </w:r>
      <w:r>
        <w:rPr>
          <w:rFonts w:eastAsia="PMingLiU"/>
          <w:lang w:eastAsia="zh-TW"/>
        </w:rPr>
        <w:t>s</w:t>
      </w:r>
      <w:r>
        <w:t xml:space="preserve">, BPA and WAPA. </w:t>
      </w:r>
      <w:r w:rsidR="00D95B52">
        <w:t>HUC8s with more substantial snowpack were identified</w:t>
      </w:r>
      <w:r>
        <w:t xml:space="preserve">, defined as HUC8s with </w:t>
      </w:r>
      <w:r w:rsidR="000D37C5">
        <w:t>an</w:t>
      </w:r>
      <w:r>
        <w:t xml:space="preserve"> </w:t>
      </w:r>
      <w:r w:rsidRPr="003F64F3">
        <w:t>average 1980</w:t>
      </w:r>
      <w:r>
        <w:t>–</w:t>
      </w:r>
      <w:r w:rsidRPr="003F64F3">
        <w:t xml:space="preserve">2019 </w:t>
      </w:r>
      <w:r>
        <w:t xml:space="preserve">control run </w:t>
      </w:r>
      <w:r w:rsidR="003F23A1">
        <w:t>April 1</w:t>
      </w:r>
      <w:r w:rsidRPr="003F64F3">
        <w:t xml:space="preserve"> SWE greater than 5 mm</w:t>
      </w:r>
      <w:r>
        <w:t>.</w:t>
      </w:r>
      <w:r w:rsidRPr="00C733E7">
        <w:t xml:space="preserve"> The identified </w:t>
      </w:r>
      <w:r>
        <w:t>HUC8s</w:t>
      </w:r>
      <w:r w:rsidRPr="00C733E7">
        <w:t xml:space="preserve"> </w:t>
      </w:r>
      <w:r w:rsidRPr="00C733E7">
        <w:rPr>
          <w:rFonts w:eastAsia="PMingLiU"/>
          <w:lang w:eastAsia="zh-TW"/>
        </w:rPr>
        <w:t>were</w:t>
      </w:r>
      <w:r w:rsidRPr="00C733E7">
        <w:rPr>
          <w:rFonts w:eastAsia="PMingLiU" w:hint="eastAsia"/>
          <w:lang w:eastAsia="zh-TW"/>
        </w:rPr>
        <w:t xml:space="preserve"> </w:t>
      </w:r>
      <w:r w:rsidRPr="00C733E7">
        <w:t xml:space="preserve">then used as a spatial filter to summarize the simulated </w:t>
      </w:r>
      <w:r w:rsidR="003F23A1">
        <w:t>April 1</w:t>
      </w:r>
      <w:r w:rsidRPr="00C733E7">
        <w:t xml:space="preserve"> SWE for each </w:t>
      </w:r>
      <w:r>
        <w:t xml:space="preserve">ensemble member during the </w:t>
      </w:r>
      <w:r w:rsidRPr="00C733E7">
        <w:t>baseline and future periods.</w:t>
      </w:r>
    </w:p>
    <w:p w14:paraId="39B545E9" w14:textId="4B0B784E" w:rsidR="00A1687C" w:rsidRPr="004856AD" w:rsidRDefault="00A1687C" w:rsidP="00A1687C">
      <w:pPr>
        <w:pStyle w:val="Heading3"/>
      </w:pPr>
      <w:bookmarkStart w:id="147" w:name="_Toc113380780"/>
      <w:r w:rsidRPr="004856AD">
        <w:t>Model Limitation</w:t>
      </w:r>
      <w:r>
        <w:t>s</w:t>
      </w:r>
      <w:bookmarkEnd w:id="147"/>
    </w:p>
    <w:p w14:paraId="621B3753" w14:textId="711AE78C" w:rsidR="00CA44B3" w:rsidRPr="00820F8D" w:rsidRDefault="005731CA" w:rsidP="00CC29BA">
      <w:pPr>
        <w:pStyle w:val="BodyText"/>
      </w:pPr>
      <w:r>
        <w:t>Although</w:t>
      </w:r>
      <w:r w:rsidR="006E4E91" w:rsidRPr="00820F8D">
        <w:t xml:space="preserve"> </w:t>
      </w:r>
      <w:r w:rsidR="006E4E91">
        <w:t xml:space="preserve">efforts </w:t>
      </w:r>
      <w:r w:rsidR="00E72249">
        <w:t>to</w:t>
      </w:r>
      <w:r w:rsidR="006E4E91">
        <w:t xml:space="preserve"> improv</w:t>
      </w:r>
      <w:r w:rsidR="00E72249">
        <w:t>e</w:t>
      </w:r>
      <w:r w:rsidR="006E4E91">
        <w:t xml:space="preserve"> the </w:t>
      </w:r>
      <w:r w:rsidR="00533D84">
        <w:t>HM</w:t>
      </w:r>
      <w:r w:rsidR="006E4E91">
        <w:t xml:space="preserve"> performance </w:t>
      </w:r>
      <w:r w:rsidR="00E72249">
        <w:t xml:space="preserve">and </w:t>
      </w:r>
      <w:r w:rsidR="006E4E91">
        <w:t>support ensemble hydroclimate simulations</w:t>
      </w:r>
      <w:r w:rsidR="00FA40FE">
        <w:t xml:space="preserve"> have been </w:t>
      </w:r>
      <w:r w:rsidR="00E931CC">
        <w:t>made</w:t>
      </w:r>
      <w:r w:rsidR="006E4E91" w:rsidRPr="00820F8D">
        <w:t>, challenges and limitations remain</w:t>
      </w:r>
      <w:r w:rsidR="006E4E91">
        <w:t>. Some limitations</w:t>
      </w:r>
      <w:r w:rsidR="006E4E91" w:rsidRPr="00820F8D">
        <w:t xml:space="preserve"> </w:t>
      </w:r>
      <w:r w:rsidR="00E931CC">
        <w:t>include the following</w:t>
      </w:r>
      <w:r w:rsidR="00CA44B3">
        <w:t>:</w:t>
      </w:r>
    </w:p>
    <w:p w14:paraId="1C2157E9" w14:textId="02C742D8" w:rsidR="006E4E91" w:rsidRDefault="005E5D52" w:rsidP="00C82290">
      <w:pPr>
        <w:pStyle w:val="BulletListspace"/>
      </w:pPr>
      <w:r>
        <w:t xml:space="preserve">This study </w:t>
      </w:r>
      <w:r w:rsidR="00E931CC">
        <w:t xml:space="preserve">used </w:t>
      </w:r>
      <w:r>
        <w:t>two commonly used HMs</w:t>
      </w:r>
      <w:r w:rsidR="00E931CC">
        <w:t>—</w:t>
      </w:r>
      <w:r>
        <w:t>VIC and PRMS. Attempts were made to avoid unintentional biases. Using</w:t>
      </w:r>
      <w:r w:rsidR="006E4E91">
        <w:t xml:space="preserve"> similar procedures and</w:t>
      </w:r>
      <w:r w:rsidR="00D64187">
        <w:t xml:space="preserve"> </w:t>
      </w:r>
      <w:r w:rsidR="005606E5">
        <w:t>data sets</w:t>
      </w:r>
      <w:r w:rsidR="00D64187">
        <w:t xml:space="preserve"> </w:t>
      </w:r>
      <w:r w:rsidR="006E4E91">
        <w:t xml:space="preserve">for calibration and evaluating model performance through a common HUC8-based framework still resulted in differences beyond control </w:t>
      </w:r>
      <w:r w:rsidR="00B0797E">
        <w:t>caused by</w:t>
      </w:r>
      <w:r w:rsidR="006E4E91">
        <w:t xml:space="preserve"> different spatial resolutions, parameterizations, and model configuration</w:t>
      </w:r>
      <w:r w:rsidR="00B0797E">
        <w:t>s</w:t>
      </w:r>
      <w:r w:rsidR="006E4E91">
        <w:t xml:space="preserve">. Additionally, different </w:t>
      </w:r>
      <w:r w:rsidR="00533D84">
        <w:t>HM</w:t>
      </w:r>
      <w:r w:rsidR="006E4E91">
        <w:t xml:space="preserve"> parameters determined through different calibration objectives (i.e., across temporal scales and metrics) may </w:t>
      </w:r>
      <w:r w:rsidR="001848B1">
        <w:t xml:space="preserve">result in </w:t>
      </w:r>
      <w:r w:rsidR="006E4E91">
        <w:t>differences in the future hydroclimate projections. These factors can be further explored in future assessments.</w:t>
      </w:r>
    </w:p>
    <w:p w14:paraId="3DBEE01C" w14:textId="238A0F38" w:rsidR="006E4E91" w:rsidRDefault="006E4E91" w:rsidP="00C82290">
      <w:pPr>
        <w:pStyle w:val="BulletListspace"/>
      </w:pPr>
      <w:r>
        <w:t>As discussed in Section</w:t>
      </w:r>
      <w:r w:rsidR="00956232">
        <w:t xml:space="preserve"> </w:t>
      </w:r>
      <w:r w:rsidR="00956232">
        <w:fldChar w:fldCharType="begin"/>
      </w:r>
      <w:r w:rsidR="00956232">
        <w:instrText xml:space="preserve"> REF _Ref81819178 \n \h </w:instrText>
      </w:r>
      <w:r w:rsidR="00956232">
        <w:fldChar w:fldCharType="separate"/>
      </w:r>
      <w:r w:rsidR="00EE0BF5">
        <w:t>2.5.3</w:t>
      </w:r>
      <w:r w:rsidR="00956232">
        <w:fldChar w:fldCharType="end"/>
      </w:r>
      <w:r>
        <w:t xml:space="preserve">, VIC was calibrated using the earlier versions of Daymet and Livneh. </w:t>
      </w:r>
      <w:r w:rsidR="001848B1">
        <w:t>Although</w:t>
      </w:r>
      <w:r>
        <w:t xml:space="preserve"> it would be better to keep the versions consistent, </w:t>
      </w:r>
      <w:r w:rsidR="004E79BB">
        <w:t xml:space="preserve">owing </w:t>
      </w:r>
      <w:r>
        <w:t xml:space="preserve">to the high computational cost of VIC and </w:t>
      </w:r>
      <w:r w:rsidR="00DA1E6D">
        <w:t xml:space="preserve">the </w:t>
      </w:r>
      <w:r>
        <w:t xml:space="preserve">limited project timeline, recalibration </w:t>
      </w:r>
      <w:r w:rsidR="004E79BB">
        <w:t xml:space="preserve">with </w:t>
      </w:r>
      <w:r>
        <w:t>the latest Daymet V4 and updated Livneh by Pierce et al. (2021) was not feasible. PRMS</w:t>
      </w:r>
      <w:r w:rsidR="004E79BB">
        <w:t>,</w:t>
      </w:r>
      <w:r>
        <w:t xml:space="preserve"> on the other hand</w:t>
      </w:r>
      <w:r w:rsidR="004E79BB">
        <w:t>,</w:t>
      </w:r>
      <w:r>
        <w:t xml:space="preserve"> is computationally efficient and can be calibrated </w:t>
      </w:r>
      <w:r w:rsidR="004E79BB">
        <w:t xml:space="preserve">with </w:t>
      </w:r>
      <w:r>
        <w:t xml:space="preserve">the latest version of </w:t>
      </w:r>
      <w:r w:rsidR="001531CF">
        <w:t>MetFs</w:t>
      </w:r>
      <w:r>
        <w:t xml:space="preserve">. These differences can result in some unintended inconsistencies and uncertainties. However, even </w:t>
      </w:r>
      <w:r w:rsidR="004E79BB">
        <w:t>when</w:t>
      </w:r>
      <w:r>
        <w:t xml:space="preserve"> using different versions of meteorological</w:t>
      </w:r>
      <w:r w:rsidR="00D64187">
        <w:t xml:space="preserve"> </w:t>
      </w:r>
      <w:r w:rsidR="005606E5">
        <w:t>data sets</w:t>
      </w:r>
      <w:r w:rsidR="00D64187">
        <w:t xml:space="preserve"> </w:t>
      </w:r>
      <w:r>
        <w:t xml:space="preserve">for calibration, this approach </w:t>
      </w:r>
      <w:r w:rsidR="00E931CC">
        <w:t xml:space="preserve">was preferred over </w:t>
      </w:r>
      <w:r>
        <w:t xml:space="preserve">alternatives such as not calibrating the </w:t>
      </w:r>
      <w:r w:rsidR="00533D84">
        <w:t>HM</w:t>
      </w:r>
      <w:r>
        <w:t xml:space="preserve">s or using different </w:t>
      </w:r>
      <w:r w:rsidR="00632A3D">
        <w:t>MetFs</w:t>
      </w:r>
      <w:r>
        <w:t xml:space="preserve"> for downscaling and hydrologic calibration. Overall, a consistent </w:t>
      </w:r>
      <w:r w:rsidR="00D566BA">
        <w:t>MetF</w:t>
      </w:r>
      <w:r>
        <w:t xml:space="preserve"> should be used for </w:t>
      </w:r>
      <w:r w:rsidR="00533D84">
        <w:t>HM</w:t>
      </w:r>
      <w:r>
        <w:t xml:space="preserve"> calibration and downscaling to avoid the large uncertainties </w:t>
      </w:r>
      <w:r w:rsidR="004E79BB">
        <w:t>caused by</w:t>
      </w:r>
      <w:r>
        <w:t xml:space="preserve"> different </w:t>
      </w:r>
      <w:r w:rsidR="002403BB">
        <w:t xml:space="preserve">reference </w:t>
      </w:r>
      <w:r>
        <w:t>meteorological</w:t>
      </w:r>
      <w:r w:rsidR="00D64187">
        <w:t xml:space="preserve"> data sets.</w:t>
      </w:r>
    </w:p>
    <w:p w14:paraId="160D929C" w14:textId="7D4B63A8" w:rsidR="00C72148" w:rsidRDefault="00C72148" w:rsidP="00C82290">
      <w:pPr>
        <w:pStyle w:val="BulletListspace"/>
      </w:pPr>
      <w:r>
        <w:t xml:space="preserve">MTCLIM is widely used to generate subdaily meteorological forcing in many hydrologic modeling studies, </w:t>
      </w:r>
      <w:r w:rsidR="00E931CC">
        <w:t xml:space="preserve">but </w:t>
      </w:r>
      <w:r>
        <w:t xml:space="preserve">it has certain limitations. A global evaluation of </w:t>
      </w:r>
      <w:r w:rsidR="00E931CC">
        <w:t xml:space="preserve">the </w:t>
      </w:r>
      <w:r>
        <w:t>MTCLIM algorithm by Bohn et al. (2013) show</w:t>
      </w:r>
      <w:r w:rsidR="00935906">
        <w:t>ed</w:t>
      </w:r>
      <w:r>
        <w:t xml:space="preserve"> that </w:t>
      </w:r>
      <w:r w:rsidR="00935906">
        <w:t xml:space="preserve">large negative bias of </w:t>
      </w:r>
      <w:r>
        <w:t xml:space="preserve">relative humidity </w:t>
      </w:r>
      <w:r w:rsidR="00935906">
        <w:t xml:space="preserve">may exist </w:t>
      </w:r>
      <w:r w:rsidR="00E826AD">
        <w:t>in</w:t>
      </w:r>
      <w:r>
        <w:t xml:space="preserve"> arid conditions. They also show</w:t>
      </w:r>
      <w:r w:rsidR="00935906">
        <w:t>ed</w:t>
      </w:r>
      <w:r>
        <w:t xml:space="preserve"> that the biases</w:t>
      </w:r>
      <w:r w:rsidR="00935906">
        <w:t xml:space="preserve"> of</w:t>
      </w:r>
      <w:r w:rsidR="00935906" w:rsidRPr="00935906">
        <w:t xml:space="preserve"> </w:t>
      </w:r>
      <w:r w:rsidR="00935906">
        <w:t>radiation</w:t>
      </w:r>
      <w:r>
        <w:t xml:space="preserve"> </w:t>
      </w:r>
      <w:r w:rsidR="00935906">
        <w:t xml:space="preserve">can reach </w:t>
      </w:r>
      <w:r>
        <w:t xml:space="preserve">10% or more. Their results </w:t>
      </w:r>
      <w:r w:rsidR="00935906">
        <w:t xml:space="preserve">were </w:t>
      </w:r>
      <w:r>
        <w:t xml:space="preserve">supported by </w:t>
      </w:r>
      <w:r w:rsidR="00935906">
        <w:t xml:space="preserve">follow-up </w:t>
      </w:r>
      <w:r>
        <w:t>studies (Erlandsen et al., 2019; Slater, 2016). Slater (2016) show</w:t>
      </w:r>
      <w:r w:rsidR="00935906">
        <w:t>ed</w:t>
      </w:r>
      <w:r>
        <w:t xml:space="preserve"> </w:t>
      </w:r>
      <w:r w:rsidR="00935906">
        <w:t xml:space="preserve">that </w:t>
      </w:r>
      <w:r>
        <w:t>over 30 W</w:t>
      </w:r>
      <w:r w:rsidR="00BF5013">
        <w:t>/</w:t>
      </w:r>
      <w:r>
        <w:t>m</w:t>
      </w:r>
      <w:r w:rsidRPr="00BF5013">
        <w:rPr>
          <w:vertAlign w:val="superscript"/>
        </w:rPr>
        <w:t>2</w:t>
      </w:r>
      <w:r>
        <w:t xml:space="preserve"> </w:t>
      </w:r>
      <w:r w:rsidR="00935906">
        <w:t xml:space="preserve">differences may exist </w:t>
      </w:r>
      <w:r>
        <w:t>between different versions of MTCLIM (4.2</w:t>
      </w:r>
      <w:r w:rsidR="00BF5013">
        <w:t xml:space="preserve"> </w:t>
      </w:r>
      <w:r w:rsidR="00935906">
        <w:t xml:space="preserve">vs. </w:t>
      </w:r>
      <w:r>
        <w:t>4.3).</w:t>
      </w:r>
      <w:r w:rsidR="00BF5013">
        <w:t xml:space="preserve"> Mizukami et al. (2014) also show</w:t>
      </w:r>
      <w:r w:rsidR="00935906">
        <w:t>ed</w:t>
      </w:r>
      <w:r w:rsidR="00BF5013">
        <w:t xml:space="preserve"> that biases in daily minimum temperature </w:t>
      </w:r>
      <w:r w:rsidR="00E826AD">
        <w:t>strong</w:t>
      </w:r>
      <w:r w:rsidR="00E931CC">
        <w:t>ly</w:t>
      </w:r>
      <w:r w:rsidR="00E826AD">
        <w:t xml:space="preserve"> influence </w:t>
      </w:r>
      <w:r w:rsidR="00BF5013">
        <w:t>radiation estimate</w:t>
      </w:r>
      <w:r w:rsidR="00E931CC">
        <w:t>s</w:t>
      </w:r>
      <w:r w:rsidR="00BF5013">
        <w:t xml:space="preserve"> </w:t>
      </w:r>
      <w:r w:rsidR="00E826AD">
        <w:t xml:space="preserve">by </w:t>
      </w:r>
      <w:r w:rsidR="00BF5013">
        <w:t>MTCLIM.</w:t>
      </w:r>
    </w:p>
    <w:p w14:paraId="76CB02B5" w14:textId="27B084F1" w:rsidR="006E4E91" w:rsidRPr="00C733E7" w:rsidRDefault="006E4E91" w:rsidP="00C82290">
      <w:pPr>
        <w:pStyle w:val="BulletListspace"/>
      </w:pPr>
      <w:r w:rsidRPr="00052399">
        <w:t>VIC and PRMS provide</w:t>
      </w:r>
      <w:r w:rsidR="00E931CC">
        <w:t>d</w:t>
      </w:r>
      <w:r w:rsidRPr="00052399">
        <w:t xml:space="preserve"> satisfactory performance for the purpose</w:t>
      </w:r>
      <w:r w:rsidR="00AD06E7">
        <w:t>s</w:t>
      </w:r>
      <w:r w:rsidRPr="00052399">
        <w:t xml:space="preserve"> of this study</w:t>
      </w:r>
      <w:r>
        <w:t>;</w:t>
      </w:r>
      <w:r w:rsidRPr="00052399">
        <w:t xml:space="preserve"> </w:t>
      </w:r>
      <w:r>
        <w:t xml:space="preserve">however, </w:t>
      </w:r>
      <w:r w:rsidRPr="00052399">
        <w:t>they do not include a robust groundwater component. This limitation can impact the watersheds with strong surface-groundwater interactions</w:t>
      </w:r>
      <w:r w:rsidR="00AD50FA">
        <w:t xml:space="preserve"> that </w:t>
      </w:r>
      <w:r w:rsidR="00E931CC">
        <w:t xml:space="preserve">are </w:t>
      </w:r>
      <w:r w:rsidR="00AD50FA">
        <w:t>highly variable across regions and geology</w:t>
      </w:r>
      <w:r>
        <w:t>,</w:t>
      </w:r>
      <w:r w:rsidRPr="00052399">
        <w:t xml:space="preserve"> thereby degrading model performance. </w:t>
      </w:r>
      <w:r>
        <w:t>A f</w:t>
      </w:r>
      <w:r w:rsidRPr="00052399">
        <w:t>uture assessment c</w:t>
      </w:r>
      <w:r>
        <w:t>ould</w:t>
      </w:r>
      <w:r w:rsidRPr="00052399">
        <w:t xml:space="preserve"> include alternative </w:t>
      </w:r>
      <w:r w:rsidR="00533D84">
        <w:t>HM</w:t>
      </w:r>
      <w:r w:rsidRPr="00052399">
        <w:t xml:space="preserve">s </w:t>
      </w:r>
      <w:r>
        <w:t xml:space="preserve">with better groundwater representation </w:t>
      </w:r>
      <w:r w:rsidRPr="00052399">
        <w:t xml:space="preserve">to improve this </w:t>
      </w:r>
      <w:r>
        <w:t>inadequacy</w:t>
      </w:r>
      <w:r w:rsidRPr="00052399">
        <w:t>.</w:t>
      </w:r>
    </w:p>
    <w:p w14:paraId="6533DEE6" w14:textId="3DC50C06" w:rsidR="006E4E91" w:rsidRPr="00AC275B" w:rsidRDefault="006E4E91" w:rsidP="00C82290">
      <w:pPr>
        <w:pStyle w:val="BulletListspace"/>
      </w:pPr>
      <w:r>
        <w:lastRenderedPageBreak/>
        <w:t xml:space="preserve">Given the lack of human influence representation (e.g., reservoir regulation, streamflow diversion) in both VIC and PRMS, naturalized runoff observations are desired to support </w:t>
      </w:r>
      <w:r w:rsidR="004C3514">
        <w:t xml:space="preserve">HM calibration. This will be more impactful for sites with a large upstream storage. </w:t>
      </w:r>
      <w:r w:rsidR="004C3514" w:rsidRPr="00B8291D">
        <w:t>Nevertheless</w:t>
      </w:r>
      <w:r w:rsidRPr="00B8291D">
        <w:t xml:space="preserve">, </w:t>
      </w:r>
      <w:r w:rsidR="006A4269">
        <w:t>because</w:t>
      </w:r>
      <w:r w:rsidRPr="00B8291D">
        <w:t xml:space="preserve"> WaterWatch did not explicitly exclude gauges that were under streamflow regulation, it </w:t>
      </w:r>
      <w:r w:rsidR="00E931CC">
        <w:t xml:space="preserve">could not </w:t>
      </w:r>
      <w:r w:rsidRPr="00B8291D">
        <w:t>fully represent natural runoff (i.e., without human influence). Despite this limitation, the WaterWatch</w:t>
      </w:r>
      <w:r w:rsidR="005606E5">
        <w:t xml:space="preserve"> data set </w:t>
      </w:r>
      <w:r w:rsidRPr="00B8291D">
        <w:t>provide</w:t>
      </w:r>
      <w:r w:rsidR="00E931CC">
        <w:t>d</w:t>
      </w:r>
      <w:r w:rsidRPr="00B8291D">
        <w:t xml:space="preserve"> spatially consistent monthly runoff estimates across all CONUS HUC8s that allow</w:t>
      </w:r>
      <w:r w:rsidR="00E931CC">
        <w:t>ed</w:t>
      </w:r>
      <w:r w:rsidRPr="00B8291D">
        <w:t xml:space="preserve"> systematic </w:t>
      </w:r>
      <w:r w:rsidR="00533D84">
        <w:t>HM</w:t>
      </w:r>
      <w:r w:rsidRPr="00B8291D">
        <w:t xml:space="preserve"> calibration for national</w:t>
      </w:r>
      <w:r w:rsidR="00E931CC">
        <w:t>-</w:t>
      </w:r>
      <w:r w:rsidRPr="00B8291D">
        <w:t>scale simulation.</w:t>
      </w:r>
      <w:r w:rsidRPr="00C733E7">
        <w:t xml:space="preserve"> </w:t>
      </w:r>
      <w:r w:rsidR="00D454D7">
        <w:t>Additional</w:t>
      </w:r>
      <w:r w:rsidRPr="00C733E7">
        <w:t xml:space="preserve"> effort</w:t>
      </w:r>
      <w:r w:rsidR="00E931CC">
        <w:t>s</w:t>
      </w:r>
      <w:r w:rsidRPr="00C733E7">
        <w:t xml:space="preserve"> can be </w:t>
      </w:r>
      <w:r>
        <w:t xml:space="preserve">invested </w:t>
      </w:r>
      <w:r w:rsidRPr="00C733E7">
        <w:t xml:space="preserve">to </w:t>
      </w:r>
      <w:r>
        <w:t>develop a true naturalized national runoff</w:t>
      </w:r>
      <w:r w:rsidR="005606E5">
        <w:t xml:space="preserve"> data set </w:t>
      </w:r>
      <w:r>
        <w:t xml:space="preserve">to better support large-scale </w:t>
      </w:r>
      <w:r w:rsidR="00533D84">
        <w:t>HM</w:t>
      </w:r>
      <w:r>
        <w:t xml:space="preserve"> calibration and validation.</w:t>
      </w:r>
    </w:p>
    <w:p w14:paraId="79604433" w14:textId="360890F8" w:rsidR="008E4704" w:rsidRDefault="008E4704" w:rsidP="00C82290">
      <w:pPr>
        <w:pStyle w:val="BulletListspace"/>
      </w:pPr>
      <w:r w:rsidRPr="001B2D3A">
        <w:t xml:space="preserve">The </w:t>
      </w:r>
      <w:r w:rsidR="00E80222">
        <w:rPr>
          <w:snapToGrid/>
        </w:rPr>
        <w:t>HM</w:t>
      </w:r>
      <w:r w:rsidRPr="001B2D3A">
        <w:t>s in this study use</w:t>
      </w:r>
      <w:r w:rsidR="00E931CC">
        <w:t>d</w:t>
      </w:r>
      <w:r w:rsidRPr="001B2D3A">
        <w:t xml:space="preserve"> an assumption of </w:t>
      </w:r>
      <w:r>
        <w:t>time</w:t>
      </w:r>
      <w:r w:rsidR="00E931CC">
        <w:t>-</w:t>
      </w:r>
      <w:r>
        <w:t>invariant</w:t>
      </w:r>
      <w:r w:rsidRPr="001B2D3A">
        <w:t xml:space="preserve"> </w:t>
      </w:r>
      <w:r>
        <w:t xml:space="preserve">parameters such as </w:t>
      </w:r>
      <w:r w:rsidRPr="001B2D3A">
        <w:t>land use/land cover</w:t>
      </w:r>
      <w:r>
        <w:t xml:space="preserve">, water use efficiency </w:t>
      </w:r>
      <w:r w:rsidR="005606E5">
        <w:t xml:space="preserve">influenced by </w:t>
      </w:r>
      <w:r>
        <w:t>increasing CO</w:t>
      </w:r>
      <w:r w:rsidRPr="00C006A3">
        <w:rPr>
          <w:vertAlign w:val="subscript"/>
        </w:rPr>
        <w:t>2</w:t>
      </w:r>
      <w:r>
        <w:t xml:space="preserve">, </w:t>
      </w:r>
      <w:r w:rsidR="005606E5">
        <w:t>and so on</w:t>
      </w:r>
      <w:r w:rsidRPr="001B2D3A">
        <w:t xml:space="preserve">. Future assessments may explore the use </w:t>
      </w:r>
      <w:r w:rsidR="00E931CC">
        <w:t xml:space="preserve">of </w:t>
      </w:r>
      <w:r>
        <w:t>temporally varying representation of such parameters</w:t>
      </w:r>
      <w:r w:rsidR="00E931CC">
        <w:t>,</w:t>
      </w:r>
      <w:r w:rsidRPr="001B2D3A">
        <w:t xml:space="preserve"> which may help develop a more realistic </w:t>
      </w:r>
      <w:r>
        <w:t>portrayal</w:t>
      </w:r>
      <w:r w:rsidRPr="001B2D3A">
        <w:t xml:space="preserve"> of runoff/streamflow projections.</w:t>
      </w:r>
    </w:p>
    <w:p w14:paraId="11FB1538" w14:textId="5402A39A" w:rsidR="006E4E91" w:rsidRDefault="006E4E91" w:rsidP="00C82290">
      <w:pPr>
        <w:pStyle w:val="BulletListspace"/>
      </w:pPr>
      <w:r>
        <w:t xml:space="preserve">The current ensemble hydrologic projections </w:t>
      </w:r>
      <w:r w:rsidR="00E931CC">
        <w:t xml:space="preserve">were </w:t>
      </w:r>
      <w:r>
        <w:t xml:space="preserve">generated using </w:t>
      </w:r>
      <w:r w:rsidRPr="00743063">
        <w:t xml:space="preserve">six CMIP6 GCMs, two </w:t>
      </w:r>
      <w:r w:rsidR="003E1672">
        <w:t>DS</w:t>
      </w:r>
      <w:r w:rsidRPr="00743063">
        <w:t xml:space="preserve">s, two </w:t>
      </w:r>
      <w:r w:rsidR="00410CA5">
        <w:t>MetFs</w:t>
      </w:r>
      <w:r w:rsidRPr="00743063">
        <w:t xml:space="preserve"> and two </w:t>
      </w:r>
      <w:r w:rsidR="00533D84">
        <w:t>HM</w:t>
      </w:r>
      <w:r w:rsidRPr="00743063">
        <w:t>s</w:t>
      </w:r>
      <w:r>
        <w:t xml:space="preserve">. </w:t>
      </w:r>
      <w:r w:rsidR="00E931CC">
        <w:t xml:space="preserve">Although </w:t>
      </w:r>
      <w:r w:rsidRPr="001463E1">
        <w:t xml:space="preserve">this approach </w:t>
      </w:r>
      <w:r w:rsidR="00041F8F">
        <w:t>enable</w:t>
      </w:r>
      <w:r w:rsidR="00E931CC">
        <w:t>d</w:t>
      </w:r>
      <w:r w:rsidR="00041F8F">
        <w:t xml:space="preserve"> the</w:t>
      </w:r>
      <w:r>
        <w:t xml:space="preserve"> </w:t>
      </w:r>
      <w:r w:rsidR="00041F8F" w:rsidRPr="001463E1">
        <w:t>evaluat</w:t>
      </w:r>
      <w:r w:rsidR="00041F8F">
        <w:t>ion of</w:t>
      </w:r>
      <w:r w:rsidR="00041F8F" w:rsidRPr="001463E1">
        <w:t xml:space="preserve"> </w:t>
      </w:r>
      <w:r w:rsidRPr="001463E1">
        <w:t xml:space="preserve">the relative influence of each factor, </w:t>
      </w:r>
      <w:r w:rsidR="0033270D" w:rsidRPr="001463E1">
        <w:t>the</w:t>
      </w:r>
      <w:r w:rsidR="0033270D">
        <w:t>se projections</w:t>
      </w:r>
      <w:r w:rsidR="0033270D" w:rsidRPr="001463E1">
        <w:t xml:space="preserve"> </w:t>
      </w:r>
      <w:r w:rsidRPr="001463E1">
        <w:t>do not represent the full range of uncertainties related to all factors. Incorporation of additional modeling choices may result in different hydroclimate projections</w:t>
      </w:r>
      <w:r>
        <w:t xml:space="preserve">. Similarly, different calibration procedures or </w:t>
      </w:r>
      <w:r w:rsidR="00533D84">
        <w:t>HM</w:t>
      </w:r>
      <w:r>
        <w:t xml:space="preserve"> parameters may further introduce additional uncertainties and were not considered in this study. When resource</w:t>
      </w:r>
      <w:r w:rsidR="00BC1CA6">
        <w:t>s</w:t>
      </w:r>
      <w:r>
        <w:t xml:space="preserve"> allow, conduct</w:t>
      </w:r>
      <w:r w:rsidR="0060028F">
        <w:t>ing</w:t>
      </w:r>
      <w:r>
        <w:t xml:space="preserve"> a thorough exploration by incorporating more modeling choices</w:t>
      </w:r>
      <w:r w:rsidR="0060028F">
        <w:t xml:space="preserve"> will be of interest</w:t>
      </w:r>
      <w:r>
        <w:t>. However, such an expansion is computationally expensive and may not be feasible at the national scale.</w:t>
      </w:r>
    </w:p>
    <w:p w14:paraId="044B2863" w14:textId="77777777" w:rsidR="00FD438C" w:rsidRDefault="00FD438C" w:rsidP="00FD438C">
      <w:pPr>
        <w:pStyle w:val="BulletListspace"/>
        <w:numPr>
          <w:ilvl w:val="0"/>
          <w:numId w:val="0"/>
        </w:numPr>
      </w:pPr>
    </w:p>
    <w:p w14:paraId="710DA894" w14:textId="77777777" w:rsidR="00357BBE" w:rsidRPr="006D08C0" w:rsidRDefault="00357BBE" w:rsidP="00AD0C1C">
      <w:pPr>
        <w:pStyle w:val="Heading2"/>
      </w:pPr>
      <w:bookmarkStart w:id="148" w:name="_Ref425755954"/>
      <w:bookmarkStart w:id="149" w:name="_Ref425756038"/>
      <w:bookmarkStart w:id="150" w:name="_Ref425756246"/>
      <w:bookmarkStart w:id="151" w:name="_Ref425756381"/>
      <w:bookmarkStart w:id="152" w:name="_Ref425756417"/>
      <w:bookmarkStart w:id="153" w:name="_Ref425756498"/>
      <w:bookmarkStart w:id="154" w:name="_Ref425756615"/>
      <w:bookmarkStart w:id="155" w:name="_Ref425756641"/>
      <w:bookmarkStart w:id="156" w:name="_Ref425756800"/>
      <w:bookmarkStart w:id="157" w:name="_Ref433041229"/>
      <w:bookmarkStart w:id="158" w:name="_Toc113380781"/>
      <w:r w:rsidRPr="006D08C0">
        <w:t>Hydropower Simulation</w:t>
      </w:r>
      <w:bookmarkEnd w:id="148"/>
      <w:bookmarkEnd w:id="149"/>
      <w:bookmarkEnd w:id="150"/>
      <w:bookmarkEnd w:id="151"/>
      <w:bookmarkEnd w:id="152"/>
      <w:bookmarkEnd w:id="153"/>
      <w:bookmarkEnd w:id="154"/>
      <w:bookmarkEnd w:id="155"/>
      <w:bookmarkEnd w:id="156"/>
      <w:bookmarkEnd w:id="157"/>
      <w:bookmarkEnd w:id="158"/>
    </w:p>
    <w:p w14:paraId="55A351EB" w14:textId="120A9926" w:rsidR="00806DDC" w:rsidRPr="005A1CA6" w:rsidRDefault="00806DDC" w:rsidP="00C82290">
      <w:pPr>
        <w:pStyle w:val="BodyText"/>
        <w:rPr>
          <w:iCs/>
        </w:rPr>
      </w:pPr>
      <w:bookmarkStart w:id="159" w:name="_Ref296280357"/>
      <w:r>
        <w:t>Upon the completion of hydrologic modeling, the simulated spatially distributed runoff represent</w:t>
      </w:r>
      <w:r w:rsidR="00E931CC">
        <w:t>ed</w:t>
      </w:r>
      <w:r>
        <w:t xml:space="preserve"> the available surface water resources generated from the watersheds</w:t>
      </w:r>
      <w:r w:rsidRPr="00C82290">
        <w:t xml:space="preserve">. In most places, these </w:t>
      </w:r>
      <w:r w:rsidR="00370E0B" w:rsidRPr="00C82290">
        <w:t>fresh-</w:t>
      </w:r>
      <w:r w:rsidRPr="00C82290">
        <w:t xml:space="preserve">water resources are managed for irrigation, domestic/industrial water supply, fish passage and environmental flows, hydropower generation, thermoelectric cooling, and flood control through water infrastructures such as reservoirs, retention ponds, and canals. Projections of hydropower generation under climate change conditions, at a monthly time scale, can be derived in </w:t>
      </w:r>
      <w:r w:rsidR="008650E1" w:rsidRPr="00C82290">
        <w:t xml:space="preserve">several </w:t>
      </w:r>
      <w:r w:rsidRPr="00C82290">
        <w:t>ways. For example, an empirical relationship can be derived to translate the amount of natural runoff directly into hydroelectric energy potential (e.g., Kao et al., 2015)</w:t>
      </w:r>
      <w:r>
        <w:t xml:space="preserve">. Another approach is </w:t>
      </w:r>
      <w:r w:rsidR="00012689" w:rsidRPr="00C82290">
        <w:t xml:space="preserve">to </w:t>
      </w:r>
      <w:r w:rsidRPr="00C82290">
        <w:t xml:space="preserve">represent both river transport and reservoir operations explicitly, such as </w:t>
      </w:r>
      <w:r w:rsidR="00012689" w:rsidRPr="00C82290">
        <w:t xml:space="preserve">using </w:t>
      </w:r>
      <w:r w:rsidRPr="00C82290">
        <w:t xml:space="preserve">a process-based reservoir management model that simulates water release, reservoir storage, and hydropower generation under various operation rules (e.g., Voisin et al., 2013a; Yao and Georgakakos, 2001). </w:t>
      </w:r>
      <w:r>
        <w:t>In this study, two different regional hydropower modeling approaches</w:t>
      </w:r>
      <w:r w:rsidDel="0030130F">
        <w:t xml:space="preserve"> </w:t>
      </w:r>
      <w:r w:rsidR="005C30F7">
        <w:t xml:space="preserve">were adopted </w:t>
      </w:r>
      <w:r>
        <w:t xml:space="preserve">to explore how the choice of the </w:t>
      </w:r>
      <w:r w:rsidR="00533D84">
        <w:t>PM</w:t>
      </w:r>
      <w:r>
        <w:t xml:space="preserve">s affects future hydropower projections. They include a </w:t>
      </w:r>
      <w:r>
        <w:rPr>
          <w:szCs w:val="24"/>
        </w:rPr>
        <w:t>lumped Watershed Runoff-Energy Storage (WRES) model that was developed in the previous 9505 assessment and a process-based Water Management Hydropower (WMP)</w:t>
      </w:r>
      <w:r w:rsidR="00B4320F">
        <w:rPr>
          <w:szCs w:val="24"/>
        </w:rPr>
        <w:t xml:space="preserve"> model</w:t>
      </w:r>
      <w:r>
        <w:rPr>
          <w:szCs w:val="24"/>
        </w:rPr>
        <w:t>.</w:t>
      </w:r>
      <w:r w:rsidRPr="00977C79">
        <w:rPr>
          <w:szCs w:val="24"/>
        </w:rPr>
        <w:t xml:space="preserve"> The model </w:t>
      </w:r>
      <w:r>
        <w:rPr>
          <w:szCs w:val="24"/>
        </w:rPr>
        <w:t xml:space="preserve">assumptions, </w:t>
      </w:r>
      <w:r w:rsidRPr="00977C79">
        <w:rPr>
          <w:szCs w:val="24"/>
        </w:rPr>
        <w:t>details</w:t>
      </w:r>
      <w:r>
        <w:rPr>
          <w:szCs w:val="24"/>
        </w:rPr>
        <w:t>, and validation</w:t>
      </w:r>
      <w:r w:rsidRPr="00977C79">
        <w:rPr>
          <w:szCs w:val="24"/>
        </w:rPr>
        <w:t xml:space="preserve"> are described in this section.</w:t>
      </w:r>
    </w:p>
    <w:p w14:paraId="5D578038" w14:textId="067DF05F" w:rsidR="00357BBE" w:rsidRPr="006D08C0" w:rsidRDefault="006F4EF4" w:rsidP="006D08C0">
      <w:pPr>
        <w:pStyle w:val="Heading3"/>
      </w:pPr>
      <w:bookmarkStart w:id="160" w:name="_Toc113380782"/>
      <w:r>
        <w:t>WRES</w:t>
      </w:r>
      <w:bookmarkEnd w:id="160"/>
    </w:p>
    <w:bookmarkEnd w:id="159"/>
    <w:p w14:paraId="610E5CB5" w14:textId="29B39342" w:rsidR="00A3436D" w:rsidRDefault="00283768" w:rsidP="00A3436D">
      <w:pPr>
        <w:pStyle w:val="BodyText"/>
      </w:pPr>
      <w:r>
        <w:t xml:space="preserve">A </w:t>
      </w:r>
      <w:r w:rsidR="005E1F3C">
        <w:t xml:space="preserve">lumped WRES model </w:t>
      </w:r>
      <w:r w:rsidR="009911E9">
        <w:t xml:space="preserve">that was </w:t>
      </w:r>
      <w:r>
        <w:t xml:space="preserve">developed </w:t>
      </w:r>
      <w:r w:rsidR="009D3F26">
        <w:t>in</w:t>
      </w:r>
      <w:r w:rsidR="00C213A0">
        <w:t xml:space="preserve"> </w:t>
      </w:r>
      <w:r>
        <w:t xml:space="preserve">the second 9505 assessment </w:t>
      </w:r>
      <w:r w:rsidR="00C213A0">
        <w:t xml:space="preserve">(Kao et al., 2016) </w:t>
      </w:r>
      <w:r w:rsidR="006F7190">
        <w:t xml:space="preserve">was </w:t>
      </w:r>
      <w:r>
        <w:t xml:space="preserve">adopted in this study to examine how sub-annual hydropower generation may change in the future climate. </w:t>
      </w:r>
      <w:r w:rsidR="009D3F26">
        <w:t xml:space="preserve">The schema </w:t>
      </w:r>
      <w:r w:rsidR="007E2A1B">
        <w:t xml:space="preserve">for </w:t>
      </w:r>
      <w:r w:rsidR="009D3F26">
        <w:t>WRES</w:t>
      </w:r>
      <w:r w:rsidR="007E2A1B">
        <w:t xml:space="preserve"> </w:t>
      </w:r>
      <w:r w:rsidR="009D3F26">
        <w:t xml:space="preserve">is </w:t>
      </w:r>
      <w:r w:rsidR="00EB37D3">
        <w:t xml:space="preserve">shown </w:t>
      </w:r>
      <w:r w:rsidR="009D3F26">
        <w:t xml:space="preserve">in </w:t>
      </w:r>
      <w:r w:rsidR="009D3F26">
        <w:fldChar w:fldCharType="begin"/>
      </w:r>
      <w:r w:rsidR="009D3F26">
        <w:instrText xml:space="preserve"> REF _Ref75271650 \h </w:instrText>
      </w:r>
      <w:r w:rsidR="009D3F26">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15</w:t>
      </w:r>
      <w:r w:rsidR="009D3F26">
        <w:fldChar w:fldCharType="end"/>
      </w:r>
      <w:r w:rsidR="009D3F26">
        <w:t xml:space="preserve">. </w:t>
      </w:r>
      <w:r>
        <w:t xml:space="preserve">Although various types of federal hydropower systems are associated with diverse hydrologic conditions and operational objectives, WRES was designed without site-specific operations </w:t>
      </w:r>
      <w:r w:rsidR="000B01D1">
        <w:t>to</w:t>
      </w:r>
      <w:r>
        <w:t xml:space="preserve"> maintain an internally consistent modeling approach that isolated the effects of climate change on hydropower potential. For each hydropower region, WRES used </w:t>
      </w:r>
      <w:r>
        <w:lastRenderedPageBreak/>
        <w:t>the monthly precipitation and natural (unregulated) runoff as inputs, performed a runoff mass balance calculation for the total monthly runoff storage in all reservoirs and retention facilities in the watershed, and simulated the monthly regulated runoff release and hydropower generation through the system. The required WRES model parameters, including initial, maximum/minimum monthly storage, and maximum runoff-hydropower capacity, were calibrated for the historical period from 1984</w:t>
      </w:r>
      <w:r w:rsidR="006359FC">
        <w:t xml:space="preserve"> to </w:t>
      </w:r>
      <w:r>
        <w:t>2013 (30 years). The calibrated model was then driven by the downscaled hydroclimate variables to project future hydropower generation, assuming that most of the reservoirs in the watershed will be operated in the same way in the future. Two main components in WRES</w:t>
      </w:r>
      <w:r w:rsidR="009911E9">
        <w:t>—</w:t>
      </w:r>
      <w:r>
        <w:t>(1) monthly generation prediction and (2) watershed runoff storage calculation</w:t>
      </w:r>
      <w:r w:rsidR="009911E9">
        <w:t>—are described here</w:t>
      </w:r>
      <w:r>
        <w:t>.</w:t>
      </w:r>
    </w:p>
    <w:p w14:paraId="7CA57B87" w14:textId="4A42B4BC" w:rsidR="00283768" w:rsidRDefault="00283768" w:rsidP="00C82290">
      <w:pPr>
        <w:pStyle w:val="FIGUREposition"/>
        <w:rPr>
          <w:lang w:eastAsia="zh-TW"/>
        </w:rPr>
      </w:pPr>
      <w:r>
        <w:rPr>
          <w:noProof/>
        </w:rPr>
        <w:drawing>
          <wp:inline distT="0" distB="0" distL="0" distR="0" wp14:anchorId="7C1C6304" wp14:editId="3DDDFBB9">
            <wp:extent cx="5812923" cy="37918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3"/>
                    <a:stretch>
                      <a:fillRect/>
                    </a:stretch>
                  </pic:blipFill>
                  <pic:spPr>
                    <a:xfrm>
                      <a:off x="0" y="0"/>
                      <a:ext cx="5812923" cy="3791815"/>
                    </a:xfrm>
                    <a:prstGeom prst="rect">
                      <a:avLst/>
                    </a:prstGeom>
                  </pic:spPr>
                </pic:pic>
              </a:graphicData>
            </a:graphic>
          </wp:inline>
        </w:drawing>
      </w:r>
    </w:p>
    <w:p w14:paraId="2EAAD9D1" w14:textId="0E290AA1" w:rsidR="00283768" w:rsidRPr="006869CA" w:rsidRDefault="00283768" w:rsidP="00C82290">
      <w:pPr>
        <w:pStyle w:val="FigureCaption"/>
      </w:pPr>
      <w:bookmarkStart w:id="161" w:name="_Ref75271650"/>
      <w:bookmarkStart w:id="162" w:name="_Toc113380879"/>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15</w:t>
      </w:r>
      <w:r w:rsidRPr="006869CA">
        <w:rPr>
          <w:lang w:eastAsia="zh-TW"/>
        </w:rPr>
        <w:fldChar w:fldCharType="end"/>
      </w:r>
      <w:bookmarkEnd w:id="161"/>
      <w:r w:rsidRPr="006869CA">
        <w:rPr>
          <w:lang w:eastAsia="zh-TW"/>
        </w:rPr>
        <w:t xml:space="preserve">. </w:t>
      </w:r>
      <w:r>
        <w:rPr>
          <w:lang w:eastAsia="zh-TW"/>
        </w:rPr>
        <w:t>Schema of WRES</w:t>
      </w:r>
      <w:r w:rsidRPr="00A32098">
        <w:rPr>
          <w:bCs/>
          <w:szCs w:val="20"/>
        </w:rPr>
        <w:t>.</w:t>
      </w:r>
      <w:bookmarkEnd w:id="162"/>
    </w:p>
    <w:p w14:paraId="23D5A098" w14:textId="77777777" w:rsidR="000140FC" w:rsidRPr="00604FD3" w:rsidRDefault="000140FC" w:rsidP="00C82290">
      <w:pPr>
        <w:pStyle w:val="Heading4"/>
      </w:pPr>
      <w:r w:rsidRPr="00604FD3">
        <w:t>Monthly Generation Prediction</w:t>
      </w:r>
    </w:p>
    <w:p w14:paraId="557EBC30" w14:textId="305485CC" w:rsidR="000140FC" w:rsidRDefault="000140FC" w:rsidP="00C82290">
      <w:pPr>
        <w:pStyle w:val="BodyText"/>
      </w:pPr>
      <w:r>
        <w:t xml:space="preserve">The first part of </w:t>
      </w:r>
      <w:r w:rsidR="00A325B5">
        <w:t>the</w:t>
      </w:r>
      <w:r>
        <w:t xml:space="preserve"> WRES simulation determine</w:t>
      </w:r>
      <w:r w:rsidR="009911E9">
        <w:t>d</w:t>
      </w:r>
      <w:r>
        <w:t xml:space="preserve"> an initial estimate of total monthly hydropower generation </w:t>
      </w:r>
      <w:r w:rsidRPr="00F95669">
        <w:rPr>
          <w:i/>
        </w:rPr>
        <w:t>G</w:t>
      </w:r>
      <w:r w:rsidRPr="00F95669">
        <w:rPr>
          <w:i/>
          <w:vertAlign w:val="subscript"/>
        </w:rPr>
        <w:t>0</w:t>
      </w:r>
      <w:r>
        <w:t xml:space="preserve"> (MWh/month) based on hydrologic inflow/outflow conditions (e.g., the amount of precipitation and runoff) and </w:t>
      </w:r>
      <w:r w:rsidR="00A325B5">
        <w:t xml:space="preserve">hydropower </w:t>
      </w:r>
      <w:r>
        <w:t>generation from previous time steps. After testing several combinations of variables and lag time</w:t>
      </w:r>
      <w:r w:rsidR="00A325B5">
        <w:t>s</w:t>
      </w:r>
      <w:r>
        <w:t xml:space="preserve">, a generalized multivariate regression model with five </w:t>
      </w:r>
      <w:r w:rsidRPr="00A84B68">
        <w:t xml:space="preserve">predictor </w:t>
      </w:r>
      <w:r>
        <w:t>variables was used:</w:t>
      </w:r>
    </w:p>
    <w:p w14:paraId="7A065686" w14:textId="1FE4D0CA" w:rsidR="000140FC" w:rsidRDefault="008043C8" w:rsidP="000140FC">
      <w:pPr>
        <w:pStyle w:val="BodyText"/>
        <w:ind w:left="720"/>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0</m:t>
              </m:r>
            </m:sub>
          </m:sSub>
          <m:d>
            <m:dPr>
              <m:ctrlPr>
                <w:rPr>
                  <w:rFonts w:ascii="Cambria Math" w:hAnsi="Cambria Math"/>
                </w:rPr>
              </m:ctrlPr>
            </m:dPr>
            <m:e>
              <m:r>
                <m:rPr>
                  <m:sty m:val="p"/>
                </m:rPr>
                <w:rPr>
                  <w:rFonts w:ascii="Cambria Math" w:hAnsi="Cambria Math"/>
                </w:rPr>
                <m:t>t</m:t>
              </m:r>
            </m:e>
          </m:d>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0,m</m:t>
              </m:r>
            </m:sub>
          </m:sSub>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1,m</m:t>
              </m:r>
            </m:sub>
          </m:sSub>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2,m</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in</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3,m</m:t>
              </m:r>
            </m:sub>
          </m:sSub>
          <m:r>
            <w:rPr>
              <w:rFonts w:ascii="Cambria Math" w:hAnsi="Cambria Math"/>
            </w:rPr>
            <m:t>*P</m:t>
          </m:r>
          <m:d>
            <m:dPr>
              <m:ctrlPr>
                <w:rPr>
                  <w:rFonts w:ascii="Cambria Math" w:hAnsi="Cambria Math"/>
                  <w:i/>
                </w:rPr>
              </m:ctrlPr>
            </m:dPr>
            <m:e>
              <m:r>
                <w:rPr>
                  <w:rFonts w:ascii="Cambria Math" w:hAnsi="Cambria Math"/>
                </w:rPr>
                <m:t>t-1</m:t>
              </m:r>
            </m:e>
          </m:d>
          <m:r>
            <w:rPr>
              <w:rFonts w:ascii="Cambria Math" w:hAnsi="Cambria Math"/>
            </w:rPr>
            <m:t>+</m:t>
          </m:r>
          <m:r>
            <m:rPr>
              <m:sty m:val="p"/>
            </m:rPr>
            <w:rPr>
              <w:rFonts w:ascii="Cambria Math" w:hAnsi="Cambria Math"/>
            </w:rPr>
            <w:br/>
          </m:r>
        </m:oMath>
      </m:oMathPara>
      <m:oMath>
        <m:sSub>
          <m:sSubPr>
            <m:ctrlPr>
              <w:rPr>
                <w:rFonts w:ascii="Cambria Math" w:hAnsi="Cambria Math"/>
              </w:rPr>
            </m:ctrlPr>
          </m:sSubPr>
          <m:e>
            <m:r>
              <w:rPr>
                <w:rFonts w:ascii="Cambria Math" w:hAnsi="Cambria Math"/>
              </w:rPr>
              <m:t>b</m:t>
            </m:r>
          </m:e>
          <m:sub>
            <m:r>
              <w:rPr>
                <w:rFonts w:ascii="Cambria Math" w:hAnsi="Cambria Math"/>
              </w:rPr>
              <m:t>4,m</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in</m:t>
            </m:r>
          </m:sub>
        </m:sSub>
        <m:d>
          <m:dPr>
            <m:ctrlPr>
              <w:rPr>
                <w:rFonts w:ascii="Cambria Math" w:hAnsi="Cambria Math"/>
                <w:i/>
              </w:rPr>
            </m:ctrlPr>
          </m:dPr>
          <m:e>
            <m:r>
              <w:rPr>
                <w:rFonts w:ascii="Cambria Math" w:hAnsi="Cambria Math"/>
              </w:rPr>
              <m:t>t-1</m:t>
            </m:r>
          </m:e>
        </m:d>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5,m</m:t>
            </m:r>
          </m:sub>
        </m:sSub>
        <m:r>
          <w:rPr>
            <w:rFonts w:ascii="Cambria Math" w:hAnsi="Cambria Math"/>
          </w:rPr>
          <m:t>*G</m:t>
        </m:r>
        <m:d>
          <m:dPr>
            <m:ctrlPr>
              <w:rPr>
                <w:rFonts w:ascii="Cambria Math" w:hAnsi="Cambria Math"/>
                <w:i/>
              </w:rPr>
            </m:ctrlPr>
          </m:dPr>
          <m:e>
            <m:r>
              <w:rPr>
                <w:rFonts w:ascii="Cambria Math" w:hAnsi="Cambria Math"/>
              </w:rPr>
              <m:t>t-1</m:t>
            </m:r>
          </m:e>
        </m:d>
      </m:oMath>
      <w:r w:rsidR="00A325B5">
        <w:t>.</w:t>
      </w:r>
      <w:r w:rsidR="00945A5F">
        <w:ptab w:relativeTo="margin" w:alignment="right" w:leader="none"/>
      </w:r>
      <w:r w:rsidR="000140FC">
        <w:rPr>
          <w:rFonts w:hint="eastAsia"/>
        </w:rPr>
        <w:t>(</w:t>
      </w:r>
      <w:r w:rsidR="000140FC">
        <w:t>2.1</w:t>
      </w:r>
      <w:r w:rsidR="000140FC">
        <w:rPr>
          <w:rFonts w:hint="eastAsia"/>
        </w:rPr>
        <w:t>)</w:t>
      </w:r>
    </w:p>
    <w:p w14:paraId="05775BB8" w14:textId="540E5776" w:rsidR="000140FC" w:rsidRDefault="009911E9" w:rsidP="000140FC">
      <w:pPr>
        <w:pStyle w:val="BodyText"/>
      </w:pPr>
      <w:r>
        <w:t>where</w:t>
      </w:r>
      <w:r w:rsidR="000140FC">
        <w:t xml:space="preserve"> </w:t>
      </w:r>
      <w:r w:rsidR="000140FC" w:rsidRPr="00A84B68">
        <w:rPr>
          <w:i/>
        </w:rPr>
        <w:t>t</w:t>
      </w:r>
      <w:r w:rsidR="000140FC">
        <w:t xml:space="preserve"> is the time of calculation (month</w:t>
      </w:r>
      <w:r w:rsidR="004A55F5">
        <w:t>s</w:t>
      </w:r>
      <w:r w:rsidR="000140FC">
        <w:t xml:space="preserve">), </w:t>
      </w:r>
      <w:r w:rsidR="000140FC" w:rsidRPr="00A84B68">
        <w:rPr>
          <w:i/>
        </w:rPr>
        <w:t>m</w:t>
      </w:r>
      <w:r w:rsidR="000140FC">
        <w:t xml:space="preserve"> </w:t>
      </w:r>
      <w:r>
        <w:t xml:space="preserve">is </w:t>
      </w:r>
      <w:r w:rsidR="006009F8">
        <w:t xml:space="preserve">the </w:t>
      </w:r>
      <w:r w:rsidR="000140FC">
        <w:t>calendar month</w:t>
      </w:r>
      <w:r w:rsidR="006009F8">
        <w:t xml:space="preserve"> that</w:t>
      </w:r>
      <w:r w:rsidR="000140FC">
        <w:t xml:space="preserve"> </w:t>
      </w:r>
      <w:r w:rsidR="000140FC" w:rsidRPr="00A84B68">
        <w:rPr>
          <w:i/>
        </w:rPr>
        <w:t>t</w:t>
      </w:r>
      <w:r w:rsidR="000140FC">
        <w:t xml:space="preserve"> belongs to, </w:t>
      </w:r>
      <w:r w:rsidR="000140FC" w:rsidRPr="008B1F08">
        <w:rPr>
          <w:i/>
        </w:rPr>
        <w:t>P</w:t>
      </w:r>
      <w:r w:rsidR="000140FC" w:rsidRPr="005A0670">
        <w:t>(</w:t>
      </w:r>
      <w:r w:rsidR="000140FC" w:rsidRPr="008B1F08">
        <w:rPr>
          <w:i/>
        </w:rPr>
        <w:t>t</w:t>
      </w:r>
      <w:r w:rsidR="000140FC" w:rsidRPr="005A0670">
        <w:t>)</w:t>
      </w:r>
      <w:r w:rsidR="000140FC">
        <w:t xml:space="preserve"> and </w:t>
      </w:r>
      <w:r w:rsidR="000140FC" w:rsidRPr="008B1F08">
        <w:rPr>
          <w:i/>
        </w:rPr>
        <w:t>P</w:t>
      </w:r>
      <w:r w:rsidR="000140FC" w:rsidRPr="005A0670">
        <w:t>(</w:t>
      </w:r>
      <w:r w:rsidR="000140FC" w:rsidRPr="008B1F08">
        <w:rPr>
          <w:i/>
        </w:rPr>
        <w:t>t–1</w:t>
      </w:r>
      <w:r w:rsidR="000140FC" w:rsidRPr="005A0670">
        <w:t>)</w:t>
      </w:r>
      <w:r w:rsidR="000140FC">
        <w:t xml:space="preserve"> are the monthly precipitation (in</w:t>
      </w:r>
      <w:r w:rsidR="004A55F5">
        <w:t>.</w:t>
      </w:r>
      <w:r w:rsidR="000140FC">
        <w:t xml:space="preserve">/month) from the current and previous months, </w:t>
      </w:r>
      <w:r w:rsidR="000140FC" w:rsidRPr="008B1F08">
        <w:rPr>
          <w:i/>
        </w:rPr>
        <w:t>Q</w:t>
      </w:r>
      <w:r w:rsidR="000140FC" w:rsidRPr="008B1F08">
        <w:rPr>
          <w:i/>
          <w:vertAlign w:val="subscript"/>
        </w:rPr>
        <w:t>in</w:t>
      </w:r>
      <w:r w:rsidR="000140FC" w:rsidRPr="005A0670">
        <w:t>(</w:t>
      </w:r>
      <w:r w:rsidR="000140FC" w:rsidRPr="008B1F08">
        <w:rPr>
          <w:i/>
        </w:rPr>
        <w:t>t</w:t>
      </w:r>
      <w:r w:rsidR="000140FC" w:rsidRPr="005A0670">
        <w:t>)</w:t>
      </w:r>
      <w:r w:rsidR="000140FC">
        <w:t xml:space="preserve"> and </w:t>
      </w:r>
      <w:r w:rsidR="000140FC" w:rsidRPr="008B1F08">
        <w:rPr>
          <w:i/>
        </w:rPr>
        <w:t>Q</w:t>
      </w:r>
      <w:r w:rsidR="000140FC" w:rsidRPr="008B1F08">
        <w:rPr>
          <w:i/>
          <w:vertAlign w:val="subscript"/>
        </w:rPr>
        <w:t>in</w:t>
      </w:r>
      <w:r w:rsidR="000140FC" w:rsidRPr="005A0670">
        <w:t>(</w:t>
      </w:r>
      <w:r w:rsidR="000140FC" w:rsidRPr="008B1F08">
        <w:rPr>
          <w:i/>
        </w:rPr>
        <w:t>t–1</w:t>
      </w:r>
      <w:r w:rsidR="000140FC" w:rsidRPr="005A0670">
        <w:t>)</w:t>
      </w:r>
      <w:r w:rsidR="000140FC">
        <w:t xml:space="preserve"> are the monthly natural runoff (in</w:t>
      </w:r>
      <w:r w:rsidR="004A55F5">
        <w:t>.</w:t>
      </w:r>
      <w:r w:rsidR="000140FC">
        <w:t xml:space="preserve">/month) from the current and previous months, </w:t>
      </w:r>
      <w:r w:rsidR="000140FC" w:rsidRPr="005A0670">
        <w:rPr>
          <w:i/>
        </w:rPr>
        <w:t>G</w:t>
      </w:r>
      <w:r w:rsidR="000140FC">
        <w:t>(</w:t>
      </w:r>
      <w:r w:rsidR="000140FC" w:rsidRPr="005A0670">
        <w:rPr>
          <w:i/>
        </w:rPr>
        <w:t>t–1</w:t>
      </w:r>
      <w:r w:rsidR="000140FC">
        <w:t xml:space="preserve">) is the monthly generation (MWh/month) from the previous month, and </w:t>
      </w:r>
      <w:r w:rsidR="000140FC" w:rsidRPr="008B1F08">
        <w:rPr>
          <w:i/>
        </w:rPr>
        <w:t>b</w:t>
      </w:r>
      <w:r w:rsidR="000140FC" w:rsidRPr="008B1F08">
        <w:rPr>
          <w:i/>
          <w:vertAlign w:val="subscript"/>
        </w:rPr>
        <w:t>0,m</w:t>
      </w:r>
      <w:r w:rsidR="000140FC">
        <w:t xml:space="preserve">, </w:t>
      </w:r>
      <w:r w:rsidR="000140FC" w:rsidRPr="008B1F08">
        <w:rPr>
          <w:i/>
        </w:rPr>
        <w:t>b</w:t>
      </w:r>
      <w:r w:rsidR="000140FC" w:rsidRPr="008B1F08">
        <w:rPr>
          <w:i/>
          <w:vertAlign w:val="subscript"/>
        </w:rPr>
        <w:t>1,m</w:t>
      </w:r>
      <w:r w:rsidR="000140FC">
        <w:t xml:space="preserve">, …, </w:t>
      </w:r>
      <w:r w:rsidR="000140FC" w:rsidRPr="008B1F08">
        <w:rPr>
          <w:i/>
        </w:rPr>
        <w:t>b</w:t>
      </w:r>
      <w:r w:rsidR="000140FC" w:rsidRPr="008B1F08">
        <w:rPr>
          <w:i/>
          <w:vertAlign w:val="subscript"/>
        </w:rPr>
        <w:t>5,m</w:t>
      </w:r>
      <w:r w:rsidR="000140FC">
        <w:t xml:space="preserve"> are the regression coefficients </w:t>
      </w:r>
      <w:r w:rsidR="000140FC">
        <w:lastRenderedPageBreak/>
        <w:t>developed separately for each calendar month</w:t>
      </w:r>
      <w:r w:rsidR="006009F8">
        <w:t>,</w:t>
      </w:r>
      <w:r w:rsidR="000140FC">
        <w:t xml:space="preserve"> </w:t>
      </w:r>
      <w:r w:rsidR="000140FC" w:rsidRPr="008B1F08">
        <w:rPr>
          <w:i/>
        </w:rPr>
        <w:t>m</w:t>
      </w:r>
      <w:r w:rsidR="000140FC">
        <w:t xml:space="preserve">. For a study area located downstream from other study areas (e.g., BPA-3 is downstream from BPA-1 and BPA-2), </w:t>
      </w:r>
      <w:r w:rsidR="000140FC" w:rsidRPr="00E14668">
        <w:rPr>
          <w:i/>
        </w:rPr>
        <w:t>P</w:t>
      </w:r>
      <w:r w:rsidR="000140FC">
        <w:t xml:space="preserve"> and </w:t>
      </w:r>
      <w:r w:rsidR="000140FC" w:rsidRPr="00E14668">
        <w:rPr>
          <w:i/>
        </w:rPr>
        <w:t>Q</w:t>
      </w:r>
      <w:r w:rsidR="000140FC">
        <w:t xml:space="preserve"> were calculated from all upstream watershed areas before </w:t>
      </w:r>
      <w:r w:rsidR="006009F8">
        <w:t>the</w:t>
      </w:r>
      <w:r w:rsidR="000140FC">
        <w:t xml:space="preserve"> WRES simulation was conducted.</w:t>
      </w:r>
    </w:p>
    <w:p w14:paraId="206983C8" w14:textId="568D9539" w:rsidR="00283768" w:rsidRDefault="005606E5" w:rsidP="00283768">
      <w:pPr>
        <w:pStyle w:val="BodyText"/>
      </w:pPr>
      <w:r>
        <w:t>A</w:t>
      </w:r>
      <w:r w:rsidR="00283768">
        <w:t>lthough the total storage in the watershed should be a useful variable to predict generation, it was not included in the multivariate regression formula</w:t>
      </w:r>
      <w:r w:rsidR="006009F8">
        <w:t xml:space="preserve"> because </w:t>
      </w:r>
      <w:r w:rsidR="00283768">
        <w:t xml:space="preserve">it </w:t>
      </w:r>
      <w:r w:rsidR="009911E9">
        <w:t xml:space="preserve">was </w:t>
      </w:r>
      <w:r w:rsidR="00283768">
        <w:t xml:space="preserve">also a variable to solve in WRES. Instead, generation from </w:t>
      </w:r>
      <w:r w:rsidR="007E2A1B">
        <w:t xml:space="preserve">the </w:t>
      </w:r>
      <w:r w:rsidR="00283768">
        <w:t xml:space="preserve">previous time steps was included in the regression formula. Generation, precipitation, and runoff from </w:t>
      </w:r>
      <w:r w:rsidR="006B6794">
        <w:t xml:space="preserve">the </w:t>
      </w:r>
      <w:r w:rsidR="00283768">
        <w:t>previous time steps reflect the overall storage in the watershed and can replace the role of storage in the multivariate regression.</w:t>
      </w:r>
    </w:p>
    <w:p w14:paraId="0AF14BC1" w14:textId="77777777" w:rsidR="00283768" w:rsidRPr="00604FD3" w:rsidRDefault="00283768" w:rsidP="000E4792">
      <w:pPr>
        <w:pStyle w:val="Heading4"/>
      </w:pPr>
      <w:r w:rsidRPr="00604FD3">
        <w:t>Watershed Runoff Storage Calculation</w:t>
      </w:r>
    </w:p>
    <w:p w14:paraId="02AD5FAD" w14:textId="7EF0ACE6" w:rsidR="00C66F3F" w:rsidRDefault="001D7176" w:rsidP="00C66F3F">
      <w:pPr>
        <w:pStyle w:val="BodyText"/>
      </w:pPr>
      <w:r>
        <w:t>Although</w:t>
      </w:r>
      <w:r w:rsidRPr="009169B7">
        <w:t xml:space="preserve"> </w:t>
      </w:r>
      <w:r w:rsidR="00C66F3F" w:rsidRPr="009169B7">
        <w:rPr>
          <w:i/>
        </w:rPr>
        <w:t>G</w:t>
      </w:r>
      <w:r w:rsidR="00C66F3F" w:rsidRPr="009169B7">
        <w:rPr>
          <w:i/>
          <w:vertAlign w:val="subscript"/>
        </w:rPr>
        <w:t>0</w:t>
      </w:r>
      <w:r w:rsidR="00C66F3F" w:rsidRPr="009169B7">
        <w:t xml:space="preserve"> </w:t>
      </w:r>
      <w:r w:rsidR="00C66F3F">
        <w:t>from Eq. (2.1) provides</w:t>
      </w:r>
      <w:r w:rsidR="00C66F3F" w:rsidRPr="009169B7">
        <w:t xml:space="preserve"> a likely generation </w:t>
      </w:r>
      <w:r w:rsidR="00C66F3F">
        <w:t>estimate</w:t>
      </w:r>
      <w:r w:rsidR="00C66F3F" w:rsidRPr="009169B7">
        <w:t xml:space="preserve"> based on hydrologic inflow/outflow conditions (</w:t>
      </w:r>
      <w:r w:rsidR="00C66F3F">
        <w:t xml:space="preserve">i.e., </w:t>
      </w:r>
      <w:r w:rsidR="00C66F3F" w:rsidRPr="009169B7">
        <w:t xml:space="preserve">jointly captured by the five predictor variables), </w:t>
      </w:r>
      <w:r w:rsidR="00701FDC">
        <w:t xml:space="preserve">it can be unreasonable </w:t>
      </w:r>
      <w:r w:rsidR="00C66F3F">
        <w:t xml:space="preserve">during </w:t>
      </w:r>
      <w:r w:rsidR="00C66F3F" w:rsidRPr="009169B7">
        <w:t>extremely wet or dry conditions.</w:t>
      </w:r>
      <w:r w:rsidR="00C66F3F">
        <w:t xml:space="preserve"> Most of the reservoirs follow the established operation curves in which seasonal maximum/minimum pool elevations are specified. During drought conditions, the storage in the system may be close to the minimum so that the water release and generation would be reduced for water conservation. Conversely, during wet conditions, the storage may approach a maximum capacity for </w:t>
      </w:r>
      <w:r w:rsidR="00725748">
        <w:t>flood-</w:t>
      </w:r>
      <w:r w:rsidR="00C66F3F">
        <w:t>risk management. Water release and hydropower generation will increase</w:t>
      </w:r>
      <w:r w:rsidR="00725748">
        <w:t xml:space="preserve"> during wet conditions</w:t>
      </w:r>
      <w:r w:rsidR="00005310">
        <w:t>,</w:t>
      </w:r>
      <w:r w:rsidR="00C66F3F">
        <w:t xml:space="preserve"> and sometimes </w:t>
      </w:r>
      <w:r w:rsidR="00725748">
        <w:t>water may</w:t>
      </w:r>
      <w:r w:rsidR="00C66F3F">
        <w:t xml:space="preserve"> </w:t>
      </w:r>
      <w:r w:rsidR="00725748">
        <w:t>be</w:t>
      </w:r>
      <w:r w:rsidR="00C66F3F">
        <w:t xml:space="preserve"> spilled (i.e., not pass through hydropower turbines) during flood conditions. Given that an extreme hydrologic event is one of the main concerns of future water and hydropower operations, these storage limitations </w:t>
      </w:r>
      <w:r w:rsidR="00674253">
        <w:t xml:space="preserve">were </w:t>
      </w:r>
      <w:r w:rsidR="00C66F3F">
        <w:t>addressed within the overall formulation.</w:t>
      </w:r>
    </w:p>
    <w:p w14:paraId="55D1EDFF" w14:textId="6F3148FB" w:rsidR="00283768" w:rsidRDefault="000B01D1" w:rsidP="00283768">
      <w:pPr>
        <w:pStyle w:val="BodyText"/>
      </w:pPr>
      <w:r>
        <w:t>To</w:t>
      </w:r>
      <w:r w:rsidR="00283768">
        <w:t xml:space="preserve"> capture the maximum and minimum storage limitations in the watershed, a lumped runoff mass balance calculation was performed. Several conceptual watershed storage characteristics were defined, including maximum monthly watershed storage</w:t>
      </w:r>
      <w:r w:rsidR="00005310">
        <w:t>,</w:t>
      </w:r>
      <w:r w:rsidR="00283768">
        <w:t xml:space="preserve"> </w:t>
      </w:r>
      <w:r w:rsidR="00283768" w:rsidRPr="00E931C5">
        <w:rPr>
          <w:i/>
        </w:rPr>
        <w:t>S</w:t>
      </w:r>
      <w:r w:rsidR="00283768" w:rsidRPr="00E931C5">
        <w:rPr>
          <w:i/>
          <w:vertAlign w:val="subscript"/>
        </w:rPr>
        <w:t>max,m</w:t>
      </w:r>
      <w:r w:rsidR="00283768">
        <w:t xml:space="preserve"> (in</w:t>
      </w:r>
      <w:r w:rsidR="004A55F5">
        <w:t>.</w:t>
      </w:r>
      <w:r w:rsidR="00283768">
        <w:t>), minimum monthly watershed storage</w:t>
      </w:r>
      <w:r w:rsidR="00005310">
        <w:t>,</w:t>
      </w:r>
      <w:r w:rsidR="00283768">
        <w:t xml:space="preserve"> </w:t>
      </w:r>
      <w:r w:rsidR="00283768" w:rsidRPr="00E931C5">
        <w:rPr>
          <w:i/>
        </w:rPr>
        <w:t>S</w:t>
      </w:r>
      <w:r w:rsidR="00283768" w:rsidRPr="00E931C5">
        <w:rPr>
          <w:i/>
          <w:vertAlign w:val="subscript"/>
        </w:rPr>
        <w:t>min,m</w:t>
      </w:r>
      <w:r w:rsidR="00283768">
        <w:t xml:space="preserve"> (in</w:t>
      </w:r>
      <w:r w:rsidR="004A55F5">
        <w:t>.</w:t>
      </w:r>
      <w:r w:rsidR="00283768">
        <w:t>), and maximum runoff-hydropower capacity</w:t>
      </w:r>
      <w:r w:rsidR="00005310">
        <w:t>,</w:t>
      </w:r>
      <w:r w:rsidR="00283768">
        <w:t xml:space="preserve"> </w:t>
      </w:r>
      <w:r w:rsidR="00283768" w:rsidRPr="00E931C5">
        <w:rPr>
          <w:i/>
        </w:rPr>
        <w:t>Q</w:t>
      </w:r>
      <w:r w:rsidR="00283768" w:rsidRPr="00E931C5">
        <w:rPr>
          <w:i/>
          <w:vertAlign w:val="subscript"/>
        </w:rPr>
        <w:t>max</w:t>
      </w:r>
      <w:r w:rsidR="00283768">
        <w:t xml:space="preserve"> (in</w:t>
      </w:r>
      <w:r w:rsidR="004A55F5">
        <w:t>.</w:t>
      </w:r>
      <w:r w:rsidR="00283768">
        <w:t>/month). Four steps were included in the watershed runoff storage calculation</w:t>
      </w:r>
      <w:r w:rsidR="00773941">
        <w:t>.</w:t>
      </w:r>
    </w:p>
    <w:p w14:paraId="71A42294" w14:textId="64E03894" w:rsidR="00283768" w:rsidRDefault="00283768" w:rsidP="00773941">
      <w:pPr>
        <w:pStyle w:val="BodyText"/>
      </w:pPr>
      <w:r w:rsidRPr="003E07A6">
        <w:rPr>
          <w:b/>
        </w:rPr>
        <w:t>Step 1</w:t>
      </w:r>
      <w:r w:rsidR="00005310">
        <w:rPr>
          <w:b/>
        </w:rPr>
        <w:t>:</w:t>
      </w:r>
      <w:r w:rsidRPr="003E07A6">
        <w:rPr>
          <w:b/>
        </w:rPr>
        <w:t xml:space="preserve"> Estimate runoff release and watershed storage.</w:t>
      </w:r>
      <w:r w:rsidRPr="003E07A6">
        <w:t xml:space="preserve"> Based on the linear relationship between runoff and hydropower generation (identified from the first 9505 assessment), it was further assumed that the </w:t>
      </w:r>
      <w:r w:rsidRPr="003E07A6">
        <w:rPr>
          <w:lang w:eastAsia="zh-TW"/>
        </w:rPr>
        <w:t xml:space="preserve">monthly </w:t>
      </w:r>
      <w:r w:rsidRPr="00773941">
        <w:t>hydropower</w:t>
      </w:r>
      <w:r w:rsidRPr="003E07A6">
        <w:t xml:space="preserve"> generation was associated with the monthly runoff release</w:t>
      </w:r>
      <w:r w:rsidR="001B6F6D">
        <w:t>,</w:t>
      </w:r>
      <w:r w:rsidRPr="003E07A6">
        <w:t xml:space="preserve"> </w:t>
      </w:r>
      <w:r w:rsidRPr="003E07A6">
        <w:rPr>
          <w:i/>
        </w:rPr>
        <w:t>Q</w:t>
      </w:r>
      <w:r w:rsidRPr="003E07A6">
        <w:rPr>
          <w:i/>
          <w:vertAlign w:val="subscript"/>
        </w:rPr>
        <w:t>out</w:t>
      </w:r>
      <w:r w:rsidR="001B6F6D">
        <w:t xml:space="preserve">, </w:t>
      </w:r>
      <w:r w:rsidRPr="003E07A6">
        <w:t xml:space="preserve">from the watershed. Therefore, </w:t>
      </w:r>
      <w:r w:rsidRPr="003E07A6">
        <w:rPr>
          <w:i/>
          <w:lang w:eastAsia="zh-TW"/>
        </w:rPr>
        <w:t>G</w:t>
      </w:r>
      <w:r w:rsidRPr="003E07A6">
        <w:rPr>
          <w:i/>
          <w:vertAlign w:val="subscript"/>
          <w:lang w:eastAsia="zh-TW"/>
        </w:rPr>
        <w:t>0</w:t>
      </w:r>
      <w:r w:rsidRPr="003E07A6">
        <w:t xml:space="preserve"> </w:t>
      </w:r>
      <w:r w:rsidR="004A55F5">
        <w:t xml:space="preserve">could </w:t>
      </w:r>
      <w:r w:rsidRPr="003E07A6">
        <w:t>be transformed to a runoff release estimate</w:t>
      </w:r>
      <w:r w:rsidR="00EC2281">
        <w:t>,</w:t>
      </w:r>
      <w:r w:rsidRPr="003E07A6">
        <w:t xml:space="preserve"> </w:t>
      </w:r>
      <w:r w:rsidRPr="003E07A6">
        <w:rPr>
          <w:i/>
          <w:lang w:eastAsia="zh-TW"/>
        </w:rPr>
        <w:t>Q</w:t>
      </w:r>
      <w:r w:rsidRPr="003E07A6">
        <w:rPr>
          <w:i/>
          <w:vertAlign w:val="subscript"/>
          <w:lang w:eastAsia="zh-TW"/>
        </w:rPr>
        <w:t>out,step1</w:t>
      </w:r>
      <w:r w:rsidRPr="003E07A6">
        <w:t xml:space="preserve"> (in</w:t>
      </w:r>
      <w:r w:rsidR="004A55F5">
        <w:t>.</w:t>
      </w:r>
      <w:r w:rsidRPr="003E07A6">
        <w:t>/month) by</w:t>
      </w:r>
    </w:p>
    <w:p w14:paraId="40CF8AE4" w14:textId="7A665155" w:rsidR="00283768" w:rsidRPr="003E07A6" w:rsidRDefault="0030652C" w:rsidP="0030652C">
      <w:pPr>
        <w:pStyle w:val="BodyText"/>
        <w:rPr>
          <w:szCs w:val="24"/>
        </w:rPr>
      </w:pPr>
      <w:r>
        <w:rPr>
          <w:szCs w:val="24"/>
        </w:rPr>
        <w:ptab w:relativeTo="margin" w:alignment="center" w:leader="none"/>
      </w:r>
      <m:oMath>
        <m:sSub>
          <m:sSubPr>
            <m:ctrlPr>
              <w:rPr>
                <w:rFonts w:ascii="Cambria Math" w:hAnsi="Cambria Math"/>
                <w:szCs w:val="24"/>
              </w:rPr>
            </m:ctrlPr>
          </m:sSubPr>
          <m:e>
            <m:r>
              <w:rPr>
                <w:rFonts w:ascii="Cambria Math" w:hAnsi="Cambria Math"/>
                <w:szCs w:val="24"/>
              </w:rPr>
              <m:t>Q</m:t>
            </m:r>
          </m:e>
          <m:sub>
            <m:r>
              <w:rPr>
                <w:rFonts w:ascii="Cambria Math" w:hAnsi="Cambria Math"/>
                <w:szCs w:val="24"/>
              </w:rPr>
              <m:t>out,step1</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G</m:t>
            </m:r>
          </m:e>
          <m:sub>
            <m:r>
              <w:rPr>
                <w:rFonts w:ascii="Cambria Math" w:hAnsi="Cambria Math"/>
                <w:szCs w:val="24"/>
              </w:rPr>
              <m:t>0</m:t>
            </m:r>
          </m:sub>
        </m:sSub>
        <m:r>
          <w:rPr>
            <w:rFonts w:ascii="Cambria Math" w:hAnsi="Cambria Math"/>
            <w:szCs w:val="24"/>
          </w:rPr>
          <m:t>(t)/a</m:t>
        </m:r>
      </m:oMath>
      <w:r w:rsidR="00EC2281">
        <w:rPr>
          <w:szCs w:val="24"/>
        </w:rPr>
        <w:t>,</w:t>
      </w:r>
      <w:r>
        <w:rPr>
          <w:szCs w:val="24"/>
        </w:rPr>
        <w:ptab w:relativeTo="margin" w:alignment="right" w:leader="none"/>
      </w:r>
      <w:r w:rsidR="00283768" w:rsidRPr="003E07A6">
        <w:rPr>
          <w:rFonts w:hint="eastAsia"/>
          <w:szCs w:val="24"/>
        </w:rPr>
        <w:t>(</w:t>
      </w:r>
      <w:r w:rsidR="00283768" w:rsidRPr="003E07A6">
        <w:rPr>
          <w:szCs w:val="24"/>
        </w:rPr>
        <w:t>2.2</w:t>
      </w:r>
      <w:r w:rsidR="00283768" w:rsidRPr="003E07A6">
        <w:rPr>
          <w:rFonts w:hint="eastAsia"/>
          <w:szCs w:val="24"/>
        </w:rPr>
        <w:t>)</w:t>
      </w:r>
    </w:p>
    <w:p w14:paraId="751021DE" w14:textId="324B0C74" w:rsidR="00283768" w:rsidRPr="003E07A6" w:rsidRDefault="00283768" w:rsidP="00773941">
      <w:pPr>
        <w:pStyle w:val="BodyText"/>
      </w:pPr>
      <w:r w:rsidRPr="003E07A6">
        <w:t xml:space="preserve">where </w:t>
      </w:r>
      <w:r w:rsidRPr="003E07A6">
        <w:rPr>
          <w:i/>
        </w:rPr>
        <w:t>a</w:t>
      </w:r>
      <w:r w:rsidRPr="003E07A6">
        <w:t xml:space="preserve"> is a conversion factor between </w:t>
      </w:r>
      <w:r w:rsidRPr="003E07A6">
        <w:rPr>
          <w:i/>
        </w:rPr>
        <w:t>Q</w:t>
      </w:r>
      <w:r w:rsidRPr="003E07A6">
        <w:rPr>
          <w:i/>
          <w:vertAlign w:val="subscript"/>
        </w:rPr>
        <w:t>out</w:t>
      </w:r>
      <w:r w:rsidRPr="003E07A6">
        <w:t xml:space="preserve"> and </w:t>
      </w:r>
      <w:r w:rsidRPr="003E07A6">
        <w:rPr>
          <w:i/>
        </w:rPr>
        <w:t>G</w:t>
      </w:r>
      <w:r w:rsidRPr="003E07A6">
        <w:t xml:space="preserve">. Through the concept of total runoff mass balance, the watershed storage </w:t>
      </w:r>
      <w:r w:rsidR="004A55F5">
        <w:t xml:space="preserve">was </w:t>
      </w:r>
      <w:r w:rsidRPr="003E07A6">
        <w:t>further estimated by</w:t>
      </w:r>
    </w:p>
    <w:p w14:paraId="06F04813" w14:textId="424B3266" w:rsidR="00283768" w:rsidRPr="003E07A6" w:rsidRDefault="00945A5F" w:rsidP="00945A5F">
      <w:pPr>
        <w:pStyle w:val="BodyText"/>
        <w:rPr>
          <w:szCs w:val="24"/>
        </w:rPr>
      </w:pPr>
      <w:r>
        <w:rPr>
          <w:szCs w:val="24"/>
        </w:rPr>
        <w:ptab w:relativeTo="margin" w:alignment="center" w:leader="none"/>
      </w:r>
      <m:oMath>
        <m:sSub>
          <m:sSubPr>
            <m:ctrlPr>
              <w:rPr>
                <w:rFonts w:ascii="Cambria Math" w:hAnsi="Cambria Math"/>
                <w:szCs w:val="24"/>
              </w:rPr>
            </m:ctrlPr>
          </m:sSubPr>
          <m:e>
            <m:r>
              <w:rPr>
                <w:rFonts w:ascii="Cambria Math" w:hAnsi="Cambria Math"/>
                <w:szCs w:val="24"/>
              </w:rPr>
              <m:t>S</m:t>
            </m:r>
          </m:e>
          <m:sub>
            <m:r>
              <w:rPr>
                <w:rFonts w:ascii="Cambria Math" w:hAnsi="Cambria Math"/>
                <w:szCs w:val="24"/>
              </w:rPr>
              <m:t>step1</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=S</m:t>
        </m:r>
        <m:d>
          <m:dPr>
            <m:ctrlPr>
              <w:rPr>
                <w:rFonts w:ascii="Cambria Math" w:hAnsi="Cambria Math"/>
                <w:i/>
                <w:szCs w:val="24"/>
              </w:rPr>
            </m:ctrlPr>
          </m:dPr>
          <m:e>
            <m:r>
              <w:rPr>
                <w:rFonts w:ascii="Cambria Math" w:hAnsi="Cambria Math"/>
                <w:szCs w:val="24"/>
              </w:rPr>
              <m:t>t-1</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in</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out,step1</m:t>
            </m:r>
          </m:sub>
        </m:sSub>
        <m:r>
          <w:rPr>
            <w:rFonts w:ascii="Cambria Math" w:hAnsi="Cambria Math"/>
            <w:szCs w:val="24"/>
          </w:rPr>
          <m:t>(t)</m:t>
        </m:r>
      </m:oMath>
      <w:r w:rsidR="00EC2281">
        <w:rPr>
          <w:szCs w:val="24"/>
        </w:rPr>
        <w:t>.</w:t>
      </w:r>
      <w:r>
        <w:rPr>
          <w:szCs w:val="24"/>
        </w:rPr>
        <w:ptab w:relativeTo="margin" w:alignment="right" w:leader="none"/>
      </w:r>
      <w:r w:rsidR="00283768" w:rsidRPr="003E07A6">
        <w:rPr>
          <w:rFonts w:hint="eastAsia"/>
          <w:szCs w:val="24"/>
        </w:rPr>
        <w:t>(</w:t>
      </w:r>
      <w:r w:rsidR="00283768" w:rsidRPr="003E07A6">
        <w:rPr>
          <w:szCs w:val="24"/>
        </w:rPr>
        <w:t>2.3</w:t>
      </w:r>
      <w:r w:rsidR="00283768" w:rsidRPr="003E07A6">
        <w:rPr>
          <w:rFonts w:hint="eastAsia"/>
          <w:szCs w:val="24"/>
        </w:rPr>
        <w:t>)</w:t>
      </w:r>
    </w:p>
    <w:p w14:paraId="4B09AF48" w14:textId="2F5158C4" w:rsidR="00283768" w:rsidRPr="003E07A6" w:rsidRDefault="00283768" w:rsidP="00773941">
      <w:pPr>
        <w:pStyle w:val="BodyText"/>
      </w:pPr>
      <w:r w:rsidRPr="003E07A6">
        <w:rPr>
          <w:b/>
        </w:rPr>
        <w:t>Step 2</w:t>
      </w:r>
      <w:r w:rsidR="00005310">
        <w:rPr>
          <w:b/>
        </w:rPr>
        <w:t>:</w:t>
      </w:r>
      <w:r w:rsidRPr="003E07A6">
        <w:rPr>
          <w:b/>
        </w:rPr>
        <w:t xml:space="preserve"> Revise based on the maximum/minimum watershed storage limitations.</w:t>
      </w:r>
      <w:r w:rsidRPr="003E07A6">
        <w:t xml:space="preserve"> The initial watershed storage </w:t>
      </w:r>
      <w:r w:rsidRPr="00773941">
        <w:t>estimate</w:t>
      </w:r>
      <w:r w:rsidRPr="003E07A6">
        <w:t xml:space="preserve"> from </w:t>
      </w:r>
      <w:r w:rsidR="00EC2281">
        <w:t>S</w:t>
      </w:r>
      <w:r w:rsidRPr="003E07A6">
        <w:t xml:space="preserve">tep 1 </w:t>
      </w:r>
      <w:r w:rsidR="004A55F5">
        <w:t xml:space="preserve">was </w:t>
      </w:r>
      <w:r w:rsidRPr="003E07A6">
        <w:t>checked</w:t>
      </w:r>
      <w:r w:rsidRPr="003E07A6">
        <w:rPr>
          <w:rFonts w:hint="eastAsia"/>
          <w:lang w:eastAsia="zh-TW"/>
        </w:rPr>
        <w:t xml:space="preserve"> against</w:t>
      </w:r>
      <w:r w:rsidRPr="003E07A6">
        <w:t xml:space="preserve"> </w:t>
      </w:r>
      <w:r w:rsidRPr="003E07A6">
        <w:rPr>
          <w:i/>
        </w:rPr>
        <w:t>S</w:t>
      </w:r>
      <w:r w:rsidRPr="003E07A6">
        <w:rPr>
          <w:i/>
          <w:vertAlign w:val="subscript"/>
        </w:rPr>
        <w:t>max,m</w:t>
      </w:r>
      <w:r w:rsidRPr="003E07A6">
        <w:t xml:space="preserve"> and </w:t>
      </w:r>
      <w:r w:rsidRPr="003E07A6">
        <w:rPr>
          <w:i/>
        </w:rPr>
        <w:t>S</w:t>
      </w:r>
      <w:r w:rsidRPr="003E07A6">
        <w:rPr>
          <w:i/>
          <w:vertAlign w:val="subscript"/>
        </w:rPr>
        <w:t>min,m</w:t>
      </w:r>
      <w:r w:rsidRPr="003E07A6">
        <w:t>. If the value exceed</w:t>
      </w:r>
      <w:r w:rsidR="004A55F5">
        <w:t>ed</w:t>
      </w:r>
      <w:r w:rsidRPr="003E07A6">
        <w:t xml:space="preserve"> </w:t>
      </w:r>
      <w:r w:rsidR="00EC2281">
        <w:t xml:space="preserve">the </w:t>
      </w:r>
      <w:r w:rsidRPr="003E07A6">
        <w:t xml:space="preserve">watershed limitation, the targeted watershed storage and runoff release </w:t>
      </w:r>
      <w:r w:rsidR="004A55F5">
        <w:t xml:space="preserve">were </w:t>
      </w:r>
      <w:r w:rsidRPr="003E07A6">
        <w:t>revised:</w:t>
      </w:r>
    </w:p>
    <w:p w14:paraId="4D9647B4" w14:textId="7E09409C" w:rsidR="00283768" w:rsidRPr="003E07A6" w:rsidRDefault="00945A5F" w:rsidP="00945A5F">
      <w:pPr>
        <w:pStyle w:val="BodyText"/>
        <w:rPr>
          <w:szCs w:val="24"/>
        </w:rPr>
      </w:pPr>
      <w:r>
        <w:rPr>
          <w:szCs w:val="24"/>
        </w:rPr>
        <w:ptab w:relativeTo="margin" w:alignment="center" w:leader="none"/>
      </w:r>
      <m:oMath>
        <m:d>
          <m:dPr>
            <m:begChr m:val="{"/>
            <m:endChr m:val=""/>
            <m:ctrlPr>
              <w:rPr>
                <w:rFonts w:ascii="Cambria Math" w:hAnsi="Cambria Math"/>
                <w:i/>
                <w:szCs w:val="24"/>
              </w:rPr>
            </m:ctrlPr>
          </m:dPr>
          <m:e>
            <m:m>
              <m:mPr>
                <m:mcs>
                  <m:mc>
                    <m:mcPr>
                      <m:count m:val="2"/>
                      <m:mcJc m:val="left"/>
                    </m:mcPr>
                  </m:mc>
                </m:mcs>
                <m:ctrlPr>
                  <w:rPr>
                    <w:rFonts w:ascii="Cambria Math" w:hAnsi="Cambria Math"/>
                    <w:i/>
                    <w:szCs w:val="24"/>
                  </w:rPr>
                </m:ctrlPr>
              </m:mPr>
              <m:mr>
                <m:e>
                  <m:r>
                    <w:rPr>
                      <w:rFonts w:ascii="Cambria Math" w:hAnsi="Cambria Math"/>
                      <w:szCs w:val="24"/>
                    </w:rPr>
                    <m:t xml:space="preserve">If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step1</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&lt;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m:t>
                      </m:r>
                    </m:sub>
                  </m:sSub>
                  <m:r>
                    <w:rPr>
                      <w:rFonts w:ascii="Cambria Math" w:hAnsi="Cambria Math"/>
                      <w:szCs w:val="24"/>
                    </w:rPr>
                    <m:t>,</m:t>
                  </m:r>
                </m:e>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step2</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m:t>
                      </m:r>
                    </m:sub>
                  </m:sSub>
                </m:e>
              </m:mr>
              <m:mr>
                <m:e>
                  <m:r>
                    <w:rPr>
                      <w:rFonts w:ascii="Cambria Math" w:hAnsi="Cambria Math"/>
                      <w:szCs w:val="24"/>
                    </w:rPr>
                    <m:t xml:space="preserve">If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step1</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&gt;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max,m</m:t>
                      </m:r>
                    </m:sub>
                  </m:sSub>
                  <m:r>
                    <w:rPr>
                      <w:rFonts w:ascii="Cambria Math" w:hAnsi="Cambria Math"/>
                      <w:szCs w:val="24"/>
                    </w:rPr>
                    <m:t>,</m:t>
                  </m:r>
                </m:e>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step2</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max,m</m:t>
                      </m:r>
                    </m:sub>
                  </m:sSub>
                </m:e>
              </m:mr>
              <m:mr>
                <m:e>
                  <m:r>
                    <w:rPr>
                      <w:rFonts w:ascii="Cambria Math" w:hAnsi="Cambria Math"/>
                      <w:szCs w:val="24"/>
                    </w:rPr>
                    <m:t>Otherwise,</m:t>
                  </m:r>
                </m:e>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step2</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step1</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e>
              </m:mr>
            </m:m>
          </m:e>
        </m:d>
      </m:oMath>
      <w:r>
        <w:rPr>
          <w:szCs w:val="24"/>
        </w:rPr>
        <w:ptab w:relativeTo="margin" w:alignment="right" w:leader="none"/>
      </w:r>
      <w:r w:rsidR="00283768" w:rsidRPr="003E07A6">
        <w:rPr>
          <w:rFonts w:hint="eastAsia"/>
          <w:szCs w:val="24"/>
        </w:rPr>
        <w:t>(</w:t>
      </w:r>
      <w:r w:rsidR="00283768" w:rsidRPr="003E07A6">
        <w:rPr>
          <w:szCs w:val="24"/>
        </w:rPr>
        <w:t>2.4</w:t>
      </w:r>
      <w:r w:rsidR="00283768" w:rsidRPr="003E07A6">
        <w:rPr>
          <w:rFonts w:hint="eastAsia"/>
          <w:szCs w:val="24"/>
        </w:rPr>
        <w:t>)</w:t>
      </w:r>
    </w:p>
    <w:p w14:paraId="1949A979" w14:textId="08FAB860" w:rsidR="00283768" w:rsidRPr="003E07A6" w:rsidRDefault="00945A5F" w:rsidP="00945A5F">
      <w:pPr>
        <w:pStyle w:val="BodyText"/>
        <w:rPr>
          <w:szCs w:val="24"/>
        </w:rPr>
      </w:pPr>
      <w:r>
        <w:rPr>
          <w:szCs w:val="24"/>
        </w:rPr>
        <w:ptab w:relativeTo="margin" w:alignment="center" w:leader="none"/>
      </w:r>
      <m:oMath>
        <m:sSub>
          <m:sSubPr>
            <m:ctrlPr>
              <w:rPr>
                <w:rFonts w:ascii="Cambria Math" w:hAnsi="Cambria Math"/>
                <w:szCs w:val="24"/>
              </w:rPr>
            </m:ctrlPr>
          </m:sSubPr>
          <m:e>
            <m:r>
              <w:rPr>
                <w:rFonts w:ascii="Cambria Math" w:hAnsi="Cambria Math"/>
                <w:szCs w:val="24"/>
              </w:rPr>
              <m:t>Q</m:t>
            </m:r>
          </m:e>
          <m:sub>
            <m:r>
              <w:rPr>
                <w:rFonts w:ascii="Cambria Math" w:hAnsi="Cambria Math"/>
                <w:szCs w:val="24"/>
              </w:rPr>
              <m:t>out,step2</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=S</m:t>
        </m:r>
        <m:d>
          <m:dPr>
            <m:ctrlPr>
              <w:rPr>
                <w:rFonts w:ascii="Cambria Math" w:hAnsi="Cambria Math"/>
                <w:i/>
                <w:szCs w:val="24"/>
              </w:rPr>
            </m:ctrlPr>
          </m:dPr>
          <m:e>
            <m:r>
              <w:rPr>
                <w:rFonts w:ascii="Cambria Math" w:hAnsi="Cambria Math"/>
                <w:szCs w:val="24"/>
              </w:rPr>
              <m:t>t-1</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in</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step2</m:t>
            </m:r>
          </m:sub>
        </m:sSub>
        <m:r>
          <w:rPr>
            <w:rFonts w:ascii="Cambria Math" w:hAnsi="Cambria Math"/>
            <w:szCs w:val="24"/>
          </w:rPr>
          <m:t>(t)</m:t>
        </m:r>
      </m:oMath>
      <w:r w:rsidR="00EC2281">
        <w:rPr>
          <w:szCs w:val="24"/>
        </w:rPr>
        <w:t>.</w:t>
      </w:r>
      <w:r>
        <w:rPr>
          <w:szCs w:val="24"/>
        </w:rPr>
        <w:ptab w:relativeTo="margin" w:alignment="right" w:leader="none"/>
      </w:r>
      <w:r w:rsidR="00283768" w:rsidRPr="003E07A6">
        <w:rPr>
          <w:rFonts w:hint="eastAsia"/>
          <w:szCs w:val="24"/>
        </w:rPr>
        <w:t>(</w:t>
      </w:r>
      <w:r w:rsidR="00283768" w:rsidRPr="003E07A6">
        <w:rPr>
          <w:szCs w:val="24"/>
        </w:rPr>
        <w:t>2.5</w:t>
      </w:r>
      <w:r w:rsidR="00283768" w:rsidRPr="003E07A6">
        <w:rPr>
          <w:rFonts w:hint="eastAsia"/>
          <w:szCs w:val="24"/>
        </w:rPr>
        <w:t>)</w:t>
      </w:r>
    </w:p>
    <w:p w14:paraId="39F73BB5" w14:textId="65453496" w:rsidR="00283768" w:rsidRPr="003E07A6" w:rsidRDefault="00283768" w:rsidP="00773941">
      <w:pPr>
        <w:pStyle w:val="BodyText"/>
      </w:pPr>
      <w:r w:rsidRPr="003E07A6">
        <w:rPr>
          <w:b/>
        </w:rPr>
        <w:lastRenderedPageBreak/>
        <w:t>Step 3</w:t>
      </w:r>
      <w:r w:rsidR="00005310">
        <w:rPr>
          <w:b/>
        </w:rPr>
        <w:t>:</w:t>
      </w:r>
      <w:r w:rsidRPr="003E07A6">
        <w:rPr>
          <w:b/>
        </w:rPr>
        <w:t xml:space="preserve"> Check if </w:t>
      </w:r>
      <w:r w:rsidRPr="006E3947">
        <w:rPr>
          <w:b/>
          <w:bCs/>
        </w:rPr>
        <w:t>negative</w:t>
      </w:r>
      <w:r w:rsidRPr="003E07A6">
        <w:rPr>
          <w:b/>
        </w:rPr>
        <w:t xml:space="preserve"> </w:t>
      </w:r>
      <w:r w:rsidR="006E3947">
        <w:rPr>
          <w:b/>
        </w:rPr>
        <w:t xml:space="preserve">release </w:t>
      </w:r>
      <w:r w:rsidRPr="003E07A6">
        <w:rPr>
          <w:b/>
        </w:rPr>
        <w:t>occurs.</w:t>
      </w:r>
      <w:r w:rsidRPr="003E07A6">
        <w:t xml:space="preserve"> Under extreme drought conditions, the runoff release from Step 2 </w:t>
      </w:r>
      <w:r w:rsidR="004A55F5">
        <w:t xml:space="preserve">could </w:t>
      </w:r>
      <w:r w:rsidR="004A55F5" w:rsidRPr="003E07A6">
        <w:t xml:space="preserve">occasionally </w:t>
      </w:r>
      <w:r w:rsidRPr="003E07A6">
        <w:t xml:space="preserve">be negative. To avoid this potential issue, the following adjustment </w:t>
      </w:r>
      <w:r w:rsidR="004A55F5">
        <w:t>was</w:t>
      </w:r>
      <w:r w:rsidR="004A55F5" w:rsidRPr="003E07A6">
        <w:t xml:space="preserve"> </w:t>
      </w:r>
      <w:r w:rsidRPr="003E07A6">
        <w:t>performed</w:t>
      </w:r>
      <w:r w:rsidR="0010203A">
        <w:t>:</w:t>
      </w:r>
    </w:p>
    <w:p w14:paraId="5CBA63CC" w14:textId="2AFF58ED" w:rsidR="00283768" w:rsidRPr="003E07A6" w:rsidRDefault="00945A5F" w:rsidP="00945A5F">
      <w:pPr>
        <w:pStyle w:val="BodyText"/>
        <w:rPr>
          <w:szCs w:val="24"/>
        </w:rPr>
      </w:pPr>
      <w:r>
        <w:rPr>
          <w:szCs w:val="24"/>
        </w:rPr>
        <w:ptab w:relativeTo="margin" w:alignment="center" w:leader="none"/>
      </w:r>
      <m:oMath>
        <m:d>
          <m:dPr>
            <m:begChr m:val="{"/>
            <m:endChr m:val=""/>
            <m:ctrlPr>
              <w:rPr>
                <w:rFonts w:ascii="Cambria Math" w:hAnsi="Cambria Math"/>
                <w:i/>
                <w:szCs w:val="24"/>
              </w:rPr>
            </m:ctrlPr>
          </m:dPr>
          <m:e>
            <m:m>
              <m:mPr>
                <m:cGp m:val="8"/>
                <m:mcs>
                  <m:mc>
                    <m:mcPr>
                      <m:count m:val="2"/>
                      <m:mcJc m:val="left"/>
                    </m:mcPr>
                  </m:mc>
                </m:mcs>
                <m:ctrlPr>
                  <w:rPr>
                    <w:rFonts w:ascii="Cambria Math" w:hAnsi="Cambria Math"/>
                    <w:i/>
                    <w:szCs w:val="24"/>
                  </w:rPr>
                </m:ctrlPr>
              </m:mPr>
              <m:mr>
                <m:e>
                  <m:r>
                    <w:rPr>
                      <w:rFonts w:ascii="Cambria Math" w:hAnsi="Cambria Math"/>
                      <w:szCs w:val="24"/>
                    </w:rPr>
                    <m:t xml:space="preserve">If </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out,step2</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&lt;0,</m:t>
                  </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=0</m:t>
                  </m:r>
                </m:e>
              </m:mr>
              <m:mr>
                <m:e>
                  <m:r>
                    <w:rPr>
                      <w:rFonts w:ascii="Cambria Math" w:hAnsi="Cambria Math"/>
                      <w:szCs w:val="24"/>
                    </w:rPr>
                    <m:t>Otherwise,</m:t>
                  </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out,step2</m:t>
                      </m:r>
                    </m:sub>
                  </m:sSub>
                  <m:d>
                    <m:dPr>
                      <m:ctrlPr>
                        <w:rPr>
                          <w:rFonts w:ascii="Cambria Math" w:hAnsi="Cambria Math"/>
                          <w:i/>
                          <w:szCs w:val="24"/>
                        </w:rPr>
                      </m:ctrlPr>
                    </m:dPr>
                    <m:e>
                      <m:r>
                        <w:rPr>
                          <w:rFonts w:ascii="Cambria Math" w:hAnsi="Cambria Math"/>
                          <w:szCs w:val="24"/>
                        </w:rPr>
                        <m:t>t</m:t>
                      </m:r>
                    </m:e>
                  </m:d>
                </m:e>
              </m:mr>
            </m:m>
          </m:e>
        </m:d>
      </m:oMath>
      <w:r w:rsidR="003713DF">
        <w:rPr>
          <w:szCs w:val="24"/>
        </w:rPr>
        <w:t>,</w:t>
      </w:r>
      <w:r>
        <w:rPr>
          <w:szCs w:val="24"/>
        </w:rPr>
        <w:ptab w:relativeTo="margin" w:alignment="right" w:leader="none"/>
      </w:r>
      <w:r w:rsidR="00283768" w:rsidRPr="003E07A6">
        <w:rPr>
          <w:rFonts w:hint="eastAsia"/>
          <w:szCs w:val="24"/>
        </w:rPr>
        <w:t>(</w:t>
      </w:r>
      <w:r w:rsidR="00283768" w:rsidRPr="003E07A6">
        <w:rPr>
          <w:szCs w:val="24"/>
        </w:rPr>
        <w:t>2.6</w:t>
      </w:r>
      <w:r w:rsidR="00283768" w:rsidRPr="003E07A6">
        <w:rPr>
          <w:rFonts w:hint="eastAsia"/>
          <w:szCs w:val="24"/>
        </w:rPr>
        <w:t>)</w:t>
      </w:r>
    </w:p>
    <w:p w14:paraId="7593692A" w14:textId="46B05FE3" w:rsidR="00283768" w:rsidRPr="003E07A6" w:rsidRDefault="00945A5F" w:rsidP="00945A5F">
      <w:pPr>
        <w:pStyle w:val="BodyText"/>
        <w:rPr>
          <w:szCs w:val="24"/>
        </w:rPr>
      </w:pPr>
      <w:r>
        <w:rPr>
          <w:szCs w:val="24"/>
        </w:rPr>
        <w:ptab w:relativeTo="margin" w:alignment="center" w:leader="none"/>
      </w:r>
      <m:oMath>
        <m:r>
          <w:rPr>
            <w:rFonts w:ascii="Cambria Math" w:hAnsi="Cambria Math"/>
            <w:szCs w:val="24"/>
          </w:rPr>
          <m:t>S</m:t>
        </m:r>
        <m:d>
          <m:dPr>
            <m:ctrlPr>
              <w:rPr>
                <w:rFonts w:ascii="Cambria Math" w:hAnsi="Cambria Math"/>
                <w:i/>
                <w:szCs w:val="24"/>
              </w:rPr>
            </m:ctrlPr>
          </m:dPr>
          <m:e>
            <m:r>
              <w:rPr>
                <w:rFonts w:ascii="Cambria Math" w:hAnsi="Cambria Math"/>
                <w:szCs w:val="24"/>
              </w:rPr>
              <m:t>t</m:t>
            </m:r>
          </m:e>
        </m:d>
        <m:r>
          <w:rPr>
            <w:rFonts w:ascii="Cambria Math" w:hAnsi="Cambria Math"/>
            <w:szCs w:val="24"/>
          </w:rPr>
          <m:t>=S</m:t>
        </m:r>
        <m:d>
          <m:dPr>
            <m:ctrlPr>
              <w:rPr>
                <w:rFonts w:ascii="Cambria Math" w:hAnsi="Cambria Math"/>
                <w:i/>
                <w:szCs w:val="24"/>
              </w:rPr>
            </m:ctrlPr>
          </m:dPr>
          <m:e>
            <m:r>
              <w:rPr>
                <w:rFonts w:ascii="Cambria Math" w:hAnsi="Cambria Math"/>
                <w:szCs w:val="24"/>
              </w:rPr>
              <m:t>t-1</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in</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oMath>
      <w:r>
        <w:rPr>
          <w:szCs w:val="24"/>
        </w:rPr>
        <w:ptab w:relativeTo="margin" w:alignment="right" w:leader="none"/>
      </w:r>
      <w:r w:rsidR="00283768" w:rsidRPr="003E07A6">
        <w:rPr>
          <w:rFonts w:hint="eastAsia"/>
          <w:szCs w:val="24"/>
        </w:rPr>
        <w:t>(</w:t>
      </w:r>
      <w:r w:rsidR="00283768" w:rsidRPr="003E07A6">
        <w:rPr>
          <w:szCs w:val="24"/>
        </w:rPr>
        <w:t>2.7</w:t>
      </w:r>
      <w:r w:rsidR="00283768" w:rsidRPr="003E07A6">
        <w:rPr>
          <w:rFonts w:hint="eastAsia"/>
          <w:szCs w:val="24"/>
        </w:rPr>
        <w:t>)</w:t>
      </w:r>
    </w:p>
    <w:p w14:paraId="2812E36A" w14:textId="7664DCED" w:rsidR="00CE0F76" w:rsidRPr="003E07A6" w:rsidRDefault="00CE0F76" w:rsidP="00773941">
      <w:pPr>
        <w:pStyle w:val="BodyText"/>
      </w:pPr>
      <w:r w:rsidRPr="003E07A6">
        <w:rPr>
          <w:b/>
        </w:rPr>
        <w:t>Step 4</w:t>
      </w:r>
      <w:r w:rsidR="00005310">
        <w:rPr>
          <w:b/>
        </w:rPr>
        <w:t>:</w:t>
      </w:r>
      <w:r w:rsidRPr="003E07A6">
        <w:rPr>
          <w:b/>
        </w:rPr>
        <w:t xml:space="preserve"> Check if spill occurs.</w:t>
      </w:r>
      <w:r w:rsidRPr="003E07A6">
        <w:t xml:space="preserve"> Under </w:t>
      </w:r>
      <w:r w:rsidR="0010203A">
        <w:t>high-</w:t>
      </w:r>
      <w:r>
        <w:t>flow</w:t>
      </w:r>
      <w:r w:rsidRPr="003E07A6">
        <w:t xml:space="preserve"> conditions, the amount of total runoff release</w:t>
      </w:r>
      <w:r w:rsidR="0010203A">
        <w:t>,</w:t>
      </w:r>
      <w:r w:rsidRPr="003E07A6">
        <w:t xml:space="preserve"> </w:t>
      </w:r>
      <w:r w:rsidRPr="003E07A6">
        <w:rPr>
          <w:i/>
        </w:rPr>
        <w:t>Q</w:t>
      </w:r>
      <w:r w:rsidRPr="003E07A6">
        <w:rPr>
          <w:i/>
          <w:vertAlign w:val="subscript"/>
        </w:rPr>
        <w:t>out</w:t>
      </w:r>
      <w:r w:rsidR="0010203A">
        <w:t>,</w:t>
      </w:r>
      <w:r>
        <w:t xml:space="preserve"> </w:t>
      </w:r>
      <w:r w:rsidR="004A55F5">
        <w:t xml:space="preserve">could </w:t>
      </w:r>
      <w:r>
        <w:t xml:space="preserve">sometimes </w:t>
      </w:r>
      <w:r w:rsidRPr="003E07A6">
        <w:t xml:space="preserve">be greater than the amount of runoff that </w:t>
      </w:r>
      <w:r w:rsidR="004A55F5">
        <w:t xml:space="preserve">could </w:t>
      </w:r>
      <w:r w:rsidRPr="003E07A6">
        <w:t xml:space="preserve">be used for hydropower generation. Therefore, </w:t>
      </w:r>
      <w:r w:rsidR="0010203A">
        <w:t>the</w:t>
      </w:r>
      <w:r w:rsidRPr="003E07A6">
        <w:t xml:space="preserve"> maximum runoff-hydropower capacity</w:t>
      </w:r>
      <w:r>
        <w:t xml:space="preserve"> </w:t>
      </w:r>
      <w:r w:rsidR="0010203A">
        <w:t>parameter,</w:t>
      </w:r>
      <w:r w:rsidRPr="003E07A6">
        <w:t xml:space="preserve"> </w:t>
      </w:r>
      <w:r w:rsidRPr="003E07A6">
        <w:rPr>
          <w:i/>
        </w:rPr>
        <w:t>Q</w:t>
      </w:r>
      <w:r w:rsidRPr="003E07A6">
        <w:rPr>
          <w:i/>
          <w:vertAlign w:val="subscript"/>
        </w:rPr>
        <w:t>max</w:t>
      </w:r>
      <w:r w:rsidRPr="003E07A6">
        <w:t xml:space="preserve">, </w:t>
      </w:r>
      <w:r w:rsidR="004A55F5">
        <w:t xml:space="preserve">was </w:t>
      </w:r>
      <w:r w:rsidRPr="003E07A6">
        <w:t xml:space="preserve">checked to determine if any portion of runoff release </w:t>
      </w:r>
      <w:r w:rsidR="004A55F5">
        <w:t xml:space="preserve">was </w:t>
      </w:r>
      <w:r w:rsidRPr="003E07A6">
        <w:t xml:space="preserve">spilled. </w:t>
      </w:r>
      <w:r>
        <w:t xml:space="preserve">The </w:t>
      </w:r>
      <w:r w:rsidRPr="004A55F5">
        <w:rPr>
          <w:iCs/>
        </w:rPr>
        <w:t xml:space="preserve">spill </w:t>
      </w:r>
      <w:r>
        <w:t xml:space="preserve">estimated in this step refers to forced spill </w:t>
      </w:r>
      <w:r w:rsidR="00D21AB5">
        <w:t>initiated for</w:t>
      </w:r>
      <w:r>
        <w:t xml:space="preserve"> </w:t>
      </w:r>
      <w:r w:rsidR="00D21AB5">
        <w:t>flood-</w:t>
      </w:r>
      <w:r>
        <w:t xml:space="preserve">risk management. Lack-of-market spills </w:t>
      </w:r>
      <w:r w:rsidR="004A55F5">
        <w:t xml:space="preserve">were </w:t>
      </w:r>
      <w:r>
        <w:t xml:space="preserve">not considered. The minimum flow and spill, as well as the potential outage of turbines, </w:t>
      </w:r>
      <w:r w:rsidR="004A55F5">
        <w:t xml:space="preserve">were </w:t>
      </w:r>
      <w:r>
        <w:t xml:space="preserve">not simulated in the current model. </w:t>
      </w:r>
      <w:r w:rsidRPr="003E07A6">
        <w:t>The final monthly generation estimate</w:t>
      </w:r>
      <w:r w:rsidR="00D21AB5">
        <w:t>,</w:t>
      </w:r>
      <w:r w:rsidRPr="003E07A6">
        <w:t xml:space="preserve"> </w:t>
      </w:r>
      <w:r w:rsidRPr="003E07A6">
        <w:rPr>
          <w:i/>
        </w:rPr>
        <w:t>G</w:t>
      </w:r>
      <w:r w:rsidRPr="003E07A6">
        <w:rPr>
          <w:i/>
          <w:vertAlign w:val="subscript"/>
        </w:rPr>
        <w:t>sim</w:t>
      </w:r>
      <w:r w:rsidR="00D21AB5">
        <w:t xml:space="preserve">, </w:t>
      </w:r>
      <w:r w:rsidR="004A55F5">
        <w:t xml:space="preserve">was </w:t>
      </w:r>
      <w:r w:rsidRPr="003E07A6">
        <w:t>then determined</w:t>
      </w:r>
      <w:r w:rsidR="00E30498">
        <w:t>:</w:t>
      </w:r>
    </w:p>
    <w:p w14:paraId="49BBF9AB" w14:textId="3D12C122" w:rsidR="00283768" w:rsidRPr="003E07A6" w:rsidRDefault="00945A5F" w:rsidP="00945A5F">
      <w:pPr>
        <w:pStyle w:val="BodyText"/>
        <w:rPr>
          <w:szCs w:val="24"/>
        </w:rPr>
      </w:pPr>
      <w:r>
        <w:rPr>
          <w:szCs w:val="24"/>
        </w:rPr>
        <w:ptab w:relativeTo="margin" w:alignment="center" w:leader="none"/>
      </w:r>
      <m:oMath>
        <m:d>
          <m:dPr>
            <m:begChr m:val="{"/>
            <m:endChr m:val=""/>
            <m:ctrlPr>
              <w:rPr>
                <w:rFonts w:ascii="Cambria Math" w:hAnsi="Cambria Math"/>
                <w:i/>
                <w:szCs w:val="24"/>
              </w:rPr>
            </m:ctrlPr>
          </m:dPr>
          <m:e>
            <m:m>
              <m:mPr>
                <m:cGp m:val="8"/>
                <m:mcs>
                  <m:mc>
                    <m:mcPr>
                      <m:count m:val="2"/>
                      <m:mcJc m:val="left"/>
                    </m:mcPr>
                  </m:mc>
                </m:mcs>
                <m:ctrlPr>
                  <w:rPr>
                    <w:rFonts w:ascii="Cambria Math" w:hAnsi="Cambria Math"/>
                    <w:i/>
                    <w:szCs w:val="24"/>
                  </w:rPr>
                </m:ctrlPr>
              </m:mPr>
              <m:mr>
                <m:e>
                  <m:r>
                    <w:rPr>
                      <w:rFonts w:ascii="Cambria Math" w:hAnsi="Cambria Math"/>
                      <w:szCs w:val="24"/>
                    </w:rPr>
                    <m:t xml:space="preserve">If </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&gt;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r>
                    <w:rPr>
                      <w:rFonts w:ascii="Cambria Math" w:hAnsi="Cambria Math"/>
                      <w:szCs w:val="24"/>
                    </w:rPr>
                    <m:t>,</m:t>
                  </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out,hydro</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r>
                    <w:rPr>
                      <w:rFonts w:ascii="Cambria Math" w:hAnsi="Cambria Math"/>
                      <w:szCs w:val="24"/>
                    </w:rPr>
                    <m:t xml:space="preserve"> and </m:t>
                  </m:r>
                </m:e>
              </m:mr>
              <m:mr>
                <m:e>
                  <m:ctrlPr>
                    <w:rPr>
                      <w:rFonts w:ascii="Cambria Math" w:eastAsia="Cambria Math" w:hAnsi="Cambria Math" w:cs="Cambria Math"/>
                      <w:i/>
                      <w:szCs w:val="24"/>
                    </w:rPr>
                  </m:ctrlP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out,spill</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ctrlPr>
                    <w:rPr>
                      <w:rFonts w:ascii="Cambria Math" w:eastAsia="Cambria Math" w:hAnsi="Cambria Math" w:cs="Cambria Math"/>
                      <w:i/>
                      <w:szCs w:val="24"/>
                    </w:rPr>
                  </m:ctrlPr>
                </m:e>
              </m:mr>
              <m:mr>
                <m:e>
                  <m:r>
                    <w:rPr>
                      <w:rFonts w:ascii="Cambria Math" w:hAnsi="Cambria Math"/>
                      <w:szCs w:val="24"/>
                    </w:rPr>
                    <m:t>Otherwise,</m:t>
                  </m:r>
                  <m:ctrlPr>
                    <w:rPr>
                      <w:rFonts w:ascii="Cambria Math" w:eastAsia="Cambria Math" w:hAnsi="Cambria Math" w:cs="Cambria Math"/>
                      <w:i/>
                      <w:szCs w:val="24"/>
                    </w:rPr>
                  </m:ctrlP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out,hydro</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m:t>
                      </m:r>
                    </m:sub>
                  </m:sSub>
                  <m:d>
                    <m:dPr>
                      <m:ctrlPr>
                        <w:rPr>
                          <w:rFonts w:ascii="Cambria Math" w:hAnsi="Cambria Math"/>
                          <w:i/>
                          <w:szCs w:val="24"/>
                        </w:rPr>
                      </m:ctrlPr>
                    </m:dPr>
                    <m:e>
                      <m:r>
                        <w:rPr>
                          <w:rFonts w:ascii="Cambria Math" w:hAnsi="Cambria Math"/>
                          <w:szCs w:val="24"/>
                        </w:rPr>
                        <m:t>t</m:t>
                      </m:r>
                    </m:e>
                  </m:d>
                  <m:ctrlPr>
                    <w:rPr>
                      <w:rFonts w:ascii="Cambria Math" w:eastAsia="Cambria Math" w:hAnsi="Cambria Math" w:cs="Cambria Math"/>
                      <w:i/>
                      <w:szCs w:val="24"/>
                    </w:rPr>
                  </m:ctrlPr>
                </m:e>
              </m:mr>
              <m: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out,spill</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=0</m:t>
                  </m:r>
                </m:e>
              </m:mr>
            </m:m>
          </m:e>
        </m:d>
      </m:oMath>
      <w:r w:rsidR="003713DF">
        <w:rPr>
          <w:szCs w:val="24"/>
        </w:rPr>
        <w:t>,</w:t>
      </w:r>
      <w:r>
        <w:rPr>
          <w:szCs w:val="24"/>
        </w:rPr>
        <w:ptab w:relativeTo="margin" w:alignment="right" w:leader="none"/>
      </w:r>
      <w:r w:rsidR="00283768" w:rsidRPr="003E07A6">
        <w:rPr>
          <w:rFonts w:hint="eastAsia"/>
          <w:szCs w:val="24"/>
        </w:rPr>
        <w:t>(</w:t>
      </w:r>
      <w:r w:rsidR="00283768" w:rsidRPr="003E07A6">
        <w:rPr>
          <w:szCs w:val="24"/>
        </w:rPr>
        <w:t>2.8</w:t>
      </w:r>
      <w:r w:rsidR="00283768" w:rsidRPr="003E07A6">
        <w:rPr>
          <w:rFonts w:hint="eastAsia"/>
          <w:szCs w:val="24"/>
        </w:rPr>
        <w:t>)</w:t>
      </w:r>
    </w:p>
    <w:p w14:paraId="4B65E30C" w14:textId="1388121E" w:rsidR="00283768" w:rsidRPr="003E07A6" w:rsidRDefault="00945A5F" w:rsidP="00945A5F">
      <w:pPr>
        <w:pStyle w:val="BodyText"/>
        <w:rPr>
          <w:szCs w:val="24"/>
        </w:rPr>
      </w:pPr>
      <w:r>
        <w:rPr>
          <w:szCs w:val="24"/>
        </w:rPr>
        <w:ptab w:relativeTo="margin" w:alignment="center" w:leader="none"/>
      </w: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sim</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=a*</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out,hydro</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oMath>
      <w:r>
        <w:rPr>
          <w:szCs w:val="24"/>
        </w:rPr>
        <w:ptab w:relativeTo="margin" w:alignment="right" w:leader="none"/>
      </w:r>
      <w:r w:rsidR="00283768" w:rsidRPr="003E07A6">
        <w:rPr>
          <w:rFonts w:hint="eastAsia"/>
          <w:szCs w:val="24"/>
        </w:rPr>
        <w:t>(</w:t>
      </w:r>
      <w:r w:rsidR="00283768" w:rsidRPr="003E07A6">
        <w:rPr>
          <w:szCs w:val="24"/>
        </w:rPr>
        <w:t>2.9</w:t>
      </w:r>
      <w:r w:rsidR="00283768" w:rsidRPr="003E07A6">
        <w:rPr>
          <w:rFonts w:hint="eastAsia"/>
          <w:szCs w:val="24"/>
        </w:rPr>
        <w:t>)</w:t>
      </w:r>
    </w:p>
    <w:p w14:paraId="1EC4199B" w14:textId="295C32B9" w:rsidR="00283768" w:rsidRPr="003E07A6" w:rsidRDefault="00283768" w:rsidP="00773941">
      <w:pPr>
        <w:pStyle w:val="BodyText"/>
      </w:pPr>
      <w:r w:rsidRPr="003E07A6">
        <w:t xml:space="preserve">To estimate </w:t>
      </w:r>
      <w:r w:rsidRPr="003E07A6">
        <w:rPr>
          <w:i/>
        </w:rPr>
        <w:t>a</w:t>
      </w:r>
      <w:r w:rsidRPr="003E07A6">
        <w:t xml:space="preserve"> in Eqs. (2.2) and (2.9), the total historic hydropower generation and total WaterWatch runoff from 1980</w:t>
      </w:r>
      <w:r w:rsidR="00E30498">
        <w:t xml:space="preserve"> to </w:t>
      </w:r>
      <w:r w:rsidRPr="003E07A6">
        <w:t>201</w:t>
      </w:r>
      <w:r w:rsidR="00AC5620">
        <w:t>8</w:t>
      </w:r>
      <w:r w:rsidRPr="003E07A6">
        <w:t xml:space="preserve"> </w:t>
      </w:r>
      <w:r w:rsidR="004A55F5">
        <w:t xml:space="preserve">were </w:t>
      </w:r>
      <w:r w:rsidRPr="003E07A6">
        <w:t xml:space="preserve">calculated, and the parameter </w:t>
      </w:r>
      <w:r w:rsidRPr="003E07A6">
        <w:rPr>
          <w:i/>
        </w:rPr>
        <w:t>a</w:t>
      </w:r>
      <w:r w:rsidRPr="003E07A6">
        <w:t xml:space="preserve"> </w:t>
      </w:r>
      <w:r w:rsidR="004A55F5">
        <w:t xml:space="preserve">was </w:t>
      </w:r>
      <w:r w:rsidRPr="003E07A6">
        <w:t>estimated by (total observed generation</w:t>
      </w:r>
      <w:r w:rsidR="00C229B2" w:rsidRPr="003E07A6">
        <w:t>)</w:t>
      </w:r>
      <w:r w:rsidR="00701FDC">
        <w:t xml:space="preserve"> ÷ </w:t>
      </w:r>
      <w:r w:rsidRPr="003E07A6">
        <w:t>(total observed runoff). Other required parameters, including monthly watershed storage maximum</w:t>
      </w:r>
      <w:r w:rsidR="00BE7104">
        <w:t>,</w:t>
      </w:r>
      <w:r w:rsidRPr="003E07A6">
        <w:t xml:space="preserve"> </w:t>
      </w:r>
      <w:r w:rsidRPr="003E07A6">
        <w:rPr>
          <w:i/>
        </w:rPr>
        <w:t>S</w:t>
      </w:r>
      <w:r w:rsidRPr="003E07A6">
        <w:rPr>
          <w:i/>
          <w:vertAlign w:val="subscript"/>
        </w:rPr>
        <w:t>max,Jan</w:t>
      </w:r>
      <w:r w:rsidRPr="003E07A6">
        <w:t xml:space="preserve">, </w:t>
      </w:r>
      <w:r w:rsidRPr="003E07A6">
        <w:rPr>
          <w:i/>
        </w:rPr>
        <w:t>S</w:t>
      </w:r>
      <w:r w:rsidRPr="003E07A6">
        <w:rPr>
          <w:i/>
          <w:vertAlign w:val="subscript"/>
        </w:rPr>
        <w:t>max,Feb</w:t>
      </w:r>
      <w:r w:rsidRPr="003E07A6">
        <w:t xml:space="preserve">, …, </w:t>
      </w:r>
      <w:r w:rsidRPr="003E07A6">
        <w:rPr>
          <w:i/>
        </w:rPr>
        <w:t>S</w:t>
      </w:r>
      <w:r w:rsidRPr="003E07A6">
        <w:rPr>
          <w:i/>
          <w:vertAlign w:val="subscript"/>
        </w:rPr>
        <w:t>max,Dec</w:t>
      </w:r>
      <w:r w:rsidR="0080580C">
        <w:t>;</w:t>
      </w:r>
      <w:r w:rsidR="0080580C" w:rsidRPr="003E07A6">
        <w:t xml:space="preserve"> </w:t>
      </w:r>
      <w:r w:rsidRPr="00773941">
        <w:t>storage</w:t>
      </w:r>
      <w:r w:rsidRPr="003E07A6">
        <w:t xml:space="preserve"> minimum</w:t>
      </w:r>
      <w:r w:rsidR="00BE7104">
        <w:t>,</w:t>
      </w:r>
      <w:r w:rsidRPr="003E07A6">
        <w:t xml:space="preserve"> </w:t>
      </w:r>
      <w:r w:rsidRPr="003E07A6">
        <w:rPr>
          <w:i/>
        </w:rPr>
        <w:t>S</w:t>
      </w:r>
      <w:r w:rsidRPr="003E07A6">
        <w:rPr>
          <w:i/>
          <w:vertAlign w:val="subscript"/>
        </w:rPr>
        <w:t>min,Jan</w:t>
      </w:r>
      <w:r w:rsidRPr="003E07A6">
        <w:t xml:space="preserve">, </w:t>
      </w:r>
      <w:r w:rsidRPr="003E07A6">
        <w:rPr>
          <w:i/>
        </w:rPr>
        <w:t>S</w:t>
      </w:r>
      <w:r w:rsidRPr="003E07A6">
        <w:rPr>
          <w:i/>
          <w:vertAlign w:val="subscript"/>
        </w:rPr>
        <w:t>min,Feb</w:t>
      </w:r>
      <w:r w:rsidRPr="003E07A6">
        <w:t xml:space="preserve">, …, </w:t>
      </w:r>
      <w:r w:rsidRPr="003E07A6">
        <w:rPr>
          <w:i/>
        </w:rPr>
        <w:t>S</w:t>
      </w:r>
      <w:r w:rsidRPr="003E07A6">
        <w:rPr>
          <w:i/>
          <w:vertAlign w:val="subscript"/>
        </w:rPr>
        <w:t>min,Dec</w:t>
      </w:r>
      <w:r w:rsidR="0080580C">
        <w:t>;</w:t>
      </w:r>
      <w:r w:rsidR="0080580C" w:rsidRPr="003E07A6">
        <w:t xml:space="preserve"> </w:t>
      </w:r>
      <w:r w:rsidRPr="003E07A6">
        <w:t>maximum runoff-hydropower capacity</w:t>
      </w:r>
      <w:r w:rsidR="00BE7104">
        <w:t>,</w:t>
      </w:r>
      <w:r w:rsidRPr="003E07A6">
        <w:t xml:space="preserve"> </w:t>
      </w:r>
      <w:r w:rsidRPr="003E07A6">
        <w:rPr>
          <w:i/>
        </w:rPr>
        <w:t>Q</w:t>
      </w:r>
      <w:r w:rsidRPr="003E07A6">
        <w:rPr>
          <w:i/>
          <w:vertAlign w:val="subscript"/>
        </w:rPr>
        <w:t>max</w:t>
      </w:r>
      <w:r w:rsidR="0080580C">
        <w:t>;</w:t>
      </w:r>
      <w:r w:rsidR="0080580C" w:rsidRPr="003E07A6">
        <w:t xml:space="preserve"> </w:t>
      </w:r>
      <w:r w:rsidRPr="003E07A6">
        <w:t xml:space="preserve">and the initial runoff release and watershed storage conditions </w:t>
      </w:r>
      <w:r w:rsidR="004A55F5">
        <w:t xml:space="preserve">were </w:t>
      </w:r>
      <w:r>
        <w:t xml:space="preserve">calibrated by </w:t>
      </w:r>
      <w:r w:rsidRPr="003E07A6">
        <w:t>minimiz</w:t>
      </w:r>
      <w:r>
        <w:t>ing</w:t>
      </w:r>
      <w:r w:rsidRPr="003E07A6">
        <w:t xml:space="preserve"> the difference between observed and simulated monthly generation.</w:t>
      </w:r>
      <w:r w:rsidR="00C309F7">
        <w:t xml:space="preserve"> </w:t>
      </w:r>
      <w:r w:rsidR="00773941">
        <w:t>Additional</w:t>
      </w:r>
      <w:r w:rsidR="00C309F7">
        <w:t xml:space="preserve"> WRES details are provided </w:t>
      </w:r>
      <w:r w:rsidR="004A55F5">
        <w:t xml:space="preserve">by </w:t>
      </w:r>
      <w:r w:rsidR="00C309F7">
        <w:t>Kao et al. (2016).</w:t>
      </w:r>
    </w:p>
    <w:p w14:paraId="4C496C61" w14:textId="51ACE36D" w:rsidR="00357BBE" w:rsidRPr="006D08C0" w:rsidRDefault="00AD06E7" w:rsidP="006D08C0">
      <w:pPr>
        <w:pStyle w:val="Heading3"/>
      </w:pPr>
      <w:bookmarkStart w:id="163" w:name="_Toc113380783"/>
      <w:r>
        <w:t>WMP</w:t>
      </w:r>
      <w:bookmarkEnd w:id="163"/>
    </w:p>
    <w:p w14:paraId="50D2CE46" w14:textId="4EA17A0B" w:rsidR="00A3436D" w:rsidRDefault="005E1F3C" w:rsidP="00A3436D">
      <w:pPr>
        <w:pStyle w:val="BodyText"/>
      </w:pPr>
      <w:r>
        <w:t xml:space="preserve">The </w:t>
      </w:r>
      <w:r w:rsidR="00AC5620">
        <w:t xml:space="preserve">spatially distributed </w:t>
      </w:r>
      <w:r>
        <w:t xml:space="preserve">runoff </w:t>
      </w:r>
      <w:r w:rsidR="004A55F5">
        <w:t xml:space="preserve">was </w:t>
      </w:r>
      <w:r>
        <w:t xml:space="preserve">used to force a </w:t>
      </w:r>
      <w:r w:rsidR="00AC5620">
        <w:t xml:space="preserve">regional </w:t>
      </w:r>
      <w:r w:rsidR="00533D84">
        <w:t>PM</w:t>
      </w:r>
      <w:r w:rsidR="00AC5620">
        <w:t xml:space="preserve">, </w:t>
      </w:r>
      <w:r w:rsidR="0066604F">
        <w:t>the</w:t>
      </w:r>
      <w:r w:rsidR="00AC5620">
        <w:t xml:space="preserve"> </w:t>
      </w:r>
      <w:r>
        <w:t>WMP</w:t>
      </w:r>
      <w:r w:rsidR="0066604F">
        <w:t xml:space="preserve"> model. </w:t>
      </w:r>
      <w:r>
        <w:t>This model consist</w:t>
      </w:r>
      <w:r w:rsidR="004A55F5">
        <w:t>ed</w:t>
      </w:r>
      <w:r>
        <w:t xml:space="preserve"> of two parts: </w:t>
      </w:r>
      <w:r w:rsidR="0066604F">
        <w:t xml:space="preserve">(1) </w:t>
      </w:r>
      <w:r>
        <w:t xml:space="preserve">a </w:t>
      </w:r>
      <w:r w:rsidR="0066604F">
        <w:t>river-</w:t>
      </w:r>
      <w:r>
        <w:t xml:space="preserve">routing </w:t>
      </w:r>
      <w:r w:rsidR="00627475">
        <w:t xml:space="preserve">water management </w:t>
      </w:r>
      <w:r>
        <w:t xml:space="preserve">model for simulating regulated streamflow at all grid cells and dam storage at substantial man-made reservoirs </w:t>
      </w:r>
      <w:r w:rsidR="00AC5620" w:rsidRPr="00AC5620">
        <w:t>(Voisin</w:t>
      </w:r>
      <w:r w:rsidR="00915C0A">
        <w:t xml:space="preserve"> et al.</w:t>
      </w:r>
      <w:r w:rsidR="00AC5620" w:rsidRPr="00AC5620">
        <w:t>, 2013</w:t>
      </w:r>
      <w:r w:rsidR="00915C0A">
        <w:t>a</w:t>
      </w:r>
      <w:r w:rsidR="00AC5620" w:rsidRPr="00AC5620">
        <w:t>)</w:t>
      </w:r>
      <w:r w:rsidR="004A55F5">
        <w:t>,</w:t>
      </w:r>
      <w:r w:rsidR="004801B8">
        <w:t xml:space="preserve"> and </w:t>
      </w:r>
      <w:r w:rsidR="00E86F50">
        <w:t xml:space="preserve">(2) </w:t>
      </w:r>
      <w:r w:rsidR="004801B8">
        <w:t>a subsequent</w:t>
      </w:r>
      <w:r w:rsidR="00E86F50">
        <w:t>ly</w:t>
      </w:r>
      <w:r w:rsidR="004801B8">
        <w:t xml:space="preserve"> enhanced</w:t>
      </w:r>
      <w:r w:rsidR="00E86F50">
        <w:t>,</w:t>
      </w:r>
      <w:r w:rsidR="004801B8">
        <w:t xml:space="preserve"> process-based hydropower generation model for hydropower simulation at individual hydropower plants </w:t>
      </w:r>
      <w:r w:rsidR="004801B8">
        <w:fldChar w:fldCharType="begin"/>
      </w:r>
      <w:r w:rsidR="004801B8">
        <w:instrText xml:space="preserve"> ADDIN EN.CITE &lt;EndNote&gt;&lt;Cite&gt;&lt;Author&gt;Zhou&lt;/Author&gt;&lt;Year&gt;2018&lt;/Year&gt;&lt;RecNum&gt;5&lt;/RecNum&gt;&lt;DisplayText&gt;(Zhou et al., 2018)&lt;/DisplayText&gt;&lt;record&gt;&lt;rec-number&gt;5&lt;/rec-number&gt;&lt;foreign-keys&gt;&lt;key app="EN" db-id="zpsd9v0r202t21epr9cv9ez2wa0reev0xp0d" timestamp="1546544529" guid="68df83a4-aa31-467c-b414-191e6bd1427b"&gt;5&lt;/key&gt;&lt;/foreign-keys&gt;&lt;ref-type name="Journal Article"&gt;17&lt;/ref-type&gt;&lt;contributors&gt;&lt;authors&gt;&lt;author&gt;Zhou, Tian&lt;/author&gt;&lt;author&gt;Voisin, Nathalie&lt;/author&gt;&lt;author&gt;Fu, Tao&lt;/author&gt;&lt;/authors&gt;&lt;/contributors&gt;&lt;titles&gt;&lt;title&gt;Non-stationary hydropower generation projections constrained by environmental and electricity grid operations over the western United States&lt;/title&gt;&lt;secondary-title&gt;Environmental Research Letters&lt;/secondary-title&gt;&lt;/titles&gt;&lt;periodical&gt;&lt;full-title&gt;Environmental Research Letters&lt;/full-title&gt;&lt;/periodical&gt;&lt;pages&gt;074035&lt;/pages&gt;&lt;volume&gt;13&lt;/volume&gt;&lt;keywords&gt;&lt;keyword&gt;article is available online&lt;/keyword&gt;&lt;keyword&gt;climate change&lt;/keyword&gt;&lt;keyword&gt;flow regulations&lt;/keyword&gt;&lt;keyword&gt;hydropower&lt;/keyword&gt;&lt;keyword&gt;supplementary material for this&lt;/keyword&gt;&lt;keyword&gt;wecc&lt;/keyword&gt;&lt;keyword&gt;western us&lt;/keyword&gt;&lt;/keywords&gt;&lt;dates&gt;&lt;year&gt;2018&lt;/year&gt;&lt;/dates&gt;&lt;urls&gt;&lt;related-urls&gt;&lt;url&gt;https://doi.org/10.1088/1748-9326/aad19f&lt;/url&gt;&lt;/related-urls&gt;&lt;/urls&gt;&lt;electronic-resource-num&gt;10.1088/1748-9326/aad19f&lt;/electronic-resource-num&gt;&lt;/record&gt;&lt;/Cite&gt;&lt;/EndNote&gt;</w:instrText>
      </w:r>
      <w:r w:rsidR="004801B8">
        <w:fldChar w:fldCharType="separate"/>
      </w:r>
      <w:r w:rsidR="004801B8">
        <w:rPr>
          <w:noProof/>
        </w:rPr>
        <w:t>(Zhou et al., 2018)</w:t>
      </w:r>
      <w:r w:rsidR="004801B8">
        <w:fldChar w:fldCharType="end"/>
      </w:r>
      <w:r w:rsidR="004801B8">
        <w:t>.</w:t>
      </w:r>
      <w:r w:rsidR="00ED3542">
        <w:t xml:space="preserve"> The schema </w:t>
      </w:r>
      <w:r w:rsidR="006B6794">
        <w:t>for</w:t>
      </w:r>
      <w:r w:rsidR="00E86F50">
        <w:t xml:space="preserve"> </w:t>
      </w:r>
      <w:r w:rsidR="00ED3542">
        <w:t xml:space="preserve">WMP is </w:t>
      </w:r>
      <w:r w:rsidR="00E86F50">
        <w:t xml:space="preserve">shown </w:t>
      </w:r>
      <w:r w:rsidR="00ED3542">
        <w:t xml:space="preserve">in </w:t>
      </w:r>
      <w:r w:rsidR="00ED3542">
        <w:fldChar w:fldCharType="begin"/>
      </w:r>
      <w:r w:rsidR="00ED3542">
        <w:instrText xml:space="preserve"> REF _Ref72831163 \h </w:instrText>
      </w:r>
      <w:r w:rsidR="00ED3542">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16</w:t>
      </w:r>
      <w:r w:rsidR="00ED3542">
        <w:fldChar w:fldCharType="end"/>
      </w:r>
      <w:r w:rsidR="00ED3542">
        <w:t>.</w:t>
      </w:r>
    </w:p>
    <w:p w14:paraId="26279CCF" w14:textId="77777777" w:rsidR="00806B61" w:rsidRPr="00604FD3" w:rsidRDefault="00806B61" w:rsidP="00806B61">
      <w:pPr>
        <w:pStyle w:val="Heading4"/>
      </w:pPr>
      <w:r w:rsidRPr="00604FD3">
        <w:t>Water Management Model</w:t>
      </w:r>
    </w:p>
    <w:p w14:paraId="30B6DB7D" w14:textId="11D14DAA" w:rsidR="00806B61" w:rsidRDefault="00806B61" w:rsidP="00A3436D">
      <w:pPr>
        <w:pStyle w:val="BodyText"/>
      </w:pPr>
      <w:r w:rsidRPr="64B33465">
        <w:rPr>
          <w:rStyle w:val="BodyTextChar"/>
        </w:rPr>
        <w:t xml:space="preserve">The first part of WMP includes the large-scale river routing and water management using MOSART-WM, which </w:t>
      </w:r>
      <w:r w:rsidRPr="3ADD3F87">
        <w:rPr>
          <w:rStyle w:val="BodyTextChar"/>
        </w:rPr>
        <w:t>consist</w:t>
      </w:r>
      <w:r>
        <w:rPr>
          <w:rStyle w:val="BodyTextChar"/>
        </w:rPr>
        <w:t>ed</w:t>
      </w:r>
      <w:r w:rsidRPr="3ADD3F87">
        <w:rPr>
          <w:rStyle w:val="BodyTextChar"/>
        </w:rPr>
        <w:t xml:space="preserve"> of </w:t>
      </w:r>
      <w:r>
        <w:rPr>
          <w:rStyle w:val="BodyTextChar"/>
        </w:rPr>
        <w:t>the</w:t>
      </w:r>
      <w:r w:rsidRPr="3ADD3F87">
        <w:rPr>
          <w:rStyle w:val="BodyTextChar"/>
        </w:rPr>
        <w:t xml:space="preserve"> grid</w:t>
      </w:r>
      <w:r w:rsidRPr="64B33465">
        <w:rPr>
          <w:rStyle w:val="BodyTextChar"/>
        </w:rPr>
        <w:t>-based river routing Model for Scale Adaptive River Transport (MOSART; Li et al., 2013) and a water management component (Voisin et al., 2013a) used to simulate future regulated river flow. To address the lack of available information on individual reservoir operating rules and the computational trade</w:t>
      </w:r>
      <w:r>
        <w:rPr>
          <w:rStyle w:val="BodyTextChar"/>
        </w:rPr>
        <w:t>-</w:t>
      </w:r>
      <w:r w:rsidRPr="64B33465">
        <w:rPr>
          <w:rStyle w:val="BodyTextChar"/>
        </w:rPr>
        <w:t xml:space="preserve">offs associated with the spatially distributed nature of the model (65,000 grid cells in the CONUS domain), each reservoir uses generic operating rules (Hanasaki et al., 2006) based on their main operating purposes (e.g., irrigation, flood control). The monthly operating rules are customized for each reservoir based on expected long-term mean monthly and annual inflow, </w:t>
      </w:r>
      <w:r w:rsidRPr="64B33465">
        <w:rPr>
          <w:rStyle w:val="BodyTextChar"/>
        </w:rPr>
        <w:lastRenderedPageBreak/>
        <w:t>downstream demand, and reservoir storage capabilities for managing reservoir volume and release targets. Those monthly rules are updated annually based on water year conditions (wet, dry, or normal year). Flow releases from the reservoir are updated daily based on the operating rules, inflow, minimum environmental flow release, and minimum/maximum storage capacity. The hydropower module presented in the next section specifies the distribution of daily release into penstock and environmental spill.</w:t>
      </w:r>
    </w:p>
    <w:p w14:paraId="2FB9F0C7" w14:textId="7A8B0BC1" w:rsidR="00AA333F" w:rsidRDefault="004801B8" w:rsidP="00C82290">
      <w:pPr>
        <w:pStyle w:val="FIGUREposition"/>
        <w:rPr>
          <w:lang w:eastAsia="zh-TW"/>
        </w:rPr>
      </w:pPr>
      <w:r>
        <w:rPr>
          <w:noProof/>
        </w:rPr>
        <w:drawing>
          <wp:inline distT="0" distB="0" distL="0" distR="0" wp14:anchorId="04E90E5D" wp14:editId="09BC86AC">
            <wp:extent cx="5900541" cy="1869719"/>
            <wp:effectExtent l="0" t="0" r="0" b="0"/>
            <wp:docPr id="1118564427" name="Picture 111856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64427" name="Picture 1118564427"/>
                    <pic:cNvPicPr/>
                  </pic:nvPicPr>
                  <pic:blipFill>
                    <a:blip r:embed="rId64"/>
                    <a:stretch>
                      <a:fillRect/>
                    </a:stretch>
                  </pic:blipFill>
                  <pic:spPr>
                    <a:xfrm>
                      <a:off x="0" y="0"/>
                      <a:ext cx="5900541" cy="1869719"/>
                    </a:xfrm>
                    <a:prstGeom prst="rect">
                      <a:avLst/>
                    </a:prstGeom>
                  </pic:spPr>
                </pic:pic>
              </a:graphicData>
            </a:graphic>
          </wp:inline>
        </w:drawing>
      </w:r>
    </w:p>
    <w:p w14:paraId="65AC51C5" w14:textId="089A8D20" w:rsidR="004801B8" w:rsidRPr="006869CA" w:rsidRDefault="004801B8" w:rsidP="004801B8">
      <w:pPr>
        <w:pStyle w:val="FigureCaption"/>
      </w:pPr>
      <w:bookmarkStart w:id="164" w:name="_Ref72831163"/>
      <w:bookmarkStart w:id="165" w:name="_Toc113380880"/>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16</w:t>
      </w:r>
      <w:r w:rsidRPr="006869CA">
        <w:rPr>
          <w:lang w:eastAsia="zh-TW"/>
        </w:rPr>
        <w:fldChar w:fldCharType="end"/>
      </w:r>
      <w:bookmarkEnd w:id="164"/>
      <w:r w:rsidRPr="006869CA">
        <w:rPr>
          <w:lang w:eastAsia="zh-TW"/>
        </w:rPr>
        <w:t xml:space="preserve">. </w:t>
      </w:r>
      <w:r>
        <w:rPr>
          <w:lang w:eastAsia="zh-TW"/>
        </w:rPr>
        <w:t>Schema of WMP</w:t>
      </w:r>
      <w:r w:rsidRPr="00A32098">
        <w:rPr>
          <w:bCs/>
          <w:szCs w:val="20"/>
        </w:rPr>
        <w:t>.</w:t>
      </w:r>
      <w:bookmarkEnd w:id="165"/>
    </w:p>
    <w:p w14:paraId="6C8AA53F" w14:textId="77777777" w:rsidR="002C4E80" w:rsidRDefault="002C4E80" w:rsidP="001324FA">
      <w:pPr>
        <w:pStyle w:val="BodyText"/>
        <w:rPr>
          <w:rStyle w:val="BodyTextChar"/>
        </w:rPr>
      </w:pPr>
    </w:p>
    <w:p w14:paraId="5226A271" w14:textId="278F2232" w:rsidR="007E6DE8" w:rsidRDefault="00604803" w:rsidP="001324FA">
      <w:pPr>
        <w:pStyle w:val="BodyText"/>
        <w:rPr>
          <w:rStyle w:val="BodyTextChar"/>
        </w:rPr>
      </w:pPr>
      <w:r w:rsidRPr="003C2A30">
        <w:rPr>
          <w:rStyle w:val="BodyTextChar"/>
        </w:rPr>
        <w:t xml:space="preserve">Details </w:t>
      </w:r>
      <w:r w:rsidR="005606E5">
        <w:rPr>
          <w:rStyle w:val="BodyTextChar"/>
        </w:rPr>
        <w:t xml:space="preserve">of </w:t>
      </w:r>
      <w:r w:rsidRPr="003C2A30">
        <w:rPr>
          <w:rStyle w:val="BodyTextChar"/>
        </w:rPr>
        <w:t xml:space="preserve">how operation rules are determined </w:t>
      </w:r>
      <w:r w:rsidR="004A55F5">
        <w:rPr>
          <w:rStyle w:val="BodyTextChar"/>
        </w:rPr>
        <w:t xml:space="preserve">are provided by </w:t>
      </w:r>
      <w:r w:rsidRPr="003C2A30">
        <w:rPr>
          <w:rStyle w:val="BodyTextChar"/>
        </w:rPr>
        <w:t>Voisin et al</w:t>
      </w:r>
      <w:r>
        <w:rPr>
          <w:rStyle w:val="BodyTextChar"/>
        </w:rPr>
        <w:t>.</w:t>
      </w:r>
      <w:r w:rsidRPr="003C2A30">
        <w:rPr>
          <w:rStyle w:val="BodyTextChar"/>
        </w:rPr>
        <w:t xml:space="preserve"> (2013a). The </w:t>
      </w:r>
      <w:r>
        <w:rPr>
          <w:rStyle w:val="BodyTextChar"/>
        </w:rPr>
        <w:t>MOSART-</w:t>
      </w:r>
      <w:r w:rsidRPr="003C2A30">
        <w:rPr>
          <w:rStyle w:val="BodyTextChar"/>
        </w:rPr>
        <w:t xml:space="preserve">WM model has been shown to represent seasonal variations in regulated river flows across the </w:t>
      </w:r>
      <w:r>
        <w:rPr>
          <w:rStyle w:val="BodyTextChar"/>
        </w:rPr>
        <w:t xml:space="preserve">United States </w:t>
      </w:r>
      <w:r w:rsidRPr="00915C0A">
        <w:rPr>
          <w:rStyle w:val="BodyTextChar"/>
        </w:rPr>
        <w:t>(Hejazi et al., 2015; Voisin et al., 2017; Voisin et al., 2013</w:t>
      </w:r>
      <w:r>
        <w:rPr>
          <w:rStyle w:val="BodyTextChar"/>
        </w:rPr>
        <w:t xml:space="preserve">a and </w:t>
      </w:r>
      <w:r w:rsidRPr="00915C0A">
        <w:rPr>
          <w:rStyle w:val="BodyTextChar"/>
        </w:rPr>
        <w:t>2013</w:t>
      </w:r>
      <w:r>
        <w:rPr>
          <w:rStyle w:val="BodyTextChar"/>
        </w:rPr>
        <w:t>b</w:t>
      </w:r>
      <w:r w:rsidRPr="00915C0A">
        <w:rPr>
          <w:rStyle w:val="BodyTextChar"/>
        </w:rPr>
        <w:t>; Zhou et al., 2018)</w:t>
      </w:r>
      <w:r w:rsidRPr="003C2A30">
        <w:rPr>
          <w:rStyle w:val="BodyTextChar"/>
        </w:rPr>
        <w:t xml:space="preserve"> and is similar to other large-scale </w:t>
      </w:r>
      <w:r>
        <w:rPr>
          <w:snapToGrid/>
        </w:rPr>
        <w:t>water management</w:t>
      </w:r>
      <w:r w:rsidRPr="003C2A30">
        <w:rPr>
          <w:rStyle w:val="BodyTextChar"/>
        </w:rPr>
        <w:t xml:space="preserve"> applications in terms of handling water withdrawal and dam operations </w:t>
      </w:r>
      <w:r w:rsidRPr="009F6665">
        <w:rPr>
          <w:rStyle w:val="BodyTextChar"/>
        </w:rPr>
        <w:t>(Biemans et al., 2011; Döll et al., 2012; Hanasaki et al., 2006; van Vliet et al., 2012; Zhou et</w:t>
      </w:r>
      <w:r w:rsidR="004A55F5">
        <w:rPr>
          <w:rStyle w:val="BodyTextChar"/>
        </w:rPr>
        <w:t> </w:t>
      </w:r>
      <w:r w:rsidRPr="009F6665">
        <w:rPr>
          <w:rStyle w:val="BodyTextChar"/>
        </w:rPr>
        <w:t>al., 2016)</w:t>
      </w:r>
      <w:r w:rsidRPr="003C2A30">
        <w:rPr>
          <w:rStyle w:val="BodyTextChar"/>
        </w:rPr>
        <w:t xml:space="preserve">. They do not reflect the complex daily operations due to a lack of operating rules information. </w:t>
      </w:r>
      <w:r>
        <w:rPr>
          <w:rStyle w:val="BodyTextChar"/>
        </w:rPr>
        <w:t>T</w:t>
      </w:r>
      <w:r w:rsidRPr="003C2A30">
        <w:rPr>
          <w:rStyle w:val="BodyTextChar"/>
        </w:rPr>
        <w:t xml:space="preserve">he </w:t>
      </w:r>
      <w:r>
        <w:rPr>
          <w:rStyle w:val="BodyTextChar"/>
        </w:rPr>
        <w:t>MOSART-</w:t>
      </w:r>
      <w:r w:rsidRPr="003C2A30">
        <w:rPr>
          <w:rStyle w:val="BodyTextChar"/>
        </w:rPr>
        <w:t xml:space="preserve">WM model simulated </w:t>
      </w:r>
      <w:r w:rsidR="004A55F5">
        <w:rPr>
          <w:rStyle w:val="BodyTextChar"/>
        </w:rPr>
        <w:t xml:space="preserve">more than </w:t>
      </w:r>
      <w:r>
        <w:rPr>
          <w:rStyle w:val="BodyTextChar"/>
        </w:rPr>
        <w:t>1,839</w:t>
      </w:r>
      <w:r w:rsidRPr="003C2A30">
        <w:rPr>
          <w:rStyle w:val="BodyTextChar"/>
        </w:rPr>
        <w:t xml:space="preserve"> reservoirs over the entire </w:t>
      </w:r>
      <w:r>
        <w:rPr>
          <w:rStyle w:val="BodyTextChar"/>
        </w:rPr>
        <w:t>CONUS</w:t>
      </w:r>
      <w:r w:rsidRPr="003C2A30">
        <w:rPr>
          <w:rStyle w:val="BodyTextChar"/>
        </w:rPr>
        <w:t xml:space="preserve"> (</w:t>
      </w:r>
      <w:r>
        <w:rPr>
          <w:rStyle w:val="BodyTextChar"/>
        </w:rPr>
        <w:fldChar w:fldCharType="begin"/>
      </w:r>
      <w:r>
        <w:rPr>
          <w:rStyle w:val="BodyTextChar"/>
        </w:rPr>
        <w:instrText xml:space="preserve"> REF _Ref75956240 \h </w:instrText>
      </w:r>
      <w:r>
        <w:rPr>
          <w:rStyle w:val="BodyTextChar"/>
        </w:rPr>
      </w:r>
      <w:r>
        <w:rPr>
          <w:rStyle w:val="BodyTextChar"/>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17</w:t>
      </w:r>
      <w:r>
        <w:rPr>
          <w:rStyle w:val="BodyTextChar"/>
        </w:rPr>
        <w:fldChar w:fldCharType="end"/>
      </w:r>
      <w:r w:rsidRPr="003C2A30">
        <w:rPr>
          <w:rStyle w:val="BodyTextChar"/>
        </w:rPr>
        <w:t>) with basic information (e.g.</w:t>
      </w:r>
      <w:r>
        <w:rPr>
          <w:rStyle w:val="BodyTextChar"/>
        </w:rPr>
        <w:t>,</w:t>
      </w:r>
      <w:r w:rsidRPr="003C2A30">
        <w:rPr>
          <w:rStyle w:val="BodyTextChar"/>
        </w:rPr>
        <w:t xml:space="preserve"> functionality, storage capacity) taken from the GRanD</w:t>
      </w:r>
      <w:r>
        <w:rPr>
          <w:rStyle w:val="BodyTextChar"/>
        </w:rPr>
        <w:t xml:space="preserve"> (</w:t>
      </w:r>
      <w:r w:rsidRPr="003B4B0B">
        <w:rPr>
          <w:rStyle w:val="BodyTextChar"/>
        </w:rPr>
        <w:t>Lehner et al., 2011)</w:t>
      </w:r>
      <w:r>
        <w:rPr>
          <w:rStyle w:val="BodyTextChar"/>
        </w:rPr>
        <w:t xml:space="preserve"> </w:t>
      </w:r>
      <w:r w:rsidRPr="003C2A30">
        <w:rPr>
          <w:rStyle w:val="BodyTextChar"/>
        </w:rPr>
        <w:t xml:space="preserve">and </w:t>
      </w:r>
      <w:r>
        <w:rPr>
          <w:rStyle w:val="BodyTextChar"/>
        </w:rPr>
        <w:t>N</w:t>
      </w:r>
      <w:r w:rsidRPr="003C2A30">
        <w:rPr>
          <w:rStyle w:val="BodyTextChar"/>
        </w:rPr>
        <w:t>ID</w:t>
      </w:r>
      <w:r w:rsidRPr="64B33465">
        <w:rPr>
          <w:rStyle w:val="BodyTextChar"/>
        </w:rPr>
        <w:t xml:space="preserve"> database</w:t>
      </w:r>
      <w:r w:rsidRPr="35BFACD2">
        <w:rPr>
          <w:rStyle w:val="BodyTextChar"/>
        </w:rPr>
        <w:t>.</w:t>
      </w:r>
      <w:r>
        <w:rPr>
          <w:rStyle w:val="BodyTextChar"/>
        </w:rPr>
        <w:t xml:space="preserve"> MOSART-WM was driven by daily runoff simulated by VIC and PRMS aggregated to 1/8</w:t>
      </w:r>
      <w:r>
        <w:rPr>
          <w:rStyle w:val="BodyTextChar"/>
          <w:rFonts w:ascii="Symbol" w:eastAsia="Symbol" w:hAnsi="Symbol" w:cs="Symbol"/>
        </w:rPr>
        <w:t>°</w:t>
      </w:r>
      <w:r>
        <w:rPr>
          <w:rStyle w:val="BodyTextChar"/>
        </w:rPr>
        <w:t xml:space="preserve"> resolution.</w:t>
      </w:r>
    </w:p>
    <w:p w14:paraId="71429781" w14:textId="7D23779D" w:rsidR="00FD438C" w:rsidRDefault="00FD438C" w:rsidP="001324FA">
      <w:pPr>
        <w:pStyle w:val="BodyText"/>
        <w:rPr>
          <w:lang w:eastAsia="zh-TW"/>
        </w:rPr>
      </w:pPr>
      <w:r>
        <w:t xml:space="preserve">Daily </w:t>
      </w:r>
      <w:r w:rsidRPr="00F32F84">
        <w:t xml:space="preserve">gridded water demand </w:t>
      </w:r>
      <w:r>
        <w:t xml:space="preserve">data are required input for MOSART-WM to guide the irrigation and non-irrigation water withdrawals from the streamflow and upstream reservoirs. Both consumptive and withdrawal water demands are required and at a minimum, the consumptive water demand, which is not available from USGS data sets after 2005. The consumptive data were </w:t>
      </w:r>
      <w:r w:rsidRPr="00F32F84">
        <w:t>derived from the integrated Global Change</w:t>
      </w:r>
      <w:r>
        <w:t xml:space="preserve"> </w:t>
      </w:r>
      <w:r w:rsidRPr="00F32F84">
        <w:t>Assessment Model (Hejazi et al</w:t>
      </w:r>
      <w:r>
        <w:t>.,</w:t>
      </w:r>
      <w:r w:rsidRPr="00F32F84">
        <w:t xml:space="preserve"> 2015), which considers multiple water demand sectors and </w:t>
      </w:r>
      <w:r>
        <w:t xml:space="preserve">several </w:t>
      </w:r>
      <w:r w:rsidRPr="00F32F84">
        <w:t>socioeconomic variables</w:t>
      </w:r>
      <w:r>
        <w:t>,</w:t>
      </w:r>
      <w:r w:rsidRPr="00F32F84">
        <w:t xml:space="preserve"> such as population, labor productivity, and technology</w:t>
      </w:r>
      <w:r>
        <w:t xml:space="preserve"> </w:t>
      </w:r>
      <w:r w:rsidRPr="007175C3">
        <w:t xml:space="preserve">(Edmonds et al., 1997; Edmonds </w:t>
      </w:r>
      <w:r>
        <w:t>and</w:t>
      </w:r>
      <w:r w:rsidRPr="007175C3">
        <w:t xml:space="preserve"> Reilly, 1985; Kim et al., 2006)</w:t>
      </w:r>
      <w:r>
        <w:t xml:space="preserve">. For this study, the water demand levels were constant and similar to levels in 2010. The monthly sectoral water demands were calibrated and evaluated with respect to USGS water demand, as described by Voisin et al. (2013b). </w:t>
      </w:r>
      <w:r w:rsidRPr="00F32F84">
        <w:t>The</w:t>
      </w:r>
      <w:r>
        <w:t xml:space="preserve"> </w:t>
      </w:r>
      <w:r w:rsidRPr="00F32F84">
        <w:t>MOSART-WM</w:t>
      </w:r>
      <w:r>
        <w:t xml:space="preserve"> </w:t>
      </w:r>
      <w:r w:rsidRPr="00F32F84">
        <w:t>model was run at daily time steps from 198</w:t>
      </w:r>
      <w:r>
        <w:t xml:space="preserve">0 to </w:t>
      </w:r>
      <w:r w:rsidRPr="00F32F84">
        <w:t>20</w:t>
      </w:r>
      <w:r>
        <w:t>59</w:t>
      </w:r>
      <w:r w:rsidRPr="00F32F84">
        <w:t xml:space="preserve"> after a </w:t>
      </w:r>
      <w:r>
        <w:t>5</w:t>
      </w:r>
      <w:r w:rsidRPr="00F32F84">
        <w:t>-year spin</w:t>
      </w:r>
      <w:r>
        <w:t>-</w:t>
      </w:r>
      <w:r w:rsidRPr="00F32F84">
        <w:t>up</w:t>
      </w:r>
      <w:r>
        <w:t xml:space="preserve"> with the 1980 runoff</w:t>
      </w:r>
      <w:r w:rsidRPr="00F32F84">
        <w:t>. The regulated</w:t>
      </w:r>
      <w:r>
        <w:t xml:space="preserve"> stream</w:t>
      </w:r>
      <w:r w:rsidRPr="00F32F84">
        <w:t>flow</w:t>
      </w:r>
      <w:r>
        <w:t xml:space="preserve"> </w:t>
      </w:r>
      <w:r w:rsidRPr="00F32F84">
        <w:t xml:space="preserve">at </w:t>
      </w:r>
      <w:r>
        <w:t>128</w:t>
      </w:r>
      <w:r w:rsidRPr="00F32F84">
        <w:t xml:space="preserve"> </w:t>
      </w:r>
      <w:r>
        <w:t>federal</w:t>
      </w:r>
      <w:r w:rsidRPr="00F32F84">
        <w:t xml:space="preserve"> hydropower plants</w:t>
      </w:r>
      <w:r>
        <w:rPr>
          <w:rStyle w:val="FootnoteReference"/>
        </w:rPr>
        <w:footnoteReference w:id="6"/>
      </w:r>
      <w:r w:rsidRPr="00F32F84">
        <w:t xml:space="preserve"> w</w:t>
      </w:r>
      <w:r>
        <w:t>as</w:t>
      </w:r>
      <w:r w:rsidRPr="00F32F84">
        <w:t xml:space="preserve"> extracted as input for the process-based hydropower generation model. For </w:t>
      </w:r>
      <w:r>
        <w:t>hydro</w:t>
      </w:r>
      <w:r w:rsidRPr="00F32F84">
        <w:t xml:space="preserve">power plants associated with reservoirs, the MOSART-WM-simulated storage time series </w:t>
      </w:r>
      <w:r>
        <w:t>was</w:t>
      </w:r>
      <w:r w:rsidRPr="00F32F84">
        <w:t xml:space="preserve"> also extracted to derive the hydraulic heads.</w:t>
      </w:r>
    </w:p>
    <w:p w14:paraId="73D47CED" w14:textId="0C45B36F" w:rsidR="009D5743" w:rsidRDefault="00E10B44" w:rsidP="00C82290">
      <w:pPr>
        <w:pStyle w:val="FIGUREposition"/>
        <w:rPr>
          <w:lang w:eastAsia="zh-TW"/>
        </w:rPr>
      </w:pPr>
      <w:bookmarkStart w:id="166" w:name="_Ref72831082"/>
      <w:r>
        <w:rPr>
          <w:noProof/>
        </w:rPr>
        <w:lastRenderedPageBreak/>
        <w:drawing>
          <wp:inline distT="0" distB="0" distL="0" distR="0" wp14:anchorId="6901651D" wp14:editId="21B201BF">
            <wp:extent cx="5486400" cy="364609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65"/>
                    <a:srcRect l="38" r="38"/>
                    <a:stretch>
                      <a:fillRect/>
                    </a:stretch>
                  </pic:blipFill>
                  <pic:spPr bwMode="auto">
                    <a:xfrm>
                      <a:off x="0" y="0"/>
                      <a:ext cx="5486400" cy="3646097"/>
                    </a:xfrm>
                    <a:prstGeom prst="rect">
                      <a:avLst/>
                    </a:prstGeom>
                    <a:noFill/>
                    <a:ln>
                      <a:noFill/>
                    </a:ln>
                    <a:extLst>
                      <a:ext uri="{53640926-AAD7-44D8-BBD7-CCE9431645EC}">
                        <a14:shadowObscured xmlns:a14="http://schemas.microsoft.com/office/drawing/2010/main"/>
                      </a:ext>
                    </a:extLst>
                  </pic:spPr>
                </pic:pic>
              </a:graphicData>
            </a:graphic>
          </wp:inline>
        </w:drawing>
      </w:r>
    </w:p>
    <w:p w14:paraId="1E80860D" w14:textId="18569CDE" w:rsidR="004801B8" w:rsidRPr="006869CA" w:rsidRDefault="004801B8" w:rsidP="00C82290">
      <w:pPr>
        <w:pStyle w:val="FigureCaption"/>
      </w:pPr>
      <w:bookmarkStart w:id="167" w:name="_Ref75956240"/>
      <w:bookmarkStart w:id="168" w:name="_Toc113380881"/>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17</w:t>
      </w:r>
      <w:r w:rsidRPr="006869CA">
        <w:rPr>
          <w:lang w:eastAsia="zh-TW"/>
        </w:rPr>
        <w:fldChar w:fldCharType="end"/>
      </w:r>
      <w:bookmarkEnd w:id="166"/>
      <w:bookmarkEnd w:id="167"/>
      <w:r w:rsidRPr="006869CA">
        <w:rPr>
          <w:lang w:eastAsia="zh-TW"/>
        </w:rPr>
        <w:t xml:space="preserve">. </w:t>
      </w:r>
      <w:r w:rsidR="00B3683A">
        <w:t>Map of powered and nonpowered dams represented in MOSART-WM and</w:t>
      </w:r>
      <w:r w:rsidR="004A55F5">
        <w:t> </w:t>
      </w:r>
      <w:r w:rsidR="00B3683A">
        <w:t>WMP</w:t>
      </w:r>
      <w:r w:rsidR="004A55F5">
        <w:t> </w:t>
      </w:r>
      <w:r w:rsidR="00B3683A">
        <w:t>over</w:t>
      </w:r>
      <w:r w:rsidR="004A55F5">
        <w:t> </w:t>
      </w:r>
      <w:r w:rsidR="00B3683A">
        <w:t>the</w:t>
      </w:r>
      <w:r w:rsidR="004A55F5">
        <w:t> </w:t>
      </w:r>
      <w:r w:rsidR="009C18B0">
        <w:t>CONUS</w:t>
      </w:r>
      <w:r>
        <w:t>.</w:t>
      </w:r>
      <w:bookmarkEnd w:id="168"/>
    </w:p>
    <w:p w14:paraId="3FA3022A" w14:textId="797CEF40" w:rsidR="004801B8" w:rsidRPr="00D07AFF" w:rsidRDefault="003A74A9" w:rsidP="000E4792">
      <w:pPr>
        <w:pStyle w:val="Heading4"/>
      </w:pPr>
      <w:r w:rsidRPr="00D07AFF">
        <w:t>Hydropower Model</w:t>
      </w:r>
    </w:p>
    <w:p w14:paraId="10A5BDFF" w14:textId="48F35B64" w:rsidR="001912B2" w:rsidRPr="00BE5553" w:rsidRDefault="001912B2" w:rsidP="001912B2">
      <w:pPr>
        <w:pStyle w:val="BodyText"/>
      </w:pPr>
      <w:r w:rsidRPr="00BE5553">
        <w:t xml:space="preserve">The second part of WMP is the </w:t>
      </w:r>
      <w:r>
        <w:t xml:space="preserve">process-based </w:t>
      </w:r>
      <w:r w:rsidRPr="00BE5553">
        <w:t xml:space="preserve">hydropower model that predicts the power generation from the streamflow </w:t>
      </w:r>
      <w:r>
        <w:t xml:space="preserve">and reservoir operations </w:t>
      </w:r>
      <w:r w:rsidRPr="00BE5553">
        <w:t>simulated by MOSART-WM through three major steps.</w:t>
      </w:r>
    </w:p>
    <w:p w14:paraId="489CFD35" w14:textId="5F7F2FDB" w:rsidR="004801B8" w:rsidRDefault="004801B8" w:rsidP="009D799D">
      <w:pPr>
        <w:pStyle w:val="BodyText"/>
        <w:rPr>
          <w:sz w:val="28"/>
          <w:szCs w:val="28"/>
        </w:rPr>
      </w:pPr>
      <w:r w:rsidRPr="003E07A6">
        <w:rPr>
          <w:b/>
          <w:szCs w:val="24"/>
        </w:rPr>
        <w:t xml:space="preserve">Step </w:t>
      </w:r>
      <w:r>
        <w:rPr>
          <w:b/>
          <w:szCs w:val="24"/>
        </w:rPr>
        <w:t>1</w:t>
      </w:r>
      <w:r w:rsidR="006E77BE">
        <w:rPr>
          <w:b/>
          <w:szCs w:val="24"/>
        </w:rPr>
        <w:t>:</w:t>
      </w:r>
      <w:r w:rsidRPr="003E07A6">
        <w:rPr>
          <w:b/>
          <w:szCs w:val="24"/>
        </w:rPr>
        <w:t xml:space="preserve"> </w:t>
      </w:r>
      <w:r>
        <w:rPr>
          <w:b/>
          <w:szCs w:val="24"/>
        </w:rPr>
        <w:t>H</w:t>
      </w:r>
      <w:r w:rsidRPr="00C91DB5">
        <w:rPr>
          <w:b/>
          <w:szCs w:val="24"/>
        </w:rPr>
        <w:t xml:space="preserve">ydraulic head for storage projects and </w:t>
      </w:r>
      <w:r w:rsidR="00C34E1D" w:rsidRPr="00C91DB5">
        <w:rPr>
          <w:b/>
          <w:szCs w:val="24"/>
        </w:rPr>
        <w:t>run</w:t>
      </w:r>
      <w:r w:rsidR="00C34E1D">
        <w:rPr>
          <w:b/>
          <w:szCs w:val="24"/>
        </w:rPr>
        <w:t>-</w:t>
      </w:r>
      <w:r w:rsidR="00C34E1D" w:rsidRPr="00C91DB5">
        <w:rPr>
          <w:b/>
          <w:szCs w:val="24"/>
        </w:rPr>
        <w:t>of</w:t>
      </w:r>
      <w:r w:rsidR="00C34E1D">
        <w:rPr>
          <w:b/>
          <w:szCs w:val="24"/>
        </w:rPr>
        <w:t>-</w:t>
      </w:r>
      <w:r w:rsidR="00C34E1D" w:rsidRPr="00C91DB5">
        <w:rPr>
          <w:b/>
          <w:szCs w:val="24"/>
        </w:rPr>
        <w:t>the</w:t>
      </w:r>
      <w:r w:rsidR="00C34E1D">
        <w:rPr>
          <w:b/>
          <w:szCs w:val="24"/>
        </w:rPr>
        <w:t>-</w:t>
      </w:r>
      <w:r w:rsidRPr="00C91DB5">
        <w:rPr>
          <w:b/>
          <w:szCs w:val="24"/>
        </w:rPr>
        <w:t xml:space="preserve">river </w:t>
      </w:r>
      <w:r w:rsidR="006D2B96">
        <w:rPr>
          <w:b/>
          <w:szCs w:val="24"/>
        </w:rPr>
        <w:t xml:space="preserve">(ROR) </w:t>
      </w:r>
      <w:r w:rsidRPr="00C91DB5">
        <w:rPr>
          <w:b/>
          <w:szCs w:val="24"/>
        </w:rPr>
        <w:t>dams</w:t>
      </w:r>
      <w:r w:rsidR="003B58F7">
        <w:t xml:space="preserve">. </w:t>
      </w:r>
      <w:r w:rsidRPr="00C523EA">
        <w:t>The enhanced process-based hydropower generation model (</w:t>
      </w:r>
      <w:r w:rsidR="001B2AC0">
        <w:fldChar w:fldCharType="begin"/>
      </w:r>
      <w:r w:rsidR="001B2AC0">
        <w:instrText xml:space="preserve"> REF _Ref72831163 \h </w:instrText>
      </w:r>
      <w:r w:rsidR="001B2AC0">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16</w:t>
      </w:r>
      <w:r w:rsidR="001B2AC0">
        <w:fldChar w:fldCharType="end"/>
      </w:r>
      <w:r w:rsidRPr="00C523EA">
        <w:t>) first determine</w:t>
      </w:r>
      <w:r w:rsidR="004A55F5">
        <w:t>d</w:t>
      </w:r>
      <w:r w:rsidRPr="00C523EA">
        <w:t xml:space="preserve"> whether the simulated power plant is associated with a reservoir. </w:t>
      </w:r>
      <w:r w:rsidR="003B58F7">
        <w:t>Of</w:t>
      </w:r>
      <w:r w:rsidR="003B58F7" w:rsidRPr="00C523EA">
        <w:t xml:space="preserve"> </w:t>
      </w:r>
      <w:r w:rsidRPr="00C523EA">
        <w:t>the</w:t>
      </w:r>
      <w:r w:rsidR="003B58F7">
        <w:t xml:space="preserve"> 128</w:t>
      </w:r>
      <w:r w:rsidRPr="00C523EA">
        <w:t xml:space="preserve"> simulated hydropower plants, </w:t>
      </w:r>
      <w:r>
        <w:t>49</w:t>
      </w:r>
      <w:r w:rsidRPr="00C523EA">
        <w:t xml:space="preserve"> of them are ROR dams for which reservoir storage variations are not explicitly simulated</w:t>
      </w:r>
      <w:r>
        <w:t xml:space="preserve"> in MOSART-WM</w:t>
      </w:r>
      <w:r w:rsidRPr="00C523EA">
        <w:t>, and only the flow is used to estimate generation. For</w:t>
      </w:r>
      <w:r>
        <w:t xml:space="preserve"> </w:t>
      </w:r>
      <w:r w:rsidRPr="00C523EA">
        <w:t>ROR</w:t>
      </w:r>
      <w:r>
        <w:t xml:space="preserve"> </w:t>
      </w:r>
      <w:r w:rsidRPr="00C523EA">
        <w:t>plants, the hydraulic heads (</w:t>
      </w:r>
      <w:r w:rsidRPr="006D77C7">
        <w:rPr>
          <w:i/>
          <w:iCs/>
        </w:rPr>
        <w:t xml:space="preserve">h, </w:t>
      </w:r>
      <w:r w:rsidRPr="003761F3">
        <w:t>m</w:t>
      </w:r>
      <w:r w:rsidRPr="00C523EA">
        <w:t>)</w:t>
      </w:r>
      <w:r>
        <w:t xml:space="preserve"> </w:t>
      </w:r>
      <w:r w:rsidRPr="00C523EA">
        <w:t>were</w:t>
      </w:r>
      <w:r>
        <w:t xml:space="preserve"> </w:t>
      </w:r>
      <w:r w:rsidRPr="00C523EA">
        <w:t>assumed to</w:t>
      </w:r>
      <w:r>
        <w:t xml:space="preserve"> </w:t>
      </w:r>
      <w:r w:rsidRPr="00C523EA">
        <w:t>be</w:t>
      </w:r>
      <w:r>
        <w:t xml:space="preserve"> </w:t>
      </w:r>
      <w:r w:rsidRPr="00C523EA">
        <w:t>unchanged</w:t>
      </w:r>
      <w:r>
        <w:t xml:space="preserve"> and equal to the dam height (</w:t>
      </w:r>
      <w:r w:rsidRPr="00B82F1A">
        <w:rPr>
          <w:i/>
          <w:iCs/>
        </w:rPr>
        <w:t xml:space="preserve">H, </w:t>
      </w:r>
      <w:r w:rsidRPr="003761F3">
        <w:t>m</w:t>
      </w:r>
      <w:r>
        <w:t xml:space="preserve">). For plants associated with reservoirs, the hydraulic heads at each time step were estimated based on the </w:t>
      </w:r>
      <w:r w:rsidRPr="00EE1AFC">
        <w:t>simulated storage (</w:t>
      </w:r>
      <w:r w:rsidRPr="00B017CB">
        <w:rPr>
          <w:i/>
        </w:rPr>
        <w:t>V</w:t>
      </w:r>
      <w:r w:rsidRPr="00EE1AFC">
        <w:t>,</w:t>
      </w:r>
      <w:r w:rsidR="00147230">
        <w:t xml:space="preserve"> </w:t>
      </w:r>
      <w:r w:rsidRPr="00EE1AFC">
        <w:t>m</w:t>
      </w:r>
      <w:r w:rsidRPr="00B017CB">
        <w:rPr>
          <w:vertAlign w:val="superscript"/>
        </w:rPr>
        <w:t>3</w:t>
      </w:r>
      <w:r w:rsidRPr="00EE1AFC">
        <w:t>) time series by assuming the shape of the reservoir is a tetrahedron</w:t>
      </w:r>
      <w:r>
        <w:t xml:space="preserve"> </w:t>
      </w:r>
      <w:r w:rsidR="00147230" w:rsidRPr="00147230">
        <w:t>(Fekete et al., 2010)</w:t>
      </w:r>
      <w:r w:rsidRPr="00EE1AFC">
        <w:t xml:space="preserve"> represented by</w:t>
      </w:r>
    </w:p>
    <w:p w14:paraId="49AAA8A1" w14:textId="6DD361AB" w:rsidR="004801B8" w:rsidRPr="002E53E0" w:rsidRDefault="00945A5F" w:rsidP="00945A5F">
      <w:pPr>
        <w:pStyle w:val="BodyText"/>
        <w:rPr>
          <w:szCs w:val="24"/>
        </w:rPr>
      </w:pPr>
      <w:r>
        <w:rPr>
          <w:szCs w:val="24"/>
        </w:rPr>
        <w:ptab w:relativeTo="margin" w:alignment="center" w:leader="none"/>
      </w:r>
      <m:oMath>
        <m:r>
          <w:rPr>
            <w:rFonts w:ascii="Cambria Math" w:hAnsi="Cambria Math"/>
            <w:szCs w:val="24"/>
          </w:rPr>
          <m:t>h</m:t>
        </m:r>
        <m:r>
          <m:rPr>
            <m:sty m:val="p"/>
          </m:rPr>
          <w:rPr>
            <w:rFonts w:ascii="Cambria Math" w:hAnsi="Cambria Math"/>
            <w:szCs w:val="24"/>
          </w:rPr>
          <m:t>=</m:t>
        </m:r>
        <m:r>
          <w:rPr>
            <w:rFonts w:ascii="Cambria Math" w:hAnsi="Cambria Math"/>
            <w:szCs w:val="24"/>
          </w:rPr>
          <m:t>H</m:t>
        </m:r>
        <m:rad>
          <m:radPr>
            <m:ctrlPr>
              <w:rPr>
                <w:rFonts w:ascii="Cambria Math" w:hAnsi="Cambria Math"/>
                <w:iCs/>
                <w:szCs w:val="24"/>
              </w:rPr>
            </m:ctrlPr>
          </m:radPr>
          <m:deg>
            <m:r>
              <m:rPr>
                <m:sty m:val="p"/>
              </m:rPr>
              <w:rPr>
                <w:rFonts w:ascii="Cambria Math" w:hAnsi="Cambria Math"/>
                <w:szCs w:val="24"/>
              </w:rPr>
              <m:t>3</m:t>
            </m:r>
          </m:deg>
          <m:e>
            <m:f>
              <m:fPr>
                <m:ctrlPr>
                  <w:rPr>
                    <w:rFonts w:ascii="Cambria Math" w:hAnsi="Cambria Math"/>
                    <w:iCs/>
                    <w:szCs w:val="24"/>
                  </w:rPr>
                </m:ctrlPr>
              </m:fPr>
              <m:num>
                <m:r>
                  <w:rPr>
                    <w:rFonts w:ascii="Cambria Math" w:hAnsi="Cambria Math"/>
                    <w:szCs w:val="24"/>
                  </w:rPr>
                  <m:t>V</m:t>
                </m:r>
              </m:num>
              <m:den>
                <m:sSub>
                  <m:sSubPr>
                    <m:ctrlPr>
                      <w:rPr>
                        <w:rFonts w:ascii="Cambria Math" w:hAnsi="Cambria Math"/>
                        <w:iCs/>
                        <w:szCs w:val="24"/>
                      </w:rPr>
                    </m:ctrlPr>
                  </m:sSubPr>
                  <m:e>
                    <m:r>
                      <w:rPr>
                        <w:rFonts w:ascii="Cambria Math" w:hAnsi="Cambria Math"/>
                        <w:szCs w:val="24"/>
                      </w:rPr>
                      <m:t>V</m:t>
                    </m:r>
                  </m:e>
                  <m:sub>
                    <m:r>
                      <w:rPr>
                        <w:rFonts w:ascii="Cambria Math" w:hAnsi="Cambria Math"/>
                        <w:szCs w:val="24"/>
                      </w:rPr>
                      <m:t>max</m:t>
                    </m:r>
                  </m:sub>
                </m:sSub>
              </m:den>
            </m:f>
          </m:e>
        </m:rad>
      </m:oMath>
      <w:r w:rsidR="001E0750">
        <w:rPr>
          <w:szCs w:val="24"/>
        </w:rPr>
        <w:t xml:space="preserve"> ,</w:t>
      </w:r>
      <w:r>
        <w:rPr>
          <w:rFonts w:eastAsiaTheme="minorEastAsia"/>
          <w:iCs/>
          <w:szCs w:val="24"/>
        </w:rPr>
        <w:ptab w:relativeTo="margin" w:alignment="right" w:leader="none"/>
      </w:r>
      <w:r w:rsidR="004801B8" w:rsidRPr="002E53E0">
        <w:rPr>
          <w:rFonts w:eastAsiaTheme="minorEastAsia"/>
          <w:iCs/>
          <w:szCs w:val="24"/>
        </w:rPr>
        <w:t>(2</w:t>
      </w:r>
      <w:r w:rsidR="004801B8">
        <w:rPr>
          <w:rFonts w:eastAsiaTheme="minorEastAsia"/>
          <w:iCs/>
          <w:szCs w:val="24"/>
        </w:rPr>
        <w:t>.10</w:t>
      </w:r>
      <w:r w:rsidR="004801B8" w:rsidRPr="002E53E0">
        <w:rPr>
          <w:rFonts w:eastAsiaTheme="minorEastAsia"/>
          <w:iCs/>
          <w:szCs w:val="24"/>
        </w:rPr>
        <w:t>)</w:t>
      </w:r>
    </w:p>
    <w:p w14:paraId="3314022E" w14:textId="77777777" w:rsidR="004801B8" w:rsidRPr="002E53E0" w:rsidRDefault="004801B8" w:rsidP="009D799D">
      <w:pPr>
        <w:pStyle w:val="BodyText"/>
      </w:pPr>
      <w:r w:rsidRPr="002E53E0">
        <w:t xml:space="preserve">where </w:t>
      </w:r>
      <w:r w:rsidRPr="002E53E0">
        <w:rPr>
          <w:i/>
        </w:rPr>
        <w:t>V</w:t>
      </w:r>
      <w:r w:rsidRPr="002E53E0">
        <w:rPr>
          <w:i/>
          <w:vertAlign w:val="subscript"/>
        </w:rPr>
        <w:t>max</w:t>
      </w:r>
      <w:r w:rsidRPr="002E53E0">
        <w:t xml:space="preserve"> is the volumetric </w:t>
      </w:r>
      <w:r w:rsidRPr="009D799D">
        <w:t>capacity</w:t>
      </w:r>
      <w:r w:rsidRPr="002E53E0">
        <w:t xml:space="preserve"> (m</w:t>
      </w:r>
      <w:r w:rsidRPr="002E53E0">
        <w:rPr>
          <w:vertAlign w:val="superscript"/>
        </w:rPr>
        <w:t>3</w:t>
      </w:r>
      <w:r w:rsidRPr="002E53E0">
        <w:t>) of the reservoir.</w:t>
      </w:r>
    </w:p>
    <w:p w14:paraId="6D46E331" w14:textId="38868878" w:rsidR="00F52DF0" w:rsidRDefault="00F52DF0" w:rsidP="009D799D">
      <w:pPr>
        <w:pStyle w:val="BodyText"/>
      </w:pPr>
      <w:r w:rsidRPr="00C91DB5">
        <w:rPr>
          <w:b/>
          <w:bCs/>
        </w:rPr>
        <w:t>Step 2</w:t>
      </w:r>
      <w:r w:rsidR="006E77BE">
        <w:rPr>
          <w:b/>
          <w:bCs/>
        </w:rPr>
        <w:t>:</w:t>
      </w:r>
      <w:r w:rsidRPr="00C91DB5">
        <w:rPr>
          <w:b/>
          <w:bCs/>
        </w:rPr>
        <w:t xml:space="preserve"> </w:t>
      </w:r>
      <w:r>
        <w:rPr>
          <w:b/>
          <w:bCs/>
        </w:rPr>
        <w:t>Flow allocation for h</w:t>
      </w:r>
      <w:r w:rsidRPr="00C91DB5">
        <w:rPr>
          <w:b/>
          <w:bCs/>
        </w:rPr>
        <w:t>ydropower generation</w:t>
      </w:r>
      <w:r w:rsidR="00E701B3">
        <w:rPr>
          <w:b/>
          <w:bCs/>
        </w:rPr>
        <w:t>.</w:t>
      </w:r>
      <w:r>
        <w:rPr>
          <w:b/>
          <w:bCs/>
        </w:rPr>
        <w:t xml:space="preserve"> </w:t>
      </w:r>
      <w:r>
        <w:t>After the hydraulic head was determined, several parameters were introduced into the power model to adjust the runoff and to constrain the generation at each simulated powerplant. The parameter set included (1) a bias correction factor (</w:t>
      </w:r>
      <w:r w:rsidRPr="00821EFA">
        <w:rPr>
          <w:i/>
        </w:rPr>
        <w:t>f</w:t>
      </w:r>
      <w:r w:rsidRPr="00A37CDE">
        <w:rPr>
          <w:i/>
          <w:vertAlign w:val="subscript"/>
        </w:rPr>
        <w:t>b</w:t>
      </w:r>
      <w:r>
        <w:t>), which accounts for the bias of annual runoff and generator efficiencies; (2) 12 monthly spill correction factors (</w:t>
      </w:r>
      <w:r w:rsidRPr="0031707A">
        <w:rPr>
          <w:i/>
        </w:rPr>
        <w:t>f</w:t>
      </w:r>
      <w:r w:rsidRPr="0031707A">
        <w:rPr>
          <w:i/>
          <w:vertAlign w:val="subscript"/>
        </w:rPr>
        <w:t>s1</w:t>
      </w:r>
      <w:r w:rsidRPr="0031707A">
        <w:rPr>
          <w:i/>
        </w:rPr>
        <w:t>, f</w:t>
      </w:r>
      <w:r w:rsidRPr="0031707A">
        <w:rPr>
          <w:i/>
          <w:vertAlign w:val="subscript"/>
        </w:rPr>
        <w:t>s2</w:t>
      </w:r>
      <w:r w:rsidRPr="0031707A">
        <w:rPr>
          <w:i/>
        </w:rPr>
        <w:t>, …, f</w:t>
      </w:r>
      <w:r w:rsidRPr="0031707A">
        <w:rPr>
          <w:i/>
          <w:vertAlign w:val="subscript"/>
        </w:rPr>
        <w:t>s12</w:t>
      </w:r>
      <w:r>
        <w:t>), which determine the mandatory spills for ecological purposes and spinning reserve; and (3) two penstock intake adjustment factors (</w:t>
      </w:r>
      <w:r w:rsidRPr="00764334">
        <w:rPr>
          <w:i/>
        </w:rPr>
        <w:t>f</w:t>
      </w:r>
      <w:r w:rsidRPr="00764334">
        <w:rPr>
          <w:i/>
          <w:vertAlign w:val="subscript"/>
        </w:rPr>
        <w:t>p</w:t>
      </w:r>
      <w:r>
        <w:t xml:space="preserve"> and </w:t>
      </w:r>
      <w:r w:rsidRPr="00912DEF">
        <w:rPr>
          <w:i/>
          <w:iCs/>
        </w:rPr>
        <w:t>f</w:t>
      </w:r>
      <w:r w:rsidRPr="00912DEF">
        <w:rPr>
          <w:i/>
          <w:iCs/>
          <w:vertAlign w:val="subscript"/>
        </w:rPr>
        <w:t>m</w:t>
      </w:r>
      <w:r>
        <w:t xml:space="preserve">), which determine the actual maximum intake of the </w:t>
      </w:r>
      <w:r>
        <w:lastRenderedPageBreak/>
        <w:t xml:space="preserve">penstock relative to the reported penstock capacity and scale the intake discharge so that it </w:t>
      </w:r>
      <w:r w:rsidR="00AD06E7">
        <w:t xml:space="preserve">could </w:t>
      </w:r>
      <w:r>
        <w:t xml:space="preserve">reserve the temporal variation when the maximum value is always met. </w:t>
      </w:r>
      <w:r w:rsidRPr="00C572C5">
        <w:t>All 1</w:t>
      </w:r>
      <w:r>
        <w:t>5</w:t>
      </w:r>
      <w:r w:rsidRPr="00C572C5">
        <w:t xml:space="preserve"> parameters were calibrated in a two-step multiscale calibration process (see details in Section </w:t>
      </w:r>
      <w:r>
        <w:fldChar w:fldCharType="begin"/>
      </w:r>
      <w:r>
        <w:instrText xml:space="preserve"> REF _Ref75966752 \n \h </w:instrText>
      </w:r>
      <w:r>
        <w:fldChar w:fldCharType="separate"/>
      </w:r>
      <w:r w:rsidR="00EE0BF5">
        <w:t>2.6.3</w:t>
      </w:r>
      <w:r>
        <w:fldChar w:fldCharType="end"/>
      </w:r>
      <w:r w:rsidRPr="00C572C5">
        <w:t>) and applied to estimate the future hydropower generations</w:t>
      </w:r>
      <w:r>
        <w:t xml:space="preserve"> at each plant</w:t>
      </w:r>
      <w:r w:rsidRPr="00C572C5">
        <w:t xml:space="preserve"> </w:t>
      </w:r>
      <w:r w:rsidR="00807D30">
        <w:t>by</w:t>
      </w:r>
      <w:r w:rsidR="00D86117">
        <w:t xml:space="preserve"> using</w:t>
      </w:r>
    </w:p>
    <w:p w14:paraId="4C0646D6" w14:textId="6541AEAB" w:rsidR="004801B8" w:rsidRDefault="00945A5F" w:rsidP="00945A5F">
      <w:pPr>
        <w:pStyle w:val="BodyText"/>
      </w:pPr>
      <w:r>
        <w:rPr>
          <w:szCs w:val="24"/>
        </w:rPr>
        <w:ptab w:relativeTo="margin" w:alignment="center" w:leader="none"/>
      </w: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sim,m</m:t>
            </m:r>
          </m:sub>
        </m:sSub>
        <m:r>
          <w:rPr>
            <w:rFonts w:ascii="Cambria Math" w:hAnsi="Cambria Math"/>
            <w:szCs w:val="24"/>
          </w:rPr>
          <m:t>=ρgh</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adj</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b</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rPr>
              <m:t>s,m</m:t>
            </m:r>
          </m:sub>
        </m:sSub>
      </m:oMath>
      <w:r w:rsidR="00807D30">
        <w:rPr>
          <w:szCs w:val="24"/>
        </w:rPr>
        <w:t xml:space="preserve"> ,</w:t>
      </w:r>
      <w:r>
        <w:rPr>
          <w:rFonts w:eastAsiaTheme="minorEastAsia"/>
          <w:iCs/>
          <w:szCs w:val="24"/>
        </w:rPr>
        <w:ptab w:relativeTo="margin" w:alignment="right" w:leader="none"/>
      </w:r>
      <w:r w:rsidR="004801B8" w:rsidRPr="0098504A">
        <w:rPr>
          <w:rFonts w:eastAsiaTheme="minorEastAsia"/>
          <w:szCs w:val="24"/>
        </w:rPr>
        <w:t>(2.11)</w:t>
      </w:r>
    </w:p>
    <w:p w14:paraId="27D8528A" w14:textId="03461DE1" w:rsidR="004801B8" w:rsidRDefault="00142E22" w:rsidP="009D799D">
      <w:pPr>
        <w:pStyle w:val="BodyText"/>
      </w:pPr>
      <w:r>
        <w:t>w</w:t>
      </w:r>
      <w:r w:rsidR="004801B8">
        <w:t xml:space="preserve">here </w:t>
      </w:r>
      <w:r w:rsidR="004801B8" w:rsidRPr="00674253">
        <w:rPr>
          <w:i/>
          <w:iCs/>
        </w:rPr>
        <w:t>G</w:t>
      </w:r>
      <w:r w:rsidR="004801B8" w:rsidRPr="00674253">
        <w:rPr>
          <w:i/>
          <w:iCs/>
          <w:vertAlign w:val="subscript"/>
        </w:rPr>
        <w:t>sim</w:t>
      </w:r>
      <w:r w:rsidR="004801B8" w:rsidRPr="00945BE1">
        <w:rPr>
          <w:vertAlign w:val="subscript"/>
        </w:rPr>
        <w:t>,</w:t>
      </w:r>
      <w:r w:rsidR="004801B8" w:rsidRPr="00674253">
        <w:rPr>
          <w:i/>
          <w:iCs/>
          <w:vertAlign w:val="subscript"/>
        </w:rPr>
        <w:t>m</w:t>
      </w:r>
      <w:r w:rsidR="004801B8">
        <w:t xml:space="preserve"> is the power generation at month </w:t>
      </w:r>
      <w:r w:rsidR="004801B8" w:rsidRPr="0008357B">
        <w:rPr>
          <w:i/>
        </w:rPr>
        <w:t>m</w:t>
      </w:r>
      <w:r w:rsidR="004801B8">
        <w:t>,</w:t>
      </w:r>
      <w:r w:rsidR="004801B8" w:rsidRPr="00082DF5">
        <w:t xml:space="preserve"> </w:t>
      </w:r>
      <w:r w:rsidR="004801B8" w:rsidRPr="00DF6929">
        <w:rPr>
          <w:i/>
          <w:iCs/>
        </w:rPr>
        <w:t>ρ</w:t>
      </w:r>
      <w:r w:rsidR="004801B8" w:rsidRPr="00082DF5">
        <w:t xml:space="preserve"> is the water density, </w:t>
      </w:r>
      <w:r w:rsidR="004801B8" w:rsidRPr="00FA17E3">
        <w:rPr>
          <w:i/>
          <w:iCs/>
        </w:rPr>
        <w:t>g</w:t>
      </w:r>
      <w:r w:rsidR="004801B8" w:rsidRPr="00082DF5">
        <w:t xml:space="preserve"> is gravitational acceleration, </w:t>
      </w:r>
      <w:r w:rsidR="00807D30">
        <w:t xml:space="preserve">and </w:t>
      </w:r>
      <w:r w:rsidR="004801B8" w:rsidRPr="00DF6929">
        <w:rPr>
          <w:i/>
          <w:iCs/>
        </w:rPr>
        <w:t>Q</w:t>
      </w:r>
      <w:r w:rsidR="004801B8" w:rsidRPr="00DF6929">
        <w:rPr>
          <w:i/>
          <w:iCs/>
          <w:vertAlign w:val="subscript"/>
        </w:rPr>
        <w:t>adj</w:t>
      </w:r>
      <w:r w:rsidR="004801B8" w:rsidRPr="00082DF5">
        <w:t xml:space="preserve"> is the turbine flow rate,</w:t>
      </w:r>
      <w:r w:rsidR="004801B8">
        <w:t xml:space="preserve"> which is determined by</w:t>
      </w:r>
    </w:p>
    <w:p w14:paraId="30E346F5" w14:textId="16A2FD8E" w:rsidR="004801B8" w:rsidRPr="00F32F84" w:rsidRDefault="00945A5F" w:rsidP="00945A5F">
      <w:pPr>
        <w:pStyle w:val="BodyText"/>
      </w:pPr>
      <w:r>
        <w:rPr>
          <w:szCs w:val="24"/>
        </w:rPr>
        <w:ptab w:relativeTo="margin" w:alignment="center" w:leader="none"/>
      </w:r>
      <m:oMath>
        <m:d>
          <m:dPr>
            <m:begChr m:val="{"/>
            <m:endChr m:val=""/>
            <m:ctrlPr>
              <w:rPr>
                <w:rFonts w:ascii="Cambria Math" w:hAnsi="Cambria Math"/>
                <w:i/>
                <w:szCs w:val="24"/>
              </w:rPr>
            </m:ctrlPr>
          </m:dPr>
          <m:e>
            <m:m>
              <m:mPr>
                <m:cGp m:val="8"/>
                <m:mcs>
                  <m:mc>
                    <m:mcPr>
                      <m:count m:val="2"/>
                      <m:mcJc m:val="left"/>
                    </m:mcPr>
                  </m:mc>
                </m:mcs>
                <m:ctrlPr>
                  <w:rPr>
                    <w:rFonts w:ascii="Cambria Math" w:hAnsi="Cambria Math"/>
                    <w:i/>
                    <w:szCs w:val="24"/>
                  </w:rPr>
                </m:ctrlPr>
              </m:mPr>
              <m: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adj</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min</m:t>
                      </m:r>
                    </m:fName>
                    <m:e>
                      <m:d>
                        <m:dPr>
                          <m:ctrlPr>
                            <w:rPr>
                              <w:rFonts w:ascii="Cambria Math" w:hAnsi="Cambria Math"/>
                              <w:i/>
                              <w:szCs w:val="24"/>
                            </w:rPr>
                          </m:ctrlPr>
                        </m:dPr>
                        <m:e>
                          <m:r>
                            <w:rPr>
                              <w:rFonts w:ascii="Cambria Math" w:hAnsi="Cambria Math"/>
                              <w:szCs w:val="24"/>
                            </w:rPr>
                            <m:t>Q</m:t>
                          </m:r>
                          <m:d>
                            <m:dPr>
                              <m:ctrlPr>
                                <w:rPr>
                                  <w:rFonts w:ascii="Cambria Math" w:hAnsi="Cambria Math"/>
                                  <w:i/>
                                  <w:szCs w:val="24"/>
                                </w:rPr>
                              </m:ctrlPr>
                            </m:dPr>
                            <m:e>
                              <m:r>
                                <w:rPr>
                                  <w:rFonts w:ascii="Cambria Math" w:hAnsi="Cambria Math"/>
                                  <w:szCs w:val="24"/>
                                </w:rPr>
                                <m:t>t</m:t>
                              </m:r>
                            </m:e>
                          </m:d>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e>
                      </m:d>
                    </m:e>
                  </m:func>
                  <m:r>
                    <w:rPr>
                      <w:rFonts w:ascii="Cambria Math" w:hAnsi="Cambria Math"/>
                      <w:szCs w:val="24"/>
                    </w:rPr>
                    <m:t xml:space="preserve">    if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num>
                    <m:den>
                      <m:acc>
                        <m:accPr>
                          <m:chr m:val="̅"/>
                          <m:ctrlPr>
                            <w:rPr>
                              <w:rFonts w:ascii="Cambria Math" w:hAnsi="Cambria Math"/>
                              <w:i/>
                              <w:szCs w:val="24"/>
                            </w:rPr>
                          </m:ctrlPr>
                        </m:accPr>
                        <m:e>
                          <m:r>
                            <w:rPr>
                              <w:rFonts w:ascii="Cambria Math" w:hAnsi="Cambria Math"/>
                              <w:szCs w:val="24"/>
                            </w:rPr>
                            <m:t>Q</m:t>
                          </m:r>
                        </m:e>
                      </m:acc>
                    </m:den>
                  </m:f>
                  <m:r>
                    <w:rPr>
                      <w:rFonts w:ascii="Cambria Math" w:hAnsi="Cambria Math"/>
                      <w:szCs w:val="24"/>
                    </w:rPr>
                    <m:t xml:space="preserve">&gt; </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m</m:t>
                      </m:r>
                    </m:sub>
                  </m:sSub>
                </m:e>
              </m:mr>
              <m:mr>
                <m:e/>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adj</m:t>
                      </m:r>
                    </m:sub>
                  </m:sSub>
                  <m:d>
                    <m:dPr>
                      <m:ctrlPr>
                        <w:rPr>
                          <w:rFonts w:ascii="Cambria Math" w:hAnsi="Cambria Math"/>
                          <w:i/>
                          <w:szCs w:val="24"/>
                        </w:rPr>
                      </m:ctrlPr>
                    </m:dPr>
                    <m:e>
                      <m:r>
                        <w:rPr>
                          <w:rFonts w:ascii="Cambria Math" w:hAnsi="Cambria Math"/>
                          <w:szCs w:val="24"/>
                        </w:rPr>
                        <m:t>t</m:t>
                      </m:r>
                    </m:e>
                  </m:d>
                  <m:r>
                    <w:rPr>
                      <w:rFonts w:ascii="Cambria Math" w:hAnsi="Cambria Math"/>
                      <w:szCs w:val="24"/>
                    </w:rPr>
                    <m:t>=Q</m:t>
                  </m:r>
                  <m:d>
                    <m:dPr>
                      <m:ctrlPr>
                        <w:rPr>
                          <w:rFonts w:ascii="Cambria Math" w:hAnsi="Cambria Math"/>
                          <w:i/>
                          <w:szCs w:val="24"/>
                        </w:rPr>
                      </m:ctrlPr>
                    </m:dPr>
                    <m:e>
                      <m:r>
                        <w:rPr>
                          <w:rFonts w:ascii="Cambria Math" w:hAnsi="Cambria Math"/>
                          <w:szCs w:val="24"/>
                        </w:rPr>
                        <m:t>t</m:t>
                      </m:r>
                    </m:e>
                  </m:d>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num>
                    <m:den>
                      <m:acc>
                        <m:accPr>
                          <m:chr m:val="̅"/>
                          <m:ctrlPr>
                            <w:rPr>
                              <w:rFonts w:ascii="Cambria Math" w:hAnsi="Cambria Math"/>
                              <w:i/>
                              <w:szCs w:val="24"/>
                            </w:rPr>
                          </m:ctrlPr>
                        </m:accPr>
                        <m:e>
                          <m:r>
                            <w:rPr>
                              <w:rFonts w:ascii="Cambria Math" w:hAnsi="Cambria Math"/>
                              <w:szCs w:val="24"/>
                            </w:rPr>
                            <m:t>Q</m:t>
                          </m:r>
                        </m:e>
                      </m:acc>
                    </m:den>
                  </m:f>
                  <m:r>
                    <w:rPr>
                      <w:rFonts w:ascii="Cambria Math" w:hAnsi="Cambria Math"/>
                      <w:szCs w:val="24"/>
                    </w:rPr>
                    <m:t xml:space="preserve">        if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Q</m:t>
                          </m:r>
                        </m:e>
                        <m:sub>
                          <m:r>
                            <w:rPr>
                              <w:rFonts w:ascii="Cambria Math" w:hAnsi="Cambria Math"/>
                              <w:szCs w:val="24"/>
                            </w:rPr>
                            <m:t>max</m:t>
                          </m:r>
                        </m:sub>
                      </m:sSub>
                    </m:num>
                    <m:den>
                      <m:acc>
                        <m:accPr>
                          <m:chr m:val="̅"/>
                          <m:ctrlPr>
                            <w:rPr>
                              <w:rFonts w:ascii="Cambria Math" w:hAnsi="Cambria Math"/>
                              <w:i/>
                              <w:szCs w:val="24"/>
                            </w:rPr>
                          </m:ctrlPr>
                        </m:accPr>
                        <m:e>
                          <m:r>
                            <w:rPr>
                              <w:rFonts w:ascii="Cambria Math" w:hAnsi="Cambria Math"/>
                              <w:szCs w:val="24"/>
                            </w:rPr>
                            <m:t>Q</m:t>
                          </m:r>
                        </m:e>
                      </m:acc>
                    </m:den>
                  </m:f>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m</m:t>
                      </m:r>
                    </m:sub>
                  </m:sSub>
                </m:e>
              </m:mr>
            </m:m>
          </m:e>
        </m:d>
      </m:oMath>
      <w:r w:rsidR="00D86117">
        <w:rPr>
          <w:szCs w:val="24"/>
        </w:rPr>
        <w:t>.</w:t>
      </w:r>
      <w:r>
        <w:rPr>
          <w:rFonts w:eastAsiaTheme="minorEastAsia"/>
          <w:iCs/>
          <w:szCs w:val="24"/>
        </w:rPr>
        <w:ptab w:relativeTo="margin" w:alignment="right" w:leader="none"/>
      </w:r>
      <w:r w:rsidR="004801B8">
        <w:rPr>
          <w:szCs w:val="24"/>
        </w:rPr>
        <w:t>(2.12)</w:t>
      </w:r>
    </w:p>
    <w:p w14:paraId="3078125D" w14:textId="59B26AB6" w:rsidR="008E59C8" w:rsidRPr="008E59C8" w:rsidRDefault="004801B8" w:rsidP="009D799D">
      <w:pPr>
        <w:pStyle w:val="BodyText"/>
      </w:pPr>
      <w:r w:rsidRPr="008E59C8">
        <w:rPr>
          <w:b/>
          <w:bCs/>
        </w:rPr>
        <w:t>Step 3</w:t>
      </w:r>
      <w:r w:rsidR="003B58F7">
        <w:rPr>
          <w:b/>
          <w:bCs/>
        </w:rPr>
        <w:t>:</w:t>
      </w:r>
      <w:r w:rsidRPr="008E59C8">
        <w:rPr>
          <w:b/>
        </w:rPr>
        <w:t xml:space="preserve"> Calibration</w:t>
      </w:r>
      <w:r w:rsidR="008E59C8">
        <w:t xml:space="preserve">: </w:t>
      </w:r>
      <w:r w:rsidR="001527F4">
        <w:t>A two-step multiscale calibration process was developed to enhance the accuracy of the hydropower projection across different levels of spatial scales relevant to several applications</w:t>
      </w:r>
      <w:r w:rsidR="001527F4" w:rsidRPr="58E3E5C2">
        <w:rPr>
          <w:rFonts w:eastAsia="Times New Roman"/>
        </w:rPr>
        <w:t xml:space="preserve"> (e.g., watershed scale and load balancing authorities, plant scale).</w:t>
      </w:r>
    </w:p>
    <w:p w14:paraId="79C098ED" w14:textId="67E91733" w:rsidR="008E59C8" w:rsidRDefault="001527F4" w:rsidP="009D799D">
      <w:pPr>
        <w:pStyle w:val="BodyText"/>
        <w:rPr>
          <w:rFonts w:eastAsia="Times New Roman"/>
        </w:rPr>
      </w:pPr>
      <w:r w:rsidRPr="008E59C8">
        <w:rPr>
          <w:rFonts w:eastAsia="Times New Roman"/>
        </w:rPr>
        <w:t xml:space="preserve">The target parameter of the first step was </w:t>
      </w:r>
      <w:r w:rsidRPr="008E59C8">
        <w:rPr>
          <w:rFonts w:eastAsia="Times New Roman"/>
          <w:i/>
          <w:iCs/>
        </w:rPr>
        <w:t>f</w:t>
      </w:r>
      <w:r w:rsidRPr="008E59C8">
        <w:rPr>
          <w:rFonts w:eastAsia="Times New Roman"/>
          <w:i/>
          <w:iCs/>
          <w:vertAlign w:val="subscript"/>
        </w:rPr>
        <w:t>b</w:t>
      </w:r>
      <w:r w:rsidRPr="008E59C8">
        <w:rPr>
          <w:rFonts w:eastAsia="Times New Roman"/>
        </w:rPr>
        <w:t xml:space="preserve">, which addresses overall </w:t>
      </w:r>
      <w:r w:rsidRPr="009D799D">
        <w:t>bias</w:t>
      </w:r>
      <w:r w:rsidRPr="008E59C8">
        <w:rPr>
          <w:rFonts w:eastAsia="Times New Roman"/>
        </w:rPr>
        <w:t xml:space="preserve"> in hydrometeorological model simulations</w:t>
      </w:r>
      <w:r>
        <w:rPr>
          <w:rFonts w:eastAsia="Times New Roman"/>
        </w:rPr>
        <w:t>,</w:t>
      </w:r>
      <w:r w:rsidRPr="008E59C8">
        <w:rPr>
          <w:rFonts w:eastAsia="Times New Roman"/>
        </w:rPr>
        <w:t xml:space="preserve"> including </w:t>
      </w:r>
      <w:r>
        <w:rPr>
          <w:rFonts w:eastAsia="Times New Roman"/>
        </w:rPr>
        <w:t>water management</w:t>
      </w:r>
      <w:r w:rsidRPr="008E59C8">
        <w:rPr>
          <w:rFonts w:eastAsia="Times New Roman"/>
        </w:rPr>
        <w:t xml:space="preserve"> and water demands.</w:t>
      </w:r>
      <w:r>
        <w:t xml:space="preserve"> In this step, the model was calibrated at the PMA level at an annual time scale against the potential generation</w:t>
      </w:r>
      <w:r w:rsidR="00AD06E7">
        <w:t>,</w:t>
      </w:r>
      <w:r>
        <w:t xml:space="preserve"> </w:t>
      </w:r>
      <w:r w:rsidRPr="64B33465">
        <w:rPr>
          <w:i/>
          <w:iCs/>
        </w:rPr>
        <w:t>PG</w:t>
      </w:r>
      <w:r>
        <w:t xml:space="preserve"> </w:t>
      </w:r>
      <w:r w:rsidR="00AD06E7">
        <w:t>(</w:t>
      </w:r>
      <w:r>
        <w:t>MW), equivalent to the actual generation</w:t>
      </w:r>
      <w:r w:rsidR="00AD06E7">
        <w:t>,</w:t>
      </w:r>
      <w:r>
        <w:t xml:space="preserve"> </w:t>
      </w:r>
      <w:r w:rsidRPr="64B33465">
        <w:rPr>
          <w:i/>
          <w:iCs/>
        </w:rPr>
        <w:t>G</w:t>
      </w:r>
      <w:r>
        <w:t xml:space="preserve"> </w:t>
      </w:r>
      <w:r w:rsidR="00AD06E7">
        <w:t>(</w:t>
      </w:r>
      <w:r>
        <w:t>MW), plus the operating reserve</w:t>
      </w:r>
      <w:r w:rsidR="00AD06E7">
        <w:t>,</w:t>
      </w:r>
      <w:r>
        <w:t xml:space="preserve"> </w:t>
      </w:r>
      <w:r w:rsidRPr="64B33465">
        <w:rPr>
          <w:i/>
          <w:iCs/>
        </w:rPr>
        <w:t>R</w:t>
      </w:r>
      <w:r>
        <w:t xml:space="preserve">. The </w:t>
      </w:r>
      <w:r w:rsidRPr="64B33465">
        <w:rPr>
          <w:i/>
          <w:iCs/>
        </w:rPr>
        <w:t>R</w:t>
      </w:r>
      <w:r>
        <w:t xml:space="preserve"> was assumed to be fixed at 4% of the total mean generation of each PMA region to be consistent with typical power system model applications (Schlag et al., 2015). The mean power generation was averaged from the EIA</w:t>
      </w:r>
      <w:r w:rsidR="005606E5">
        <w:t xml:space="preserve"> data set </w:t>
      </w:r>
      <w:r>
        <w:t xml:space="preserve">throughout the calibration period. In a PMA region with </w:t>
      </w:r>
      <w:r w:rsidRPr="64B33465">
        <w:rPr>
          <w:i/>
          <w:iCs/>
        </w:rPr>
        <w:t>n</w:t>
      </w:r>
      <w:r>
        <w:t xml:space="preserve"> hydropower plants, the </w:t>
      </w:r>
      <w:r w:rsidRPr="64B33465">
        <w:rPr>
          <w:i/>
          <w:iCs/>
        </w:rPr>
        <w:t>f</w:t>
      </w:r>
      <w:r w:rsidRPr="64B33465">
        <w:rPr>
          <w:i/>
          <w:iCs/>
          <w:vertAlign w:val="subscript"/>
        </w:rPr>
        <w:t>b</w:t>
      </w:r>
      <w:r>
        <w:t xml:space="preserve"> was calibrated using the shuffled complex evolution auto-calibration algorithm (SCE; Duan et al., 1993) to minimize the mean absolute error between the annual time </w:t>
      </w:r>
      <w:r w:rsidRPr="64B33465">
        <w:rPr>
          <w:rFonts w:eastAsia="Times New Roman"/>
        </w:rPr>
        <w:t xml:space="preserve">series of </w:t>
      </w:r>
      <w:r w:rsidRPr="64B33465">
        <w:rPr>
          <w:i/>
          <w:iCs/>
        </w:rPr>
        <w:t>PG</w:t>
      </w:r>
      <w:r w:rsidRPr="64B33465">
        <w:rPr>
          <w:i/>
          <w:iCs/>
          <w:vertAlign w:val="subscript"/>
        </w:rPr>
        <w:t>sim</w:t>
      </w:r>
      <w:r w:rsidRPr="64B33465">
        <w:rPr>
          <w:rFonts w:eastAsia="Times New Roman"/>
        </w:rPr>
        <w:t xml:space="preserve"> and </w:t>
      </w:r>
      <w:r w:rsidRPr="64B33465">
        <w:rPr>
          <w:i/>
          <w:iCs/>
        </w:rPr>
        <w:t>PG</w:t>
      </w:r>
      <w:r w:rsidRPr="64B33465">
        <w:rPr>
          <w:i/>
          <w:iCs/>
          <w:vertAlign w:val="subscript"/>
        </w:rPr>
        <w:t>obs</w:t>
      </w:r>
      <w:r w:rsidRPr="64B33465">
        <w:rPr>
          <w:rFonts w:eastAsia="Times New Roman"/>
        </w:rPr>
        <w:t>, where</w:t>
      </w:r>
    </w:p>
    <w:p w14:paraId="4529BEBE" w14:textId="318343E1" w:rsidR="004801B8" w:rsidRPr="00E20733" w:rsidRDefault="00945A5F" w:rsidP="00945A5F">
      <w:pPr>
        <w:pStyle w:val="BodyText"/>
      </w:pPr>
      <w:r>
        <w:rPr>
          <w:szCs w:val="24"/>
        </w:rPr>
        <w:ptab w:relativeTo="margin" w:alignment="center" w:leader="none"/>
      </w:r>
      <m:oMath>
        <m:sSub>
          <m:sSubPr>
            <m:ctrlPr>
              <w:rPr>
                <w:rFonts w:ascii="Cambria Math" w:hAnsi="Cambria Math"/>
                <w:i/>
              </w:rPr>
            </m:ctrlPr>
          </m:sSubPr>
          <m:e>
            <m:r>
              <w:rPr>
                <w:rFonts w:ascii="Cambria Math" w:hAnsi="Cambria Math"/>
              </w:rPr>
              <m:t>PG</m:t>
            </m:r>
          </m:e>
          <m:sub>
            <m:r>
              <w:rPr>
                <w:rFonts w:ascii="Cambria Math" w:hAnsi="Cambria Math"/>
              </w:rPr>
              <m:t>sim</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ρg</m:t>
            </m:r>
          </m:e>
        </m:nary>
        <m:sSub>
          <m:sSubPr>
            <m:ctrlPr>
              <w:rPr>
                <w:rFonts w:ascii="Cambria Math" w:hAnsi="Cambria Math"/>
                <w:i/>
              </w:rPr>
            </m:ctrlPr>
          </m:sSubPr>
          <m:e>
            <m:r>
              <w:rPr>
                <w:rFonts w:ascii="Cambria Math" w:hAnsi="Cambria Math"/>
              </w:rPr>
              <m:t>h</m:t>
            </m:r>
          </m:e>
          <m:sub>
            <m:r>
              <w:rPr>
                <w:rFonts w:ascii="Cambria Math" w:hAnsi="Cambria Math"/>
              </w:rPr>
              <m:t>i</m:t>
            </m:r>
          </m:sub>
        </m:sSub>
        <m:sSub>
          <m:sSubPr>
            <m:ctrlPr>
              <w:rPr>
                <w:rFonts w:ascii="Cambria Math" w:hAnsi="Cambria Math"/>
                <w:i/>
              </w:rPr>
            </m:ctrlPr>
          </m:sSubPr>
          <m:e>
            <m:r>
              <w:rPr>
                <w:rFonts w:ascii="Cambria Math" w:hAnsi="Cambria Math"/>
              </w:rPr>
              <m:t>Q</m:t>
            </m:r>
          </m:e>
          <m:sub>
            <m:r>
              <w:rPr>
                <w:rFonts w:ascii="Cambria Math" w:hAnsi="Cambria Math"/>
              </w:rPr>
              <m:t>i</m:t>
            </m:r>
          </m:sub>
        </m:sSub>
        <m:sSub>
          <m:sSubPr>
            <m:ctrlPr>
              <w:rPr>
                <w:rFonts w:ascii="Cambria Math" w:hAnsi="Cambria Math"/>
                <w:i/>
              </w:rPr>
            </m:ctrlPr>
          </m:sSubPr>
          <m:e>
            <m:r>
              <w:rPr>
                <w:rFonts w:ascii="Cambria Math" w:hAnsi="Cambria Math"/>
              </w:rPr>
              <m:t>f</m:t>
            </m:r>
          </m:e>
          <m:sub>
            <m:r>
              <w:rPr>
                <w:rFonts w:ascii="Cambria Math" w:hAnsi="Cambria Math"/>
              </w:rPr>
              <m:t>b,i</m:t>
            </m:r>
          </m:sub>
        </m:sSub>
      </m:oMath>
      <w:r w:rsidR="00D43AD2">
        <w:t>.</w:t>
      </w:r>
      <w:r>
        <w:rPr>
          <w:rFonts w:eastAsiaTheme="minorEastAsia"/>
          <w:iCs/>
          <w:szCs w:val="24"/>
        </w:rPr>
        <w:ptab w:relativeTo="margin" w:alignment="right" w:leader="none"/>
      </w:r>
      <w:r w:rsidR="004801B8" w:rsidRPr="00E20733">
        <w:rPr>
          <w:rFonts w:eastAsiaTheme="minorEastAsia"/>
        </w:rPr>
        <w:t>(</w:t>
      </w:r>
      <w:r w:rsidR="004801B8">
        <w:rPr>
          <w:rFonts w:eastAsiaTheme="minorEastAsia"/>
        </w:rPr>
        <w:t>2.1</w:t>
      </w:r>
      <w:r w:rsidR="004801B8" w:rsidRPr="00E20733">
        <w:rPr>
          <w:rFonts w:eastAsiaTheme="minorEastAsia"/>
        </w:rPr>
        <w:t>3)</w:t>
      </w:r>
    </w:p>
    <w:p w14:paraId="1DE2B98A" w14:textId="2FB2F2AE" w:rsidR="004801B8" w:rsidRDefault="00FC6AAC" w:rsidP="009D799D">
      <w:pPr>
        <w:pStyle w:val="BodyText"/>
        <w:rPr>
          <w:lang w:eastAsia="zh-TW"/>
        </w:rPr>
      </w:pPr>
      <w:r w:rsidRPr="312B0234">
        <w:t>The second step aim</w:t>
      </w:r>
      <w:r w:rsidR="00AD06E7">
        <w:t>ed</w:t>
      </w:r>
      <w:r w:rsidRPr="312B0234">
        <w:t xml:space="preserve"> </w:t>
      </w:r>
      <w:r>
        <w:t>to</w:t>
      </w:r>
      <w:r w:rsidRPr="312B0234">
        <w:t xml:space="preserve"> improv</w:t>
      </w:r>
      <w:r>
        <w:t>e</w:t>
      </w:r>
      <w:r w:rsidRPr="312B0234">
        <w:t xml:space="preserve"> the seasonal variation for each power plant by calibrating </w:t>
      </w:r>
      <w:r w:rsidRPr="00BE5553">
        <w:rPr>
          <w:i/>
          <w:iCs/>
        </w:rPr>
        <w:t>f</w:t>
      </w:r>
      <w:r w:rsidRPr="00BE5553">
        <w:rPr>
          <w:i/>
          <w:iCs/>
          <w:vertAlign w:val="subscript"/>
        </w:rPr>
        <w:t>s</w:t>
      </w:r>
      <w:r w:rsidRPr="312B0234">
        <w:t xml:space="preserve">, </w:t>
      </w:r>
      <w:r w:rsidRPr="00BE5553">
        <w:rPr>
          <w:i/>
          <w:iCs/>
        </w:rPr>
        <w:t>f</w:t>
      </w:r>
      <w:r w:rsidRPr="00BE5553">
        <w:rPr>
          <w:i/>
          <w:iCs/>
          <w:vertAlign w:val="subscript"/>
        </w:rPr>
        <w:t>p</w:t>
      </w:r>
      <w:r w:rsidRPr="312B0234">
        <w:t xml:space="preserve">, and </w:t>
      </w:r>
      <w:r w:rsidRPr="00BE5553">
        <w:rPr>
          <w:i/>
          <w:iCs/>
        </w:rPr>
        <w:t>f</w:t>
      </w:r>
      <w:r w:rsidRPr="00BE5553">
        <w:rPr>
          <w:i/>
          <w:iCs/>
          <w:vertAlign w:val="subscript"/>
        </w:rPr>
        <w:t>m</w:t>
      </w:r>
      <w:r w:rsidRPr="312B0234">
        <w:t xml:space="preserve">. In this step, </w:t>
      </w:r>
      <w:r w:rsidRPr="009D799D">
        <w:t>the</w:t>
      </w:r>
      <w:r w:rsidRPr="312B0234">
        <w:t xml:space="preserve"> </w:t>
      </w:r>
      <w:r w:rsidRPr="00BE5553">
        <w:rPr>
          <w:i/>
          <w:iCs/>
        </w:rPr>
        <w:t>f</w:t>
      </w:r>
      <w:r w:rsidRPr="00BE5553">
        <w:rPr>
          <w:i/>
          <w:iCs/>
          <w:vertAlign w:val="subscript"/>
        </w:rPr>
        <w:t>b</w:t>
      </w:r>
      <w:r w:rsidRPr="312B0234">
        <w:t xml:space="preserve"> calibrated in the previous step was fixed for each plant. At each power plant, the </w:t>
      </w:r>
      <w:r>
        <w:t>SCE</w:t>
      </w:r>
      <w:r w:rsidRPr="312B0234">
        <w:t xml:space="preserve"> algorithm was again applied to reduce the Kling</w:t>
      </w:r>
      <w:r w:rsidR="00AD06E7">
        <w:t>–</w:t>
      </w:r>
      <w:r w:rsidRPr="312B0234">
        <w:t xml:space="preserve">Gupta </w:t>
      </w:r>
      <w:r>
        <w:t>e</w:t>
      </w:r>
      <w:r w:rsidRPr="312B0234">
        <w:t>fficiency</w:t>
      </w:r>
      <w:r>
        <w:t xml:space="preserve"> </w:t>
      </w:r>
      <w:r w:rsidRPr="008E59C8">
        <w:t xml:space="preserve">(Gupta et al., 2009) </w:t>
      </w:r>
      <w:r w:rsidRPr="312B0234">
        <w:t>between the simulated monthly power generation time series (</w:t>
      </w:r>
      <w:r w:rsidRPr="004D185F">
        <w:rPr>
          <w:i/>
        </w:rPr>
        <w:t>G</w:t>
      </w:r>
      <w:r w:rsidRPr="004D185F">
        <w:rPr>
          <w:i/>
          <w:vertAlign w:val="subscript"/>
        </w:rPr>
        <w:t>sim</w:t>
      </w:r>
      <w:r w:rsidRPr="312B0234">
        <w:t xml:space="preserve">) and </w:t>
      </w:r>
      <w:r w:rsidRPr="004D185F">
        <w:rPr>
          <w:i/>
        </w:rPr>
        <w:t>G</w:t>
      </w:r>
      <w:r w:rsidRPr="004D185F">
        <w:rPr>
          <w:i/>
          <w:vertAlign w:val="subscript"/>
        </w:rPr>
        <w:t>obs</w:t>
      </w:r>
      <w:r w:rsidRPr="312B0234">
        <w:t xml:space="preserve"> over the calibration period</w:t>
      </w:r>
      <w:r>
        <w:t xml:space="preserve"> using Eq.</w:t>
      </w:r>
      <w:r w:rsidR="00AD06E7">
        <w:t> </w:t>
      </w:r>
      <w:r>
        <w:t>(2.11).</w:t>
      </w:r>
    </w:p>
    <w:p w14:paraId="315ED7B8" w14:textId="1A4F3204" w:rsidR="00A3436D" w:rsidRPr="006D08C0" w:rsidRDefault="004801B8" w:rsidP="00A3436D">
      <w:pPr>
        <w:pStyle w:val="Heading3"/>
      </w:pPr>
      <w:bookmarkStart w:id="169" w:name="_Ref75966752"/>
      <w:bookmarkStart w:id="170" w:name="_Toc113380784"/>
      <w:r w:rsidRPr="006D08C0">
        <w:t xml:space="preserve">Model </w:t>
      </w:r>
      <w:r w:rsidR="007C104D">
        <w:t xml:space="preserve">Calibration and </w:t>
      </w:r>
      <w:r w:rsidRPr="006D08C0">
        <w:t>Validation</w:t>
      </w:r>
      <w:bookmarkEnd w:id="169"/>
      <w:bookmarkEnd w:id="170"/>
    </w:p>
    <w:p w14:paraId="1F3AB280" w14:textId="0695C786" w:rsidR="008C530D" w:rsidRDefault="009C159A" w:rsidP="004801B8">
      <w:pPr>
        <w:pStyle w:val="BodyText"/>
        <w:rPr>
          <w:rFonts w:eastAsia="Times New Roman"/>
        </w:rPr>
      </w:pPr>
      <w:r w:rsidRPr="54749438">
        <w:rPr>
          <w:rFonts w:eastAsia="Times New Roman"/>
        </w:rPr>
        <w:t xml:space="preserve">The calibration </w:t>
      </w:r>
      <w:r>
        <w:rPr>
          <w:rFonts w:eastAsia="Times New Roman"/>
        </w:rPr>
        <w:t>of WRES and WMP</w:t>
      </w:r>
      <w:r w:rsidRPr="54749438">
        <w:rPr>
          <w:rFonts w:eastAsia="Times New Roman"/>
        </w:rPr>
        <w:t xml:space="preserve"> </w:t>
      </w:r>
      <w:r>
        <w:rPr>
          <w:rFonts w:eastAsia="Times New Roman"/>
        </w:rPr>
        <w:t>was</w:t>
      </w:r>
      <w:r w:rsidRPr="54749438">
        <w:rPr>
          <w:rFonts w:eastAsia="Times New Roman"/>
        </w:rPr>
        <w:t xml:space="preserve"> conducted </w:t>
      </w:r>
      <w:r>
        <w:rPr>
          <w:rFonts w:eastAsia="Times New Roman"/>
        </w:rPr>
        <w:t xml:space="preserve">for each of the hydrologic control run simulations (i.e., VIC-Daymet, VIC-Livneh, PRMS-Daymet, </w:t>
      </w:r>
      <w:r w:rsidR="00AD06E7">
        <w:rPr>
          <w:rFonts w:eastAsia="Times New Roman"/>
        </w:rPr>
        <w:t xml:space="preserve">and </w:t>
      </w:r>
      <w:r>
        <w:rPr>
          <w:rFonts w:eastAsia="Times New Roman"/>
        </w:rPr>
        <w:t xml:space="preserve">PRMS-Livneh) (Section </w:t>
      </w:r>
      <w:r>
        <w:rPr>
          <w:rFonts w:eastAsia="Times New Roman"/>
        </w:rPr>
        <w:fldChar w:fldCharType="begin"/>
      </w:r>
      <w:r>
        <w:rPr>
          <w:rFonts w:eastAsia="Times New Roman"/>
        </w:rPr>
        <w:instrText xml:space="preserve"> REF _Ref81824283 \n \h </w:instrText>
      </w:r>
      <w:r>
        <w:rPr>
          <w:rFonts w:eastAsia="Times New Roman"/>
        </w:rPr>
      </w:r>
      <w:r>
        <w:rPr>
          <w:rFonts w:eastAsia="Times New Roman"/>
        </w:rPr>
        <w:fldChar w:fldCharType="separate"/>
      </w:r>
      <w:r w:rsidR="00EE0BF5">
        <w:rPr>
          <w:rFonts w:eastAsia="Times New Roman"/>
        </w:rPr>
        <w:t>2.5.3</w:t>
      </w:r>
      <w:r>
        <w:rPr>
          <w:rFonts w:eastAsia="Times New Roman"/>
        </w:rPr>
        <w:fldChar w:fldCharType="end"/>
      </w:r>
      <w:r>
        <w:rPr>
          <w:rFonts w:eastAsia="Times New Roman"/>
        </w:rPr>
        <w:t>) over the 1984–2013 period (</w:t>
      </w:r>
      <w:r>
        <w:rPr>
          <w:rFonts w:eastAsia="Times New Roman"/>
        </w:rPr>
        <w:fldChar w:fldCharType="begin"/>
      </w:r>
      <w:r>
        <w:rPr>
          <w:rFonts w:eastAsia="Times New Roman"/>
        </w:rPr>
        <w:instrText xml:space="preserve"> REF _Ref81824423 \h </w:instrText>
      </w:r>
      <w:r>
        <w:rPr>
          <w:rFonts w:eastAsia="Times New Roman"/>
        </w:rPr>
      </w:r>
      <w:r>
        <w:rPr>
          <w:rFonts w:eastAsia="Times New Roman"/>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18</w:t>
      </w:r>
      <w:r>
        <w:rPr>
          <w:rFonts w:eastAsia="Times New Roman"/>
        </w:rPr>
        <w:fldChar w:fldCharType="end"/>
      </w:r>
      <w:r>
        <w:rPr>
          <w:rFonts w:eastAsia="Times New Roman"/>
        </w:rPr>
        <w:t>)</w:t>
      </w:r>
      <w:r w:rsidRPr="54749438">
        <w:rPr>
          <w:rFonts w:eastAsia="Times New Roman"/>
        </w:rPr>
        <w:t>.</w:t>
      </w:r>
      <w:r>
        <w:t xml:space="preserve"> </w:t>
      </w:r>
      <w:r w:rsidR="00AD06E7">
        <w:rPr>
          <w:rFonts w:eastAsia="Times New Roman"/>
        </w:rPr>
        <w:t>V</w:t>
      </w:r>
      <w:r w:rsidRPr="54749438">
        <w:rPr>
          <w:rFonts w:eastAsia="Times New Roman"/>
        </w:rPr>
        <w:t xml:space="preserve">alidations </w:t>
      </w:r>
      <w:r>
        <w:rPr>
          <w:rFonts w:eastAsia="Times New Roman"/>
        </w:rPr>
        <w:t xml:space="preserve">were performed over the </w:t>
      </w:r>
      <w:r>
        <w:t>2014–2019 period</w:t>
      </w:r>
      <w:r w:rsidRPr="54749438">
        <w:rPr>
          <w:rFonts w:eastAsia="Times New Roman"/>
        </w:rPr>
        <w:t xml:space="preserve"> </w:t>
      </w:r>
      <w:r>
        <w:rPr>
          <w:rFonts w:eastAsia="Times New Roman"/>
        </w:rPr>
        <w:t xml:space="preserve">using </w:t>
      </w:r>
      <w:r w:rsidRPr="54749438">
        <w:rPr>
          <w:rFonts w:eastAsia="Times New Roman"/>
        </w:rPr>
        <w:t>Daymet</w:t>
      </w:r>
      <w:r>
        <w:rPr>
          <w:rFonts w:eastAsia="Times New Roman"/>
        </w:rPr>
        <w:t>-based results</w:t>
      </w:r>
      <w:r w:rsidRPr="54749438">
        <w:rPr>
          <w:rFonts w:eastAsia="Times New Roman"/>
        </w:rPr>
        <w:t xml:space="preserve"> </w:t>
      </w:r>
      <w:r>
        <w:rPr>
          <w:rFonts w:eastAsia="Times New Roman"/>
        </w:rPr>
        <w:t>because</w:t>
      </w:r>
      <w:r w:rsidRPr="54749438">
        <w:rPr>
          <w:rFonts w:eastAsia="Times New Roman"/>
        </w:rPr>
        <w:t xml:space="preserve"> Livneh</w:t>
      </w:r>
      <w:r>
        <w:rPr>
          <w:rFonts w:eastAsia="Times New Roman"/>
        </w:rPr>
        <w:t>-based results</w:t>
      </w:r>
      <w:r w:rsidRPr="54749438">
        <w:rPr>
          <w:rFonts w:eastAsia="Times New Roman"/>
        </w:rPr>
        <w:t xml:space="preserve"> did not cover the entire validation period (</w:t>
      </w:r>
      <w:r>
        <w:rPr>
          <w:rFonts w:eastAsia="Times New Roman"/>
        </w:rPr>
        <w:fldChar w:fldCharType="begin"/>
      </w:r>
      <w:r>
        <w:rPr>
          <w:rFonts w:eastAsia="Times New Roman"/>
        </w:rPr>
        <w:instrText xml:space="preserve"> REF _Ref72854211 \h </w:instrText>
      </w:r>
      <w:r>
        <w:rPr>
          <w:rFonts w:eastAsia="Times New Roman"/>
        </w:rPr>
      </w:r>
      <w:r>
        <w:rPr>
          <w:rFonts w:eastAsia="Times New Roman"/>
        </w:rPr>
        <w:fldChar w:fldCharType="separate"/>
      </w:r>
      <w:r w:rsidR="00EE0BF5" w:rsidRPr="004C5793">
        <w:rPr>
          <w:rFonts w:eastAsia="PMingLiU"/>
          <w:lang w:bidi="en-US"/>
        </w:rPr>
        <w:t xml:space="preserve">Table </w:t>
      </w:r>
      <w:r w:rsidR="00EE0BF5">
        <w:rPr>
          <w:rFonts w:eastAsia="PMingLiU"/>
          <w:noProof/>
          <w:lang w:bidi="en-US"/>
        </w:rPr>
        <w:t>2</w:t>
      </w:r>
      <w:r w:rsidR="00EE0BF5">
        <w:rPr>
          <w:rFonts w:eastAsia="PMingLiU"/>
          <w:lang w:bidi="en-US"/>
        </w:rPr>
        <w:t>.</w:t>
      </w:r>
      <w:r w:rsidR="00EE0BF5">
        <w:rPr>
          <w:rFonts w:eastAsia="PMingLiU"/>
          <w:noProof/>
          <w:lang w:bidi="en-US"/>
        </w:rPr>
        <w:t>3</w:t>
      </w:r>
      <w:r>
        <w:rPr>
          <w:rFonts w:eastAsia="Times New Roman"/>
        </w:rPr>
        <w:fldChar w:fldCharType="end"/>
      </w:r>
      <w:r w:rsidRPr="54749438">
        <w:rPr>
          <w:rFonts w:eastAsia="Times New Roman"/>
        </w:rPr>
        <w:t>). The results suggested that</w:t>
      </w:r>
      <w:r>
        <w:rPr>
          <w:rFonts w:eastAsia="Times New Roman"/>
        </w:rPr>
        <w:t>,</w:t>
      </w:r>
      <w:r w:rsidRPr="54749438">
        <w:rPr>
          <w:rFonts w:eastAsia="Times New Roman"/>
        </w:rPr>
        <w:t xml:space="preserve"> </w:t>
      </w:r>
      <w:r>
        <w:rPr>
          <w:rFonts w:eastAsia="Times New Roman"/>
        </w:rPr>
        <w:t xml:space="preserve">despite the </w:t>
      </w:r>
      <w:r w:rsidRPr="54749438">
        <w:rPr>
          <w:rFonts w:eastAsia="Times New Roman"/>
        </w:rPr>
        <w:t>fundamental difference</w:t>
      </w:r>
      <w:r>
        <w:rPr>
          <w:rFonts w:eastAsia="Times New Roman"/>
        </w:rPr>
        <w:t>s</w:t>
      </w:r>
      <w:r w:rsidRPr="54749438">
        <w:rPr>
          <w:rFonts w:eastAsia="Times New Roman"/>
        </w:rPr>
        <w:t xml:space="preserve"> in modeling approaches, both models were able to</w:t>
      </w:r>
      <w:r>
        <w:rPr>
          <w:rFonts w:eastAsia="Times New Roman"/>
        </w:rPr>
        <w:t xml:space="preserve"> well </w:t>
      </w:r>
      <w:r w:rsidRPr="54749438">
        <w:rPr>
          <w:rFonts w:eastAsia="Times New Roman"/>
        </w:rPr>
        <w:t xml:space="preserve">simulate the monthly hydropower generations with </w:t>
      </w:r>
      <w:r>
        <w:rPr>
          <w:rFonts w:eastAsia="Times New Roman"/>
        </w:rPr>
        <w:t xml:space="preserve">an </w:t>
      </w:r>
      <w:r w:rsidRPr="54749438">
        <w:rPr>
          <w:rFonts w:eastAsia="Times New Roman"/>
        </w:rPr>
        <w:t>R</w:t>
      </w:r>
      <w:r w:rsidRPr="00BE5553">
        <w:rPr>
          <w:rFonts w:eastAsia="Times New Roman"/>
          <w:vertAlign w:val="superscript"/>
        </w:rPr>
        <w:t>2</w:t>
      </w:r>
      <w:r w:rsidRPr="54749438">
        <w:rPr>
          <w:rFonts w:eastAsia="Times New Roman"/>
        </w:rPr>
        <w:t xml:space="preserve"> around 0.</w:t>
      </w:r>
      <w:r>
        <w:rPr>
          <w:rFonts w:eastAsia="Times New Roman"/>
        </w:rPr>
        <w:t>75</w:t>
      </w:r>
      <w:r w:rsidRPr="54749438">
        <w:rPr>
          <w:rFonts w:eastAsia="Times New Roman"/>
        </w:rPr>
        <w:t xml:space="preserve"> </w:t>
      </w:r>
      <w:r>
        <w:rPr>
          <w:rFonts w:eastAsia="Times New Roman"/>
        </w:rPr>
        <w:t>during the</w:t>
      </w:r>
      <w:r w:rsidRPr="54749438">
        <w:rPr>
          <w:rFonts w:eastAsia="Times New Roman"/>
        </w:rPr>
        <w:t xml:space="preserve"> calibration and validation periods. The models also performed reasonably well in other metrics </w:t>
      </w:r>
      <w:r>
        <w:rPr>
          <w:rFonts w:eastAsia="Times New Roman"/>
        </w:rPr>
        <w:t>(e.g.,</w:t>
      </w:r>
      <w:r w:rsidRPr="54749438">
        <w:rPr>
          <w:rFonts w:eastAsia="Times New Roman"/>
        </w:rPr>
        <w:t xml:space="preserve"> NSE</w:t>
      </w:r>
      <w:r>
        <w:rPr>
          <w:rFonts w:eastAsia="Times New Roman"/>
        </w:rPr>
        <w:t xml:space="preserve"> </w:t>
      </w:r>
      <w:r w:rsidRPr="54749438">
        <w:rPr>
          <w:rFonts w:eastAsia="Times New Roman"/>
        </w:rPr>
        <w:t>and mean annual bias</w:t>
      </w:r>
      <w:r>
        <w:rPr>
          <w:rFonts w:eastAsia="Times New Roman"/>
        </w:rPr>
        <w:t>)</w:t>
      </w:r>
      <w:r w:rsidRPr="54749438">
        <w:rPr>
          <w:rFonts w:eastAsia="Times New Roman"/>
        </w:rPr>
        <w:t xml:space="preserve">. </w:t>
      </w:r>
      <w:r>
        <w:rPr>
          <w:rFonts w:eastAsia="Times New Roman"/>
        </w:rPr>
        <w:t>T</w:t>
      </w:r>
      <w:r w:rsidRPr="54749438">
        <w:rPr>
          <w:rFonts w:eastAsia="Times New Roman"/>
        </w:rPr>
        <w:t xml:space="preserve">he </w:t>
      </w:r>
      <w:r>
        <w:rPr>
          <w:rFonts w:eastAsia="Times New Roman"/>
        </w:rPr>
        <w:t>metrics</w:t>
      </w:r>
      <w:r w:rsidRPr="54749438">
        <w:rPr>
          <w:rFonts w:eastAsia="Times New Roman"/>
        </w:rPr>
        <w:t xml:space="preserve"> </w:t>
      </w:r>
      <w:r>
        <w:rPr>
          <w:rFonts w:eastAsia="Times New Roman"/>
        </w:rPr>
        <w:t>during</w:t>
      </w:r>
      <w:r w:rsidRPr="54749438">
        <w:rPr>
          <w:rFonts w:eastAsia="Times New Roman"/>
        </w:rPr>
        <w:t xml:space="preserve"> the validation period </w:t>
      </w:r>
      <w:r w:rsidR="00AD06E7">
        <w:rPr>
          <w:rFonts w:eastAsia="Times New Roman"/>
        </w:rPr>
        <w:t xml:space="preserve">were </w:t>
      </w:r>
      <w:r>
        <w:rPr>
          <w:rFonts w:eastAsia="Times New Roman"/>
        </w:rPr>
        <w:t xml:space="preserve">lower relative to </w:t>
      </w:r>
      <w:r w:rsidRPr="54749438">
        <w:rPr>
          <w:rFonts w:eastAsia="Times New Roman"/>
        </w:rPr>
        <w:t>the calibration period</w:t>
      </w:r>
      <w:r>
        <w:rPr>
          <w:rFonts w:eastAsia="Times New Roman"/>
        </w:rPr>
        <w:t xml:space="preserve">, but they </w:t>
      </w:r>
      <w:r w:rsidR="00AD06E7">
        <w:rPr>
          <w:rFonts w:eastAsia="Times New Roman"/>
        </w:rPr>
        <w:t xml:space="preserve">were </w:t>
      </w:r>
      <w:r>
        <w:rPr>
          <w:rFonts w:eastAsia="Times New Roman"/>
        </w:rPr>
        <w:t>still satisfactory for the purpose</w:t>
      </w:r>
      <w:r w:rsidR="00AD06E7">
        <w:rPr>
          <w:rFonts w:eastAsia="Times New Roman"/>
        </w:rPr>
        <w:t>s</w:t>
      </w:r>
      <w:r>
        <w:rPr>
          <w:rFonts w:eastAsia="Times New Roman"/>
        </w:rPr>
        <w:t xml:space="preserve"> of this study</w:t>
      </w:r>
      <w:r w:rsidR="004801B8" w:rsidRPr="54749438">
        <w:rPr>
          <w:rFonts w:eastAsia="Times New Roman"/>
        </w:rPr>
        <w:t>.</w:t>
      </w:r>
      <w:r w:rsidR="00152EEB">
        <w:rPr>
          <w:rFonts w:eastAsia="Times New Roman"/>
        </w:rPr>
        <w:t xml:space="preserve"> </w:t>
      </w:r>
      <w:r w:rsidR="00152EEB">
        <w:rPr>
          <w:lang w:eastAsia="zh-TW"/>
        </w:rPr>
        <w:t>Further details about WRES and WMP model implementation can be referred to Zhou et al. (2022).</w:t>
      </w:r>
    </w:p>
    <w:p w14:paraId="4424FBD5" w14:textId="4EDDDB7D" w:rsidR="001B2AC0" w:rsidRDefault="001B2AC0" w:rsidP="00C82290">
      <w:pPr>
        <w:pStyle w:val="FIGUREposition"/>
      </w:pPr>
      <w:r>
        <w:rPr>
          <w:noProof/>
        </w:rPr>
        <w:lastRenderedPageBreak/>
        <w:drawing>
          <wp:inline distT="0" distB="0" distL="0" distR="0" wp14:anchorId="303A3496" wp14:editId="27E1A1C5">
            <wp:extent cx="5943600" cy="726350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263501"/>
                    </a:xfrm>
                    <a:prstGeom prst="rect">
                      <a:avLst/>
                    </a:prstGeom>
                    <a:noFill/>
                    <a:ln>
                      <a:noFill/>
                    </a:ln>
                  </pic:spPr>
                </pic:pic>
              </a:graphicData>
            </a:graphic>
          </wp:inline>
        </w:drawing>
      </w:r>
    </w:p>
    <w:p w14:paraId="046C7DB1" w14:textId="6C582F3A" w:rsidR="004801B8" w:rsidRDefault="004801B8" w:rsidP="00C82290">
      <w:pPr>
        <w:pStyle w:val="FigureCaption"/>
        <w:rPr>
          <w:lang w:eastAsia="zh-TW"/>
        </w:rPr>
      </w:pPr>
      <w:bookmarkStart w:id="171" w:name="_Ref81824423"/>
      <w:bookmarkStart w:id="172" w:name="_Toc113380882"/>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18</w:t>
      </w:r>
      <w:r w:rsidRPr="006869CA">
        <w:rPr>
          <w:lang w:eastAsia="zh-TW"/>
        </w:rPr>
        <w:fldChar w:fldCharType="end"/>
      </w:r>
      <w:bookmarkEnd w:id="171"/>
      <w:r w:rsidRPr="006869CA">
        <w:rPr>
          <w:lang w:eastAsia="zh-TW"/>
        </w:rPr>
        <w:t xml:space="preserve">. </w:t>
      </w:r>
      <w:r w:rsidR="001B2AC0">
        <w:rPr>
          <w:lang w:eastAsia="zh-TW"/>
        </w:rPr>
        <w:t>Performance of WRES and WMP</w:t>
      </w:r>
      <w:r w:rsidR="000E67DD">
        <w:rPr>
          <w:lang w:eastAsia="zh-TW"/>
        </w:rPr>
        <w:t>.</w:t>
      </w:r>
      <w:bookmarkEnd w:id="172"/>
    </w:p>
    <w:p w14:paraId="5857497C" w14:textId="27AB087E" w:rsidR="002C4E80" w:rsidRDefault="002C4E80" w:rsidP="002C4E80">
      <w:pPr>
        <w:pStyle w:val="BodyText"/>
        <w:rPr>
          <w:lang w:eastAsia="zh-TW"/>
        </w:rPr>
      </w:pPr>
    </w:p>
    <w:p w14:paraId="67719992" w14:textId="1FAD1A80" w:rsidR="002C4E80" w:rsidRDefault="002C4E80" w:rsidP="002C4E80">
      <w:pPr>
        <w:pStyle w:val="BodyText"/>
        <w:rPr>
          <w:lang w:eastAsia="zh-TW"/>
        </w:rPr>
      </w:pPr>
    </w:p>
    <w:p w14:paraId="110B8898" w14:textId="43A7329E" w:rsidR="002C4E80" w:rsidRPr="004C5793" w:rsidRDefault="002C4E80" w:rsidP="002C4E80">
      <w:pPr>
        <w:pStyle w:val="TableCaption"/>
        <w:rPr>
          <w:rFonts w:eastAsia="PMingLiU"/>
        </w:rPr>
      </w:pPr>
      <w:bookmarkStart w:id="173" w:name="_Ref72854211"/>
      <w:bookmarkStart w:id="174" w:name="_Toc113380975"/>
      <w:r w:rsidRPr="004C5793">
        <w:rPr>
          <w:rFonts w:eastAsia="PMingLiU"/>
          <w:lang w:bidi="en-US"/>
        </w:rPr>
        <w:lastRenderedPageBreak/>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2</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3</w:t>
      </w:r>
      <w:r w:rsidRPr="004C5793">
        <w:rPr>
          <w:rFonts w:eastAsia="PMingLiU"/>
          <w:lang w:bidi="en-US"/>
        </w:rPr>
        <w:fldChar w:fldCharType="end"/>
      </w:r>
      <w:bookmarkEnd w:id="173"/>
      <w:r w:rsidRPr="004C5793">
        <w:rPr>
          <w:rFonts w:eastAsia="PMingLiU"/>
          <w:lang w:bidi="en-US"/>
        </w:rPr>
        <w:t>.</w:t>
      </w:r>
      <w:r w:rsidRPr="004C5793">
        <w:rPr>
          <w:rFonts w:eastAsia="PMingLiU"/>
          <w:b w:val="0"/>
          <w:lang w:bidi="en-US"/>
        </w:rPr>
        <w:t xml:space="preserve"> </w:t>
      </w:r>
      <w:r>
        <w:rPr>
          <w:lang w:eastAsia="zh-TW"/>
        </w:rPr>
        <w:t>Performance of WRES and WMP</w:t>
      </w:r>
      <w:bookmarkEnd w:id="174"/>
    </w:p>
    <w:tbl>
      <w:tblPr>
        <w:tblW w:w="9298" w:type="dxa"/>
        <w:jc w:val="center"/>
        <w:tblLayout w:type="fixed"/>
        <w:tblCellMar>
          <w:top w:w="29" w:type="dxa"/>
          <w:left w:w="29" w:type="dxa"/>
          <w:bottom w:w="29" w:type="dxa"/>
          <w:right w:w="29" w:type="dxa"/>
        </w:tblCellMar>
        <w:tblLook w:val="0600" w:firstRow="0" w:lastRow="0" w:firstColumn="0" w:lastColumn="0" w:noHBand="1" w:noVBand="1"/>
      </w:tblPr>
      <w:tblGrid>
        <w:gridCol w:w="630"/>
        <w:gridCol w:w="963"/>
        <w:gridCol w:w="792"/>
        <w:gridCol w:w="1008"/>
        <w:gridCol w:w="969"/>
        <w:gridCol w:w="498"/>
        <w:gridCol w:w="457"/>
        <w:gridCol w:w="595"/>
        <w:gridCol w:w="11"/>
        <w:gridCol w:w="918"/>
        <w:gridCol w:w="972"/>
        <w:gridCol w:w="382"/>
        <w:gridCol w:w="446"/>
        <w:gridCol w:w="646"/>
        <w:gridCol w:w="11"/>
      </w:tblGrid>
      <w:tr w:rsidR="002C4E80" w:rsidRPr="00A048D5" w14:paraId="11AC666B" w14:textId="77777777" w:rsidTr="00BB2445">
        <w:trPr>
          <w:gridAfter w:val="1"/>
          <w:wAfter w:w="11" w:type="dxa"/>
          <w:cantSplit/>
          <w:trHeight w:val="20"/>
          <w:jc w:val="center"/>
        </w:trPr>
        <w:tc>
          <w:tcPr>
            <w:tcW w:w="630" w:type="dxa"/>
            <w:vMerge w:val="restart"/>
            <w:tcBorders>
              <w:top w:val="single" w:sz="12" w:space="0" w:color="000000"/>
            </w:tcBorders>
            <w:shd w:val="clear" w:color="auto" w:fill="auto"/>
            <w:vAlign w:val="center"/>
          </w:tcPr>
          <w:p w14:paraId="0283D942" w14:textId="77777777" w:rsidR="002C4E80" w:rsidRPr="00A048D5" w:rsidRDefault="002C4E80" w:rsidP="00BB2445">
            <w:pPr>
              <w:spacing w:before="0" w:after="0" w:line="240" w:lineRule="auto"/>
              <w:ind w:firstLine="0"/>
              <w:jc w:val="center"/>
              <w:textAlignment w:val="center"/>
              <w:rPr>
                <w:rFonts w:eastAsia="Times New Roman"/>
                <w:b/>
                <w:bCs/>
                <w:color w:val="000000"/>
                <w:kern w:val="24"/>
                <w:sz w:val="18"/>
                <w:szCs w:val="18"/>
                <w:lang w:bidi="ar-SA"/>
              </w:rPr>
            </w:pPr>
            <w:r w:rsidRPr="00A048D5">
              <w:rPr>
                <w:rFonts w:eastAsia="Times New Roman"/>
                <w:b/>
                <w:bCs/>
                <w:color w:val="000000"/>
                <w:kern w:val="24"/>
                <w:sz w:val="18"/>
                <w:szCs w:val="18"/>
                <w:lang w:bidi="ar-SA"/>
              </w:rPr>
              <w:t>Power model</w:t>
            </w:r>
          </w:p>
        </w:tc>
        <w:tc>
          <w:tcPr>
            <w:tcW w:w="963" w:type="dxa"/>
            <w:vMerge w:val="restart"/>
            <w:tcBorders>
              <w:top w:val="single" w:sz="12" w:space="0" w:color="000000"/>
            </w:tcBorders>
            <w:shd w:val="clear" w:color="auto" w:fill="auto"/>
            <w:vAlign w:val="center"/>
          </w:tcPr>
          <w:p w14:paraId="173268A2" w14:textId="77777777" w:rsidR="002C4E80" w:rsidRPr="00A048D5" w:rsidRDefault="002C4E80" w:rsidP="00BB2445">
            <w:pPr>
              <w:spacing w:before="0" w:after="0" w:line="240" w:lineRule="auto"/>
              <w:ind w:firstLine="0"/>
              <w:jc w:val="center"/>
              <w:textAlignment w:val="bottom"/>
              <w:rPr>
                <w:rFonts w:eastAsia="Times New Roman"/>
                <w:b/>
                <w:bCs/>
                <w:color w:val="000000"/>
                <w:kern w:val="24"/>
                <w:sz w:val="18"/>
                <w:szCs w:val="18"/>
                <w:lang w:bidi="ar-SA"/>
              </w:rPr>
            </w:pPr>
            <w:r w:rsidRPr="00A048D5">
              <w:rPr>
                <w:rFonts w:eastAsia="Times New Roman"/>
                <w:b/>
                <w:bCs/>
                <w:color w:val="000000"/>
                <w:kern w:val="24"/>
                <w:sz w:val="18"/>
                <w:szCs w:val="18"/>
                <w:lang w:bidi="ar-SA"/>
              </w:rPr>
              <w:t xml:space="preserve">Hydrologic </w:t>
            </w:r>
          </w:p>
          <w:p w14:paraId="03E4D66A" w14:textId="77777777" w:rsidR="002C4E80" w:rsidRPr="00A048D5" w:rsidRDefault="002C4E80" w:rsidP="00BB2445">
            <w:pPr>
              <w:spacing w:before="0" w:after="0" w:line="240" w:lineRule="auto"/>
              <w:ind w:firstLine="0"/>
              <w:jc w:val="center"/>
              <w:textAlignment w:val="bottom"/>
              <w:rPr>
                <w:rFonts w:eastAsia="Times New Roman"/>
                <w:b/>
                <w:bCs/>
                <w:color w:val="000000"/>
                <w:kern w:val="24"/>
                <w:sz w:val="18"/>
                <w:szCs w:val="18"/>
                <w:lang w:bidi="ar-SA"/>
              </w:rPr>
            </w:pPr>
            <w:r w:rsidRPr="00A048D5">
              <w:rPr>
                <w:rFonts w:eastAsia="Times New Roman"/>
                <w:b/>
                <w:bCs/>
                <w:color w:val="000000"/>
                <w:kern w:val="24"/>
                <w:sz w:val="18"/>
                <w:szCs w:val="18"/>
                <w:lang w:bidi="ar-SA"/>
              </w:rPr>
              <w:t>model</w:t>
            </w:r>
          </w:p>
        </w:tc>
        <w:tc>
          <w:tcPr>
            <w:tcW w:w="792" w:type="dxa"/>
            <w:vMerge w:val="restart"/>
            <w:tcBorders>
              <w:top w:val="single" w:sz="12" w:space="0" w:color="000000"/>
              <w:right w:val="single" w:sz="4" w:space="0" w:color="000000"/>
            </w:tcBorders>
            <w:shd w:val="clear" w:color="auto" w:fill="auto"/>
            <w:vAlign w:val="center"/>
          </w:tcPr>
          <w:p w14:paraId="7D025687" w14:textId="77777777" w:rsidR="002C4E80" w:rsidRPr="00A048D5" w:rsidRDefault="002C4E80" w:rsidP="00BB2445">
            <w:pPr>
              <w:spacing w:before="0" w:after="0" w:line="240" w:lineRule="auto"/>
              <w:ind w:firstLine="0"/>
              <w:jc w:val="center"/>
              <w:textAlignment w:val="bottom"/>
              <w:rPr>
                <w:rFonts w:eastAsia="Times New Roman"/>
                <w:b/>
                <w:bCs/>
                <w:color w:val="000000"/>
                <w:kern w:val="24"/>
                <w:sz w:val="18"/>
                <w:szCs w:val="18"/>
                <w:lang w:bidi="ar-SA"/>
              </w:rPr>
            </w:pPr>
            <w:r w:rsidRPr="00A048D5">
              <w:rPr>
                <w:rFonts w:eastAsia="Times New Roman"/>
                <w:b/>
                <w:bCs/>
                <w:color w:val="000000"/>
                <w:kern w:val="24"/>
                <w:sz w:val="18"/>
                <w:szCs w:val="18"/>
                <w:lang w:bidi="ar-SA"/>
              </w:rPr>
              <w:t xml:space="preserve">Meteor. </w:t>
            </w:r>
            <w:r>
              <w:rPr>
                <w:rFonts w:eastAsia="Times New Roman"/>
                <w:b/>
                <w:bCs/>
                <w:color w:val="000000"/>
                <w:kern w:val="24"/>
                <w:sz w:val="18"/>
                <w:szCs w:val="18"/>
                <w:lang w:bidi="ar-SA"/>
              </w:rPr>
              <w:t>o</w:t>
            </w:r>
            <w:r w:rsidRPr="00A048D5">
              <w:rPr>
                <w:rFonts w:eastAsia="Times New Roman"/>
                <w:b/>
                <w:bCs/>
                <w:color w:val="000000"/>
                <w:kern w:val="24"/>
                <w:sz w:val="18"/>
                <w:szCs w:val="18"/>
                <w:lang w:bidi="ar-SA"/>
              </w:rPr>
              <w:t>bs.</w:t>
            </w:r>
          </w:p>
        </w:tc>
        <w:tc>
          <w:tcPr>
            <w:tcW w:w="3527" w:type="dxa"/>
            <w:gridSpan w:val="5"/>
            <w:tcBorders>
              <w:top w:val="single" w:sz="12" w:space="0" w:color="000000"/>
              <w:left w:val="single" w:sz="4" w:space="0" w:color="000000"/>
              <w:bottom w:val="single" w:sz="4" w:space="0" w:color="000000"/>
              <w:right w:val="single" w:sz="4" w:space="0" w:color="000000"/>
            </w:tcBorders>
            <w:shd w:val="clear" w:color="auto" w:fill="auto"/>
            <w:vAlign w:val="center"/>
          </w:tcPr>
          <w:p w14:paraId="5DBE77D2" w14:textId="77777777" w:rsidR="002C4E80" w:rsidRPr="00A048D5" w:rsidRDefault="002C4E80" w:rsidP="00BB2445">
            <w:pPr>
              <w:spacing w:before="0" w:after="0" w:line="240" w:lineRule="auto"/>
              <w:ind w:firstLine="0"/>
              <w:jc w:val="center"/>
              <w:textAlignment w:val="bottom"/>
              <w:rPr>
                <w:rFonts w:eastAsia="Times New Roman"/>
                <w:b/>
                <w:bCs/>
                <w:color w:val="000000"/>
                <w:kern w:val="24"/>
                <w:sz w:val="18"/>
                <w:szCs w:val="18"/>
                <w:lang w:bidi="ar-SA"/>
              </w:rPr>
            </w:pPr>
            <w:r w:rsidRPr="00A048D5">
              <w:rPr>
                <w:rFonts w:eastAsia="Times New Roman"/>
                <w:b/>
                <w:bCs/>
                <w:color w:val="000000"/>
                <w:kern w:val="24"/>
                <w:sz w:val="18"/>
                <w:szCs w:val="18"/>
                <w:lang w:bidi="ar-SA"/>
              </w:rPr>
              <w:t>Calibration</w:t>
            </w:r>
          </w:p>
        </w:tc>
        <w:tc>
          <w:tcPr>
            <w:tcW w:w="3375" w:type="dxa"/>
            <w:gridSpan w:val="6"/>
            <w:tcBorders>
              <w:top w:val="single" w:sz="12" w:space="0" w:color="000000"/>
              <w:left w:val="single" w:sz="4" w:space="0" w:color="000000"/>
              <w:bottom w:val="single" w:sz="4" w:space="0" w:color="000000"/>
            </w:tcBorders>
            <w:shd w:val="clear" w:color="auto" w:fill="auto"/>
            <w:vAlign w:val="center"/>
          </w:tcPr>
          <w:p w14:paraId="6F079A03" w14:textId="77777777" w:rsidR="002C4E80" w:rsidRPr="00A048D5" w:rsidRDefault="002C4E80" w:rsidP="00BB2445">
            <w:pPr>
              <w:spacing w:before="0" w:after="0" w:line="240" w:lineRule="auto"/>
              <w:ind w:firstLine="0"/>
              <w:jc w:val="center"/>
              <w:textAlignment w:val="bottom"/>
              <w:rPr>
                <w:rFonts w:eastAsia="Times New Roman"/>
                <w:b/>
                <w:bCs/>
                <w:color w:val="000000"/>
                <w:kern w:val="24"/>
                <w:sz w:val="18"/>
                <w:szCs w:val="18"/>
                <w:lang w:bidi="ar-SA"/>
              </w:rPr>
            </w:pPr>
            <w:r w:rsidRPr="00A048D5">
              <w:rPr>
                <w:rFonts w:eastAsia="Times New Roman"/>
                <w:b/>
                <w:bCs/>
                <w:color w:val="000000"/>
                <w:kern w:val="24"/>
                <w:sz w:val="18"/>
                <w:szCs w:val="18"/>
                <w:lang w:bidi="ar-SA"/>
              </w:rPr>
              <w:t>Validation</w:t>
            </w:r>
          </w:p>
        </w:tc>
      </w:tr>
      <w:tr w:rsidR="002C4E80" w:rsidRPr="00A048D5" w14:paraId="073DAEF1" w14:textId="77777777" w:rsidTr="00BB2445">
        <w:trPr>
          <w:cantSplit/>
          <w:trHeight w:val="20"/>
          <w:jc w:val="center"/>
        </w:trPr>
        <w:tc>
          <w:tcPr>
            <w:tcW w:w="630" w:type="dxa"/>
            <w:vMerge/>
            <w:tcBorders>
              <w:bottom w:val="single" w:sz="12" w:space="0" w:color="000000"/>
            </w:tcBorders>
            <w:shd w:val="clear" w:color="auto" w:fill="auto"/>
            <w:vAlign w:val="center"/>
          </w:tcPr>
          <w:p w14:paraId="1DE1DE21" w14:textId="77777777" w:rsidR="002C4E80" w:rsidRPr="00A048D5" w:rsidRDefault="002C4E80" w:rsidP="00BB2445">
            <w:pPr>
              <w:spacing w:before="0" w:after="0" w:line="240" w:lineRule="auto"/>
              <w:ind w:firstLine="0"/>
              <w:jc w:val="center"/>
              <w:textAlignment w:val="center"/>
              <w:rPr>
                <w:rFonts w:eastAsia="Times New Roman"/>
                <w:color w:val="000000"/>
                <w:kern w:val="24"/>
                <w:sz w:val="18"/>
                <w:szCs w:val="18"/>
                <w:lang w:bidi="ar-SA"/>
              </w:rPr>
            </w:pPr>
          </w:p>
        </w:tc>
        <w:tc>
          <w:tcPr>
            <w:tcW w:w="963" w:type="dxa"/>
            <w:vMerge/>
            <w:tcBorders>
              <w:bottom w:val="single" w:sz="12" w:space="0" w:color="000000"/>
            </w:tcBorders>
            <w:shd w:val="clear" w:color="auto" w:fill="auto"/>
            <w:vAlign w:val="center"/>
          </w:tcPr>
          <w:p w14:paraId="7D1367DC"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p>
        </w:tc>
        <w:tc>
          <w:tcPr>
            <w:tcW w:w="792" w:type="dxa"/>
            <w:vMerge/>
            <w:tcBorders>
              <w:bottom w:val="single" w:sz="12" w:space="0" w:color="000000"/>
              <w:right w:val="single" w:sz="4" w:space="0" w:color="000000"/>
            </w:tcBorders>
            <w:shd w:val="clear" w:color="auto" w:fill="auto"/>
            <w:vAlign w:val="center"/>
          </w:tcPr>
          <w:p w14:paraId="6C8454E3"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p>
        </w:tc>
        <w:tc>
          <w:tcPr>
            <w:tcW w:w="1008" w:type="dxa"/>
            <w:tcBorders>
              <w:top w:val="single" w:sz="4" w:space="0" w:color="000000"/>
              <w:left w:val="single" w:sz="4" w:space="0" w:color="000000"/>
              <w:bottom w:val="single" w:sz="12" w:space="0" w:color="000000"/>
            </w:tcBorders>
            <w:shd w:val="clear" w:color="auto" w:fill="auto"/>
            <w:vAlign w:val="center"/>
          </w:tcPr>
          <w:p w14:paraId="2BB96CF2"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Calibration period</w:t>
            </w:r>
          </w:p>
        </w:tc>
        <w:tc>
          <w:tcPr>
            <w:tcW w:w="969" w:type="dxa"/>
            <w:tcBorders>
              <w:top w:val="single" w:sz="4" w:space="0" w:color="000000"/>
              <w:bottom w:val="single" w:sz="12" w:space="0" w:color="000000"/>
            </w:tcBorders>
            <w:shd w:val="clear" w:color="auto" w:fill="auto"/>
            <w:vAlign w:val="center"/>
          </w:tcPr>
          <w:p w14:paraId="039549B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b/>
                <w:bCs/>
                <w:color w:val="000000"/>
                <w:kern w:val="24"/>
                <w:sz w:val="18"/>
                <w:szCs w:val="18"/>
                <w:lang w:bidi="ar-SA"/>
              </w:rPr>
              <w:t>RMSE</w:t>
            </w:r>
            <w:r w:rsidRPr="0008357B">
              <w:rPr>
                <w:rFonts w:eastAsia="Times New Roman"/>
                <w:b/>
                <w:bCs/>
                <w:color w:val="000000"/>
                <w:kern w:val="24"/>
                <w:sz w:val="18"/>
                <w:szCs w:val="18"/>
                <w:vertAlign w:val="superscript"/>
                <w:lang w:bidi="ar-SA"/>
              </w:rPr>
              <w:t>*</w:t>
            </w:r>
          </w:p>
          <w:p w14:paraId="1139EE77"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(TWh/mth)</w:t>
            </w:r>
          </w:p>
        </w:tc>
        <w:tc>
          <w:tcPr>
            <w:tcW w:w="498" w:type="dxa"/>
            <w:tcBorders>
              <w:top w:val="single" w:sz="4" w:space="0" w:color="000000"/>
              <w:bottom w:val="single" w:sz="12" w:space="0" w:color="000000"/>
            </w:tcBorders>
            <w:shd w:val="clear" w:color="auto" w:fill="auto"/>
            <w:vAlign w:val="center"/>
          </w:tcPr>
          <w:p w14:paraId="767DFDCE"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R</w:t>
            </w:r>
            <w:r w:rsidRPr="00BE5553">
              <w:rPr>
                <w:rFonts w:eastAsia="Times New Roman"/>
                <w:b/>
                <w:bCs/>
                <w:color w:val="000000"/>
                <w:kern w:val="24"/>
                <w:sz w:val="18"/>
                <w:szCs w:val="18"/>
                <w:vertAlign w:val="superscript"/>
                <w:lang w:bidi="ar-SA"/>
              </w:rPr>
              <w:t>2</w:t>
            </w:r>
          </w:p>
        </w:tc>
        <w:tc>
          <w:tcPr>
            <w:tcW w:w="457" w:type="dxa"/>
            <w:tcBorders>
              <w:top w:val="single" w:sz="4" w:space="0" w:color="000000"/>
              <w:bottom w:val="single" w:sz="12" w:space="0" w:color="000000"/>
            </w:tcBorders>
            <w:shd w:val="clear" w:color="auto" w:fill="auto"/>
            <w:vAlign w:val="center"/>
          </w:tcPr>
          <w:p w14:paraId="5A7EB8FA"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NSE</w:t>
            </w:r>
          </w:p>
        </w:tc>
        <w:tc>
          <w:tcPr>
            <w:tcW w:w="606" w:type="dxa"/>
            <w:gridSpan w:val="2"/>
            <w:tcBorders>
              <w:top w:val="single" w:sz="4" w:space="0" w:color="000000"/>
              <w:bottom w:val="single" w:sz="12" w:space="0" w:color="000000"/>
              <w:right w:val="single" w:sz="4" w:space="0" w:color="000000"/>
            </w:tcBorders>
            <w:shd w:val="clear" w:color="auto" w:fill="auto"/>
            <w:vAlign w:val="center"/>
          </w:tcPr>
          <w:p w14:paraId="4A8B3373"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Pr>
                <w:rFonts w:eastAsia="Times New Roman"/>
                <w:b/>
                <w:bCs/>
                <w:color w:val="000000"/>
                <w:kern w:val="24"/>
                <w:sz w:val="18"/>
                <w:szCs w:val="18"/>
                <w:lang w:bidi="ar-SA"/>
              </w:rPr>
              <w:t>M</w:t>
            </w:r>
            <w:r w:rsidRPr="00A048D5">
              <w:rPr>
                <w:rFonts w:eastAsia="Times New Roman"/>
                <w:b/>
                <w:bCs/>
                <w:color w:val="000000"/>
                <w:kern w:val="24"/>
                <w:sz w:val="18"/>
                <w:szCs w:val="18"/>
                <w:lang w:bidi="ar-SA"/>
              </w:rPr>
              <w:t>ean annual</w:t>
            </w:r>
            <w:r w:rsidRPr="00A048D5">
              <w:rPr>
                <w:rFonts w:eastAsia="Times New Roman"/>
                <w:b/>
                <w:bCs/>
                <w:color w:val="000000"/>
                <w:kern w:val="24"/>
                <w:sz w:val="18"/>
                <w:szCs w:val="18"/>
                <w:lang w:bidi="ar-SA"/>
              </w:rPr>
              <w:br/>
              <w:t>bias</w:t>
            </w:r>
          </w:p>
        </w:tc>
        <w:tc>
          <w:tcPr>
            <w:tcW w:w="918" w:type="dxa"/>
            <w:tcBorders>
              <w:top w:val="single" w:sz="4" w:space="0" w:color="000000"/>
              <w:left w:val="single" w:sz="4" w:space="0" w:color="000000"/>
              <w:bottom w:val="single" w:sz="12" w:space="0" w:color="000000"/>
            </w:tcBorders>
            <w:shd w:val="clear" w:color="auto" w:fill="auto"/>
            <w:vAlign w:val="center"/>
          </w:tcPr>
          <w:p w14:paraId="59419A71"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Validation period</w:t>
            </w:r>
          </w:p>
        </w:tc>
        <w:tc>
          <w:tcPr>
            <w:tcW w:w="972" w:type="dxa"/>
            <w:tcBorders>
              <w:top w:val="single" w:sz="4" w:space="0" w:color="000000"/>
              <w:bottom w:val="single" w:sz="12" w:space="0" w:color="000000"/>
            </w:tcBorders>
            <w:shd w:val="clear" w:color="auto" w:fill="auto"/>
            <w:vAlign w:val="center"/>
          </w:tcPr>
          <w:p w14:paraId="44CECED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b/>
                <w:bCs/>
                <w:color w:val="000000"/>
                <w:kern w:val="24"/>
                <w:sz w:val="18"/>
                <w:szCs w:val="18"/>
                <w:lang w:bidi="ar-SA"/>
              </w:rPr>
              <w:t>RMSE</w:t>
            </w:r>
          </w:p>
          <w:p w14:paraId="4CE12C19"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(TWh/mth)</w:t>
            </w:r>
          </w:p>
        </w:tc>
        <w:tc>
          <w:tcPr>
            <w:tcW w:w="382" w:type="dxa"/>
            <w:tcBorders>
              <w:top w:val="single" w:sz="4" w:space="0" w:color="000000"/>
              <w:bottom w:val="single" w:sz="12" w:space="0" w:color="000000"/>
            </w:tcBorders>
            <w:shd w:val="clear" w:color="auto" w:fill="auto"/>
            <w:vAlign w:val="center"/>
          </w:tcPr>
          <w:p w14:paraId="7565A4CE"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R</w:t>
            </w:r>
            <w:r w:rsidRPr="00BE5553">
              <w:rPr>
                <w:rFonts w:eastAsia="Times New Roman"/>
                <w:b/>
                <w:bCs/>
                <w:color w:val="000000"/>
                <w:kern w:val="24"/>
                <w:sz w:val="18"/>
                <w:szCs w:val="18"/>
                <w:vertAlign w:val="superscript"/>
                <w:lang w:bidi="ar-SA"/>
              </w:rPr>
              <w:t>2</w:t>
            </w:r>
          </w:p>
        </w:tc>
        <w:tc>
          <w:tcPr>
            <w:tcW w:w="446" w:type="dxa"/>
            <w:tcBorders>
              <w:top w:val="single" w:sz="4" w:space="0" w:color="000000"/>
              <w:bottom w:val="single" w:sz="12" w:space="0" w:color="000000"/>
            </w:tcBorders>
            <w:shd w:val="clear" w:color="auto" w:fill="auto"/>
            <w:vAlign w:val="center"/>
          </w:tcPr>
          <w:p w14:paraId="577057FD"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sidRPr="00A048D5">
              <w:rPr>
                <w:rFonts w:eastAsia="Times New Roman"/>
                <w:b/>
                <w:bCs/>
                <w:color w:val="000000"/>
                <w:kern w:val="24"/>
                <w:sz w:val="18"/>
                <w:szCs w:val="18"/>
                <w:lang w:bidi="ar-SA"/>
              </w:rPr>
              <w:t>NSE</w:t>
            </w:r>
          </w:p>
        </w:tc>
        <w:tc>
          <w:tcPr>
            <w:tcW w:w="657" w:type="dxa"/>
            <w:gridSpan w:val="2"/>
            <w:tcBorders>
              <w:top w:val="single" w:sz="4" w:space="0" w:color="000000"/>
              <w:bottom w:val="single" w:sz="12" w:space="0" w:color="000000"/>
            </w:tcBorders>
            <w:shd w:val="clear" w:color="auto" w:fill="auto"/>
            <w:vAlign w:val="center"/>
          </w:tcPr>
          <w:p w14:paraId="0BEC6725" w14:textId="77777777" w:rsidR="002C4E80" w:rsidRPr="00A048D5" w:rsidRDefault="002C4E80" w:rsidP="00BB2445">
            <w:pPr>
              <w:spacing w:before="0" w:after="0" w:line="240" w:lineRule="auto"/>
              <w:ind w:firstLine="0"/>
              <w:jc w:val="center"/>
              <w:textAlignment w:val="bottom"/>
              <w:rPr>
                <w:rFonts w:eastAsia="Times New Roman"/>
                <w:color w:val="000000"/>
                <w:kern w:val="24"/>
                <w:sz w:val="18"/>
                <w:szCs w:val="18"/>
                <w:lang w:bidi="ar-SA"/>
              </w:rPr>
            </w:pPr>
            <w:r>
              <w:rPr>
                <w:rFonts w:eastAsia="Times New Roman"/>
                <w:b/>
                <w:bCs/>
                <w:color w:val="000000"/>
                <w:kern w:val="24"/>
                <w:sz w:val="18"/>
                <w:szCs w:val="18"/>
                <w:lang w:bidi="ar-SA"/>
              </w:rPr>
              <w:t>M</w:t>
            </w:r>
            <w:r w:rsidRPr="00A048D5">
              <w:rPr>
                <w:rFonts w:eastAsia="Times New Roman"/>
                <w:b/>
                <w:bCs/>
                <w:color w:val="000000"/>
                <w:kern w:val="24"/>
                <w:sz w:val="18"/>
                <w:szCs w:val="18"/>
                <w:lang w:bidi="ar-SA"/>
              </w:rPr>
              <w:t>ean annual</w:t>
            </w:r>
            <w:r w:rsidRPr="00A048D5">
              <w:rPr>
                <w:rFonts w:eastAsia="Times New Roman"/>
                <w:b/>
                <w:bCs/>
                <w:color w:val="000000"/>
                <w:kern w:val="24"/>
                <w:sz w:val="18"/>
                <w:szCs w:val="18"/>
                <w:lang w:bidi="ar-SA"/>
              </w:rPr>
              <w:br/>
              <w:t>bias</w:t>
            </w:r>
          </w:p>
        </w:tc>
      </w:tr>
      <w:tr w:rsidR="002C4E80" w:rsidRPr="00A048D5" w14:paraId="001BB0B2" w14:textId="77777777" w:rsidTr="00BB2445">
        <w:trPr>
          <w:cantSplit/>
          <w:trHeight w:val="20"/>
          <w:jc w:val="center"/>
        </w:trPr>
        <w:tc>
          <w:tcPr>
            <w:tcW w:w="630" w:type="dxa"/>
            <w:vMerge w:val="restart"/>
            <w:tcBorders>
              <w:top w:val="single" w:sz="12" w:space="0" w:color="000000"/>
              <w:bottom w:val="single" w:sz="4" w:space="0" w:color="000000"/>
            </w:tcBorders>
            <w:shd w:val="clear" w:color="auto" w:fill="auto"/>
            <w:vAlign w:val="center"/>
            <w:hideMark/>
          </w:tcPr>
          <w:p w14:paraId="646D0560" w14:textId="77777777" w:rsidR="002C4E80" w:rsidRPr="00A048D5" w:rsidRDefault="002C4E80" w:rsidP="00BB2445">
            <w:pPr>
              <w:spacing w:before="0" w:after="0" w:line="240" w:lineRule="auto"/>
              <w:ind w:firstLine="0"/>
              <w:jc w:val="center"/>
              <w:textAlignment w:val="center"/>
              <w:rPr>
                <w:rFonts w:eastAsia="Times New Roman"/>
                <w:sz w:val="18"/>
                <w:szCs w:val="18"/>
                <w:lang w:bidi="ar-SA"/>
              </w:rPr>
            </w:pPr>
            <w:r w:rsidRPr="00A048D5">
              <w:rPr>
                <w:rFonts w:eastAsia="Times New Roman"/>
                <w:color w:val="000000"/>
                <w:kern w:val="24"/>
                <w:sz w:val="18"/>
                <w:szCs w:val="18"/>
                <w:lang w:bidi="ar-SA"/>
              </w:rPr>
              <w:t>WRES</w:t>
            </w:r>
          </w:p>
        </w:tc>
        <w:tc>
          <w:tcPr>
            <w:tcW w:w="963" w:type="dxa"/>
            <w:tcBorders>
              <w:top w:val="single" w:sz="12" w:space="0" w:color="000000"/>
              <w:bottom w:val="single" w:sz="4" w:space="0" w:color="000000"/>
            </w:tcBorders>
            <w:shd w:val="clear" w:color="auto" w:fill="auto"/>
            <w:vAlign w:val="center"/>
            <w:hideMark/>
          </w:tcPr>
          <w:p w14:paraId="45742C0F"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VIC</w:t>
            </w:r>
          </w:p>
        </w:tc>
        <w:tc>
          <w:tcPr>
            <w:tcW w:w="792" w:type="dxa"/>
            <w:tcBorders>
              <w:top w:val="single" w:sz="12" w:space="0" w:color="000000"/>
              <w:bottom w:val="single" w:sz="4" w:space="0" w:color="000000"/>
              <w:right w:val="single" w:sz="4" w:space="0" w:color="000000"/>
            </w:tcBorders>
            <w:shd w:val="clear" w:color="auto" w:fill="auto"/>
            <w:vAlign w:val="center"/>
            <w:hideMark/>
          </w:tcPr>
          <w:p w14:paraId="14CB22C7"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Daymet</w:t>
            </w:r>
          </w:p>
        </w:tc>
        <w:tc>
          <w:tcPr>
            <w:tcW w:w="1008" w:type="dxa"/>
            <w:tcBorders>
              <w:top w:val="single" w:sz="12" w:space="0" w:color="000000"/>
              <w:left w:val="single" w:sz="4" w:space="0" w:color="000000"/>
              <w:bottom w:val="single" w:sz="4" w:space="0" w:color="000000"/>
            </w:tcBorders>
            <w:shd w:val="clear" w:color="auto" w:fill="auto"/>
            <w:vAlign w:val="center"/>
            <w:hideMark/>
          </w:tcPr>
          <w:p w14:paraId="5001F24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12" w:space="0" w:color="000000"/>
              <w:bottom w:val="single" w:sz="4" w:space="0" w:color="000000"/>
            </w:tcBorders>
            <w:shd w:val="clear" w:color="auto" w:fill="auto"/>
            <w:vAlign w:val="center"/>
            <w:hideMark/>
          </w:tcPr>
          <w:p w14:paraId="75B85A4B" w14:textId="77777777" w:rsidR="002C4E80" w:rsidRPr="00A048D5" w:rsidRDefault="002C4E80" w:rsidP="00BB2445">
            <w:pPr>
              <w:tabs>
                <w:tab w:val="decimal" w:pos="357"/>
              </w:tabs>
              <w:spacing w:before="0" w:after="0" w:line="240" w:lineRule="auto"/>
              <w:ind w:firstLine="0"/>
              <w:textAlignment w:val="bottom"/>
              <w:rPr>
                <w:rFonts w:eastAsia="Times New Roman"/>
                <w:sz w:val="18"/>
                <w:szCs w:val="18"/>
                <w:lang w:bidi="ar-SA"/>
              </w:rPr>
            </w:pPr>
            <w:r w:rsidRPr="00A048D5">
              <w:rPr>
                <w:rFonts w:eastAsia="Times New Roman"/>
                <w:color w:val="000000"/>
                <w:kern w:val="24"/>
                <w:sz w:val="18"/>
                <w:szCs w:val="18"/>
                <w:lang w:bidi="ar-SA"/>
              </w:rPr>
              <w:t>0.92</w:t>
            </w:r>
          </w:p>
        </w:tc>
        <w:tc>
          <w:tcPr>
            <w:tcW w:w="498" w:type="dxa"/>
            <w:tcBorders>
              <w:top w:val="single" w:sz="12" w:space="0" w:color="000000"/>
              <w:bottom w:val="single" w:sz="4" w:space="0" w:color="000000"/>
            </w:tcBorders>
            <w:shd w:val="clear" w:color="auto" w:fill="auto"/>
            <w:hideMark/>
          </w:tcPr>
          <w:p w14:paraId="3C6CDA8B"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0.83</w:t>
            </w:r>
          </w:p>
        </w:tc>
        <w:tc>
          <w:tcPr>
            <w:tcW w:w="457" w:type="dxa"/>
            <w:tcBorders>
              <w:top w:val="single" w:sz="12" w:space="0" w:color="000000"/>
              <w:bottom w:val="single" w:sz="4" w:space="0" w:color="000000"/>
            </w:tcBorders>
            <w:shd w:val="clear" w:color="auto" w:fill="auto"/>
            <w:vAlign w:val="center"/>
            <w:hideMark/>
          </w:tcPr>
          <w:p w14:paraId="3708E488"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0.82</w:t>
            </w:r>
          </w:p>
        </w:tc>
        <w:tc>
          <w:tcPr>
            <w:tcW w:w="606" w:type="dxa"/>
            <w:gridSpan w:val="2"/>
            <w:tcBorders>
              <w:top w:val="single" w:sz="12" w:space="0" w:color="000000"/>
              <w:bottom w:val="single" w:sz="4" w:space="0" w:color="000000"/>
              <w:right w:val="single" w:sz="4" w:space="0" w:color="000000"/>
            </w:tcBorders>
            <w:shd w:val="clear" w:color="auto" w:fill="auto"/>
            <w:vAlign w:val="center"/>
            <w:hideMark/>
          </w:tcPr>
          <w:p w14:paraId="6B340DAB"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2.0%</w:t>
            </w:r>
          </w:p>
        </w:tc>
        <w:tc>
          <w:tcPr>
            <w:tcW w:w="918" w:type="dxa"/>
            <w:tcBorders>
              <w:top w:val="single" w:sz="12" w:space="0" w:color="000000"/>
              <w:left w:val="single" w:sz="4" w:space="0" w:color="000000"/>
              <w:bottom w:val="single" w:sz="4" w:space="0" w:color="000000"/>
            </w:tcBorders>
            <w:shd w:val="clear" w:color="auto" w:fill="auto"/>
            <w:vAlign w:val="center"/>
            <w:hideMark/>
          </w:tcPr>
          <w:p w14:paraId="46FD584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2014–2019</w:t>
            </w:r>
          </w:p>
        </w:tc>
        <w:tc>
          <w:tcPr>
            <w:tcW w:w="972" w:type="dxa"/>
            <w:tcBorders>
              <w:top w:val="single" w:sz="12" w:space="0" w:color="000000"/>
              <w:bottom w:val="single" w:sz="4" w:space="0" w:color="000000"/>
            </w:tcBorders>
            <w:shd w:val="clear" w:color="auto" w:fill="auto"/>
            <w:vAlign w:val="center"/>
            <w:hideMark/>
          </w:tcPr>
          <w:p w14:paraId="003058B7"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1.18</w:t>
            </w:r>
          </w:p>
        </w:tc>
        <w:tc>
          <w:tcPr>
            <w:tcW w:w="382" w:type="dxa"/>
            <w:tcBorders>
              <w:top w:val="single" w:sz="12" w:space="0" w:color="000000"/>
              <w:bottom w:val="single" w:sz="4" w:space="0" w:color="000000"/>
            </w:tcBorders>
            <w:shd w:val="clear" w:color="auto" w:fill="auto"/>
            <w:vAlign w:val="center"/>
            <w:hideMark/>
          </w:tcPr>
          <w:p w14:paraId="59C80B71"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w:t>
            </w:r>
            <w:r>
              <w:rPr>
                <w:rFonts w:eastAsia="Times New Roman"/>
                <w:color w:val="000000"/>
                <w:kern w:val="24"/>
                <w:sz w:val="18"/>
                <w:szCs w:val="18"/>
                <w:lang w:bidi="ar-SA"/>
              </w:rPr>
              <w:t>7</w:t>
            </w:r>
            <w:r w:rsidRPr="00A048D5">
              <w:rPr>
                <w:rFonts w:eastAsia="Times New Roman"/>
                <w:color w:val="000000"/>
                <w:kern w:val="24"/>
                <w:sz w:val="18"/>
                <w:szCs w:val="18"/>
                <w:lang w:bidi="ar-SA"/>
              </w:rPr>
              <w:t>9</w:t>
            </w:r>
          </w:p>
        </w:tc>
        <w:tc>
          <w:tcPr>
            <w:tcW w:w="446" w:type="dxa"/>
            <w:tcBorders>
              <w:top w:val="single" w:sz="12" w:space="0" w:color="000000"/>
              <w:bottom w:val="single" w:sz="4" w:space="0" w:color="000000"/>
            </w:tcBorders>
            <w:shd w:val="clear" w:color="auto" w:fill="auto"/>
            <w:vAlign w:val="center"/>
            <w:hideMark/>
          </w:tcPr>
          <w:p w14:paraId="6A6BD94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0.58</w:t>
            </w:r>
          </w:p>
        </w:tc>
        <w:tc>
          <w:tcPr>
            <w:tcW w:w="657" w:type="dxa"/>
            <w:gridSpan w:val="2"/>
            <w:tcBorders>
              <w:top w:val="single" w:sz="12" w:space="0" w:color="000000"/>
              <w:bottom w:val="single" w:sz="4" w:space="0" w:color="000000"/>
            </w:tcBorders>
            <w:shd w:val="clear" w:color="auto" w:fill="auto"/>
            <w:vAlign w:val="center"/>
            <w:hideMark/>
          </w:tcPr>
          <w:p w14:paraId="467B37E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7.9%</w:t>
            </w:r>
          </w:p>
        </w:tc>
      </w:tr>
      <w:tr w:rsidR="002C4E80" w:rsidRPr="00A048D5" w14:paraId="62FEA02B" w14:textId="77777777" w:rsidTr="00BB2445">
        <w:trPr>
          <w:cantSplit/>
          <w:trHeight w:val="20"/>
          <w:jc w:val="center"/>
        </w:trPr>
        <w:tc>
          <w:tcPr>
            <w:tcW w:w="630" w:type="dxa"/>
            <w:vMerge/>
            <w:tcBorders>
              <w:top w:val="single" w:sz="4" w:space="0" w:color="000000"/>
              <w:bottom w:val="single" w:sz="4" w:space="0" w:color="000000"/>
            </w:tcBorders>
            <w:vAlign w:val="center"/>
            <w:hideMark/>
          </w:tcPr>
          <w:p w14:paraId="41565D1A"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4" w:space="0" w:color="000000"/>
            </w:tcBorders>
            <w:shd w:val="clear" w:color="auto" w:fill="auto"/>
            <w:vAlign w:val="center"/>
            <w:hideMark/>
          </w:tcPr>
          <w:p w14:paraId="293E9061"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VIC</w:t>
            </w:r>
          </w:p>
        </w:tc>
        <w:tc>
          <w:tcPr>
            <w:tcW w:w="792" w:type="dxa"/>
            <w:tcBorders>
              <w:top w:val="single" w:sz="4" w:space="0" w:color="000000"/>
              <w:bottom w:val="single" w:sz="4" w:space="0" w:color="000000"/>
              <w:right w:val="single" w:sz="4" w:space="0" w:color="000000"/>
            </w:tcBorders>
            <w:shd w:val="clear" w:color="auto" w:fill="auto"/>
            <w:vAlign w:val="center"/>
            <w:hideMark/>
          </w:tcPr>
          <w:p w14:paraId="6035AA9C"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Livneh</w:t>
            </w:r>
          </w:p>
        </w:tc>
        <w:tc>
          <w:tcPr>
            <w:tcW w:w="1008" w:type="dxa"/>
            <w:tcBorders>
              <w:top w:val="single" w:sz="4" w:space="0" w:color="000000"/>
              <w:left w:val="single" w:sz="4" w:space="0" w:color="000000"/>
              <w:bottom w:val="single" w:sz="4" w:space="0" w:color="000000"/>
            </w:tcBorders>
            <w:shd w:val="clear" w:color="auto" w:fill="auto"/>
            <w:vAlign w:val="center"/>
            <w:hideMark/>
          </w:tcPr>
          <w:p w14:paraId="05DF068E"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4" w:space="0" w:color="000000"/>
            </w:tcBorders>
            <w:shd w:val="clear" w:color="auto" w:fill="auto"/>
            <w:vAlign w:val="center"/>
            <w:hideMark/>
          </w:tcPr>
          <w:p w14:paraId="580B2DEE"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0.95</w:t>
            </w:r>
          </w:p>
        </w:tc>
        <w:tc>
          <w:tcPr>
            <w:tcW w:w="498" w:type="dxa"/>
            <w:tcBorders>
              <w:top w:val="single" w:sz="4" w:space="0" w:color="000000"/>
              <w:bottom w:val="single" w:sz="4" w:space="0" w:color="000000"/>
            </w:tcBorders>
            <w:shd w:val="clear" w:color="auto" w:fill="auto"/>
            <w:hideMark/>
          </w:tcPr>
          <w:p w14:paraId="3FEDF414"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0.81</w:t>
            </w:r>
          </w:p>
        </w:tc>
        <w:tc>
          <w:tcPr>
            <w:tcW w:w="457" w:type="dxa"/>
            <w:tcBorders>
              <w:top w:val="single" w:sz="4" w:space="0" w:color="000000"/>
              <w:bottom w:val="single" w:sz="4" w:space="0" w:color="000000"/>
            </w:tcBorders>
            <w:shd w:val="clear" w:color="auto" w:fill="auto"/>
            <w:vAlign w:val="center"/>
            <w:hideMark/>
          </w:tcPr>
          <w:p w14:paraId="26B97D55"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0.81</w:t>
            </w:r>
          </w:p>
        </w:tc>
        <w:tc>
          <w:tcPr>
            <w:tcW w:w="606" w:type="dxa"/>
            <w:gridSpan w:val="2"/>
            <w:tcBorders>
              <w:top w:val="single" w:sz="4" w:space="0" w:color="000000"/>
              <w:bottom w:val="single" w:sz="4" w:space="0" w:color="000000"/>
              <w:right w:val="single" w:sz="4" w:space="0" w:color="000000"/>
            </w:tcBorders>
            <w:shd w:val="clear" w:color="auto" w:fill="auto"/>
            <w:vAlign w:val="center"/>
            <w:hideMark/>
          </w:tcPr>
          <w:p w14:paraId="3509E618"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1.4%</w:t>
            </w:r>
          </w:p>
        </w:tc>
        <w:tc>
          <w:tcPr>
            <w:tcW w:w="918" w:type="dxa"/>
            <w:tcBorders>
              <w:top w:val="single" w:sz="4" w:space="0" w:color="000000"/>
              <w:left w:val="single" w:sz="4" w:space="0" w:color="000000"/>
              <w:bottom w:val="single" w:sz="4" w:space="0" w:color="000000"/>
            </w:tcBorders>
            <w:shd w:val="clear" w:color="auto" w:fill="auto"/>
            <w:vAlign w:val="center"/>
            <w:hideMark/>
          </w:tcPr>
          <w:p w14:paraId="57CCF3BE"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972" w:type="dxa"/>
            <w:tcBorders>
              <w:top w:val="single" w:sz="4" w:space="0" w:color="000000"/>
              <w:bottom w:val="single" w:sz="4" w:space="0" w:color="000000"/>
            </w:tcBorders>
            <w:shd w:val="clear" w:color="auto" w:fill="auto"/>
            <w:vAlign w:val="center"/>
            <w:hideMark/>
          </w:tcPr>
          <w:p w14:paraId="6CAFB5BC"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382" w:type="dxa"/>
            <w:tcBorders>
              <w:top w:val="single" w:sz="4" w:space="0" w:color="000000"/>
              <w:bottom w:val="single" w:sz="4" w:space="0" w:color="000000"/>
            </w:tcBorders>
            <w:shd w:val="clear" w:color="auto" w:fill="auto"/>
            <w:vAlign w:val="center"/>
            <w:hideMark/>
          </w:tcPr>
          <w:p w14:paraId="2BDBD4D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446" w:type="dxa"/>
            <w:tcBorders>
              <w:top w:val="single" w:sz="4" w:space="0" w:color="000000"/>
              <w:bottom w:val="single" w:sz="4" w:space="0" w:color="000000"/>
            </w:tcBorders>
            <w:shd w:val="clear" w:color="auto" w:fill="auto"/>
            <w:vAlign w:val="center"/>
            <w:hideMark/>
          </w:tcPr>
          <w:p w14:paraId="2B8163DF"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657" w:type="dxa"/>
            <w:gridSpan w:val="2"/>
            <w:tcBorders>
              <w:top w:val="single" w:sz="4" w:space="0" w:color="000000"/>
              <w:bottom w:val="single" w:sz="4" w:space="0" w:color="000000"/>
            </w:tcBorders>
            <w:shd w:val="clear" w:color="auto" w:fill="auto"/>
            <w:vAlign w:val="center"/>
            <w:hideMark/>
          </w:tcPr>
          <w:p w14:paraId="1DE13017"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r>
      <w:tr w:rsidR="002C4E80" w:rsidRPr="00A048D5" w14:paraId="00419AAA" w14:textId="77777777" w:rsidTr="00BB2445">
        <w:trPr>
          <w:cantSplit/>
          <w:trHeight w:val="20"/>
          <w:jc w:val="center"/>
        </w:trPr>
        <w:tc>
          <w:tcPr>
            <w:tcW w:w="630" w:type="dxa"/>
            <w:vMerge/>
            <w:tcBorders>
              <w:top w:val="single" w:sz="4" w:space="0" w:color="000000"/>
              <w:bottom w:val="single" w:sz="4" w:space="0" w:color="000000"/>
            </w:tcBorders>
            <w:vAlign w:val="center"/>
            <w:hideMark/>
          </w:tcPr>
          <w:p w14:paraId="5D538C34"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4" w:space="0" w:color="000000"/>
            </w:tcBorders>
            <w:shd w:val="clear" w:color="auto" w:fill="auto"/>
            <w:vAlign w:val="center"/>
            <w:hideMark/>
          </w:tcPr>
          <w:p w14:paraId="69368705"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PRMS</w:t>
            </w:r>
          </w:p>
        </w:tc>
        <w:tc>
          <w:tcPr>
            <w:tcW w:w="792" w:type="dxa"/>
            <w:tcBorders>
              <w:top w:val="single" w:sz="4" w:space="0" w:color="000000"/>
              <w:bottom w:val="single" w:sz="4" w:space="0" w:color="000000"/>
              <w:right w:val="single" w:sz="4" w:space="0" w:color="000000"/>
            </w:tcBorders>
            <w:shd w:val="clear" w:color="auto" w:fill="auto"/>
            <w:vAlign w:val="center"/>
            <w:hideMark/>
          </w:tcPr>
          <w:p w14:paraId="6BE6CCBD"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Daymet</w:t>
            </w:r>
          </w:p>
        </w:tc>
        <w:tc>
          <w:tcPr>
            <w:tcW w:w="1008" w:type="dxa"/>
            <w:tcBorders>
              <w:top w:val="single" w:sz="4" w:space="0" w:color="000000"/>
              <w:left w:val="single" w:sz="4" w:space="0" w:color="000000"/>
              <w:bottom w:val="single" w:sz="4" w:space="0" w:color="000000"/>
            </w:tcBorders>
            <w:shd w:val="clear" w:color="auto" w:fill="auto"/>
            <w:vAlign w:val="center"/>
            <w:hideMark/>
          </w:tcPr>
          <w:p w14:paraId="10496D84"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4" w:space="0" w:color="000000"/>
            </w:tcBorders>
            <w:shd w:val="clear" w:color="auto" w:fill="auto"/>
            <w:vAlign w:val="center"/>
            <w:hideMark/>
          </w:tcPr>
          <w:p w14:paraId="6BFB285C"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1.02</w:t>
            </w:r>
          </w:p>
        </w:tc>
        <w:tc>
          <w:tcPr>
            <w:tcW w:w="498" w:type="dxa"/>
            <w:tcBorders>
              <w:top w:val="single" w:sz="4" w:space="0" w:color="000000"/>
              <w:bottom w:val="single" w:sz="4" w:space="0" w:color="000000"/>
            </w:tcBorders>
            <w:shd w:val="clear" w:color="auto" w:fill="auto"/>
            <w:hideMark/>
          </w:tcPr>
          <w:p w14:paraId="1D482F3C"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0.79</w:t>
            </w:r>
          </w:p>
        </w:tc>
        <w:tc>
          <w:tcPr>
            <w:tcW w:w="457" w:type="dxa"/>
            <w:tcBorders>
              <w:top w:val="single" w:sz="4" w:space="0" w:color="000000"/>
              <w:bottom w:val="single" w:sz="4" w:space="0" w:color="000000"/>
            </w:tcBorders>
            <w:shd w:val="clear" w:color="auto" w:fill="auto"/>
            <w:vAlign w:val="center"/>
            <w:hideMark/>
          </w:tcPr>
          <w:p w14:paraId="7548D428"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0.78</w:t>
            </w:r>
          </w:p>
        </w:tc>
        <w:tc>
          <w:tcPr>
            <w:tcW w:w="606" w:type="dxa"/>
            <w:gridSpan w:val="2"/>
            <w:tcBorders>
              <w:top w:val="single" w:sz="4" w:space="0" w:color="000000"/>
              <w:bottom w:val="single" w:sz="4" w:space="0" w:color="000000"/>
              <w:right w:val="single" w:sz="4" w:space="0" w:color="000000"/>
            </w:tcBorders>
            <w:shd w:val="clear" w:color="auto" w:fill="auto"/>
            <w:vAlign w:val="center"/>
            <w:hideMark/>
          </w:tcPr>
          <w:p w14:paraId="05FFE7B0"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2.8%</w:t>
            </w:r>
          </w:p>
        </w:tc>
        <w:tc>
          <w:tcPr>
            <w:tcW w:w="918" w:type="dxa"/>
            <w:tcBorders>
              <w:top w:val="single" w:sz="4" w:space="0" w:color="000000"/>
              <w:left w:val="single" w:sz="4" w:space="0" w:color="000000"/>
              <w:bottom w:val="single" w:sz="4" w:space="0" w:color="000000"/>
            </w:tcBorders>
            <w:shd w:val="clear" w:color="auto" w:fill="auto"/>
            <w:vAlign w:val="center"/>
            <w:hideMark/>
          </w:tcPr>
          <w:p w14:paraId="456806CE"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2014–2019</w:t>
            </w:r>
          </w:p>
        </w:tc>
        <w:tc>
          <w:tcPr>
            <w:tcW w:w="972" w:type="dxa"/>
            <w:tcBorders>
              <w:top w:val="single" w:sz="4" w:space="0" w:color="000000"/>
              <w:bottom w:val="single" w:sz="4" w:space="0" w:color="000000"/>
            </w:tcBorders>
            <w:shd w:val="clear" w:color="auto" w:fill="auto"/>
            <w:vAlign w:val="center"/>
            <w:hideMark/>
          </w:tcPr>
          <w:p w14:paraId="42D9EBB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1.15</w:t>
            </w:r>
          </w:p>
        </w:tc>
        <w:tc>
          <w:tcPr>
            <w:tcW w:w="382" w:type="dxa"/>
            <w:tcBorders>
              <w:top w:val="single" w:sz="4" w:space="0" w:color="000000"/>
              <w:bottom w:val="single" w:sz="4" w:space="0" w:color="000000"/>
            </w:tcBorders>
            <w:shd w:val="clear" w:color="auto" w:fill="auto"/>
            <w:vAlign w:val="center"/>
            <w:hideMark/>
          </w:tcPr>
          <w:p w14:paraId="3D33E3DB"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w:t>
            </w:r>
            <w:r>
              <w:rPr>
                <w:rFonts w:eastAsia="Times New Roman"/>
                <w:color w:val="000000"/>
                <w:kern w:val="24"/>
                <w:sz w:val="18"/>
                <w:szCs w:val="18"/>
                <w:lang w:bidi="ar-SA"/>
              </w:rPr>
              <w:t>81</w:t>
            </w:r>
          </w:p>
        </w:tc>
        <w:tc>
          <w:tcPr>
            <w:tcW w:w="446" w:type="dxa"/>
            <w:tcBorders>
              <w:top w:val="single" w:sz="4" w:space="0" w:color="000000"/>
              <w:bottom w:val="single" w:sz="4" w:space="0" w:color="000000"/>
            </w:tcBorders>
            <w:shd w:val="clear" w:color="auto" w:fill="auto"/>
            <w:vAlign w:val="center"/>
            <w:hideMark/>
          </w:tcPr>
          <w:p w14:paraId="0AB91A6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0.60</w:t>
            </w:r>
          </w:p>
        </w:tc>
        <w:tc>
          <w:tcPr>
            <w:tcW w:w="657" w:type="dxa"/>
            <w:gridSpan w:val="2"/>
            <w:tcBorders>
              <w:top w:val="single" w:sz="4" w:space="0" w:color="000000"/>
              <w:bottom w:val="single" w:sz="4" w:space="0" w:color="000000"/>
            </w:tcBorders>
            <w:shd w:val="clear" w:color="auto" w:fill="auto"/>
            <w:vAlign w:val="center"/>
            <w:hideMark/>
          </w:tcPr>
          <w:p w14:paraId="7A35E290"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7.4%</w:t>
            </w:r>
          </w:p>
        </w:tc>
      </w:tr>
      <w:tr w:rsidR="002C4E80" w:rsidRPr="00A048D5" w14:paraId="348653A8" w14:textId="77777777" w:rsidTr="00BB2445">
        <w:trPr>
          <w:cantSplit/>
          <w:trHeight w:val="20"/>
          <w:jc w:val="center"/>
        </w:trPr>
        <w:tc>
          <w:tcPr>
            <w:tcW w:w="630" w:type="dxa"/>
            <w:vMerge/>
            <w:tcBorders>
              <w:top w:val="single" w:sz="4" w:space="0" w:color="000000"/>
              <w:bottom w:val="single" w:sz="12" w:space="0" w:color="000000"/>
            </w:tcBorders>
            <w:vAlign w:val="center"/>
            <w:hideMark/>
          </w:tcPr>
          <w:p w14:paraId="6FD7120B"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12" w:space="0" w:color="000000"/>
            </w:tcBorders>
            <w:shd w:val="clear" w:color="auto" w:fill="auto"/>
            <w:vAlign w:val="center"/>
            <w:hideMark/>
          </w:tcPr>
          <w:p w14:paraId="28DC293C"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PRMS</w:t>
            </w:r>
          </w:p>
        </w:tc>
        <w:tc>
          <w:tcPr>
            <w:tcW w:w="792" w:type="dxa"/>
            <w:tcBorders>
              <w:top w:val="single" w:sz="4" w:space="0" w:color="000000"/>
              <w:bottom w:val="single" w:sz="12" w:space="0" w:color="000000"/>
              <w:right w:val="single" w:sz="4" w:space="0" w:color="000000"/>
            </w:tcBorders>
            <w:shd w:val="clear" w:color="auto" w:fill="auto"/>
            <w:vAlign w:val="center"/>
            <w:hideMark/>
          </w:tcPr>
          <w:p w14:paraId="2126A09D"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Livneh</w:t>
            </w:r>
          </w:p>
        </w:tc>
        <w:tc>
          <w:tcPr>
            <w:tcW w:w="1008" w:type="dxa"/>
            <w:tcBorders>
              <w:top w:val="single" w:sz="4" w:space="0" w:color="000000"/>
              <w:left w:val="single" w:sz="4" w:space="0" w:color="000000"/>
              <w:bottom w:val="single" w:sz="12" w:space="0" w:color="000000"/>
            </w:tcBorders>
            <w:shd w:val="clear" w:color="auto" w:fill="auto"/>
            <w:vAlign w:val="center"/>
            <w:hideMark/>
          </w:tcPr>
          <w:p w14:paraId="61EC7B41"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12" w:space="0" w:color="000000"/>
            </w:tcBorders>
            <w:shd w:val="clear" w:color="auto" w:fill="auto"/>
            <w:vAlign w:val="center"/>
            <w:hideMark/>
          </w:tcPr>
          <w:p w14:paraId="48414CBF"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1.07</w:t>
            </w:r>
          </w:p>
        </w:tc>
        <w:tc>
          <w:tcPr>
            <w:tcW w:w="498" w:type="dxa"/>
            <w:tcBorders>
              <w:top w:val="single" w:sz="4" w:space="0" w:color="000000"/>
              <w:bottom w:val="single" w:sz="12" w:space="0" w:color="000000"/>
            </w:tcBorders>
            <w:shd w:val="clear" w:color="auto" w:fill="auto"/>
            <w:hideMark/>
          </w:tcPr>
          <w:p w14:paraId="0C2A16F4"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0.77</w:t>
            </w:r>
          </w:p>
        </w:tc>
        <w:tc>
          <w:tcPr>
            <w:tcW w:w="457" w:type="dxa"/>
            <w:tcBorders>
              <w:top w:val="single" w:sz="4" w:space="0" w:color="000000"/>
              <w:bottom w:val="single" w:sz="12" w:space="0" w:color="000000"/>
            </w:tcBorders>
            <w:shd w:val="clear" w:color="auto" w:fill="auto"/>
            <w:vAlign w:val="center"/>
            <w:hideMark/>
          </w:tcPr>
          <w:p w14:paraId="45BF40C5"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0.76</w:t>
            </w:r>
          </w:p>
        </w:tc>
        <w:tc>
          <w:tcPr>
            <w:tcW w:w="606" w:type="dxa"/>
            <w:gridSpan w:val="2"/>
            <w:tcBorders>
              <w:top w:val="single" w:sz="4" w:space="0" w:color="000000"/>
              <w:bottom w:val="single" w:sz="12" w:space="0" w:color="000000"/>
              <w:right w:val="single" w:sz="4" w:space="0" w:color="000000"/>
            </w:tcBorders>
            <w:shd w:val="clear" w:color="auto" w:fill="auto"/>
            <w:vAlign w:val="center"/>
            <w:hideMark/>
          </w:tcPr>
          <w:p w14:paraId="55248CE6"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2.5%</w:t>
            </w:r>
          </w:p>
        </w:tc>
        <w:tc>
          <w:tcPr>
            <w:tcW w:w="918" w:type="dxa"/>
            <w:tcBorders>
              <w:top w:val="single" w:sz="4" w:space="0" w:color="000000"/>
              <w:left w:val="single" w:sz="4" w:space="0" w:color="000000"/>
              <w:bottom w:val="single" w:sz="12" w:space="0" w:color="000000"/>
            </w:tcBorders>
            <w:shd w:val="clear" w:color="auto" w:fill="auto"/>
            <w:vAlign w:val="center"/>
            <w:hideMark/>
          </w:tcPr>
          <w:p w14:paraId="763E2A65"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972" w:type="dxa"/>
            <w:tcBorders>
              <w:top w:val="single" w:sz="4" w:space="0" w:color="000000"/>
              <w:bottom w:val="single" w:sz="12" w:space="0" w:color="000000"/>
            </w:tcBorders>
            <w:shd w:val="clear" w:color="auto" w:fill="auto"/>
            <w:vAlign w:val="center"/>
            <w:hideMark/>
          </w:tcPr>
          <w:p w14:paraId="49ED528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382" w:type="dxa"/>
            <w:tcBorders>
              <w:top w:val="single" w:sz="4" w:space="0" w:color="000000"/>
              <w:bottom w:val="single" w:sz="12" w:space="0" w:color="000000"/>
            </w:tcBorders>
            <w:shd w:val="clear" w:color="auto" w:fill="auto"/>
            <w:vAlign w:val="center"/>
            <w:hideMark/>
          </w:tcPr>
          <w:p w14:paraId="308436B3"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446" w:type="dxa"/>
            <w:tcBorders>
              <w:top w:val="single" w:sz="4" w:space="0" w:color="000000"/>
              <w:bottom w:val="single" w:sz="12" w:space="0" w:color="000000"/>
            </w:tcBorders>
            <w:shd w:val="clear" w:color="auto" w:fill="auto"/>
            <w:vAlign w:val="center"/>
            <w:hideMark/>
          </w:tcPr>
          <w:p w14:paraId="5B333E34"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657" w:type="dxa"/>
            <w:gridSpan w:val="2"/>
            <w:tcBorders>
              <w:top w:val="single" w:sz="4" w:space="0" w:color="000000"/>
              <w:bottom w:val="single" w:sz="12" w:space="0" w:color="000000"/>
            </w:tcBorders>
            <w:shd w:val="clear" w:color="auto" w:fill="auto"/>
            <w:vAlign w:val="center"/>
            <w:hideMark/>
          </w:tcPr>
          <w:p w14:paraId="57E62E2D"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r>
      <w:tr w:rsidR="002C4E80" w:rsidRPr="00A048D5" w14:paraId="3AF189DD" w14:textId="77777777" w:rsidTr="00BB2445">
        <w:trPr>
          <w:cantSplit/>
          <w:trHeight w:val="20"/>
          <w:jc w:val="center"/>
        </w:trPr>
        <w:tc>
          <w:tcPr>
            <w:tcW w:w="630" w:type="dxa"/>
            <w:vMerge w:val="restart"/>
            <w:tcBorders>
              <w:top w:val="single" w:sz="12" w:space="0" w:color="000000"/>
              <w:bottom w:val="single" w:sz="4" w:space="0" w:color="000000"/>
            </w:tcBorders>
            <w:shd w:val="clear" w:color="auto" w:fill="auto"/>
            <w:vAlign w:val="center"/>
            <w:hideMark/>
          </w:tcPr>
          <w:p w14:paraId="20442FAC" w14:textId="77777777" w:rsidR="002C4E80" w:rsidRPr="00A048D5" w:rsidRDefault="002C4E80" w:rsidP="00BB2445">
            <w:pPr>
              <w:spacing w:before="0" w:after="0" w:line="240" w:lineRule="auto"/>
              <w:ind w:firstLine="0"/>
              <w:jc w:val="center"/>
              <w:textAlignment w:val="center"/>
              <w:rPr>
                <w:rFonts w:eastAsia="Times New Roman"/>
                <w:sz w:val="18"/>
                <w:szCs w:val="18"/>
                <w:lang w:bidi="ar-SA"/>
              </w:rPr>
            </w:pPr>
            <w:r w:rsidRPr="00A048D5">
              <w:rPr>
                <w:rFonts w:eastAsia="Times New Roman"/>
                <w:color w:val="000000"/>
                <w:kern w:val="24"/>
                <w:sz w:val="18"/>
                <w:szCs w:val="18"/>
                <w:lang w:bidi="ar-SA"/>
              </w:rPr>
              <w:t>WMP</w:t>
            </w:r>
          </w:p>
        </w:tc>
        <w:tc>
          <w:tcPr>
            <w:tcW w:w="963" w:type="dxa"/>
            <w:tcBorders>
              <w:top w:val="single" w:sz="12" w:space="0" w:color="000000"/>
              <w:bottom w:val="single" w:sz="4" w:space="0" w:color="000000"/>
            </w:tcBorders>
            <w:shd w:val="clear" w:color="auto" w:fill="auto"/>
            <w:vAlign w:val="center"/>
            <w:hideMark/>
          </w:tcPr>
          <w:p w14:paraId="72E59294"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VIC</w:t>
            </w:r>
          </w:p>
        </w:tc>
        <w:tc>
          <w:tcPr>
            <w:tcW w:w="792" w:type="dxa"/>
            <w:tcBorders>
              <w:top w:val="single" w:sz="12" w:space="0" w:color="000000"/>
              <w:bottom w:val="single" w:sz="4" w:space="0" w:color="000000"/>
              <w:right w:val="single" w:sz="4" w:space="0" w:color="000000"/>
            </w:tcBorders>
            <w:shd w:val="clear" w:color="auto" w:fill="auto"/>
            <w:vAlign w:val="center"/>
            <w:hideMark/>
          </w:tcPr>
          <w:p w14:paraId="6C35215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Daymet</w:t>
            </w:r>
          </w:p>
        </w:tc>
        <w:tc>
          <w:tcPr>
            <w:tcW w:w="1008" w:type="dxa"/>
            <w:tcBorders>
              <w:top w:val="single" w:sz="12" w:space="0" w:color="000000"/>
              <w:left w:val="single" w:sz="4" w:space="0" w:color="000000"/>
              <w:bottom w:val="single" w:sz="4" w:space="0" w:color="000000"/>
            </w:tcBorders>
            <w:shd w:val="clear" w:color="auto" w:fill="auto"/>
            <w:vAlign w:val="center"/>
            <w:hideMark/>
          </w:tcPr>
          <w:p w14:paraId="4D4CDDE5"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12" w:space="0" w:color="000000"/>
              <w:bottom w:val="single" w:sz="4" w:space="0" w:color="000000"/>
            </w:tcBorders>
            <w:shd w:val="clear" w:color="auto" w:fill="auto"/>
            <w:vAlign w:val="center"/>
            <w:hideMark/>
          </w:tcPr>
          <w:p w14:paraId="18E98B90"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1.29</w:t>
            </w:r>
          </w:p>
        </w:tc>
        <w:tc>
          <w:tcPr>
            <w:tcW w:w="498" w:type="dxa"/>
            <w:tcBorders>
              <w:top w:val="single" w:sz="12" w:space="0" w:color="000000"/>
              <w:bottom w:val="single" w:sz="4" w:space="0" w:color="000000"/>
            </w:tcBorders>
            <w:shd w:val="clear" w:color="auto" w:fill="auto"/>
            <w:hideMark/>
          </w:tcPr>
          <w:p w14:paraId="529BBFF8"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0.72</w:t>
            </w:r>
          </w:p>
        </w:tc>
        <w:tc>
          <w:tcPr>
            <w:tcW w:w="457" w:type="dxa"/>
            <w:tcBorders>
              <w:top w:val="single" w:sz="12" w:space="0" w:color="000000"/>
              <w:bottom w:val="single" w:sz="4" w:space="0" w:color="000000"/>
            </w:tcBorders>
            <w:shd w:val="clear" w:color="auto" w:fill="auto"/>
            <w:vAlign w:val="center"/>
            <w:hideMark/>
          </w:tcPr>
          <w:p w14:paraId="3C2070D3"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0.65</w:t>
            </w:r>
          </w:p>
        </w:tc>
        <w:tc>
          <w:tcPr>
            <w:tcW w:w="606" w:type="dxa"/>
            <w:gridSpan w:val="2"/>
            <w:tcBorders>
              <w:top w:val="single" w:sz="12" w:space="0" w:color="000000"/>
              <w:bottom w:val="single" w:sz="4" w:space="0" w:color="000000"/>
              <w:right w:val="single" w:sz="4" w:space="0" w:color="000000"/>
            </w:tcBorders>
            <w:shd w:val="clear" w:color="auto" w:fill="auto"/>
            <w:vAlign w:val="center"/>
            <w:hideMark/>
          </w:tcPr>
          <w:p w14:paraId="43951F6D"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2.2%</w:t>
            </w:r>
          </w:p>
        </w:tc>
        <w:tc>
          <w:tcPr>
            <w:tcW w:w="918" w:type="dxa"/>
            <w:tcBorders>
              <w:top w:val="single" w:sz="12" w:space="0" w:color="000000"/>
              <w:left w:val="single" w:sz="4" w:space="0" w:color="000000"/>
              <w:bottom w:val="single" w:sz="4" w:space="0" w:color="000000"/>
            </w:tcBorders>
            <w:shd w:val="clear" w:color="auto" w:fill="auto"/>
            <w:vAlign w:val="center"/>
            <w:hideMark/>
          </w:tcPr>
          <w:p w14:paraId="4AE36B18"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2014–2019</w:t>
            </w:r>
          </w:p>
        </w:tc>
        <w:tc>
          <w:tcPr>
            <w:tcW w:w="972" w:type="dxa"/>
            <w:tcBorders>
              <w:top w:val="single" w:sz="12" w:space="0" w:color="000000"/>
              <w:bottom w:val="single" w:sz="4" w:space="0" w:color="000000"/>
            </w:tcBorders>
            <w:shd w:val="clear" w:color="auto" w:fill="auto"/>
            <w:vAlign w:val="center"/>
            <w:hideMark/>
          </w:tcPr>
          <w:p w14:paraId="1190510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1.25</w:t>
            </w:r>
          </w:p>
        </w:tc>
        <w:tc>
          <w:tcPr>
            <w:tcW w:w="382" w:type="dxa"/>
            <w:tcBorders>
              <w:top w:val="single" w:sz="12" w:space="0" w:color="000000"/>
              <w:bottom w:val="single" w:sz="4" w:space="0" w:color="000000"/>
            </w:tcBorders>
            <w:shd w:val="clear" w:color="auto" w:fill="auto"/>
            <w:vAlign w:val="center"/>
            <w:hideMark/>
          </w:tcPr>
          <w:p w14:paraId="68818D8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w:t>
            </w:r>
            <w:r>
              <w:rPr>
                <w:rFonts w:eastAsia="Times New Roman"/>
                <w:color w:val="000000"/>
                <w:kern w:val="24"/>
                <w:sz w:val="18"/>
                <w:szCs w:val="18"/>
                <w:lang w:bidi="ar-SA"/>
              </w:rPr>
              <w:t>77</w:t>
            </w:r>
          </w:p>
        </w:tc>
        <w:tc>
          <w:tcPr>
            <w:tcW w:w="446" w:type="dxa"/>
            <w:tcBorders>
              <w:top w:val="single" w:sz="12" w:space="0" w:color="000000"/>
              <w:bottom w:val="single" w:sz="4" w:space="0" w:color="000000"/>
            </w:tcBorders>
            <w:shd w:val="clear" w:color="auto" w:fill="auto"/>
            <w:vAlign w:val="center"/>
            <w:hideMark/>
          </w:tcPr>
          <w:p w14:paraId="4D1F43EB"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0.53</w:t>
            </w:r>
          </w:p>
        </w:tc>
        <w:tc>
          <w:tcPr>
            <w:tcW w:w="657" w:type="dxa"/>
            <w:gridSpan w:val="2"/>
            <w:tcBorders>
              <w:top w:val="single" w:sz="12" w:space="0" w:color="000000"/>
              <w:bottom w:val="single" w:sz="4" w:space="0" w:color="000000"/>
            </w:tcBorders>
            <w:shd w:val="clear" w:color="auto" w:fill="auto"/>
            <w:vAlign w:val="center"/>
            <w:hideMark/>
          </w:tcPr>
          <w:p w14:paraId="437D59F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7.2%</w:t>
            </w:r>
          </w:p>
        </w:tc>
      </w:tr>
      <w:tr w:rsidR="002C4E80" w:rsidRPr="00A048D5" w14:paraId="1248BEE6" w14:textId="77777777" w:rsidTr="00BB2445">
        <w:trPr>
          <w:cantSplit/>
          <w:trHeight w:val="20"/>
          <w:jc w:val="center"/>
        </w:trPr>
        <w:tc>
          <w:tcPr>
            <w:tcW w:w="630" w:type="dxa"/>
            <w:vMerge/>
            <w:tcBorders>
              <w:top w:val="single" w:sz="4" w:space="0" w:color="000000"/>
              <w:bottom w:val="single" w:sz="4" w:space="0" w:color="000000"/>
            </w:tcBorders>
            <w:vAlign w:val="center"/>
            <w:hideMark/>
          </w:tcPr>
          <w:p w14:paraId="5F42A60B"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4" w:space="0" w:color="000000"/>
            </w:tcBorders>
            <w:shd w:val="clear" w:color="auto" w:fill="auto"/>
            <w:vAlign w:val="center"/>
            <w:hideMark/>
          </w:tcPr>
          <w:p w14:paraId="1AE8EE2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VIC</w:t>
            </w:r>
          </w:p>
        </w:tc>
        <w:tc>
          <w:tcPr>
            <w:tcW w:w="792" w:type="dxa"/>
            <w:tcBorders>
              <w:top w:val="single" w:sz="4" w:space="0" w:color="000000"/>
              <w:bottom w:val="single" w:sz="4" w:space="0" w:color="000000"/>
              <w:right w:val="single" w:sz="4" w:space="0" w:color="000000"/>
            </w:tcBorders>
            <w:shd w:val="clear" w:color="auto" w:fill="auto"/>
            <w:vAlign w:val="center"/>
            <w:hideMark/>
          </w:tcPr>
          <w:p w14:paraId="750444AC"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Livneh</w:t>
            </w:r>
          </w:p>
        </w:tc>
        <w:tc>
          <w:tcPr>
            <w:tcW w:w="1008" w:type="dxa"/>
            <w:tcBorders>
              <w:top w:val="single" w:sz="4" w:space="0" w:color="000000"/>
              <w:left w:val="single" w:sz="4" w:space="0" w:color="000000"/>
              <w:bottom w:val="single" w:sz="4" w:space="0" w:color="000000"/>
            </w:tcBorders>
            <w:shd w:val="clear" w:color="auto" w:fill="auto"/>
            <w:vAlign w:val="center"/>
            <w:hideMark/>
          </w:tcPr>
          <w:p w14:paraId="3FCB6EC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4" w:space="0" w:color="000000"/>
            </w:tcBorders>
            <w:shd w:val="clear" w:color="auto" w:fill="auto"/>
            <w:vAlign w:val="center"/>
            <w:hideMark/>
          </w:tcPr>
          <w:p w14:paraId="7A65782B"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1.24</w:t>
            </w:r>
          </w:p>
        </w:tc>
        <w:tc>
          <w:tcPr>
            <w:tcW w:w="498" w:type="dxa"/>
            <w:tcBorders>
              <w:top w:val="single" w:sz="4" w:space="0" w:color="000000"/>
              <w:bottom w:val="single" w:sz="4" w:space="0" w:color="000000"/>
            </w:tcBorders>
            <w:shd w:val="clear" w:color="auto" w:fill="auto"/>
            <w:hideMark/>
          </w:tcPr>
          <w:p w14:paraId="21C00C73"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0.72</w:t>
            </w:r>
          </w:p>
        </w:tc>
        <w:tc>
          <w:tcPr>
            <w:tcW w:w="457" w:type="dxa"/>
            <w:tcBorders>
              <w:top w:val="single" w:sz="4" w:space="0" w:color="000000"/>
              <w:bottom w:val="single" w:sz="4" w:space="0" w:color="000000"/>
            </w:tcBorders>
            <w:shd w:val="clear" w:color="auto" w:fill="auto"/>
            <w:vAlign w:val="center"/>
            <w:hideMark/>
          </w:tcPr>
          <w:p w14:paraId="5FAA50F2"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0.68</w:t>
            </w:r>
          </w:p>
        </w:tc>
        <w:tc>
          <w:tcPr>
            <w:tcW w:w="606" w:type="dxa"/>
            <w:gridSpan w:val="2"/>
            <w:tcBorders>
              <w:top w:val="single" w:sz="4" w:space="0" w:color="000000"/>
              <w:bottom w:val="single" w:sz="4" w:space="0" w:color="000000"/>
              <w:right w:val="single" w:sz="4" w:space="0" w:color="000000"/>
            </w:tcBorders>
            <w:shd w:val="clear" w:color="auto" w:fill="auto"/>
            <w:vAlign w:val="center"/>
            <w:hideMark/>
          </w:tcPr>
          <w:p w14:paraId="23F04475"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1.4%</w:t>
            </w:r>
          </w:p>
        </w:tc>
        <w:tc>
          <w:tcPr>
            <w:tcW w:w="918" w:type="dxa"/>
            <w:tcBorders>
              <w:top w:val="single" w:sz="4" w:space="0" w:color="000000"/>
              <w:left w:val="single" w:sz="4" w:space="0" w:color="000000"/>
              <w:bottom w:val="single" w:sz="4" w:space="0" w:color="000000"/>
            </w:tcBorders>
            <w:shd w:val="clear" w:color="auto" w:fill="auto"/>
            <w:vAlign w:val="center"/>
            <w:hideMark/>
          </w:tcPr>
          <w:p w14:paraId="537F0F9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972" w:type="dxa"/>
            <w:tcBorders>
              <w:top w:val="single" w:sz="4" w:space="0" w:color="000000"/>
              <w:bottom w:val="single" w:sz="4" w:space="0" w:color="000000"/>
            </w:tcBorders>
            <w:shd w:val="clear" w:color="auto" w:fill="auto"/>
            <w:vAlign w:val="center"/>
            <w:hideMark/>
          </w:tcPr>
          <w:p w14:paraId="4C864B48"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382" w:type="dxa"/>
            <w:tcBorders>
              <w:top w:val="single" w:sz="4" w:space="0" w:color="000000"/>
              <w:bottom w:val="single" w:sz="4" w:space="0" w:color="000000"/>
            </w:tcBorders>
            <w:shd w:val="clear" w:color="auto" w:fill="auto"/>
            <w:vAlign w:val="center"/>
            <w:hideMark/>
          </w:tcPr>
          <w:p w14:paraId="5702D5CF"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446" w:type="dxa"/>
            <w:tcBorders>
              <w:top w:val="single" w:sz="4" w:space="0" w:color="000000"/>
              <w:bottom w:val="single" w:sz="4" w:space="0" w:color="000000"/>
            </w:tcBorders>
            <w:shd w:val="clear" w:color="auto" w:fill="auto"/>
            <w:vAlign w:val="center"/>
            <w:hideMark/>
          </w:tcPr>
          <w:p w14:paraId="22D1391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657" w:type="dxa"/>
            <w:gridSpan w:val="2"/>
            <w:tcBorders>
              <w:top w:val="single" w:sz="4" w:space="0" w:color="000000"/>
              <w:bottom w:val="single" w:sz="4" w:space="0" w:color="000000"/>
            </w:tcBorders>
            <w:shd w:val="clear" w:color="auto" w:fill="auto"/>
            <w:vAlign w:val="center"/>
            <w:hideMark/>
          </w:tcPr>
          <w:p w14:paraId="4F873D55"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r>
      <w:tr w:rsidR="002C4E80" w:rsidRPr="00A048D5" w14:paraId="46466148" w14:textId="77777777" w:rsidTr="00BB2445">
        <w:trPr>
          <w:cantSplit/>
          <w:trHeight w:val="20"/>
          <w:jc w:val="center"/>
        </w:trPr>
        <w:tc>
          <w:tcPr>
            <w:tcW w:w="630" w:type="dxa"/>
            <w:vMerge/>
            <w:tcBorders>
              <w:top w:val="single" w:sz="4" w:space="0" w:color="000000"/>
              <w:bottom w:val="single" w:sz="4" w:space="0" w:color="000000"/>
            </w:tcBorders>
            <w:vAlign w:val="center"/>
            <w:hideMark/>
          </w:tcPr>
          <w:p w14:paraId="0BD028F1"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4" w:space="0" w:color="000000"/>
            </w:tcBorders>
            <w:shd w:val="clear" w:color="auto" w:fill="auto"/>
            <w:vAlign w:val="center"/>
            <w:hideMark/>
          </w:tcPr>
          <w:p w14:paraId="4BBF5F8B"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PRMS</w:t>
            </w:r>
          </w:p>
        </w:tc>
        <w:tc>
          <w:tcPr>
            <w:tcW w:w="792" w:type="dxa"/>
            <w:tcBorders>
              <w:top w:val="single" w:sz="4" w:space="0" w:color="000000"/>
              <w:bottom w:val="single" w:sz="4" w:space="0" w:color="000000"/>
              <w:right w:val="single" w:sz="4" w:space="0" w:color="000000"/>
            </w:tcBorders>
            <w:shd w:val="clear" w:color="auto" w:fill="auto"/>
            <w:vAlign w:val="center"/>
            <w:hideMark/>
          </w:tcPr>
          <w:p w14:paraId="07C147F8"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Daymet</w:t>
            </w:r>
          </w:p>
        </w:tc>
        <w:tc>
          <w:tcPr>
            <w:tcW w:w="1008" w:type="dxa"/>
            <w:tcBorders>
              <w:top w:val="single" w:sz="4" w:space="0" w:color="000000"/>
              <w:left w:val="single" w:sz="4" w:space="0" w:color="000000"/>
              <w:bottom w:val="single" w:sz="4" w:space="0" w:color="000000"/>
            </w:tcBorders>
            <w:shd w:val="clear" w:color="auto" w:fill="auto"/>
            <w:vAlign w:val="center"/>
            <w:hideMark/>
          </w:tcPr>
          <w:p w14:paraId="1CF29ADC"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4" w:space="0" w:color="000000"/>
            </w:tcBorders>
            <w:shd w:val="clear" w:color="auto" w:fill="auto"/>
            <w:vAlign w:val="center"/>
            <w:hideMark/>
          </w:tcPr>
          <w:p w14:paraId="222BB261"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1.18</w:t>
            </w:r>
          </w:p>
        </w:tc>
        <w:tc>
          <w:tcPr>
            <w:tcW w:w="498" w:type="dxa"/>
            <w:tcBorders>
              <w:top w:val="single" w:sz="4" w:space="0" w:color="000000"/>
              <w:bottom w:val="single" w:sz="4" w:space="0" w:color="000000"/>
            </w:tcBorders>
            <w:shd w:val="clear" w:color="auto" w:fill="auto"/>
            <w:hideMark/>
          </w:tcPr>
          <w:p w14:paraId="0166FF85"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0.74</w:t>
            </w:r>
          </w:p>
        </w:tc>
        <w:tc>
          <w:tcPr>
            <w:tcW w:w="457" w:type="dxa"/>
            <w:tcBorders>
              <w:top w:val="single" w:sz="4" w:space="0" w:color="000000"/>
              <w:bottom w:val="single" w:sz="4" w:space="0" w:color="000000"/>
            </w:tcBorders>
            <w:shd w:val="clear" w:color="auto" w:fill="auto"/>
            <w:vAlign w:val="center"/>
            <w:hideMark/>
          </w:tcPr>
          <w:p w14:paraId="67654158"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0.71</w:t>
            </w:r>
          </w:p>
        </w:tc>
        <w:tc>
          <w:tcPr>
            <w:tcW w:w="606" w:type="dxa"/>
            <w:gridSpan w:val="2"/>
            <w:tcBorders>
              <w:top w:val="single" w:sz="4" w:space="0" w:color="000000"/>
              <w:bottom w:val="single" w:sz="4" w:space="0" w:color="000000"/>
              <w:right w:val="single" w:sz="4" w:space="0" w:color="000000"/>
            </w:tcBorders>
            <w:shd w:val="clear" w:color="auto" w:fill="auto"/>
            <w:vAlign w:val="center"/>
            <w:hideMark/>
          </w:tcPr>
          <w:p w14:paraId="3288B75F"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D41ACB">
              <w:rPr>
                <w:rFonts w:eastAsia="Times New Roman"/>
                <w:color w:val="000000"/>
                <w:kern w:val="24"/>
                <w:sz w:val="18"/>
                <w:szCs w:val="18"/>
                <w:lang w:bidi="ar-SA"/>
              </w:rPr>
              <w:t>−</w:t>
            </w:r>
            <w:r w:rsidRPr="00A048D5">
              <w:rPr>
                <w:rFonts w:eastAsia="Times New Roman"/>
                <w:color w:val="000000"/>
                <w:kern w:val="24"/>
                <w:sz w:val="18"/>
                <w:szCs w:val="18"/>
                <w:lang w:bidi="ar-SA"/>
              </w:rPr>
              <w:t>1.4%</w:t>
            </w:r>
          </w:p>
        </w:tc>
        <w:tc>
          <w:tcPr>
            <w:tcW w:w="918" w:type="dxa"/>
            <w:tcBorders>
              <w:top w:val="single" w:sz="4" w:space="0" w:color="000000"/>
              <w:left w:val="single" w:sz="4" w:space="0" w:color="000000"/>
              <w:bottom w:val="single" w:sz="4" w:space="0" w:color="000000"/>
            </w:tcBorders>
            <w:shd w:val="clear" w:color="auto" w:fill="auto"/>
            <w:vAlign w:val="center"/>
            <w:hideMark/>
          </w:tcPr>
          <w:p w14:paraId="41EF73C1"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2014–2019</w:t>
            </w:r>
          </w:p>
        </w:tc>
        <w:tc>
          <w:tcPr>
            <w:tcW w:w="972" w:type="dxa"/>
            <w:tcBorders>
              <w:top w:val="single" w:sz="4" w:space="0" w:color="000000"/>
              <w:bottom w:val="single" w:sz="4" w:space="0" w:color="000000"/>
            </w:tcBorders>
            <w:shd w:val="clear" w:color="auto" w:fill="auto"/>
            <w:vAlign w:val="center"/>
            <w:hideMark/>
          </w:tcPr>
          <w:p w14:paraId="1A388E74"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1.14</w:t>
            </w:r>
          </w:p>
        </w:tc>
        <w:tc>
          <w:tcPr>
            <w:tcW w:w="382" w:type="dxa"/>
            <w:tcBorders>
              <w:top w:val="single" w:sz="4" w:space="0" w:color="000000"/>
              <w:bottom w:val="single" w:sz="4" w:space="0" w:color="000000"/>
            </w:tcBorders>
            <w:shd w:val="clear" w:color="auto" w:fill="auto"/>
            <w:vAlign w:val="center"/>
            <w:hideMark/>
          </w:tcPr>
          <w:p w14:paraId="06BDBBBB"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w:t>
            </w:r>
            <w:r>
              <w:rPr>
                <w:rFonts w:eastAsia="Times New Roman"/>
                <w:color w:val="000000"/>
                <w:kern w:val="24"/>
                <w:sz w:val="18"/>
                <w:szCs w:val="18"/>
                <w:lang w:bidi="ar-SA"/>
              </w:rPr>
              <w:t>85</w:t>
            </w:r>
          </w:p>
        </w:tc>
        <w:tc>
          <w:tcPr>
            <w:tcW w:w="446" w:type="dxa"/>
            <w:tcBorders>
              <w:top w:val="single" w:sz="4" w:space="0" w:color="000000"/>
              <w:bottom w:val="single" w:sz="4" w:space="0" w:color="000000"/>
            </w:tcBorders>
            <w:shd w:val="clear" w:color="auto" w:fill="auto"/>
            <w:vAlign w:val="center"/>
            <w:hideMark/>
          </w:tcPr>
          <w:p w14:paraId="37D7A244"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0.61</w:t>
            </w:r>
          </w:p>
        </w:tc>
        <w:tc>
          <w:tcPr>
            <w:tcW w:w="657" w:type="dxa"/>
            <w:gridSpan w:val="2"/>
            <w:tcBorders>
              <w:top w:val="single" w:sz="4" w:space="0" w:color="000000"/>
              <w:bottom w:val="single" w:sz="4" w:space="0" w:color="000000"/>
            </w:tcBorders>
            <w:shd w:val="clear" w:color="auto" w:fill="auto"/>
            <w:vAlign w:val="center"/>
            <w:hideMark/>
          </w:tcPr>
          <w:p w14:paraId="6678E06B"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8.1%</w:t>
            </w:r>
          </w:p>
        </w:tc>
      </w:tr>
      <w:tr w:rsidR="002C4E80" w:rsidRPr="00A048D5" w14:paraId="5A4192E6" w14:textId="77777777" w:rsidTr="00BB2445">
        <w:trPr>
          <w:cantSplit/>
          <w:trHeight w:val="20"/>
          <w:jc w:val="center"/>
        </w:trPr>
        <w:tc>
          <w:tcPr>
            <w:tcW w:w="630" w:type="dxa"/>
            <w:vMerge/>
            <w:tcBorders>
              <w:top w:val="single" w:sz="4" w:space="0" w:color="000000"/>
              <w:bottom w:val="single" w:sz="12" w:space="0" w:color="000000"/>
            </w:tcBorders>
            <w:vAlign w:val="center"/>
            <w:hideMark/>
          </w:tcPr>
          <w:p w14:paraId="150EDD07" w14:textId="77777777" w:rsidR="002C4E80" w:rsidRPr="00A048D5" w:rsidRDefault="002C4E80" w:rsidP="00BB2445">
            <w:pPr>
              <w:spacing w:before="0" w:after="0" w:line="240" w:lineRule="auto"/>
              <w:ind w:firstLine="0"/>
              <w:rPr>
                <w:rFonts w:eastAsia="Times New Roman"/>
                <w:sz w:val="18"/>
                <w:szCs w:val="18"/>
                <w:lang w:bidi="ar-SA"/>
              </w:rPr>
            </w:pPr>
          </w:p>
        </w:tc>
        <w:tc>
          <w:tcPr>
            <w:tcW w:w="963" w:type="dxa"/>
            <w:tcBorders>
              <w:top w:val="single" w:sz="4" w:space="0" w:color="000000"/>
              <w:bottom w:val="single" w:sz="12" w:space="0" w:color="000000"/>
            </w:tcBorders>
            <w:shd w:val="clear" w:color="auto" w:fill="auto"/>
            <w:vAlign w:val="center"/>
            <w:hideMark/>
          </w:tcPr>
          <w:p w14:paraId="76420F2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PRMS</w:t>
            </w:r>
          </w:p>
        </w:tc>
        <w:tc>
          <w:tcPr>
            <w:tcW w:w="792" w:type="dxa"/>
            <w:tcBorders>
              <w:top w:val="single" w:sz="4" w:space="0" w:color="000000"/>
              <w:bottom w:val="single" w:sz="12" w:space="0" w:color="000000"/>
              <w:right w:val="single" w:sz="4" w:space="0" w:color="000000"/>
            </w:tcBorders>
            <w:shd w:val="clear" w:color="auto" w:fill="auto"/>
            <w:vAlign w:val="center"/>
            <w:hideMark/>
          </w:tcPr>
          <w:p w14:paraId="5F4C8BE2"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Livneh</w:t>
            </w:r>
          </w:p>
        </w:tc>
        <w:tc>
          <w:tcPr>
            <w:tcW w:w="1008" w:type="dxa"/>
            <w:tcBorders>
              <w:top w:val="single" w:sz="4" w:space="0" w:color="000000"/>
              <w:left w:val="single" w:sz="4" w:space="0" w:color="000000"/>
              <w:bottom w:val="single" w:sz="12" w:space="0" w:color="000000"/>
            </w:tcBorders>
            <w:shd w:val="clear" w:color="auto" w:fill="auto"/>
            <w:vAlign w:val="center"/>
            <w:hideMark/>
          </w:tcPr>
          <w:p w14:paraId="169F3DD6"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sidRPr="00A048D5">
              <w:rPr>
                <w:rFonts w:eastAsia="Times New Roman"/>
                <w:color w:val="000000"/>
                <w:kern w:val="24"/>
                <w:sz w:val="18"/>
                <w:szCs w:val="18"/>
                <w:lang w:bidi="ar-SA"/>
              </w:rPr>
              <w:t>1984–2013</w:t>
            </w:r>
          </w:p>
        </w:tc>
        <w:tc>
          <w:tcPr>
            <w:tcW w:w="969" w:type="dxa"/>
            <w:tcBorders>
              <w:top w:val="single" w:sz="4" w:space="0" w:color="000000"/>
              <w:bottom w:val="single" w:sz="12" w:space="0" w:color="000000"/>
            </w:tcBorders>
            <w:shd w:val="clear" w:color="auto" w:fill="auto"/>
            <w:vAlign w:val="center"/>
            <w:hideMark/>
          </w:tcPr>
          <w:p w14:paraId="76140152"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1.23</w:t>
            </w:r>
          </w:p>
        </w:tc>
        <w:tc>
          <w:tcPr>
            <w:tcW w:w="498" w:type="dxa"/>
            <w:tcBorders>
              <w:top w:val="single" w:sz="4" w:space="0" w:color="000000"/>
              <w:bottom w:val="single" w:sz="12" w:space="0" w:color="000000"/>
            </w:tcBorders>
            <w:shd w:val="clear" w:color="auto" w:fill="auto"/>
            <w:hideMark/>
          </w:tcPr>
          <w:p w14:paraId="7883AB09"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0.74</w:t>
            </w:r>
          </w:p>
        </w:tc>
        <w:tc>
          <w:tcPr>
            <w:tcW w:w="457" w:type="dxa"/>
            <w:tcBorders>
              <w:top w:val="single" w:sz="4" w:space="0" w:color="000000"/>
              <w:bottom w:val="single" w:sz="12" w:space="0" w:color="000000"/>
            </w:tcBorders>
            <w:shd w:val="clear" w:color="auto" w:fill="auto"/>
            <w:vAlign w:val="center"/>
            <w:hideMark/>
          </w:tcPr>
          <w:p w14:paraId="6E456909"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A048D5">
              <w:rPr>
                <w:rFonts w:eastAsia="Times New Roman"/>
                <w:color w:val="000000"/>
                <w:kern w:val="24"/>
                <w:sz w:val="18"/>
                <w:szCs w:val="18"/>
                <w:lang w:bidi="ar-SA"/>
              </w:rPr>
              <w:t>0.69</w:t>
            </w:r>
          </w:p>
        </w:tc>
        <w:tc>
          <w:tcPr>
            <w:tcW w:w="606" w:type="dxa"/>
            <w:gridSpan w:val="2"/>
            <w:tcBorders>
              <w:top w:val="single" w:sz="4" w:space="0" w:color="000000"/>
              <w:bottom w:val="single" w:sz="12" w:space="0" w:color="000000"/>
              <w:right w:val="single" w:sz="4" w:space="0" w:color="000000"/>
            </w:tcBorders>
            <w:shd w:val="clear" w:color="auto" w:fill="auto"/>
            <w:vAlign w:val="center"/>
            <w:hideMark/>
          </w:tcPr>
          <w:p w14:paraId="77DB6658"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1404D1">
              <w:rPr>
                <w:rFonts w:eastAsia="Times New Roman"/>
                <w:color w:val="000000"/>
                <w:kern w:val="24"/>
                <w:sz w:val="18"/>
                <w:szCs w:val="18"/>
                <w:lang w:bidi="ar-SA"/>
              </w:rPr>
              <w:t>−</w:t>
            </w:r>
            <w:r w:rsidRPr="00A048D5">
              <w:rPr>
                <w:rFonts w:eastAsia="Times New Roman"/>
                <w:color w:val="000000"/>
                <w:kern w:val="24"/>
                <w:sz w:val="18"/>
                <w:szCs w:val="18"/>
                <w:lang w:bidi="ar-SA"/>
              </w:rPr>
              <w:t>2.3%</w:t>
            </w:r>
          </w:p>
        </w:tc>
        <w:tc>
          <w:tcPr>
            <w:tcW w:w="918" w:type="dxa"/>
            <w:tcBorders>
              <w:top w:val="single" w:sz="4" w:space="0" w:color="000000"/>
              <w:left w:val="single" w:sz="4" w:space="0" w:color="000000"/>
              <w:bottom w:val="single" w:sz="12" w:space="0" w:color="000000"/>
            </w:tcBorders>
            <w:shd w:val="clear" w:color="auto" w:fill="auto"/>
            <w:vAlign w:val="center"/>
            <w:hideMark/>
          </w:tcPr>
          <w:p w14:paraId="36F2235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972" w:type="dxa"/>
            <w:tcBorders>
              <w:top w:val="single" w:sz="4" w:space="0" w:color="000000"/>
              <w:bottom w:val="single" w:sz="12" w:space="0" w:color="000000"/>
            </w:tcBorders>
            <w:shd w:val="clear" w:color="auto" w:fill="auto"/>
            <w:vAlign w:val="center"/>
            <w:hideMark/>
          </w:tcPr>
          <w:p w14:paraId="0242DE09"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382" w:type="dxa"/>
            <w:tcBorders>
              <w:top w:val="single" w:sz="4" w:space="0" w:color="000000"/>
              <w:bottom w:val="single" w:sz="12" w:space="0" w:color="000000"/>
            </w:tcBorders>
            <w:shd w:val="clear" w:color="auto" w:fill="auto"/>
            <w:vAlign w:val="center"/>
            <w:hideMark/>
          </w:tcPr>
          <w:p w14:paraId="5A4CA46F"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446" w:type="dxa"/>
            <w:tcBorders>
              <w:top w:val="single" w:sz="4" w:space="0" w:color="000000"/>
              <w:bottom w:val="single" w:sz="12" w:space="0" w:color="000000"/>
            </w:tcBorders>
            <w:shd w:val="clear" w:color="auto" w:fill="auto"/>
            <w:vAlign w:val="center"/>
            <w:hideMark/>
          </w:tcPr>
          <w:p w14:paraId="494D13C3"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c>
          <w:tcPr>
            <w:tcW w:w="657" w:type="dxa"/>
            <w:gridSpan w:val="2"/>
            <w:tcBorders>
              <w:top w:val="single" w:sz="4" w:space="0" w:color="000000"/>
              <w:bottom w:val="single" w:sz="12" w:space="0" w:color="000000"/>
            </w:tcBorders>
            <w:shd w:val="clear" w:color="auto" w:fill="auto"/>
            <w:vAlign w:val="center"/>
            <w:hideMark/>
          </w:tcPr>
          <w:p w14:paraId="2CFBFDBA" w14:textId="77777777" w:rsidR="002C4E80" w:rsidRPr="00A048D5" w:rsidRDefault="002C4E80" w:rsidP="00BB2445">
            <w:pPr>
              <w:spacing w:before="0" w:after="0" w:line="240" w:lineRule="auto"/>
              <w:ind w:firstLine="0"/>
              <w:jc w:val="center"/>
              <w:textAlignment w:val="bottom"/>
              <w:rPr>
                <w:rFonts w:eastAsia="Times New Roman"/>
                <w:sz w:val="18"/>
                <w:szCs w:val="18"/>
                <w:lang w:bidi="ar-SA"/>
              </w:rPr>
            </w:pPr>
            <w:r>
              <w:rPr>
                <w:rFonts w:eastAsia="Times New Roman"/>
                <w:color w:val="000000"/>
                <w:kern w:val="24"/>
                <w:sz w:val="18"/>
                <w:szCs w:val="18"/>
                <w:lang w:bidi="ar-SA"/>
              </w:rPr>
              <w:t>—</w:t>
            </w:r>
          </w:p>
        </w:tc>
      </w:tr>
      <w:tr w:rsidR="002C4E80" w:rsidRPr="00A048D5" w14:paraId="5DEBB67B" w14:textId="77777777" w:rsidTr="00BB2445">
        <w:trPr>
          <w:cantSplit/>
          <w:trHeight w:val="20"/>
          <w:jc w:val="center"/>
        </w:trPr>
        <w:tc>
          <w:tcPr>
            <w:tcW w:w="2385" w:type="dxa"/>
            <w:gridSpan w:val="3"/>
            <w:tcBorders>
              <w:top w:val="single" w:sz="12" w:space="0" w:color="000000"/>
              <w:bottom w:val="single" w:sz="4" w:space="0" w:color="000000"/>
              <w:right w:val="single" w:sz="4" w:space="0" w:color="000000"/>
            </w:tcBorders>
            <w:shd w:val="clear" w:color="auto" w:fill="auto"/>
            <w:vAlign w:val="center"/>
            <w:hideMark/>
          </w:tcPr>
          <w:p w14:paraId="20AD6297"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WRES mean</w:t>
            </w:r>
          </w:p>
        </w:tc>
        <w:tc>
          <w:tcPr>
            <w:tcW w:w="1008" w:type="dxa"/>
            <w:tcBorders>
              <w:top w:val="single" w:sz="12" w:space="0" w:color="000000"/>
              <w:left w:val="single" w:sz="4" w:space="0" w:color="000000"/>
              <w:bottom w:val="single" w:sz="4" w:space="0" w:color="000000"/>
            </w:tcBorders>
            <w:shd w:val="clear" w:color="auto" w:fill="auto"/>
            <w:vAlign w:val="center"/>
            <w:hideMark/>
          </w:tcPr>
          <w:p w14:paraId="36ABF6F3"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Pr>
                <w:rFonts w:eastAsia="Times New Roman"/>
                <w:color w:val="000000"/>
                <w:kern w:val="24"/>
                <w:sz w:val="18"/>
                <w:szCs w:val="18"/>
                <w:lang w:bidi="ar-SA"/>
              </w:rPr>
              <w:t>—</w:t>
            </w:r>
          </w:p>
        </w:tc>
        <w:tc>
          <w:tcPr>
            <w:tcW w:w="969" w:type="dxa"/>
            <w:tcBorders>
              <w:top w:val="single" w:sz="12" w:space="0" w:color="000000"/>
              <w:bottom w:val="single" w:sz="4" w:space="0" w:color="000000"/>
            </w:tcBorders>
            <w:shd w:val="clear" w:color="auto" w:fill="auto"/>
            <w:vAlign w:val="center"/>
            <w:hideMark/>
          </w:tcPr>
          <w:p w14:paraId="7E2D95AD"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0.99</w:t>
            </w:r>
          </w:p>
        </w:tc>
        <w:tc>
          <w:tcPr>
            <w:tcW w:w="498" w:type="dxa"/>
            <w:tcBorders>
              <w:top w:val="single" w:sz="12" w:space="0" w:color="000000"/>
              <w:bottom w:val="single" w:sz="4" w:space="0" w:color="000000"/>
            </w:tcBorders>
            <w:shd w:val="clear" w:color="auto" w:fill="auto"/>
            <w:vAlign w:val="center"/>
            <w:hideMark/>
          </w:tcPr>
          <w:p w14:paraId="35D4000A"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0.90</w:t>
            </w:r>
          </w:p>
        </w:tc>
        <w:tc>
          <w:tcPr>
            <w:tcW w:w="457" w:type="dxa"/>
            <w:tcBorders>
              <w:top w:val="single" w:sz="12" w:space="0" w:color="000000"/>
              <w:bottom w:val="single" w:sz="4" w:space="0" w:color="000000"/>
            </w:tcBorders>
            <w:shd w:val="clear" w:color="auto" w:fill="auto"/>
            <w:vAlign w:val="center"/>
            <w:hideMark/>
          </w:tcPr>
          <w:p w14:paraId="21125295"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0.79</w:t>
            </w:r>
          </w:p>
        </w:tc>
        <w:tc>
          <w:tcPr>
            <w:tcW w:w="606" w:type="dxa"/>
            <w:gridSpan w:val="2"/>
            <w:tcBorders>
              <w:top w:val="single" w:sz="12" w:space="0" w:color="000000"/>
              <w:bottom w:val="single" w:sz="4" w:space="0" w:color="000000"/>
              <w:right w:val="single" w:sz="4" w:space="0" w:color="000000"/>
            </w:tcBorders>
            <w:shd w:val="clear" w:color="auto" w:fill="auto"/>
            <w:vAlign w:val="center"/>
            <w:hideMark/>
          </w:tcPr>
          <w:p w14:paraId="56F6D487"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0.90</w:t>
            </w:r>
          </w:p>
        </w:tc>
        <w:tc>
          <w:tcPr>
            <w:tcW w:w="918" w:type="dxa"/>
            <w:tcBorders>
              <w:top w:val="single" w:sz="12" w:space="0" w:color="000000"/>
              <w:left w:val="single" w:sz="4" w:space="0" w:color="000000"/>
              <w:bottom w:val="single" w:sz="4" w:space="0" w:color="000000"/>
            </w:tcBorders>
            <w:shd w:val="clear" w:color="auto" w:fill="auto"/>
            <w:vAlign w:val="center"/>
            <w:hideMark/>
          </w:tcPr>
          <w:p w14:paraId="564413F0"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0.79</w:t>
            </w:r>
          </w:p>
        </w:tc>
        <w:tc>
          <w:tcPr>
            <w:tcW w:w="972" w:type="dxa"/>
            <w:tcBorders>
              <w:top w:val="single" w:sz="12" w:space="0" w:color="000000"/>
              <w:bottom w:val="single" w:sz="4" w:space="0" w:color="000000"/>
            </w:tcBorders>
            <w:shd w:val="clear" w:color="auto" w:fill="auto"/>
            <w:vAlign w:val="center"/>
            <w:hideMark/>
          </w:tcPr>
          <w:p w14:paraId="0CBDB050"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1404D1">
              <w:rPr>
                <w:rFonts w:eastAsia="Times New Roman"/>
                <w:bCs/>
                <w:color w:val="000000" w:themeColor="text1" w:themeShade="80"/>
                <w:kern w:val="24"/>
                <w:sz w:val="18"/>
                <w:szCs w:val="18"/>
                <w:lang w:bidi="ar-SA"/>
              </w:rPr>
              <w:t>−</w:t>
            </w:r>
            <w:r w:rsidRPr="00A048D5">
              <w:rPr>
                <w:rFonts w:eastAsia="Times New Roman"/>
                <w:bCs/>
                <w:color w:val="000000" w:themeColor="text1" w:themeShade="80"/>
                <w:kern w:val="24"/>
                <w:sz w:val="18"/>
                <w:szCs w:val="18"/>
                <w:lang w:bidi="ar-SA"/>
              </w:rPr>
              <w:t>2.2%</w:t>
            </w:r>
          </w:p>
        </w:tc>
        <w:tc>
          <w:tcPr>
            <w:tcW w:w="382" w:type="dxa"/>
            <w:tcBorders>
              <w:top w:val="single" w:sz="12" w:space="0" w:color="000000"/>
              <w:bottom w:val="single" w:sz="4" w:space="0" w:color="000000"/>
            </w:tcBorders>
            <w:shd w:val="clear" w:color="auto" w:fill="auto"/>
            <w:vAlign w:val="center"/>
            <w:hideMark/>
          </w:tcPr>
          <w:p w14:paraId="6421A389"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0.89</w:t>
            </w:r>
          </w:p>
        </w:tc>
        <w:tc>
          <w:tcPr>
            <w:tcW w:w="446" w:type="dxa"/>
            <w:tcBorders>
              <w:top w:val="single" w:sz="12" w:space="0" w:color="000000"/>
              <w:bottom w:val="single" w:sz="4" w:space="0" w:color="000000"/>
            </w:tcBorders>
            <w:shd w:val="clear" w:color="auto" w:fill="auto"/>
            <w:vAlign w:val="center"/>
            <w:hideMark/>
          </w:tcPr>
          <w:p w14:paraId="798B9AA1"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0.59</w:t>
            </w:r>
          </w:p>
        </w:tc>
        <w:tc>
          <w:tcPr>
            <w:tcW w:w="657" w:type="dxa"/>
            <w:gridSpan w:val="2"/>
            <w:tcBorders>
              <w:top w:val="single" w:sz="12" w:space="0" w:color="000000"/>
              <w:bottom w:val="single" w:sz="4" w:space="0" w:color="000000"/>
            </w:tcBorders>
            <w:shd w:val="clear" w:color="auto" w:fill="auto"/>
            <w:vAlign w:val="center"/>
            <w:hideMark/>
          </w:tcPr>
          <w:p w14:paraId="7BB806D9"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0.89</w:t>
            </w:r>
          </w:p>
        </w:tc>
      </w:tr>
      <w:tr w:rsidR="002C4E80" w:rsidRPr="00A048D5" w14:paraId="42ECEF83" w14:textId="77777777" w:rsidTr="00BB2445">
        <w:trPr>
          <w:cantSplit/>
          <w:trHeight w:val="20"/>
          <w:jc w:val="center"/>
        </w:trPr>
        <w:tc>
          <w:tcPr>
            <w:tcW w:w="2385" w:type="dxa"/>
            <w:gridSpan w:val="3"/>
            <w:tcBorders>
              <w:top w:val="single" w:sz="4" w:space="0" w:color="000000"/>
              <w:bottom w:val="single" w:sz="12" w:space="0" w:color="000000"/>
              <w:right w:val="single" w:sz="4" w:space="0" w:color="000000"/>
            </w:tcBorders>
            <w:shd w:val="clear" w:color="auto" w:fill="auto"/>
            <w:vAlign w:val="center"/>
            <w:hideMark/>
          </w:tcPr>
          <w:p w14:paraId="36C46C11"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WMP mean</w:t>
            </w:r>
          </w:p>
        </w:tc>
        <w:tc>
          <w:tcPr>
            <w:tcW w:w="1008" w:type="dxa"/>
            <w:tcBorders>
              <w:top w:val="single" w:sz="4" w:space="0" w:color="000000"/>
              <w:left w:val="single" w:sz="4" w:space="0" w:color="000000"/>
              <w:bottom w:val="single" w:sz="12" w:space="0" w:color="000000"/>
            </w:tcBorders>
            <w:shd w:val="clear" w:color="auto" w:fill="auto"/>
            <w:vAlign w:val="center"/>
            <w:hideMark/>
          </w:tcPr>
          <w:p w14:paraId="2872AAC8"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Pr>
                <w:rFonts w:eastAsia="Times New Roman"/>
                <w:color w:val="000000"/>
                <w:kern w:val="24"/>
                <w:sz w:val="18"/>
                <w:szCs w:val="18"/>
                <w:lang w:bidi="ar-SA"/>
              </w:rPr>
              <w:t>—</w:t>
            </w:r>
          </w:p>
        </w:tc>
        <w:tc>
          <w:tcPr>
            <w:tcW w:w="969" w:type="dxa"/>
            <w:tcBorders>
              <w:top w:val="single" w:sz="4" w:space="0" w:color="000000"/>
              <w:bottom w:val="single" w:sz="12" w:space="0" w:color="000000"/>
            </w:tcBorders>
            <w:shd w:val="clear" w:color="auto" w:fill="auto"/>
            <w:vAlign w:val="center"/>
            <w:hideMark/>
          </w:tcPr>
          <w:p w14:paraId="520E95FE" w14:textId="77777777" w:rsidR="002C4E80" w:rsidRPr="007A39BF" w:rsidRDefault="002C4E80" w:rsidP="00BB2445">
            <w:pPr>
              <w:tabs>
                <w:tab w:val="decimal" w:pos="35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1.23</w:t>
            </w:r>
          </w:p>
        </w:tc>
        <w:tc>
          <w:tcPr>
            <w:tcW w:w="498" w:type="dxa"/>
            <w:tcBorders>
              <w:top w:val="single" w:sz="4" w:space="0" w:color="000000"/>
              <w:bottom w:val="single" w:sz="12" w:space="0" w:color="000000"/>
            </w:tcBorders>
            <w:shd w:val="clear" w:color="auto" w:fill="auto"/>
            <w:vAlign w:val="center"/>
            <w:hideMark/>
          </w:tcPr>
          <w:p w14:paraId="149D1B3A"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0.86</w:t>
            </w:r>
          </w:p>
        </w:tc>
        <w:tc>
          <w:tcPr>
            <w:tcW w:w="457" w:type="dxa"/>
            <w:tcBorders>
              <w:top w:val="single" w:sz="4" w:space="0" w:color="000000"/>
              <w:bottom w:val="single" w:sz="12" w:space="0" w:color="000000"/>
            </w:tcBorders>
            <w:shd w:val="clear" w:color="auto" w:fill="auto"/>
            <w:vAlign w:val="center"/>
            <w:hideMark/>
          </w:tcPr>
          <w:p w14:paraId="6A2A2D66" w14:textId="77777777" w:rsidR="002C4E80" w:rsidRPr="007A39BF" w:rsidRDefault="002C4E80" w:rsidP="00BB2445">
            <w:pPr>
              <w:tabs>
                <w:tab w:val="decimal" w:pos="137"/>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0.68</w:t>
            </w:r>
          </w:p>
        </w:tc>
        <w:tc>
          <w:tcPr>
            <w:tcW w:w="606" w:type="dxa"/>
            <w:gridSpan w:val="2"/>
            <w:tcBorders>
              <w:top w:val="single" w:sz="4" w:space="0" w:color="000000"/>
              <w:bottom w:val="single" w:sz="12" w:space="0" w:color="000000"/>
              <w:right w:val="single" w:sz="4" w:space="0" w:color="000000"/>
            </w:tcBorders>
            <w:shd w:val="clear" w:color="auto" w:fill="auto"/>
            <w:vAlign w:val="center"/>
            <w:hideMark/>
          </w:tcPr>
          <w:p w14:paraId="6F1C9E22" w14:textId="77777777" w:rsidR="002C4E80" w:rsidRPr="007A39BF" w:rsidRDefault="002C4E80" w:rsidP="00BB2445">
            <w:pPr>
              <w:tabs>
                <w:tab w:val="decimal" w:pos="236"/>
              </w:tabs>
              <w:spacing w:before="0" w:after="0" w:line="240" w:lineRule="auto"/>
              <w:ind w:firstLine="0"/>
              <w:textAlignment w:val="bottom"/>
              <w:rPr>
                <w:rFonts w:eastAsia="Times New Roman"/>
                <w:color w:val="000000"/>
                <w:kern w:val="24"/>
                <w:sz w:val="18"/>
                <w:szCs w:val="18"/>
                <w:lang w:bidi="ar-SA"/>
              </w:rPr>
            </w:pPr>
            <w:r w:rsidRPr="007A39BF">
              <w:rPr>
                <w:rFonts w:eastAsia="Times New Roman"/>
                <w:color w:val="000000"/>
                <w:kern w:val="24"/>
                <w:sz w:val="18"/>
                <w:szCs w:val="18"/>
                <w:lang w:bidi="ar-SA"/>
              </w:rPr>
              <w:t>0.86</w:t>
            </w:r>
          </w:p>
        </w:tc>
        <w:tc>
          <w:tcPr>
            <w:tcW w:w="918" w:type="dxa"/>
            <w:tcBorders>
              <w:top w:val="single" w:sz="4" w:space="0" w:color="000000"/>
              <w:left w:val="single" w:sz="4" w:space="0" w:color="000000"/>
              <w:bottom w:val="single" w:sz="12" w:space="0" w:color="000000"/>
            </w:tcBorders>
            <w:shd w:val="clear" w:color="auto" w:fill="auto"/>
            <w:vAlign w:val="center"/>
            <w:hideMark/>
          </w:tcPr>
          <w:p w14:paraId="37EB76C3"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0.68</w:t>
            </w:r>
          </w:p>
        </w:tc>
        <w:tc>
          <w:tcPr>
            <w:tcW w:w="972" w:type="dxa"/>
            <w:tcBorders>
              <w:top w:val="single" w:sz="4" w:space="0" w:color="000000"/>
              <w:bottom w:val="single" w:sz="12" w:space="0" w:color="000000"/>
            </w:tcBorders>
            <w:shd w:val="clear" w:color="auto" w:fill="auto"/>
            <w:vAlign w:val="center"/>
            <w:hideMark/>
          </w:tcPr>
          <w:p w14:paraId="5F37ECC8"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1404D1">
              <w:rPr>
                <w:rFonts w:eastAsia="Times New Roman"/>
                <w:bCs/>
                <w:color w:val="000000" w:themeColor="text1" w:themeShade="80"/>
                <w:kern w:val="24"/>
                <w:sz w:val="18"/>
                <w:szCs w:val="18"/>
                <w:lang w:bidi="ar-SA"/>
              </w:rPr>
              <w:t>−</w:t>
            </w:r>
            <w:r w:rsidRPr="00A048D5">
              <w:rPr>
                <w:rFonts w:eastAsia="Times New Roman"/>
                <w:bCs/>
                <w:color w:val="000000" w:themeColor="text1" w:themeShade="80"/>
                <w:kern w:val="24"/>
                <w:sz w:val="18"/>
                <w:szCs w:val="18"/>
                <w:lang w:bidi="ar-SA"/>
              </w:rPr>
              <w:t>1.8%</w:t>
            </w:r>
          </w:p>
        </w:tc>
        <w:tc>
          <w:tcPr>
            <w:tcW w:w="382" w:type="dxa"/>
            <w:tcBorders>
              <w:top w:val="single" w:sz="4" w:space="0" w:color="000000"/>
              <w:bottom w:val="single" w:sz="12" w:space="0" w:color="000000"/>
            </w:tcBorders>
            <w:shd w:val="clear" w:color="auto" w:fill="auto"/>
            <w:vAlign w:val="center"/>
            <w:hideMark/>
          </w:tcPr>
          <w:p w14:paraId="7F839B9B"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0.90</w:t>
            </w:r>
          </w:p>
        </w:tc>
        <w:tc>
          <w:tcPr>
            <w:tcW w:w="446" w:type="dxa"/>
            <w:tcBorders>
              <w:top w:val="single" w:sz="4" w:space="0" w:color="000000"/>
              <w:bottom w:val="single" w:sz="12" w:space="0" w:color="000000"/>
            </w:tcBorders>
            <w:shd w:val="clear" w:color="auto" w:fill="auto"/>
            <w:vAlign w:val="center"/>
            <w:hideMark/>
          </w:tcPr>
          <w:p w14:paraId="76F5792C"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0.57</w:t>
            </w:r>
          </w:p>
        </w:tc>
        <w:tc>
          <w:tcPr>
            <w:tcW w:w="657" w:type="dxa"/>
            <w:gridSpan w:val="2"/>
            <w:tcBorders>
              <w:top w:val="single" w:sz="4" w:space="0" w:color="000000"/>
              <w:bottom w:val="single" w:sz="12" w:space="0" w:color="000000"/>
            </w:tcBorders>
            <w:shd w:val="clear" w:color="auto" w:fill="auto"/>
            <w:vAlign w:val="center"/>
            <w:hideMark/>
          </w:tcPr>
          <w:p w14:paraId="42369488" w14:textId="77777777" w:rsidR="002C4E80" w:rsidRPr="00A048D5" w:rsidRDefault="002C4E80" w:rsidP="00BB2445">
            <w:pPr>
              <w:spacing w:before="0" w:after="0" w:line="240" w:lineRule="auto"/>
              <w:ind w:firstLine="0"/>
              <w:jc w:val="center"/>
              <w:textAlignment w:val="bottom"/>
              <w:rPr>
                <w:rFonts w:eastAsia="Times New Roman"/>
                <w:bCs/>
                <w:sz w:val="18"/>
                <w:szCs w:val="18"/>
                <w:lang w:bidi="ar-SA"/>
              </w:rPr>
            </w:pPr>
            <w:r w:rsidRPr="00A048D5">
              <w:rPr>
                <w:rFonts w:eastAsia="Times New Roman"/>
                <w:bCs/>
                <w:color w:val="000000" w:themeColor="text1" w:themeShade="80"/>
                <w:kern w:val="24"/>
                <w:sz w:val="18"/>
                <w:szCs w:val="18"/>
                <w:lang w:bidi="ar-SA"/>
              </w:rPr>
              <w:t>0.90</w:t>
            </w:r>
          </w:p>
        </w:tc>
      </w:tr>
    </w:tbl>
    <w:p w14:paraId="16AD40B8" w14:textId="77777777" w:rsidR="002C4E80" w:rsidRPr="0008357B" w:rsidRDefault="002C4E80" w:rsidP="002C4E80">
      <w:pPr>
        <w:pStyle w:val="BodyText"/>
        <w:spacing w:before="120"/>
        <w:rPr>
          <w:rFonts w:eastAsia="Times New Roman"/>
          <w:sz w:val="16"/>
          <w:szCs w:val="16"/>
        </w:rPr>
      </w:pPr>
      <w:r w:rsidRPr="0008357B">
        <w:rPr>
          <w:rFonts w:eastAsia="Times New Roman"/>
          <w:sz w:val="16"/>
          <w:szCs w:val="16"/>
          <w:vertAlign w:val="superscript"/>
        </w:rPr>
        <w:t>*</w:t>
      </w:r>
      <w:r>
        <w:rPr>
          <w:rFonts w:eastAsia="Times New Roman"/>
          <w:sz w:val="16"/>
          <w:szCs w:val="16"/>
        </w:rPr>
        <w:t>R</w:t>
      </w:r>
      <w:r w:rsidRPr="0008357B">
        <w:rPr>
          <w:rFonts w:eastAsia="Times New Roman"/>
          <w:sz w:val="16"/>
          <w:szCs w:val="16"/>
        </w:rPr>
        <w:t>oot mean square error (RMSE)</w:t>
      </w:r>
    </w:p>
    <w:p w14:paraId="1AB4A16A" w14:textId="77777777" w:rsidR="0008357B" w:rsidRPr="004856AD" w:rsidRDefault="0008357B" w:rsidP="00346639">
      <w:pPr>
        <w:pStyle w:val="Heading3"/>
      </w:pPr>
      <w:bookmarkStart w:id="175" w:name="_Ref425756808"/>
      <w:bookmarkStart w:id="176" w:name="_Toc113380785"/>
      <w:bookmarkStart w:id="177" w:name="_Toc72532835"/>
      <w:r w:rsidRPr="004856AD">
        <w:t>Model Limitation</w:t>
      </w:r>
      <w:bookmarkEnd w:id="175"/>
      <w:r>
        <w:t>s</w:t>
      </w:r>
      <w:bookmarkEnd w:id="176"/>
    </w:p>
    <w:p w14:paraId="1EA120EC" w14:textId="57C2EC4E" w:rsidR="0008357B" w:rsidRPr="00607479" w:rsidRDefault="0008357B" w:rsidP="0008357B">
      <w:pPr>
        <w:pStyle w:val="Heading4"/>
      </w:pPr>
      <w:r w:rsidRPr="00607479">
        <w:t>WRES</w:t>
      </w:r>
    </w:p>
    <w:p w14:paraId="2678C72A" w14:textId="6F8E4C69" w:rsidR="0008357B" w:rsidRDefault="0008357B" w:rsidP="00C82290">
      <w:pPr>
        <w:pStyle w:val="BodyText"/>
      </w:pPr>
      <w:r>
        <w:t>Although</w:t>
      </w:r>
      <w:r w:rsidRPr="6BAFB4ED">
        <w:t xml:space="preserve"> WRES may reasonably simulate monthly hydropower generation for a majority of federal hydropower systems, it is a lumped model with more restrictions than reservoir-based models. To avoid confusion with the conventional reservoir-based models, WRES limitations are summarized </w:t>
      </w:r>
      <w:r w:rsidR="00AD06E7">
        <w:t>as follows</w:t>
      </w:r>
      <w:r w:rsidRPr="6BAFB4ED">
        <w:t>:</w:t>
      </w:r>
      <w:r w:rsidR="00C82290">
        <w:t xml:space="preserve"> </w:t>
      </w:r>
    </w:p>
    <w:p w14:paraId="027D7067" w14:textId="25FB7CFA" w:rsidR="0008357B" w:rsidRDefault="0008357B" w:rsidP="00C82290">
      <w:pPr>
        <w:pStyle w:val="BulletListspace"/>
        <w:rPr>
          <w:rFonts w:eastAsia="Times New Roman"/>
          <w:szCs w:val="24"/>
        </w:rPr>
      </w:pPr>
      <w:r w:rsidRPr="6BAFB4ED">
        <w:t xml:space="preserve">WRES is a generalized model designed to simulate regional hydropower generation (and the corresponding watershed storage variation) </w:t>
      </w:r>
      <w:r>
        <w:t>from</w:t>
      </w:r>
      <w:r w:rsidRPr="6BAFB4ED">
        <w:t xml:space="preserve"> various federal hydropower study areas with mini</w:t>
      </w:r>
      <w:r>
        <w:t>mal</w:t>
      </w:r>
      <w:r w:rsidRPr="6BAFB4ED">
        <w:t xml:space="preserve"> meteorological and </w:t>
      </w:r>
      <w:r w:rsidR="00C01F68">
        <w:t>hydrologic</w:t>
      </w:r>
      <w:r w:rsidRPr="6BAFB4ED">
        <w:t xml:space="preserve"> inputs. Most of the reservoir-specific aspects</w:t>
      </w:r>
      <w:r>
        <w:t>,</w:t>
      </w:r>
      <w:r w:rsidRPr="6BAFB4ED">
        <w:t xml:space="preserve"> such as operational constraints, competing water demand, flood risk management, ecosystem services, and reservoir sedimentation</w:t>
      </w:r>
      <w:r>
        <w:t>,</w:t>
      </w:r>
      <w:r w:rsidRPr="6BAFB4ED">
        <w:t xml:space="preserve"> cannot be addressed in WRES.</w:t>
      </w:r>
    </w:p>
    <w:bookmarkEnd w:id="177"/>
    <w:p w14:paraId="16195C70" w14:textId="37F7FC35" w:rsidR="00607479" w:rsidRDefault="000E67DD" w:rsidP="00C82290">
      <w:pPr>
        <w:pStyle w:val="BulletListspace"/>
        <w:rPr>
          <w:rFonts w:eastAsia="Times New Roman"/>
          <w:szCs w:val="24"/>
        </w:rPr>
      </w:pPr>
      <w:r>
        <w:t>Although</w:t>
      </w:r>
      <w:r w:rsidR="00607479" w:rsidRPr="6BAFB4ED">
        <w:t xml:space="preserve"> WRES does not require reservoir parameters, it requires </w:t>
      </w:r>
      <w:r w:rsidR="006A2CF1">
        <w:t xml:space="preserve">a </w:t>
      </w:r>
      <w:r w:rsidR="00607479" w:rsidRPr="6BAFB4ED">
        <w:t>complete, long-term, accurate observation of precipitation, runoff, and generation. For areas with insufficient and less accurate precipitation and runoff records (e.g., WAPA-5), WRES performance is poor.</w:t>
      </w:r>
    </w:p>
    <w:p w14:paraId="65FBEF94" w14:textId="103F3F63" w:rsidR="00607479" w:rsidRDefault="00607479" w:rsidP="00C82290">
      <w:pPr>
        <w:pStyle w:val="BulletListspace"/>
        <w:rPr>
          <w:rFonts w:eastAsia="Times New Roman"/>
          <w:szCs w:val="24"/>
        </w:rPr>
      </w:pPr>
      <w:r w:rsidRPr="6BAFB4ED">
        <w:t xml:space="preserve">In the current WRES application, multivariate regression is used to generate an initial </w:t>
      </w:r>
      <w:r w:rsidR="00E06527">
        <w:t xml:space="preserve">estimate </w:t>
      </w:r>
      <w:r w:rsidRPr="6BAFB4ED">
        <w:t xml:space="preserve">of monthly generation prediction under the implicit assumption that this statistical relationship will not change significantly in the future hydro-climate conditions. This modeling component can be further improved </w:t>
      </w:r>
      <w:r w:rsidR="00AB56BA">
        <w:t>by</w:t>
      </w:r>
      <w:r w:rsidRPr="6BAFB4ED">
        <w:t xml:space="preserve"> includ</w:t>
      </w:r>
      <w:r w:rsidR="00AB56BA">
        <w:t>ing</w:t>
      </w:r>
      <w:r w:rsidRPr="6BAFB4ED">
        <w:t xml:space="preserve"> more non</w:t>
      </w:r>
      <w:r w:rsidR="00B96BBB">
        <w:t>linear</w:t>
      </w:r>
      <w:r w:rsidRPr="6BAFB4ED">
        <w:t xml:space="preserve"> operational conditions</w:t>
      </w:r>
      <w:r w:rsidR="00B96BBB">
        <w:t xml:space="preserve"> or using machine learning</w:t>
      </w:r>
      <w:r w:rsidR="001155D3">
        <w:t xml:space="preserve"> techniques</w:t>
      </w:r>
      <w:r w:rsidRPr="6BAFB4ED">
        <w:t>.</w:t>
      </w:r>
    </w:p>
    <w:p w14:paraId="0D22F821" w14:textId="6645E4EA" w:rsidR="00607479" w:rsidRDefault="00E956E3" w:rsidP="00C82290">
      <w:pPr>
        <w:pStyle w:val="BulletListspace"/>
        <w:rPr>
          <w:rFonts w:eastAsia="Times New Roman"/>
          <w:szCs w:val="24"/>
        </w:rPr>
      </w:pPr>
      <w:r>
        <w:t>Although</w:t>
      </w:r>
      <w:r w:rsidR="00607479" w:rsidRPr="6BAFB4ED">
        <w:t xml:space="preserve"> a conceptual watershed runoff storage variable is introduced in WRES, it should not be confused with the actual reservoir storage in the study area. Nevertheless, the watershed runoff storage variable does show correlation to the overall wetness/dryness in the system. Taking SWPA-2 as an example, both hydropower generation and watershed runoff storage are at </w:t>
      </w:r>
      <w:r w:rsidR="006A2CF1">
        <w:t xml:space="preserve">a </w:t>
      </w:r>
      <w:r w:rsidR="00607479" w:rsidRPr="6BAFB4ED">
        <w:t>minimum during the 2006 drought.</w:t>
      </w:r>
    </w:p>
    <w:p w14:paraId="1195CB07" w14:textId="68D3F36C" w:rsidR="00607479" w:rsidRDefault="00607479" w:rsidP="00C82290">
      <w:pPr>
        <w:pStyle w:val="BulletListspace"/>
        <w:rPr>
          <w:rFonts w:eastAsia="Times New Roman"/>
          <w:szCs w:val="24"/>
        </w:rPr>
      </w:pPr>
      <w:r w:rsidRPr="6BAFB4ED">
        <w:t xml:space="preserve">While it is assumed that the monthly runoff and generation can be converted through a simplified relationship (Eq. </w:t>
      </w:r>
      <w:r w:rsidR="001D1230">
        <w:t>[</w:t>
      </w:r>
      <w:r w:rsidRPr="6BAFB4ED">
        <w:t>2.6</w:t>
      </w:r>
      <w:r w:rsidR="001D1230">
        <w:t>]</w:t>
      </w:r>
      <w:r w:rsidRPr="6BAFB4ED">
        <w:t>), based on previous experience (Sale et al.</w:t>
      </w:r>
      <w:r w:rsidR="00DC2640">
        <w:t>,</w:t>
      </w:r>
      <w:r w:rsidRPr="6BAFB4ED">
        <w:t xml:space="preserve"> 2012), such a relationship can be more complicated at </w:t>
      </w:r>
      <w:r w:rsidR="006A2CF1">
        <w:t xml:space="preserve">a </w:t>
      </w:r>
      <w:r w:rsidRPr="6BAFB4ED">
        <w:t xml:space="preserve">finer temporal resolution. </w:t>
      </w:r>
      <w:r w:rsidR="001D1230">
        <w:t>H</w:t>
      </w:r>
      <w:r w:rsidRPr="6BAFB4ED">
        <w:t xml:space="preserve">ydropower is jointly controlled by both head and </w:t>
      </w:r>
      <w:r w:rsidRPr="6BAFB4ED">
        <w:lastRenderedPageBreak/>
        <w:t xml:space="preserve">flow, so the linear relationship will only hold at coarser temporal scales and/or when the head variation is small (i.e., </w:t>
      </w:r>
      <w:r w:rsidR="006D2B96">
        <w:t>ROR</w:t>
      </w:r>
      <w:r w:rsidRPr="6BAFB4ED">
        <w:t xml:space="preserve"> hydropower plants).</w:t>
      </w:r>
    </w:p>
    <w:p w14:paraId="3A9A987F" w14:textId="4A5FF820" w:rsidR="00607479" w:rsidRDefault="00607479" w:rsidP="00C82290">
      <w:pPr>
        <w:pStyle w:val="BulletListspace"/>
      </w:pPr>
      <w:r w:rsidRPr="6BAFB4ED">
        <w:t xml:space="preserve">Given that the reservoir operation cannot be adjusted in WRES, the future hydropower and runoff storage projections made by WRES correspond to the current-day operation. The </w:t>
      </w:r>
      <w:r w:rsidR="00DC2640">
        <w:t xml:space="preserve">actual </w:t>
      </w:r>
      <w:r w:rsidRPr="6BAFB4ED">
        <w:t xml:space="preserve">system should be able to accommodate flexibilities to extreme climate conditions with further adjustment to the reservoir operation. This operational flexibility can only be examined through site-specific models and </w:t>
      </w:r>
      <w:r w:rsidR="00E06527">
        <w:t xml:space="preserve">was </w:t>
      </w:r>
      <w:r w:rsidRPr="6BAFB4ED">
        <w:t>not examined in this study.</w:t>
      </w:r>
    </w:p>
    <w:p w14:paraId="5FAC117F" w14:textId="5EBEAE08" w:rsidR="004801B8" w:rsidRPr="00607479" w:rsidRDefault="004801B8" w:rsidP="000E4792">
      <w:pPr>
        <w:pStyle w:val="Heading4"/>
      </w:pPr>
      <w:r w:rsidRPr="00607479">
        <w:t>WMP</w:t>
      </w:r>
    </w:p>
    <w:p w14:paraId="67283137" w14:textId="08095998" w:rsidR="004801B8" w:rsidRDefault="4AA7083E" w:rsidP="4AA7083E">
      <w:pPr>
        <w:pStyle w:val="BodyText"/>
        <w:rPr>
          <w:rFonts w:eastAsia="Times New Roman"/>
        </w:rPr>
      </w:pPr>
      <w:r>
        <w:t xml:space="preserve">WMP is a process-based </w:t>
      </w:r>
      <w:r w:rsidR="00533D84">
        <w:t>PM</w:t>
      </w:r>
      <w:r>
        <w:t xml:space="preserve"> that relies on a large-scale, spatially distributed </w:t>
      </w:r>
      <w:r w:rsidR="00E5627F">
        <w:t>river-</w:t>
      </w:r>
      <w:r>
        <w:t xml:space="preserve">routing model, estimated sectoral and spatially distributed water demand, and generic operating rules scaled to individual reservoirs. These rules are scaled based on storage capacity, long-term mean monthly inflow and demand, and operating use. The model differs from operational process-based reservoir models that have detailed operating rules and coordinate operations between reservoirs across the entire water system. </w:t>
      </w:r>
      <w:r w:rsidRPr="4AA7083E">
        <w:rPr>
          <w:rFonts w:eastAsia="Times New Roman"/>
        </w:rPr>
        <w:t xml:space="preserve">To avoid confusion with the conventional reservoir-based models, WMP limitations are summarized </w:t>
      </w:r>
      <w:r w:rsidR="00AD06E7">
        <w:rPr>
          <w:rFonts w:eastAsia="Times New Roman"/>
        </w:rPr>
        <w:t>as follows:</w:t>
      </w:r>
    </w:p>
    <w:p w14:paraId="0BF50365" w14:textId="558F3B3A" w:rsidR="004801B8" w:rsidRDefault="004648CA" w:rsidP="00093CC9">
      <w:pPr>
        <w:pStyle w:val="BulletListspace"/>
      </w:pPr>
      <w:r>
        <w:t xml:space="preserve">WMP should not be treated as a site-specific PM. Although MOSART-WM, the river routing reservoir operation component of WMP, considers information from each simulated dam (e.g., dam functionality, minimum and maximum storage, nameplate capacity, minimum environmental flow, spill and penstock distribution), the daily operations do not reflect the complex multi-objective rules applied in an operational setting (e.g., coordination for flood control, cascade system, operating agreements, conservation plans, shortage reductions, minimum power pool impacts, flex spill, navigation rules, lack-of-market spill, fish passage). The operating rules are generic and provide a reasonable redistribution of water resources in space and time through the water system. </w:t>
      </w:r>
      <w:r w:rsidR="00E06527">
        <w:t xml:space="preserve">Efforts are being made </w:t>
      </w:r>
      <w:r>
        <w:t>to enhance the reservoir operations using data-driven operating rules with weekly time scale storage and release targets (Turner et al. 2020).</w:t>
      </w:r>
      <w:r w:rsidR="00493BCA">
        <w:t xml:space="preserve"> </w:t>
      </w:r>
      <w:r>
        <w:t>In this study, the WMP operating rules were calibrated based on the historical baseline inflow and maintained throughout the simulations. This means that the WMP operations were not updated using projected future streamflow for hydropower generation in the near-term and mid-term future periods nor future water demand projections and priority in water uses and water supply allocations. Future work could explore incorporating uncertainty in model parameters throughout the modeling chain. In addition, the hydropower operations are presently driven by water availability and reservoir operating purposes. The modeling framework does not represent complex daily operations and specifically day-ahead electricity prices and utility</w:t>
      </w:r>
      <w:r w:rsidR="00805545">
        <w:t>’</w:t>
      </w:r>
      <w:r>
        <w:t>s net load in the daily hydropower scheduling. In the future, information about hourly net load, electricity prices</w:t>
      </w:r>
      <w:r w:rsidR="00E06527">
        <w:t>,</w:t>
      </w:r>
      <w:r>
        <w:t xml:space="preserve"> and other ancillary power grid services would be needed to more accurately represent hydropower operations.</w:t>
      </w:r>
    </w:p>
    <w:p w14:paraId="18F20326" w14:textId="67633A3D" w:rsidR="004801B8" w:rsidRDefault="4AA7083E" w:rsidP="00093CC9">
      <w:pPr>
        <w:pStyle w:val="BulletListspace"/>
      </w:pPr>
      <w:r>
        <w:t xml:space="preserve">WMP uses </w:t>
      </w:r>
      <w:r w:rsidR="008A25D9">
        <w:t>several</w:t>
      </w:r>
      <w:r>
        <w:t xml:space="preserve"> assumptions to represent regional hydropower operations and generation. For hydraulic head estimation, the assumed shape of the reservoir was a simple tetrahedron, </w:t>
      </w:r>
      <w:r w:rsidR="008A25D9">
        <w:t xml:space="preserve">whereas </w:t>
      </w:r>
      <w:r>
        <w:t xml:space="preserve">each reservoir has a unique volume-head relationship. Generation is also constrained by ecological spill requirements and penstock capacities. </w:t>
      </w:r>
      <w:r w:rsidR="00A11C70">
        <w:t>Because</w:t>
      </w:r>
      <w:r>
        <w:t xml:space="preserve"> future</w:t>
      </w:r>
      <w:r w:rsidR="003D7209">
        <w:t>/</w:t>
      </w:r>
      <w:r>
        <w:t xml:space="preserve">potential applications </w:t>
      </w:r>
      <w:r w:rsidR="003D7209">
        <w:t xml:space="preserve">could </w:t>
      </w:r>
      <w:r>
        <w:t xml:space="preserve">power system models, the WMP regional hydropower was calibrated to represent potential generation and not actual generation. </w:t>
      </w:r>
      <w:r w:rsidR="003D7209">
        <w:t>This</w:t>
      </w:r>
      <w:r>
        <w:t xml:space="preserve"> means that the regional hydropower was calibrated with respect to EIA-reported actual generation </w:t>
      </w:r>
      <w:r w:rsidR="003D7209">
        <w:t>and</w:t>
      </w:r>
      <w:r>
        <w:t xml:space="preserve"> complemented with a 4% operating reserve. </w:t>
      </w:r>
      <w:r w:rsidR="003D7209">
        <w:t>Although</w:t>
      </w:r>
      <w:r>
        <w:t xml:space="preserve"> this is consistent with typical power system operations, this number varies by region, season, regional generation portfolio, and operating reserve market.</w:t>
      </w:r>
    </w:p>
    <w:p w14:paraId="479B577F" w14:textId="4CA0C3B7" w:rsidR="00A3436D" w:rsidRDefault="4AA7083E" w:rsidP="00093CC9">
      <w:pPr>
        <w:pStyle w:val="BulletListspace"/>
        <w:rPr>
          <w:lang w:eastAsia="zh-TW"/>
        </w:rPr>
      </w:pPr>
      <w:r>
        <w:t xml:space="preserve">Uncertainties inherited from the integrated hydro-meteorological modeling can prevent WMP from having reasonable operations </w:t>
      </w:r>
      <w:r w:rsidR="003D7209">
        <w:t>(</w:t>
      </w:r>
      <w:r>
        <w:t>e.g., for substantial positive or negative biases</w:t>
      </w:r>
      <w:r w:rsidR="003D7209">
        <w:t>)</w:t>
      </w:r>
      <w:r>
        <w:t xml:space="preserve">. The WMP hydropower </w:t>
      </w:r>
      <w:r>
        <w:lastRenderedPageBreak/>
        <w:t>generation is essentially driven by water availability. Part of the two-step calibration process aims to alleviate hydrology</w:t>
      </w:r>
      <w:r w:rsidR="003D7209">
        <w:t xml:space="preserve"> </w:t>
      </w:r>
      <w:r>
        <w:t>simulation</w:t>
      </w:r>
      <w:r w:rsidR="003D7209">
        <w:t>–</w:t>
      </w:r>
      <w:r>
        <w:t>driven uncertainties. For areas with insufficient and less accurate precipitation and runoff records (e.g., WAPA-5), WMP performance is also poor.</w:t>
      </w:r>
    </w:p>
    <w:p w14:paraId="4E8121BD" w14:textId="77777777" w:rsidR="002C4E80" w:rsidRDefault="002C4E80" w:rsidP="002C4E80">
      <w:pPr>
        <w:pStyle w:val="BulletListspace"/>
        <w:numPr>
          <w:ilvl w:val="0"/>
          <w:numId w:val="0"/>
        </w:numPr>
        <w:rPr>
          <w:lang w:eastAsia="zh-TW"/>
        </w:rPr>
      </w:pPr>
    </w:p>
    <w:p w14:paraId="3377386B" w14:textId="616CEEB9" w:rsidR="00AC34B9" w:rsidRPr="006D08C0" w:rsidRDefault="00AC34B9" w:rsidP="00AD0C1C">
      <w:pPr>
        <w:pStyle w:val="Heading2"/>
      </w:pPr>
      <w:bookmarkStart w:id="178" w:name="_Toc82442012"/>
      <w:bookmarkStart w:id="179" w:name="_Toc82676052"/>
      <w:bookmarkStart w:id="180" w:name="_Toc82699442"/>
      <w:bookmarkStart w:id="181" w:name="_Ref72487042"/>
      <w:bookmarkStart w:id="182" w:name="_Ref74120757"/>
      <w:bookmarkStart w:id="183" w:name="_Ref75936492"/>
      <w:bookmarkStart w:id="184" w:name="_Toc113380786"/>
      <w:bookmarkEnd w:id="178"/>
      <w:bookmarkEnd w:id="179"/>
      <w:bookmarkEnd w:id="180"/>
      <w:r>
        <w:t>Reservoir Evaporation</w:t>
      </w:r>
      <w:bookmarkEnd w:id="181"/>
      <w:bookmarkEnd w:id="182"/>
      <w:bookmarkEnd w:id="183"/>
      <w:bookmarkEnd w:id="184"/>
    </w:p>
    <w:p w14:paraId="38C2512F" w14:textId="59F60805" w:rsidR="005F116F" w:rsidRPr="005A1CA6" w:rsidRDefault="005F116F" w:rsidP="005F116F">
      <w:pPr>
        <w:pStyle w:val="BodyText"/>
        <w:rPr>
          <w:iCs/>
        </w:rPr>
      </w:pPr>
      <w:bookmarkStart w:id="185" w:name="_Ref76014090"/>
      <w:r w:rsidRPr="00483D58">
        <w:rPr>
          <w:lang w:eastAsia="zh-TW"/>
        </w:rPr>
        <w:t xml:space="preserve">A large amount of water can evaporate from the </w:t>
      </w:r>
      <w:r w:rsidR="00832FED" w:rsidRPr="00483D58">
        <w:rPr>
          <w:lang w:eastAsia="zh-TW"/>
        </w:rPr>
        <w:t>open</w:t>
      </w:r>
      <w:r w:rsidR="00832FED">
        <w:rPr>
          <w:lang w:eastAsia="zh-TW"/>
        </w:rPr>
        <w:t>-</w:t>
      </w:r>
      <w:r w:rsidRPr="00483D58">
        <w:rPr>
          <w:lang w:eastAsia="zh-TW"/>
        </w:rPr>
        <w:t xml:space="preserve">water surfaces of reservoirs, especially in arid/semi-arid regions (Friedrich et al., 2018). Zhao </w:t>
      </w:r>
      <w:r>
        <w:rPr>
          <w:lang w:eastAsia="zh-TW"/>
        </w:rPr>
        <w:t xml:space="preserve">and Gao </w:t>
      </w:r>
      <w:r w:rsidRPr="00483D58">
        <w:rPr>
          <w:lang w:eastAsia="zh-TW"/>
        </w:rPr>
        <w:t>(2019) estimated that the average annual evaporation volume (</w:t>
      </w:r>
      <w:r w:rsidR="00A65F89">
        <w:rPr>
          <w:lang w:eastAsia="zh-TW"/>
        </w:rPr>
        <w:t xml:space="preserve">gleaned from </w:t>
      </w:r>
      <w:r w:rsidRPr="00483D58">
        <w:rPr>
          <w:lang w:eastAsia="zh-TW"/>
        </w:rPr>
        <w:t>1984</w:t>
      </w:r>
      <w:r>
        <w:rPr>
          <w:lang w:eastAsia="zh-TW"/>
        </w:rPr>
        <w:t>–</w:t>
      </w:r>
      <w:r w:rsidRPr="00483D58">
        <w:rPr>
          <w:lang w:eastAsia="zh-TW"/>
        </w:rPr>
        <w:t xml:space="preserve">2015) over 721 major </w:t>
      </w:r>
      <w:r>
        <w:rPr>
          <w:lang w:eastAsia="zh-TW"/>
        </w:rPr>
        <w:t>US</w:t>
      </w:r>
      <w:r w:rsidRPr="00483D58">
        <w:rPr>
          <w:lang w:eastAsia="zh-TW"/>
        </w:rPr>
        <w:t xml:space="preserve"> reservoirs is 33.73 × 10</w:t>
      </w:r>
      <w:r w:rsidRPr="00483D58">
        <w:rPr>
          <w:vertAlign w:val="superscript"/>
          <w:lang w:eastAsia="zh-TW"/>
        </w:rPr>
        <w:t>9</w:t>
      </w:r>
      <w:r w:rsidRPr="00483D58">
        <w:rPr>
          <w:lang w:eastAsia="zh-TW"/>
        </w:rPr>
        <w:t xml:space="preserve"> m</w:t>
      </w:r>
      <w:r w:rsidRPr="00483D58">
        <w:rPr>
          <w:vertAlign w:val="superscript"/>
          <w:lang w:eastAsia="zh-TW"/>
        </w:rPr>
        <w:t>3</w:t>
      </w:r>
      <w:r w:rsidRPr="00483D58">
        <w:rPr>
          <w:lang w:eastAsia="zh-TW"/>
        </w:rPr>
        <w:t xml:space="preserve">, which is equivalent to </w:t>
      </w:r>
      <w:r>
        <w:rPr>
          <w:lang w:eastAsia="zh-TW"/>
        </w:rPr>
        <w:t>4.9</w:t>
      </w:r>
      <w:r w:rsidRPr="00483D58">
        <w:rPr>
          <w:lang w:eastAsia="zh-TW"/>
        </w:rPr>
        <w:t xml:space="preserve">% of the </w:t>
      </w:r>
      <w:r>
        <w:rPr>
          <w:lang w:eastAsia="zh-TW"/>
        </w:rPr>
        <w:t>total storage capacity of these reservoirs</w:t>
      </w:r>
      <w:r w:rsidRPr="00483D58">
        <w:rPr>
          <w:lang w:eastAsia="zh-TW"/>
        </w:rPr>
        <w:t xml:space="preserve">. Under a warming environment, both the evaporation rate and evaporation volume are expected to increase, exacerbating the stresses brought on by limited water resources. Zhao et al. (2021) found that the average evaporation rate of 143 </w:t>
      </w:r>
      <w:r>
        <w:rPr>
          <w:lang w:eastAsia="zh-TW"/>
        </w:rPr>
        <w:t>US</w:t>
      </w:r>
      <w:r w:rsidRPr="00483D58">
        <w:rPr>
          <w:lang w:eastAsia="zh-TW"/>
        </w:rPr>
        <w:t xml:space="preserve"> reservoirs will increase by 15.7% </w:t>
      </w:r>
      <w:r w:rsidR="00110A4A">
        <w:rPr>
          <w:lang w:eastAsia="zh-TW"/>
        </w:rPr>
        <w:t xml:space="preserve">from </w:t>
      </w:r>
      <w:r w:rsidRPr="00483D58">
        <w:rPr>
          <w:lang w:eastAsia="zh-TW"/>
        </w:rPr>
        <w:t>2070</w:t>
      </w:r>
      <w:r w:rsidR="00110A4A">
        <w:rPr>
          <w:lang w:eastAsia="zh-TW"/>
        </w:rPr>
        <w:t xml:space="preserve"> to </w:t>
      </w:r>
      <w:r w:rsidRPr="00483D58">
        <w:rPr>
          <w:lang w:eastAsia="zh-TW"/>
        </w:rPr>
        <w:t xml:space="preserve">2099 (compared </w:t>
      </w:r>
      <w:r w:rsidR="00EA32DC">
        <w:t>with</w:t>
      </w:r>
      <w:r w:rsidRPr="00483D58">
        <w:rPr>
          <w:lang w:eastAsia="zh-TW"/>
        </w:rPr>
        <w:t xml:space="preserve"> 1985</w:t>
      </w:r>
      <w:r>
        <w:rPr>
          <w:lang w:eastAsia="zh-TW"/>
        </w:rPr>
        <w:t>–</w:t>
      </w:r>
      <w:r w:rsidRPr="00483D58">
        <w:rPr>
          <w:lang w:eastAsia="zh-TW"/>
        </w:rPr>
        <w:t xml:space="preserve">2014) under the RCP8.5 </w:t>
      </w:r>
      <w:r>
        <w:rPr>
          <w:lang w:eastAsia="zh-TW"/>
        </w:rPr>
        <w:t xml:space="preserve">emission </w:t>
      </w:r>
      <w:r w:rsidRPr="00483D58">
        <w:rPr>
          <w:lang w:eastAsia="zh-TW"/>
        </w:rPr>
        <w:t xml:space="preserve">scenario. Similarly, Wang </w:t>
      </w:r>
      <w:r>
        <w:rPr>
          <w:lang w:eastAsia="zh-TW"/>
        </w:rPr>
        <w:t xml:space="preserve">et al. </w:t>
      </w:r>
      <w:r w:rsidRPr="00483D58">
        <w:rPr>
          <w:lang w:eastAsia="zh-TW"/>
        </w:rPr>
        <w:t xml:space="preserve">(2018) estimated that the global lake evaporation rate will </w:t>
      </w:r>
      <w:r>
        <w:rPr>
          <w:lang w:eastAsia="zh-TW"/>
        </w:rPr>
        <w:t>increase</w:t>
      </w:r>
      <w:r w:rsidRPr="00483D58">
        <w:rPr>
          <w:lang w:eastAsia="zh-TW"/>
        </w:rPr>
        <w:t xml:space="preserve"> 16% by the end of the </w:t>
      </w:r>
      <w:r w:rsidR="00FA458A">
        <w:rPr>
          <w:lang w:eastAsia="zh-TW"/>
        </w:rPr>
        <w:t xml:space="preserve">twenty-first </w:t>
      </w:r>
      <w:r w:rsidRPr="00483D58">
        <w:rPr>
          <w:lang w:eastAsia="zh-TW"/>
        </w:rPr>
        <w:t xml:space="preserve">century. Therefore, it is essential to project future long-term reservoir evaporation loss to </w:t>
      </w:r>
      <w:r>
        <w:rPr>
          <w:lang w:eastAsia="zh-TW"/>
        </w:rPr>
        <w:t>help inform</w:t>
      </w:r>
      <w:r w:rsidRPr="00483D58">
        <w:rPr>
          <w:lang w:eastAsia="zh-TW"/>
        </w:rPr>
        <w:t xml:space="preserve"> </w:t>
      </w:r>
      <w:r w:rsidR="00BF71A3" w:rsidRPr="00483D58">
        <w:rPr>
          <w:lang w:eastAsia="zh-TW"/>
        </w:rPr>
        <w:t>water</w:t>
      </w:r>
      <w:r w:rsidR="00BF71A3">
        <w:rPr>
          <w:lang w:eastAsia="zh-TW"/>
        </w:rPr>
        <w:t>-</w:t>
      </w:r>
      <w:r w:rsidRPr="00483D58">
        <w:rPr>
          <w:lang w:eastAsia="zh-TW"/>
        </w:rPr>
        <w:t>resource management practices (</w:t>
      </w:r>
      <w:r w:rsidR="00BF71A3">
        <w:rPr>
          <w:lang w:eastAsia="zh-TW"/>
        </w:rPr>
        <w:t>e.g.,</w:t>
      </w:r>
      <w:r w:rsidRPr="00483D58">
        <w:rPr>
          <w:lang w:eastAsia="zh-TW"/>
        </w:rPr>
        <w:t xml:space="preserve"> reservoir operations, </w:t>
      </w:r>
      <w:r>
        <w:rPr>
          <w:lang w:eastAsia="zh-TW"/>
        </w:rPr>
        <w:t>hydropower generation</w:t>
      </w:r>
      <w:r w:rsidRPr="00483D58">
        <w:rPr>
          <w:lang w:eastAsia="zh-TW"/>
        </w:rPr>
        <w:t>).</w:t>
      </w:r>
    </w:p>
    <w:p w14:paraId="72C64E0E" w14:textId="1FA5AA7F" w:rsidR="00AC34B9" w:rsidRPr="006D08C0" w:rsidRDefault="00FB1613" w:rsidP="00AC34B9">
      <w:pPr>
        <w:pStyle w:val="Heading3"/>
      </w:pPr>
      <w:bookmarkStart w:id="186" w:name="_Ref81828868"/>
      <w:bookmarkStart w:id="187" w:name="_Toc113380787"/>
      <w:r>
        <w:t>Approach</w:t>
      </w:r>
      <w:bookmarkEnd w:id="185"/>
      <w:bookmarkEnd w:id="186"/>
      <w:bookmarkEnd w:id="187"/>
    </w:p>
    <w:p w14:paraId="7584BA39" w14:textId="385DFDC8" w:rsidR="00D740AF" w:rsidRDefault="007416A0" w:rsidP="00D740AF">
      <w:pPr>
        <w:pStyle w:val="BodyText"/>
        <w:rPr>
          <w:lang w:eastAsia="zh-TW"/>
        </w:rPr>
      </w:pPr>
      <w:r>
        <w:rPr>
          <w:lang w:eastAsia="zh-TW"/>
        </w:rPr>
        <w:fldChar w:fldCharType="begin"/>
      </w:r>
      <w:r>
        <w:rPr>
          <w:lang w:eastAsia="zh-TW"/>
        </w:rPr>
        <w:instrText xml:space="preserve"> REF _Ref72831592 \h </w:instrText>
      </w:r>
      <w:r>
        <w:rPr>
          <w:lang w:eastAsia="zh-TW"/>
        </w:rPr>
      </w:r>
      <w:r>
        <w:rPr>
          <w:lang w:eastAsia="zh-TW"/>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19</w:t>
      </w:r>
      <w:r>
        <w:rPr>
          <w:lang w:eastAsia="zh-TW"/>
        </w:rPr>
        <w:fldChar w:fldCharType="end"/>
      </w:r>
      <w:r>
        <w:rPr>
          <w:lang w:eastAsia="zh-TW"/>
        </w:rPr>
        <w:t xml:space="preserve"> depicts the overall process framework </w:t>
      </w:r>
      <w:r w:rsidRPr="0016373C">
        <w:rPr>
          <w:lang w:eastAsia="zh-TW"/>
        </w:rPr>
        <w:t>for quantifying historical and future evaporation volume</w:t>
      </w:r>
      <w:r>
        <w:rPr>
          <w:lang w:eastAsia="zh-TW"/>
        </w:rPr>
        <w:t>s. The reservoir evaporation volume is the product of</w:t>
      </w:r>
      <w:r w:rsidRPr="001E58DB">
        <w:rPr>
          <w:lang w:eastAsia="zh-TW"/>
        </w:rPr>
        <w:t xml:space="preserve"> </w:t>
      </w:r>
      <w:r w:rsidR="009A3E09">
        <w:rPr>
          <w:lang w:eastAsia="zh-TW"/>
        </w:rPr>
        <w:t>the</w:t>
      </w:r>
      <w:r w:rsidRPr="001E58DB">
        <w:rPr>
          <w:lang w:eastAsia="zh-TW"/>
        </w:rPr>
        <w:t xml:space="preserve"> </w:t>
      </w:r>
      <w:r>
        <w:rPr>
          <w:lang w:eastAsia="zh-TW"/>
        </w:rPr>
        <w:t>reservoir</w:t>
      </w:r>
      <w:r w:rsidRPr="001E58DB">
        <w:rPr>
          <w:lang w:eastAsia="zh-TW"/>
        </w:rPr>
        <w:t xml:space="preserve"> evaporation rate and </w:t>
      </w:r>
      <w:r>
        <w:rPr>
          <w:lang w:eastAsia="zh-TW"/>
        </w:rPr>
        <w:t xml:space="preserve">surface </w:t>
      </w:r>
      <w:r w:rsidRPr="001E58DB">
        <w:rPr>
          <w:lang w:eastAsia="zh-TW"/>
        </w:rPr>
        <w:t>area.</w:t>
      </w:r>
      <w:r w:rsidR="00152EEA">
        <w:rPr>
          <w:lang w:eastAsia="zh-CN"/>
        </w:rPr>
        <w:t xml:space="preserve"> </w:t>
      </w:r>
      <w:r w:rsidR="00D740AF">
        <w:rPr>
          <w:lang w:eastAsia="zh-CN"/>
        </w:rPr>
        <w:t>For calculati</w:t>
      </w:r>
      <w:r w:rsidR="0026049F">
        <w:rPr>
          <w:lang w:eastAsia="zh-CN"/>
        </w:rPr>
        <w:t>ng</w:t>
      </w:r>
      <w:r w:rsidR="00D740AF">
        <w:rPr>
          <w:lang w:eastAsia="zh-CN"/>
        </w:rPr>
        <w:t xml:space="preserve"> </w:t>
      </w:r>
      <w:r w:rsidR="0026049F">
        <w:rPr>
          <w:lang w:eastAsia="zh-CN"/>
        </w:rPr>
        <w:t>a</w:t>
      </w:r>
      <w:r w:rsidR="00152EEA">
        <w:rPr>
          <w:lang w:eastAsia="zh-CN"/>
        </w:rPr>
        <w:t xml:space="preserve"> </w:t>
      </w:r>
      <w:r w:rsidR="00D740AF">
        <w:rPr>
          <w:lang w:eastAsia="zh-TW"/>
        </w:rPr>
        <w:t xml:space="preserve">lake evaporation rate, the </w:t>
      </w:r>
      <w:r w:rsidR="00674253">
        <w:t>Lake Evaporation Model</w:t>
      </w:r>
      <w:r w:rsidR="00D740AF">
        <w:rPr>
          <w:lang w:eastAsia="zh-TW"/>
        </w:rPr>
        <w:t xml:space="preserve"> (LEM</w:t>
      </w:r>
      <w:r w:rsidR="00AE2499">
        <w:rPr>
          <w:lang w:eastAsia="zh-TW"/>
        </w:rPr>
        <w:t xml:space="preserve">; </w:t>
      </w:r>
      <w:r w:rsidR="00D740AF">
        <w:rPr>
          <w:lang w:eastAsia="zh-TW"/>
        </w:rPr>
        <w:t xml:space="preserve">Zhao and Gao, 2019) </w:t>
      </w:r>
      <w:r w:rsidR="00110A4A">
        <w:rPr>
          <w:lang w:eastAsia="zh-TW"/>
        </w:rPr>
        <w:t xml:space="preserve">was </w:t>
      </w:r>
      <w:r w:rsidR="00D740AF">
        <w:rPr>
          <w:lang w:eastAsia="zh-TW"/>
        </w:rPr>
        <w:t xml:space="preserve">used. LEM is built upon the Penman equation (Penman, 1948) for </w:t>
      </w:r>
      <w:r w:rsidR="003368BD">
        <w:rPr>
          <w:lang w:eastAsia="zh-TW"/>
        </w:rPr>
        <w:t>open-</w:t>
      </w:r>
      <w:r w:rsidR="00D740AF">
        <w:rPr>
          <w:lang w:eastAsia="zh-TW"/>
        </w:rPr>
        <w:t>water evaporation estimation:</w:t>
      </w:r>
    </w:p>
    <w:p w14:paraId="2C5D4FF3" w14:textId="30F4D1B3" w:rsidR="00D740AF" w:rsidRPr="00F03D60" w:rsidRDefault="00945A5F" w:rsidP="00D740AF">
      <w:pPr>
        <w:spacing w:line="240" w:lineRule="auto"/>
        <w:ind w:left="720" w:firstLine="0"/>
        <w:rPr>
          <w:rFonts w:eastAsia="Calibri"/>
          <w:snapToGrid w:val="0"/>
          <w:szCs w:val="24"/>
          <w:lang w:eastAsia="zh-TW" w:bidi="ar-SA"/>
        </w:rPr>
      </w:pPr>
      <w:r>
        <w:rPr>
          <w:rFonts w:eastAsia="Calibri"/>
          <w:sz w:val="28"/>
          <w:szCs w:val="28"/>
        </w:rPr>
        <w:ptab w:relativeTo="margin" w:alignment="center" w:leader="none"/>
      </w:r>
      <m:oMath>
        <m:r>
          <w:rPr>
            <w:rFonts w:ascii="Cambria Math" w:hAnsi="Cambria Math" w:cstheme="majorHAnsi"/>
          </w:rPr>
          <m:t>E=</m:t>
        </m:r>
        <m:f>
          <m:fPr>
            <m:ctrlPr>
              <w:rPr>
                <w:rFonts w:ascii="Cambria Math" w:hAnsi="Cambria Math" w:cstheme="majorHAnsi"/>
                <w:i/>
              </w:rPr>
            </m:ctrlPr>
          </m:fPr>
          <m:num>
            <m:r>
              <w:rPr>
                <w:rFonts w:ascii="Cambria Math" w:hAnsi="Cambria Math" w:cstheme="majorHAnsi"/>
              </w:rPr>
              <m:t>s(</m:t>
            </m:r>
            <m:sSub>
              <m:sSubPr>
                <m:ctrlPr>
                  <w:rPr>
                    <w:rFonts w:ascii="Cambria Math" w:hAnsi="Cambria Math" w:cstheme="majorHAnsi"/>
                    <w:i/>
                  </w:rPr>
                </m:ctrlPr>
              </m:sSubPr>
              <m:e>
                <m:r>
                  <w:rPr>
                    <w:rFonts w:ascii="Cambria Math" w:hAnsi="Cambria Math" w:cstheme="majorHAnsi"/>
                  </w:rPr>
                  <m:t>R</m:t>
                </m:r>
              </m:e>
              <m:sub>
                <m:r>
                  <w:rPr>
                    <w:rFonts w:ascii="Cambria Math" w:hAnsi="Cambria Math" w:cstheme="majorHAnsi"/>
                  </w:rPr>
                  <m:t>n</m:t>
                </m:r>
              </m:sub>
            </m:sSub>
            <m:r>
              <w:rPr>
                <w:rFonts w:ascii="Cambria Math" w:hAnsi="Cambria Math" w:cstheme="majorHAnsi"/>
              </w:rPr>
              <m:t>-∆U)+γ∙f(u)</m:t>
            </m:r>
            <w:bookmarkStart w:id="188" w:name="OLE_LINK31"/>
            <w:bookmarkStart w:id="189" w:name="OLE_LINK32"/>
            <m:r>
              <w:rPr>
                <w:rFonts w:ascii="Cambria Math" w:hAnsi="Cambria Math" w:cstheme="majorHAnsi"/>
              </w:rPr>
              <m:t>∙</m:t>
            </m:r>
            <w:bookmarkEnd w:id="188"/>
            <w:bookmarkEnd w:id="189"/>
            <m:r>
              <w:rPr>
                <w:rFonts w:ascii="Cambria Math" w:hAnsi="Cambria Math" w:cstheme="majorHAnsi"/>
              </w:rPr>
              <m:t>(</m:t>
            </m:r>
            <m:sSub>
              <m:sSubPr>
                <m:ctrlPr>
                  <w:rPr>
                    <w:rFonts w:ascii="Cambria Math" w:hAnsi="Cambria Math" w:cstheme="majorHAnsi"/>
                    <w:i/>
                  </w:rPr>
                </m:ctrlPr>
              </m:sSubPr>
              <m:e>
                <m:r>
                  <w:rPr>
                    <w:rFonts w:ascii="Cambria Math" w:hAnsi="Cambria Math" w:cstheme="majorHAnsi"/>
                  </w:rPr>
                  <m:t>e</m:t>
                </m:r>
              </m:e>
              <m:sub>
                <m:r>
                  <w:rPr>
                    <w:rFonts w:ascii="Cambria Math" w:hAnsi="Cambria Math" w:cstheme="majorHAnsi"/>
                  </w:rPr>
                  <m:t>s</m:t>
                </m:r>
              </m:sub>
            </m:sSub>
            <m:r>
              <w:rPr>
                <w:rFonts w:ascii="Cambria Math" w:hAnsi="Cambria Math" w:cstheme="majorHAnsi"/>
              </w:rPr>
              <m:t>-</m:t>
            </m:r>
            <m:sSub>
              <m:sSubPr>
                <m:ctrlPr>
                  <w:rPr>
                    <w:rFonts w:ascii="Cambria Math" w:hAnsi="Cambria Math" w:cstheme="majorHAnsi"/>
                    <w:i/>
                  </w:rPr>
                </m:ctrlPr>
              </m:sSubPr>
              <m:e>
                <m:r>
                  <w:rPr>
                    <w:rFonts w:ascii="Cambria Math" w:hAnsi="Cambria Math" w:cstheme="majorHAnsi"/>
                  </w:rPr>
                  <m:t>e</m:t>
                </m:r>
              </m:e>
              <m:sub>
                <m:r>
                  <w:rPr>
                    <w:rFonts w:ascii="Cambria Math" w:hAnsi="Cambria Math" w:cstheme="majorHAnsi"/>
                  </w:rPr>
                  <m:t>a</m:t>
                </m:r>
              </m:sub>
            </m:sSub>
            <m:r>
              <w:rPr>
                <w:rFonts w:ascii="Cambria Math" w:hAnsi="Cambria Math" w:cstheme="majorHAnsi"/>
              </w:rPr>
              <m:t>)</m:t>
            </m:r>
          </m:num>
          <m:den>
            <m:sSub>
              <m:sSubPr>
                <m:ctrlPr>
                  <w:rPr>
                    <w:rFonts w:ascii="Cambria Math" w:hAnsi="Cambria Math" w:cstheme="majorHAnsi"/>
                    <w:i/>
                  </w:rPr>
                </m:ctrlPr>
              </m:sSubPr>
              <m:e>
                <m:r>
                  <w:rPr>
                    <w:rFonts w:ascii="Cambria Math" w:hAnsi="Cambria Math" w:cstheme="majorHAnsi"/>
                  </w:rPr>
                  <m:t>λ</m:t>
                </m:r>
              </m:e>
              <m:sub>
                <m:r>
                  <w:rPr>
                    <w:rFonts w:ascii="Cambria Math" w:hAnsi="Cambria Math" w:cstheme="majorHAnsi"/>
                  </w:rPr>
                  <m:t>v</m:t>
                </m:r>
              </m:sub>
            </m:sSub>
            <m:r>
              <w:rPr>
                <w:rFonts w:ascii="Cambria Math" w:hAnsi="Cambria Math" w:cstheme="majorHAnsi"/>
              </w:rPr>
              <m:t>∙(∆+γ)</m:t>
            </m:r>
          </m:den>
        </m:f>
      </m:oMath>
      <w:r w:rsidR="003368BD" w:rsidRPr="00AE2499">
        <w:rPr>
          <w:rFonts w:eastAsia="Calibri"/>
        </w:rPr>
        <w:t>,</w:t>
      </w:r>
      <w:r>
        <w:rPr>
          <w:rFonts w:eastAsia="Calibri"/>
          <w:sz w:val="28"/>
          <w:szCs w:val="28"/>
        </w:rPr>
        <w:ptab w:relativeTo="margin" w:alignment="right" w:leader="none"/>
      </w:r>
      <w:r w:rsidR="00D740AF" w:rsidRPr="00F03D60">
        <w:rPr>
          <w:rFonts w:eastAsia="Calibri"/>
          <w:szCs w:val="24"/>
        </w:rPr>
        <w:t>(</w:t>
      </w:r>
      <w:r w:rsidR="00D740AF">
        <w:rPr>
          <w:rFonts w:eastAsia="Calibri"/>
          <w:szCs w:val="24"/>
        </w:rPr>
        <w:t>2.</w:t>
      </w:r>
      <w:r w:rsidR="00D740AF" w:rsidRPr="00F03D60">
        <w:rPr>
          <w:rFonts w:eastAsia="Calibri"/>
          <w:szCs w:val="24"/>
        </w:rPr>
        <w:t>1</w:t>
      </w:r>
      <w:r w:rsidR="00D740AF">
        <w:rPr>
          <w:rFonts w:eastAsia="Calibri"/>
          <w:szCs w:val="24"/>
        </w:rPr>
        <w:t>4</w:t>
      </w:r>
      <w:r w:rsidR="00D740AF" w:rsidRPr="00F03D60">
        <w:rPr>
          <w:rFonts w:eastAsia="Calibri"/>
          <w:szCs w:val="24"/>
        </w:rPr>
        <w:t>)</w:t>
      </w:r>
    </w:p>
    <w:p w14:paraId="2545C0B7" w14:textId="162AF5AF" w:rsidR="00D740AF" w:rsidRDefault="00202969" w:rsidP="00152EEA">
      <w:pPr>
        <w:spacing w:before="0" w:line="240" w:lineRule="auto"/>
        <w:ind w:firstLine="0"/>
        <w:rPr>
          <w:rFonts w:eastAsia="Calibri"/>
          <w:snapToGrid w:val="0"/>
          <w:lang w:eastAsia="zh-CN" w:bidi="ar-SA"/>
        </w:rPr>
      </w:pPr>
      <w:r w:rsidRPr="003713DF">
        <w:rPr>
          <w:rFonts w:eastAsia="Calibri"/>
          <w:snapToGrid w:val="0"/>
          <w:lang w:eastAsia="zh-TW" w:bidi="ar-SA"/>
        </w:rPr>
        <w:t>where</w:t>
      </w:r>
      <w:r w:rsidRPr="003713DF">
        <w:rPr>
          <w:rFonts w:eastAsia="Calibri"/>
          <w:snapToGrid w:val="0"/>
          <w:lang w:eastAsia="zh-CN" w:bidi="ar-SA"/>
        </w:rPr>
        <w:t xml:space="preserve"> </w:t>
      </w:r>
      <m:oMath>
        <m:r>
          <w:rPr>
            <w:rFonts w:ascii="Cambria Math" w:eastAsia="Calibri" w:hAnsi="Cambria Math"/>
            <w:snapToGrid w:val="0"/>
            <w:lang w:eastAsia="zh-CN" w:bidi="ar-SA"/>
          </w:rPr>
          <m:t>E</m:t>
        </m:r>
      </m:oMath>
      <w:r w:rsidRPr="003713DF">
        <w:rPr>
          <w:rFonts w:eastAsia="Calibri"/>
          <w:snapToGrid w:val="0"/>
          <w:lang w:eastAsia="zh-CN" w:bidi="ar-SA"/>
        </w:rPr>
        <w:t xml:space="preserve"> is the open-water evaporation rate (mm·d</w:t>
      </w:r>
      <w:r w:rsidRPr="003713DF">
        <w:rPr>
          <w:rFonts w:eastAsia="Calibri"/>
          <w:snapToGrid w:val="0"/>
          <w:vertAlign w:val="superscript"/>
          <w:lang w:eastAsia="zh-CN" w:bidi="ar-SA"/>
        </w:rPr>
        <w:t>−1</w:t>
      </w:r>
      <w:r w:rsidRPr="003713DF">
        <w:rPr>
          <w:rFonts w:eastAsia="Calibri"/>
          <w:snapToGrid w:val="0"/>
          <w:lang w:eastAsia="zh-CN" w:bidi="ar-SA"/>
        </w:rPr>
        <w:t xml:space="preserve">), </w:t>
      </w:r>
      <m:oMath>
        <m:r>
          <w:rPr>
            <w:rFonts w:ascii="Cambria Math" w:eastAsia="Calibri" w:hAnsi="Cambria Math"/>
            <w:snapToGrid w:val="0"/>
            <w:lang w:eastAsia="zh-CN" w:bidi="ar-SA"/>
          </w:rPr>
          <m:t>s</m:t>
        </m:r>
      </m:oMath>
      <w:r w:rsidRPr="003713DF">
        <w:rPr>
          <w:rFonts w:eastAsia="Calibri"/>
          <w:snapToGrid w:val="0"/>
          <w:lang w:eastAsia="zh-CN" w:bidi="ar-SA"/>
        </w:rPr>
        <w:t xml:space="preserve"> is the slope of the saturation vapor pressure curve (kPa · °C</w:t>
      </w:r>
      <w:r w:rsidRPr="003713DF">
        <w:rPr>
          <w:rFonts w:eastAsia="Calibri"/>
          <w:snapToGrid w:val="0"/>
          <w:vertAlign w:val="superscript"/>
          <w:lang w:eastAsia="zh-CN" w:bidi="ar-SA"/>
        </w:rPr>
        <w:t>−1</w:t>
      </w:r>
      <w:r w:rsidRPr="003713DF">
        <w:rPr>
          <w:rFonts w:eastAsia="Calibri"/>
          <w:snapToGrid w:val="0"/>
          <w:lang w:eastAsia="zh-CN" w:bidi="ar-SA"/>
        </w:rPr>
        <w:t xml:space="preserve">), </w:t>
      </w:r>
      <m:oMath>
        <m:sSub>
          <m:sSubPr>
            <m:ctrlPr>
              <w:rPr>
                <w:rFonts w:ascii="Cambria Math" w:eastAsia="Calibri" w:hAnsi="Cambria Math"/>
                <w:i/>
                <w:snapToGrid w:val="0"/>
                <w:vertAlign w:val="subscript"/>
                <w:lang w:eastAsia="zh-CN" w:bidi="ar-SA"/>
              </w:rPr>
            </m:ctrlPr>
          </m:sSubPr>
          <m:e>
            <m:r>
              <w:rPr>
                <w:rFonts w:ascii="Cambria Math" w:eastAsia="Calibri" w:hAnsi="Cambria Math"/>
                <w:snapToGrid w:val="0"/>
                <w:vertAlign w:val="subscript"/>
                <w:lang w:eastAsia="zh-CN" w:bidi="ar-SA"/>
              </w:rPr>
              <m:t>R</m:t>
            </m:r>
          </m:e>
          <m:sub>
            <m:r>
              <w:rPr>
                <w:rFonts w:ascii="Cambria Math" w:eastAsia="Calibri" w:hAnsi="Cambria Math"/>
                <w:snapToGrid w:val="0"/>
                <w:vertAlign w:val="subscript"/>
                <w:lang w:eastAsia="zh-CN" w:bidi="ar-SA"/>
              </w:rPr>
              <m:t>n</m:t>
            </m:r>
          </m:sub>
        </m:sSub>
      </m:oMath>
      <w:r w:rsidRPr="003713DF">
        <w:rPr>
          <w:rFonts w:eastAsia="Calibri"/>
          <w:snapToGrid w:val="0"/>
          <w:lang w:eastAsia="zh-CN" w:bidi="ar-SA"/>
        </w:rPr>
        <w:t xml:space="preserve"> is the net radiation (MJ · m</w:t>
      </w:r>
      <w:r w:rsidRPr="003713DF">
        <w:rPr>
          <w:rFonts w:eastAsia="Calibri"/>
          <w:snapToGrid w:val="0"/>
          <w:vertAlign w:val="superscript"/>
          <w:lang w:eastAsia="zh-CN" w:bidi="ar-SA"/>
        </w:rPr>
        <w:t>−2</w:t>
      </w:r>
      <w:r w:rsidRPr="003713DF">
        <w:rPr>
          <w:rFonts w:eastAsia="Calibri"/>
          <w:snapToGrid w:val="0"/>
          <w:lang w:eastAsia="zh-CN" w:bidi="ar-SA"/>
        </w:rPr>
        <w:t xml:space="preserve"> · d</w:t>
      </w:r>
      <w:r w:rsidRPr="003713DF">
        <w:rPr>
          <w:rFonts w:eastAsia="Calibri"/>
          <w:snapToGrid w:val="0"/>
          <w:vertAlign w:val="superscript"/>
          <w:lang w:eastAsia="zh-CN" w:bidi="ar-SA"/>
        </w:rPr>
        <w:t>−1</w:t>
      </w:r>
      <w:r w:rsidRPr="003713DF">
        <w:rPr>
          <w:rFonts w:eastAsia="Calibri"/>
          <w:snapToGrid w:val="0"/>
          <w:lang w:eastAsia="zh-CN" w:bidi="ar-SA"/>
        </w:rPr>
        <w:t xml:space="preserve">), </w:t>
      </w:r>
      <m:oMath>
        <m:r>
          <w:rPr>
            <w:rFonts w:ascii="Cambria Math" w:eastAsia="Calibri" w:hAnsi="Cambria Math"/>
            <w:snapToGrid w:val="0"/>
            <w:lang w:eastAsia="zh-CN" w:bidi="ar-SA"/>
          </w:rPr>
          <m:t>ΔU</m:t>
        </m:r>
      </m:oMath>
      <w:r w:rsidRPr="003713DF">
        <w:rPr>
          <w:rFonts w:eastAsia="Calibri"/>
          <w:snapToGrid w:val="0"/>
          <w:lang w:eastAsia="zh-CN" w:bidi="ar-SA"/>
        </w:rPr>
        <w:t xml:space="preserve"> is the heat storage changes of the water body (MJ · m</w:t>
      </w:r>
      <w:r w:rsidRPr="003713DF">
        <w:rPr>
          <w:rFonts w:eastAsia="Calibri"/>
          <w:snapToGrid w:val="0"/>
          <w:vertAlign w:val="superscript"/>
          <w:lang w:eastAsia="zh-CN" w:bidi="ar-SA"/>
        </w:rPr>
        <w:t xml:space="preserve">−2 </w:t>
      </w:r>
      <w:r w:rsidRPr="003713DF">
        <w:rPr>
          <w:rFonts w:eastAsia="Calibri"/>
          <w:snapToGrid w:val="0"/>
          <w:lang w:eastAsia="zh-CN" w:bidi="ar-SA"/>
        </w:rPr>
        <w:t>· d</w:t>
      </w:r>
      <w:r w:rsidRPr="003713DF">
        <w:rPr>
          <w:rFonts w:eastAsia="Calibri"/>
          <w:snapToGrid w:val="0"/>
          <w:vertAlign w:val="superscript"/>
          <w:lang w:eastAsia="zh-CN" w:bidi="ar-SA"/>
        </w:rPr>
        <w:t>−1</w:t>
      </w:r>
      <w:r w:rsidRPr="003713DF">
        <w:rPr>
          <w:rFonts w:eastAsia="Calibri"/>
          <w:snapToGrid w:val="0"/>
          <w:lang w:eastAsia="zh-CN" w:bidi="ar-SA"/>
        </w:rPr>
        <w:t xml:space="preserve">), </w:t>
      </w:r>
      <m:oMath>
        <m:r>
          <w:rPr>
            <w:rFonts w:ascii="Cambria Math" w:eastAsia="Calibri" w:hAnsi="Cambria Math"/>
            <w:snapToGrid w:val="0"/>
            <w:lang w:eastAsia="zh-CN" w:bidi="ar-SA"/>
          </w:rPr>
          <m:t>f(u)</m:t>
        </m:r>
      </m:oMath>
      <w:r w:rsidRPr="003713DF">
        <w:rPr>
          <w:rFonts w:eastAsia="Calibri"/>
          <w:snapToGrid w:val="0"/>
          <w:lang w:eastAsia="zh-CN" w:bidi="ar-SA"/>
        </w:rPr>
        <w:t xml:space="preserve"> is the wind function (MJ · m</w:t>
      </w:r>
      <w:r w:rsidRPr="003713DF">
        <w:rPr>
          <w:rFonts w:eastAsia="Calibri"/>
          <w:snapToGrid w:val="0"/>
          <w:vertAlign w:val="superscript"/>
          <w:lang w:eastAsia="zh-CN" w:bidi="ar-SA"/>
        </w:rPr>
        <w:t>−2</w:t>
      </w:r>
      <w:r w:rsidRPr="003713DF">
        <w:rPr>
          <w:rFonts w:eastAsia="Calibri"/>
          <w:snapToGrid w:val="0"/>
          <w:lang w:eastAsia="zh-CN" w:bidi="ar-SA"/>
        </w:rPr>
        <w:t xml:space="preserve"> · d</w:t>
      </w:r>
      <w:r w:rsidRPr="003713DF">
        <w:rPr>
          <w:rFonts w:eastAsia="Calibri"/>
          <w:snapToGrid w:val="0"/>
          <w:vertAlign w:val="superscript"/>
          <w:lang w:eastAsia="zh-CN" w:bidi="ar-SA"/>
        </w:rPr>
        <w:t>−1</w:t>
      </w:r>
      <w:r w:rsidRPr="003713DF">
        <w:rPr>
          <w:rFonts w:eastAsia="Calibri"/>
          <w:snapToGrid w:val="0"/>
          <w:lang w:eastAsia="zh-CN" w:bidi="ar-SA"/>
        </w:rPr>
        <w:t xml:space="preserve"> · kPa</w:t>
      </w:r>
      <w:r w:rsidRPr="003713DF">
        <w:rPr>
          <w:rFonts w:eastAsia="Calibri"/>
          <w:snapToGrid w:val="0"/>
          <w:vertAlign w:val="superscript"/>
          <w:lang w:eastAsia="zh-CN" w:bidi="ar-SA"/>
        </w:rPr>
        <w:t>−1</w:t>
      </w:r>
      <w:r w:rsidRPr="003713DF">
        <w:rPr>
          <w:rFonts w:eastAsia="Calibri"/>
          <w:snapToGrid w:val="0"/>
          <w:lang w:eastAsia="zh-CN" w:bidi="ar-SA"/>
        </w:rPr>
        <w:t xml:space="preserve">), </w:t>
      </w:r>
      <m:oMath>
        <m:sSub>
          <m:sSubPr>
            <m:ctrlPr>
              <w:rPr>
                <w:rFonts w:ascii="Cambria Math" w:eastAsia="Calibri" w:hAnsi="Cambria Math"/>
                <w:i/>
                <w:snapToGrid w:val="0"/>
                <w:vertAlign w:val="subscript"/>
                <w:lang w:eastAsia="zh-CN" w:bidi="ar-SA"/>
              </w:rPr>
            </m:ctrlPr>
          </m:sSubPr>
          <m:e>
            <m:r>
              <w:rPr>
                <w:rFonts w:ascii="Cambria Math" w:eastAsia="Microsoft YaHei" w:hAnsi="Cambria Math"/>
                <w:snapToGrid w:val="0"/>
                <w:vertAlign w:val="subscript"/>
                <w:lang w:eastAsia="zh-CN" w:bidi="ar-SA"/>
              </w:rPr>
              <m:t>e</m:t>
            </m:r>
          </m:e>
          <m:sub>
            <m:r>
              <w:rPr>
                <w:rFonts w:ascii="Cambria Math" w:eastAsia="Calibri" w:hAnsi="Cambria Math"/>
                <w:snapToGrid w:val="0"/>
                <w:vertAlign w:val="subscript"/>
                <w:lang w:eastAsia="zh-CN" w:bidi="ar-SA"/>
              </w:rPr>
              <m:t>s</m:t>
            </m:r>
          </m:sub>
        </m:sSub>
      </m:oMath>
      <w:r w:rsidRPr="003713DF">
        <w:rPr>
          <w:rFonts w:eastAsia="Calibri"/>
          <w:snapToGrid w:val="0"/>
          <w:lang w:eastAsia="zh-CN" w:bidi="ar-SA"/>
        </w:rPr>
        <w:t xml:space="preserve"> is the saturated vapor pressure at air temperature (kPa), </w:t>
      </w:r>
      <m:oMath>
        <m:sSub>
          <m:sSubPr>
            <m:ctrlPr>
              <w:rPr>
                <w:rFonts w:ascii="Cambria Math" w:eastAsia="Calibri" w:hAnsi="Cambria Math"/>
                <w:i/>
                <w:snapToGrid w:val="0"/>
                <w:lang w:eastAsia="zh-CN" w:bidi="ar-SA"/>
              </w:rPr>
            </m:ctrlPr>
          </m:sSubPr>
          <m:e>
            <m:r>
              <w:rPr>
                <w:rFonts w:ascii="Cambria Math" w:eastAsia="Calibri" w:hAnsi="Cambria Math"/>
                <w:snapToGrid w:val="0"/>
                <w:lang w:eastAsia="zh-CN" w:bidi="ar-SA"/>
              </w:rPr>
              <m:t>e</m:t>
            </m:r>
          </m:e>
          <m:sub>
            <m:r>
              <w:rPr>
                <w:rFonts w:ascii="Cambria Math" w:eastAsia="Calibri" w:hAnsi="Cambria Math"/>
                <w:snapToGrid w:val="0"/>
                <w:lang w:eastAsia="zh-CN" w:bidi="ar-SA"/>
              </w:rPr>
              <m:t>a</m:t>
            </m:r>
          </m:sub>
        </m:sSub>
      </m:oMath>
      <w:r w:rsidRPr="003713DF">
        <w:rPr>
          <w:rFonts w:eastAsia="Calibri"/>
          <w:snapToGrid w:val="0"/>
          <w:lang w:eastAsia="zh-CN" w:bidi="ar-SA"/>
        </w:rPr>
        <w:t xml:space="preserve"> is the air vapor pressure (kPa), </w:t>
      </w:r>
      <m:oMath>
        <m:sSub>
          <m:sSubPr>
            <m:ctrlPr>
              <w:rPr>
                <w:rFonts w:ascii="Cambria Math" w:eastAsia="Calibri" w:hAnsi="Cambria Math"/>
                <w:i/>
                <w:snapToGrid w:val="0"/>
                <w:lang w:eastAsia="zh-CN" w:bidi="ar-SA"/>
              </w:rPr>
            </m:ctrlPr>
          </m:sSubPr>
          <m:e>
            <m:r>
              <w:rPr>
                <w:rFonts w:ascii="Cambria Math" w:eastAsia="Calibri" w:hAnsi="Cambria Math"/>
                <w:snapToGrid w:val="0"/>
                <w:lang w:eastAsia="zh-CN" w:bidi="ar-SA"/>
              </w:rPr>
              <m:t>λ</m:t>
            </m:r>
          </m:e>
          <m:sub>
            <m:r>
              <w:rPr>
                <w:rFonts w:ascii="Cambria Math" w:eastAsia="Calibri" w:hAnsi="Cambria Math"/>
                <w:snapToGrid w:val="0"/>
                <w:vertAlign w:val="subscript"/>
                <w:lang w:eastAsia="zh-CN" w:bidi="ar-SA"/>
              </w:rPr>
              <m:t>v</m:t>
            </m:r>
          </m:sub>
        </m:sSub>
      </m:oMath>
      <w:r w:rsidRPr="003713DF">
        <w:rPr>
          <w:rFonts w:eastAsia="Calibri"/>
          <w:snapToGrid w:val="0"/>
          <w:lang w:eastAsia="zh-CN" w:bidi="ar-SA"/>
        </w:rPr>
        <w:t xml:space="preserve"> is the latent heat of vaporization (MJ · kg</w:t>
      </w:r>
      <w:r w:rsidRPr="003713DF">
        <w:rPr>
          <w:rFonts w:eastAsia="Calibri"/>
          <w:snapToGrid w:val="0"/>
          <w:vertAlign w:val="superscript"/>
          <w:lang w:eastAsia="zh-CN" w:bidi="ar-SA"/>
        </w:rPr>
        <w:t>−1</w:t>
      </w:r>
      <w:r w:rsidRPr="003713DF">
        <w:rPr>
          <w:rFonts w:eastAsia="Calibri"/>
          <w:snapToGrid w:val="0"/>
          <w:lang w:eastAsia="zh-CN" w:bidi="ar-SA"/>
        </w:rPr>
        <w:t>), and γ is the psychrometric constant (kPa · °C</w:t>
      </w:r>
      <w:r w:rsidRPr="003713DF">
        <w:rPr>
          <w:rFonts w:eastAsia="Calibri"/>
          <w:snapToGrid w:val="0"/>
          <w:vertAlign w:val="superscript"/>
          <w:lang w:eastAsia="zh-CN" w:bidi="ar-SA"/>
        </w:rPr>
        <w:t>−1</w:t>
      </w:r>
      <w:r w:rsidRPr="003713DF">
        <w:rPr>
          <w:rFonts w:eastAsia="Calibri"/>
          <w:snapToGrid w:val="0"/>
          <w:lang w:eastAsia="zh-CN" w:bidi="ar-SA"/>
        </w:rPr>
        <w:t>).</w:t>
      </w:r>
    </w:p>
    <w:p w14:paraId="64DB5034" w14:textId="53CCC3D6" w:rsidR="002C4E80" w:rsidRDefault="002C4E80" w:rsidP="002C4E80">
      <w:pPr>
        <w:pStyle w:val="BodyText"/>
        <w:rPr>
          <w:lang w:eastAsia="zh-CN"/>
        </w:rPr>
      </w:pPr>
      <w:r>
        <w:rPr>
          <w:lang w:eastAsia="zh-TW"/>
        </w:rPr>
        <w:t xml:space="preserve">The LEM can address two important effects associated with open-water evaporation in reservoirs. </w:t>
      </w:r>
      <w:r w:rsidRPr="0003651A">
        <w:rPr>
          <w:lang w:eastAsia="zh-CN"/>
        </w:rPr>
        <w:t xml:space="preserve">The first </w:t>
      </w:r>
      <w:r>
        <w:rPr>
          <w:lang w:eastAsia="zh-CN"/>
        </w:rPr>
        <w:t xml:space="preserve">of these </w:t>
      </w:r>
      <w:r w:rsidRPr="0003651A">
        <w:rPr>
          <w:lang w:eastAsia="zh-CN"/>
        </w:rPr>
        <w:t xml:space="preserve">is the </w:t>
      </w:r>
      <w:r w:rsidRPr="00AE2499">
        <w:rPr>
          <w:i/>
          <w:lang w:eastAsia="zh-CN"/>
        </w:rPr>
        <w:t>fetch</w:t>
      </w:r>
      <w:r w:rsidRPr="0003651A">
        <w:rPr>
          <w:lang w:eastAsia="zh-CN"/>
        </w:rPr>
        <w:t xml:space="preserve"> effect. When air moves from land across </w:t>
      </w:r>
      <w:r>
        <w:rPr>
          <w:lang w:eastAsia="zh-CN"/>
        </w:rPr>
        <w:t>a</w:t>
      </w:r>
      <w:r w:rsidRPr="0003651A">
        <w:rPr>
          <w:lang w:eastAsia="zh-CN"/>
        </w:rPr>
        <w:t xml:space="preserve"> water body, its </w:t>
      </w:r>
      <w:r>
        <w:rPr>
          <w:lang w:eastAsia="zh-CN"/>
        </w:rPr>
        <w:t xml:space="preserve">relative </w:t>
      </w:r>
      <w:r w:rsidRPr="0003651A">
        <w:rPr>
          <w:lang w:eastAsia="zh-CN"/>
        </w:rPr>
        <w:t xml:space="preserve">humidity increases </w:t>
      </w:r>
      <w:r>
        <w:rPr>
          <w:lang w:eastAsia="zh-CN"/>
        </w:rPr>
        <w:t xml:space="preserve">because of </w:t>
      </w:r>
      <w:r w:rsidRPr="0003651A">
        <w:rPr>
          <w:lang w:eastAsia="zh-CN"/>
        </w:rPr>
        <w:t>the evaporation proces</w:t>
      </w:r>
      <w:r>
        <w:rPr>
          <w:lang w:eastAsia="zh-CN"/>
        </w:rPr>
        <w:t>s</w:t>
      </w:r>
      <w:r w:rsidRPr="0003651A">
        <w:rPr>
          <w:lang w:eastAsia="zh-CN"/>
        </w:rPr>
        <w:t xml:space="preserve"> on the water surface. Therefore, a fetch length </w:t>
      </w:r>
      <w:r>
        <w:rPr>
          <w:lang w:eastAsia="zh-CN"/>
        </w:rPr>
        <w:t>was adopted in the wind function to represent</w:t>
      </w:r>
      <w:r w:rsidRPr="0003651A">
        <w:rPr>
          <w:lang w:eastAsia="zh-CN"/>
        </w:rPr>
        <w:t xml:space="preserve"> the effect of air becoming moister when moving from land to water. </w:t>
      </w:r>
      <w:r>
        <w:rPr>
          <w:lang w:eastAsia="zh-CN"/>
        </w:rPr>
        <w:t>T</w:t>
      </w:r>
      <w:r w:rsidRPr="0003651A">
        <w:rPr>
          <w:lang w:eastAsia="zh-CN"/>
        </w:rPr>
        <w:t>he fetch length</w:t>
      </w:r>
      <w:r>
        <w:rPr>
          <w:lang w:eastAsia="zh-CN"/>
        </w:rPr>
        <w:t xml:space="preserve"> was calculated</w:t>
      </w:r>
      <w:r w:rsidRPr="0003651A">
        <w:rPr>
          <w:lang w:eastAsia="zh-CN"/>
        </w:rPr>
        <w:t xml:space="preserve"> for each reservoir </w:t>
      </w:r>
      <w:r>
        <w:rPr>
          <w:lang w:eastAsia="zh-CN"/>
        </w:rPr>
        <w:t xml:space="preserve">during </w:t>
      </w:r>
      <w:r w:rsidRPr="0003651A">
        <w:rPr>
          <w:lang w:eastAsia="zh-CN"/>
        </w:rPr>
        <w:t>each month</w:t>
      </w:r>
      <w:r>
        <w:rPr>
          <w:lang w:eastAsia="zh-CN"/>
        </w:rPr>
        <w:t xml:space="preserve"> </w:t>
      </w:r>
      <w:r>
        <w:rPr>
          <w:rFonts w:hint="eastAsia"/>
          <w:lang w:eastAsia="zh-CN"/>
        </w:rPr>
        <w:t>by</w:t>
      </w:r>
      <w:r>
        <w:rPr>
          <w:lang w:eastAsia="zh-CN"/>
        </w:rPr>
        <w:t xml:space="preserve"> using reservoir vector data and </w:t>
      </w:r>
      <w:r w:rsidRPr="0003651A">
        <w:rPr>
          <w:lang w:eastAsia="zh-CN"/>
        </w:rPr>
        <w:t>monthly dominant</w:t>
      </w:r>
      <w:r>
        <w:rPr>
          <w:lang w:eastAsia="zh-CN"/>
        </w:rPr>
        <w:t>-</w:t>
      </w:r>
      <w:r w:rsidRPr="0003651A">
        <w:rPr>
          <w:lang w:eastAsia="zh-CN"/>
        </w:rPr>
        <w:t xml:space="preserve">wind direction </w:t>
      </w:r>
      <w:r>
        <w:rPr>
          <w:lang w:eastAsia="zh-CN"/>
        </w:rPr>
        <w:t xml:space="preserve">information </w:t>
      </w:r>
      <w:r w:rsidRPr="0003651A">
        <w:rPr>
          <w:lang w:eastAsia="zh-CN"/>
        </w:rPr>
        <w:t xml:space="preserve">derived from </w:t>
      </w:r>
      <w:r>
        <w:rPr>
          <w:lang w:eastAsia="zh-CN"/>
        </w:rPr>
        <w:t xml:space="preserve">the </w:t>
      </w:r>
      <w:r w:rsidRPr="00834FDA">
        <w:rPr>
          <w:lang w:eastAsia="zh-CN"/>
        </w:rPr>
        <w:t>North American Land Data Assimilation System</w:t>
      </w:r>
      <w:r>
        <w:rPr>
          <w:lang w:eastAsia="zh-CN"/>
        </w:rPr>
        <w:t xml:space="preserve"> (</w:t>
      </w:r>
      <w:r w:rsidRPr="0003651A">
        <w:rPr>
          <w:lang w:eastAsia="zh-CN"/>
        </w:rPr>
        <w:t>NLDAS</w:t>
      </w:r>
      <w:r>
        <w:rPr>
          <w:lang w:eastAsia="zh-CN"/>
        </w:rPr>
        <w:t>).</w:t>
      </w:r>
      <w:r w:rsidRPr="0003651A">
        <w:rPr>
          <w:lang w:eastAsia="zh-CN"/>
        </w:rPr>
        <w:t xml:space="preserve"> </w:t>
      </w:r>
      <w:r>
        <w:rPr>
          <w:lang w:eastAsia="zh-CN"/>
        </w:rPr>
        <w:t xml:space="preserve">In </w:t>
      </w:r>
      <w:r>
        <w:rPr>
          <w:lang w:eastAsia="zh-CN"/>
        </w:rPr>
        <w:fldChar w:fldCharType="begin"/>
      </w:r>
      <w:r>
        <w:rPr>
          <w:lang w:eastAsia="zh-CN"/>
        </w:rPr>
        <w:instrText xml:space="preserve"> REF _Ref72831627 \h  \* MERGEFORMAT </w:instrText>
      </w:r>
      <w:r>
        <w:rPr>
          <w:lang w:eastAsia="zh-CN"/>
        </w:rPr>
      </w:r>
      <w:r>
        <w:rPr>
          <w:lang w:eastAsia="zh-CN"/>
        </w:rPr>
        <w:fldChar w:fldCharType="separate"/>
      </w:r>
      <w:r w:rsidR="00EE0BF5">
        <w:rPr>
          <w:lang w:eastAsia="zh-TW"/>
        </w:rPr>
        <w:t>Figure</w:t>
      </w:r>
      <w:r w:rsidR="00EE0BF5" w:rsidRPr="006869CA">
        <w:rPr>
          <w:lang w:eastAsia="zh-TW"/>
        </w:rPr>
        <w:t xml:space="preserve"> </w:t>
      </w:r>
      <w:r w:rsidR="00EE0BF5">
        <w:rPr>
          <w:noProof/>
          <w:lang w:eastAsia="zh-TW"/>
        </w:rPr>
        <w:t>2.20</w:t>
      </w:r>
      <w:r>
        <w:rPr>
          <w:lang w:eastAsia="zh-CN"/>
        </w:rPr>
        <w:fldChar w:fldCharType="end"/>
      </w:r>
      <w:r>
        <w:rPr>
          <w:lang w:eastAsia="zh-CN"/>
        </w:rPr>
        <w:t>, t</w:t>
      </w:r>
      <w:r w:rsidRPr="0003651A">
        <w:rPr>
          <w:lang w:eastAsia="zh-CN"/>
        </w:rPr>
        <w:t>he width is defined as the distance between the two reservoir-tangent lines parallel to the wind direction</w:t>
      </w:r>
      <w:r>
        <w:rPr>
          <w:lang w:eastAsia="zh-CN"/>
        </w:rPr>
        <w:t>,</w:t>
      </w:r>
      <w:r w:rsidRPr="0003651A">
        <w:rPr>
          <w:lang w:eastAsia="zh-CN"/>
        </w:rPr>
        <w:t xml:space="preserve"> and </w:t>
      </w:r>
      <w:r>
        <w:rPr>
          <w:lang w:eastAsia="zh-CN"/>
        </w:rPr>
        <w:t xml:space="preserve">the fetch </w:t>
      </w:r>
      <w:r w:rsidRPr="0003651A">
        <w:rPr>
          <w:lang w:eastAsia="zh-CN"/>
        </w:rPr>
        <w:t xml:space="preserve">length is calculated by dividing the area by the </w:t>
      </w:r>
      <w:r w:rsidRPr="00644D9A">
        <w:t>width</w:t>
      </w:r>
      <w:r>
        <w:t xml:space="preserve">. </w:t>
      </w:r>
      <w:r w:rsidRPr="00881CBB">
        <w:t>As the reservoir area increases or decreases, the fetch length changes accordingly</w:t>
      </w:r>
      <w:r>
        <w:rPr>
          <w:lang w:eastAsia="zh-CN"/>
        </w:rPr>
        <w:t>.</w:t>
      </w:r>
    </w:p>
    <w:p w14:paraId="092008CE" w14:textId="77777777" w:rsidR="002C4E80" w:rsidRPr="003713DF" w:rsidRDefault="002C4E80" w:rsidP="00152EEA">
      <w:pPr>
        <w:spacing w:before="0" w:line="240" w:lineRule="auto"/>
        <w:ind w:firstLine="0"/>
        <w:rPr>
          <w:rFonts w:eastAsia="Calibri"/>
          <w:snapToGrid w:val="0"/>
          <w:lang w:eastAsia="zh-CN" w:bidi="ar-SA"/>
        </w:rPr>
      </w:pPr>
    </w:p>
    <w:p w14:paraId="3CAD5D75" w14:textId="39CC7DE5" w:rsidR="00AC34B9" w:rsidRDefault="00065A78" w:rsidP="00093CC9">
      <w:pPr>
        <w:pStyle w:val="FIGUREposition"/>
        <w:rPr>
          <w:lang w:eastAsia="zh-TW"/>
        </w:rPr>
      </w:pPr>
      <w:r>
        <w:rPr>
          <w:noProof/>
        </w:rPr>
        <w:lastRenderedPageBreak/>
        <w:drawing>
          <wp:inline distT="0" distB="0" distL="0" distR="0" wp14:anchorId="75068E8F" wp14:editId="3DAFDA9B">
            <wp:extent cx="5943600" cy="3479169"/>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479169"/>
                    </a:xfrm>
                    <a:prstGeom prst="rect">
                      <a:avLst/>
                    </a:prstGeom>
                  </pic:spPr>
                </pic:pic>
              </a:graphicData>
            </a:graphic>
          </wp:inline>
        </w:drawing>
      </w:r>
    </w:p>
    <w:p w14:paraId="6E28F974" w14:textId="3D68B40D" w:rsidR="004213A1" w:rsidRPr="006869CA" w:rsidRDefault="004213A1" w:rsidP="004213A1">
      <w:pPr>
        <w:pStyle w:val="FigureCaption"/>
      </w:pPr>
      <w:bookmarkStart w:id="190" w:name="_Ref72831592"/>
      <w:bookmarkStart w:id="191" w:name="_Toc113380883"/>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19</w:t>
      </w:r>
      <w:r w:rsidRPr="006869CA">
        <w:rPr>
          <w:lang w:eastAsia="zh-TW"/>
        </w:rPr>
        <w:fldChar w:fldCharType="end"/>
      </w:r>
      <w:bookmarkEnd w:id="190"/>
      <w:r w:rsidRPr="006869CA">
        <w:rPr>
          <w:lang w:eastAsia="zh-TW"/>
        </w:rPr>
        <w:t xml:space="preserve">. </w:t>
      </w:r>
      <w:r w:rsidR="007416A0" w:rsidRPr="004213A1">
        <w:rPr>
          <w:bCs/>
          <w:szCs w:val="20"/>
        </w:rPr>
        <w:t xml:space="preserve">Flowchart for quantifying </w:t>
      </w:r>
      <w:r w:rsidR="00AE2499">
        <w:rPr>
          <w:bCs/>
          <w:szCs w:val="20"/>
        </w:rPr>
        <w:t xml:space="preserve">reservoir </w:t>
      </w:r>
      <w:r w:rsidR="007416A0" w:rsidRPr="004213A1">
        <w:rPr>
          <w:bCs/>
          <w:szCs w:val="20"/>
        </w:rPr>
        <w:t>evaporation volum</w:t>
      </w:r>
      <w:r w:rsidR="007416A0">
        <w:rPr>
          <w:bCs/>
          <w:szCs w:val="20"/>
        </w:rPr>
        <w:t>es</w:t>
      </w:r>
      <w:r w:rsidR="007416A0" w:rsidRPr="004213A1">
        <w:rPr>
          <w:bCs/>
          <w:szCs w:val="20"/>
        </w:rPr>
        <w:t>.</w:t>
      </w:r>
      <w:bookmarkEnd w:id="191"/>
    </w:p>
    <w:p w14:paraId="18FCEA25" w14:textId="352DBDCA" w:rsidR="005D5E34" w:rsidRDefault="005D5E34" w:rsidP="00093CC9">
      <w:pPr>
        <w:pStyle w:val="FIGUREposition"/>
        <w:rPr>
          <w:lang w:eastAsia="zh-TW"/>
        </w:rPr>
      </w:pPr>
      <w:r>
        <w:rPr>
          <w:noProof/>
        </w:rPr>
        <w:drawing>
          <wp:inline distT="0" distB="0" distL="0" distR="0" wp14:anchorId="36D6BEEE" wp14:editId="513753A0">
            <wp:extent cx="3291840" cy="265345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a:extLst>
                        <a:ext uri="{28A0092B-C50C-407E-A947-70E740481C1C}">
                          <a14:useLocalDpi xmlns:a14="http://schemas.microsoft.com/office/drawing/2010/main" val="0"/>
                        </a:ext>
                      </a:extLst>
                    </a:blip>
                    <a:stretch>
                      <a:fillRect/>
                    </a:stretch>
                  </pic:blipFill>
                  <pic:spPr>
                    <a:xfrm>
                      <a:off x="0" y="0"/>
                      <a:ext cx="3291840" cy="2653455"/>
                    </a:xfrm>
                    <a:prstGeom prst="rect">
                      <a:avLst/>
                    </a:prstGeom>
                  </pic:spPr>
                </pic:pic>
              </a:graphicData>
            </a:graphic>
          </wp:inline>
        </w:drawing>
      </w:r>
    </w:p>
    <w:p w14:paraId="32B56EC9" w14:textId="5DAEEAA9" w:rsidR="005D5E34" w:rsidRPr="006869CA" w:rsidRDefault="005D5E34" w:rsidP="00093CC9">
      <w:pPr>
        <w:pStyle w:val="FigureCaption"/>
      </w:pPr>
      <w:bookmarkStart w:id="192" w:name="_Ref72831627"/>
      <w:bookmarkStart w:id="193" w:name="_Toc113380884"/>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20</w:t>
      </w:r>
      <w:r w:rsidRPr="006869CA">
        <w:rPr>
          <w:lang w:eastAsia="zh-TW"/>
        </w:rPr>
        <w:fldChar w:fldCharType="end"/>
      </w:r>
      <w:bookmarkEnd w:id="192"/>
      <w:r w:rsidRPr="006869CA">
        <w:rPr>
          <w:lang w:eastAsia="zh-TW"/>
        </w:rPr>
        <w:t xml:space="preserve">. </w:t>
      </w:r>
      <w:r w:rsidRPr="005D5E34">
        <w:rPr>
          <w:szCs w:val="20"/>
        </w:rPr>
        <w:t>Calculation of the reservoir fetch for a given wind direction</w:t>
      </w:r>
      <w:r w:rsidRPr="004213A1">
        <w:rPr>
          <w:szCs w:val="20"/>
        </w:rPr>
        <w:t>.</w:t>
      </w:r>
      <w:bookmarkEnd w:id="193"/>
    </w:p>
    <w:p w14:paraId="0D088A09" w14:textId="1D76B8BF" w:rsidR="00A808EB" w:rsidRPr="003713DF" w:rsidRDefault="00A808EB" w:rsidP="00A808EB">
      <w:pPr>
        <w:pStyle w:val="BodyText"/>
        <w:rPr>
          <w:rFonts w:eastAsia="PMingLiU"/>
          <w:lang w:bidi="en-US"/>
        </w:rPr>
      </w:pPr>
      <w:r w:rsidRPr="003713DF">
        <w:rPr>
          <w:rFonts w:eastAsia="PMingLiU"/>
          <w:lang w:bidi="en-US"/>
        </w:rPr>
        <w:t xml:space="preserve">The second factor that </w:t>
      </w:r>
      <w:r w:rsidRPr="003713DF">
        <w:rPr>
          <w:lang w:eastAsia="zh-TW"/>
        </w:rPr>
        <w:t xml:space="preserve">LEM </w:t>
      </w:r>
      <w:r w:rsidR="00110A4A" w:rsidRPr="003713DF">
        <w:rPr>
          <w:lang w:eastAsia="zh-TW"/>
        </w:rPr>
        <w:t xml:space="preserve">can </w:t>
      </w:r>
      <w:r w:rsidRPr="003713DF">
        <w:rPr>
          <w:lang w:eastAsia="zh-TW"/>
        </w:rPr>
        <w:t xml:space="preserve">address </w:t>
      </w:r>
      <w:r w:rsidRPr="003713DF">
        <w:rPr>
          <w:rFonts w:eastAsia="PMingLiU"/>
          <w:lang w:bidi="en-US"/>
        </w:rPr>
        <w:t xml:space="preserve">is heat storage quantification when applying the Penman equation to </w:t>
      </w:r>
      <w:r w:rsidR="00996773" w:rsidRPr="003713DF">
        <w:rPr>
          <w:rFonts w:eastAsia="PMingLiU"/>
          <w:lang w:bidi="en-US"/>
        </w:rPr>
        <w:t>open-</w:t>
      </w:r>
      <w:r w:rsidRPr="003713DF">
        <w:rPr>
          <w:rFonts w:eastAsia="PMingLiU"/>
          <w:lang w:bidi="en-US"/>
        </w:rPr>
        <w:t xml:space="preserve">water evaporation. To represent the heat storage effect when calculating the evaporation rate, an </w:t>
      </w:r>
      <w:r w:rsidRPr="00674253">
        <w:rPr>
          <w:rFonts w:eastAsia="PMingLiU"/>
          <w:iCs/>
          <w:lang w:bidi="en-US"/>
        </w:rPr>
        <w:t>equilibrium temperature</w:t>
      </w:r>
      <w:r w:rsidRPr="003713DF">
        <w:rPr>
          <w:rFonts w:eastAsia="PMingLiU"/>
          <w:lang w:bidi="en-US"/>
        </w:rPr>
        <w:t xml:space="preserve"> algorithm is adopted. The equilibrium temperature is defined as the water temperature at which there is no heat exchange between air and water</w:t>
      </w:r>
      <w:r w:rsidRPr="003713DF">
        <w:rPr>
          <w:rFonts w:eastAsia="PMingLiU"/>
          <w:lang w:eastAsia="zh-CN" w:bidi="en-US"/>
        </w:rPr>
        <w:t xml:space="preserve">. </w:t>
      </w:r>
      <w:r w:rsidRPr="003713DF">
        <w:rPr>
          <w:rFonts w:eastAsia="PMingLiU"/>
          <w:lang w:bidi="en-US"/>
        </w:rPr>
        <w:t xml:space="preserve">If the water is under constant radiative forcing for long enough, the water will reach a steady state </w:t>
      </w:r>
      <w:r w:rsidR="00996773" w:rsidRPr="003713DF">
        <w:rPr>
          <w:rFonts w:eastAsia="PMingLiU"/>
          <w:lang w:bidi="en-US"/>
        </w:rPr>
        <w:t xml:space="preserve">when </w:t>
      </w:r>
      <w:r w:rsidRPr="003713DF">
        <w:rPr>
          <w:rFonts w:eastAsia="PMingLiU"/>
          <w:lang w:bidi="en-US"/>
        </w:rPr>
        <w:t xml:space="preserve">the water temperature </w:t>
      </w:r>
      <w:r w:rsidR="00996773" w:rsidRPr="003713DF">
        <w:rPr>
          <w:rFonts w:eastAsia="PMingLiU"/>
          <w:lang w:bidi="en-US"/>
        </w:rPr>
        <w:t>is</w:t>
      </w:r>
      <w:r w:rsidRPr="003713DF">
        <w:rPr>
          <w:rFonts w:eastAsia="PMingLiU"/>
          <w:lang w:bidi="en-US"/>
        </w:rPr>
        <w:t xml:space="preserve"> equal to the equilibrium temperature. With this algorithm, the evaporation sequence </w:t>
      </w:r>
      <w:r w:rsidR="00110A4A" w:rsidRPr="003713DF">
        <w:rPr>
          <w:rFonts w:eastAsia="PMingLiU"/>
          <w:lang w:bidi="en-US"/>
        </w:rPr>
        <w:t xml:space="preserve">was </w:t>
      </w:r>
      <w:r w:rsidRPr="003713DF">
        <w:rPr>
          <w:rFonts w:eastAsia="PMingLiU"/>
          <w:lang w:bidi="en-US"/>
        </w:rPr>
        <w:t>computed</w:t>
      </w:r>
      <w:r w:rsidRPr="003713DF">
        <w:rPr>
          <w:rFonts w:eastAsia="PMingLiU"/>
          <w:lang w:eastAsia="zh-CN" w:bidi="en-US"/>
        </w:rPr>
        <w:t xml:space="preserve"> with</w:t>
      </w:r>
      <w:r w:rsidRPr="003713DF">
        <w:rPr>
          <w:rFonts w:eastAsia="PMingLiU"/>
          <w:lang w:bidi="en-US"/>
        </w:rPr>
        <w:t xml:space="preserve"> </w:t>
      </w:r>
      <w:r w:rsidR="00202969" w:rsidRPr="003713DF">
        <w:rPr>
          <w:rFonts w:eastAsia="PMingLiU"/>
          <w:lang w:bidi="en-US"/>
        </w:rPr>
        <w:t xml:space="preserve">four meteorological forcings (shortwave radiation, air temperature, vapor-pressure deficit, and wind speed), </w:t>
      </w:r>
      <w:r w:rsidR="00202969" w:rsidRPr="003713DF">
        <w:t xml:space="preserve">and driven by historic meteorological observations and downscaled climate projections </w:t>
      </w:r>
      <w:r w:rsidRPr="003713DF">
        <w:t>(</w:t>
      </w:r>
      <w:r w:rsidRPr="003713DF">
        <w:rPr>
          <w:rFonts w:eastAsia="PMingLiU"/>
          <w:lang w:bidi="en-US"/>
        </w:rPr>
        <w:t xml:space="preserve">Section </w:t>
      </w:r>
      <w:r w:rsidRPr="003713DF">
        <w:rPr>
          <w:rFonts w:eastAsia="PMingLiU"/>
          <w:lang w:bidi="en-US"/>
        </w:rPr>
        <w:fldChar w:fldCharType="begin"/>
      </w:r>
      <w:r w:rsidRPr="003713DF">
        <w:rPr>
          <w:rFonts w:eastAsia="PMingLiU"/>
          <w:lang w:bidi="en-US"/>
        </w:rPr>
        <w:instrText xml:space="preserve"> REF _Ref75788044 \n \h </w:instrText>
      </w:r>
      <w:r w:rsidR="003713DF">
        <w:rPr>
          <w:rFonts w:eastAsia="PMingLiU"/>
          <w:lang w:bidi="en-US"/>
        </w:rPr>
        <w:instrText xml:space="preserve"> \* MERGEFORMAT </w:instrText>
      </w:r>
      <w:r w:rsidRPr="003713DF">
        <w:rPr>
          <w:rFonts w:eastAsia="PMingLiU"/>
          <w:lang w:bidi="en-US"/>
        </w:rPr>
      </w:r>
      <w:r w:rsidRPr="003713DF">
        <w:rPr>
          <w:rFonts w:eastAsia="PMingLiU"/>
          <w:lang w:bidi="en-US"/>
        </w:rPr>
        <w:fldChar w:fldCharType="separate"/>
      </w:r>
      <w:r w:rsidR="00EE0BF5">
        <w:rPr>
          <w:rFonts w:eastAsia="PMingLiU"/>
          <w:lang w:bidi="en-US"/>
        </w:rPr>
        <w:t>2.4</w:t>
      </w:r>
      <w:r w:rsidRPr="003713DF">
        <w:rPr>
          <w:rFonts w:eastAsia="PMingLiU"/>
          <w:lang w:bidi="en-US"/>
        </w:rPr>
        <w:fldChar w:fldCharType="end"/>
      </w:r>
      <w:r w:rsidRPr="003713DF">
        <w:rPr>
          <w:rFonts w:eastAsia="PMingLiU"/>
          <w:lang w:bidi="en-US"/>
        </w:rPr>
        <w:t>).</w:t>
      </w:r>
    </w:p>
    <w:p w14:paraId="007A4AA2" w14:textId="514A38AA" w:rsidR="006E3541" w:rsidRPr="003713DF" w:rsidRDefault="004C5F3C" w:rsidP="00AE2499">
      <w:pPr>
        <w:pStyle w:val="BodyText"/>
        <w:rPr>
          <w:rFonts w:eastAsia="PMingLiU"/>
          <w:lang w:bidi="en-US"/>
        </w:rPr>
      </w:pPr>
      <w:r w:rsidRPr="003713DF">
        <w:rPr>
          <w:rFonts w:eastAsia="PMingLiU"/>
          <w:lang w:eastAsia="zh-CN" w:bidi="en-US"/>
        </w:rPr>
        <w:lastRenderedPageBreak/>
        <w:t>Based on their historical storage and storage variation patterns</w:t>
      </w:r>
      <w:r w:rsidRPr="003713DF">
        <w:rPr>
          <w:rFonts w:eastAsia="PMingLiU"/>
          <w:lang w:bidi="en-US"/>
        </w:rPr>
        <w:t>, reservoirs are classified into three categories using two parameters—α and β</w:t>
      </w:r>
      <w:r w:rsidRPr="003713DF">
        <w:rPr>
          <w:rFonts w:eastAsia="PMingLiU"/>
          <w:lang w:eastAsia="zh-CN" w:bidi="en-US"/>
        </w:rPr>
        <w:t>. P</w:t>
      </w:r>
      <w:r w:rsidRPr="003713DF">
        <w:rPr>
          <w:rFonts w:eastAsia="PMingLiU"/>
          <w:lang w:bidi="en-US"/>
        </w:rPr>
        <w:t>arameter α equals the range of storage variations divided by the average storage volume, and β equals the range of the seasonality over the range of the rolling average. Two independent time series—seasonality and rolling average—are obtained by decomposing the inflow time series</w:t>
      </w:r>
      <w:r w:rsidRPr="003713DF">
        <w:rPr>
          <w:rFonts w:eastAsia="PMingLiU"/>
          <w:lang w:eastAsia="zh-CN" w:bidi="en-US"/>
        </w:rPr>
        <w:t>. The window size of the rolling average depends on the reservoir category</w:t>
      </w:r>
      <w:r w:rsidRPr="003713DF">
        <w:rPr>
          <w:rFonts w:eastAsia="PMingLiU"/>
          <w:lang w:bidi="en-US"/>
        </w:rPr>
        <w:t xml:space="preserve">—12 </w:t>
      </w:r>
      <w:r w:rsidRPr="003713DF">
        <w:rPr>
          <w:rFonts w:eastAsia="PMingLiU" w:hint="eastAsia"/>
          <w:lang w:eastAsia="zh-CN" w:bidi="en-US"/>
        </w:rPr>
        <w:t>month</w:t>
      </w:r>
      <w:r w:rsidRPr="003713DF">
        <w:rPr>
          <w:rFonts w:eastAsia="PMingLiU"/>
          <w:lang w:eastAsia="zh-CN" w:bidi="en-US"/>
        </w:rPr>
        <w:t>s or 36 months</w:t>
      </w:r>
      <w:r w:rsidRPr="003713DF">
        <w:rPr>
          <w:rFonts w:eastAsia="PMingLiU"/>
          <w:lang w:bidi="en-US"/>
        </w:rPr>
        <w:t xml:space="preserve">—which is described in detail in the </w:t>
      </w:r>
      <w:r w:rsidR="00110A4A" w:rsidRPr="003713DF">
        <w:rPr>
          <w:rFonts w:eastAsia="PMingLiU"/>
          <w:lang w:bidi="en-US"/>
        </w:rPr>
        <w:t xml:space="preserve">following </w:t>
      </w:r>
      <w:r w:rsidRPr="003713DF">
        <w:rPr>
          <w:rFonts w:eastAsia="PMingLiU"/>
          <w:lang w:bidi="en-US"/>
        </w:rPr>
        <w:t>paragraph. Overall, three categories of reservoirs are defined (</w:t>
      </w:r>
      <w:r w:rsidRPr="003713DF">
        <w:rPr>
          <w:rFonts w:eastAsia="PMingLiU"/>
          <w:lang w:bidi="en-US"/>
        </w:rPr>
        <w:fldChar w:fldCharType="begin"/>
      </w:r>
      <w:r w:rsidRPr="003713DF">
        <w:rPr>
          <w:rFonts w:eastAsia="PMingLiU"/>
          <w:lang w:bidi="en-US"/>
        </w:rPr>
        <w:instrText xml:space="preserve"> REF _Ref75788207 \h </w:instrText>
      </w:r>
      <w:r w:rsidR="003713DF">
        <w:rPr>
          <w:rFonts w:eastAsia="PMingLiU"/>
          <w:lang w:bidi="en-US"/>
        </w:rPr>
        <w:instrText xml:space="preserve"> \* MERGEFORMAT </w:instrText>
      </w:r>
      <w:r w:rsidRPr="003713DF">
        <w:rPr>
          <w:rFonts w:eastAsia="PMingLiU"/>
          <w:lang w:bidi="en-US"/>
        </w:rPr>
      </w:r>
      <w:r w:rsidRPr="003713DF">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2.21</w:t>
      </w:r>
      <w:r w:rsidRPr="003713DF">
        <w:rPr>
          <w:rFonts w:eastAsia="PMingLiU"/>
          <w:lang w:bidi="en-US"/>
        </w:rPr>
        <w:fldChar w:fldCharType="end"/>
      </w:r>
      <w:r w:rsidRPr="003713DF">
        <w:rPr>
          <w:rFonts w:eastAsia="PMingLiU"/>
          <w:lang w:bidi="en-US"/>
        </w:rPr>
        <w:t>)</w:t>
      </w:r>
      <w:r w:rsidRPr="003713DF">
        <w:rPr>
          <w:rFonts w:eastAsia="PMingLiU"/>
          <w:lang w:eastAsia="zh-CN" w:bidi="en-US"/>
        </w:rPr>
        <w:t>:</w:t>
      </w:r>
      <w:r w:rsidRPr="003713DF">
        <w:rPr>
          <w:rFonts w:eastAsia="PMingLiU"/>
          <w:lang w:bidi="en-US"/>
        </w:rPr>
        <w:t xml:space="preserve"> Type 1: </w:t>
      </w:r>
      <w:r w:rsidR="00110A4A" w:rsidRPr="003713DF">
        <w:rPr>
          <w:rFonts w:eastAsia="PMingLiU"/>
          <w:lang w:bidi="en-US"/>
        </w:rPr>
        <w:t xml:space="preserve">reservoirs </w:t>
      </w:r>
      <w:r w:rsidRPr="003713DF">
        <w:rPr>
          <w:rFonts w:eastAsia="PMingLiU"/>
          <w:lang w:bidi="en-US"/>
        </w:rPr>
        <w:t xml:space="preserve">with very small monthly storage variations compared </w:t>
      </w:r>
      <w:r w:rsidRPr="003713DF">
        <w:t>with</w:t>
      </w:r>
      <w:r w:rsidRPr="003713DF">
        <w:rPr>
          <w:rFonts w:eastAsia="PMingLiU"/>
          <w:lang w:bidi="en-US"/>
        </w:rPr>
        <w:t xml:space="preserve"> the total storage volume (α ≤ 0.1); Type 2: </w:t>
      </w:r>
      <w:r w:rsidR="00110A4A" w:rsidRPr="003713DF">
        <w:rPr>
          <w:rFonts w:eastAsia="PMingLiU"/>
          <w:lang w:bidi="en-US"/>
        </w:rPr>
        <w:t xml:space="preserve">reservoirs </w:t>
      </w:r>
      <w:r w:rsidRPr="003713DF">
        <w:rPr>
          <w:rFonts w:eastAsia="PMingLiU"/>
          <w:lang w:bidi="en-US"/>
        </w:rPr>
        <w:t xml:space="preserve">where the storage variations are dominated by </w:t>
      </w:r>
      <w:r w:rsidR="0089546A" w:rsidRPr="003713DF">
        <w:rPr>
          <w:rFonts w:eastAsia="PMingLiU"/>
          <w:lang w:bidi="en-US"/>
        </w:rPr>
        <w:t xml:space="preserve">strong </w:t>
      </w:r>
      <w:r w:rsidRPr="003713DF">
        <w:rPr>
          <w:rFonts w:eastAsia="PMingLiU"/>
          <w:lang w:bidi="en-US"/>
        </w:rPr>
        <w:t xml:space="preserve">seasonality (α &gt; 0.1 and β &gt; 1); </w:t>
      </w:r>
      <w:r w:rsidR="00110A4A" w:rsidRPr="003713DF">
        <w:rPr>
          <w:rFonts w:eastAsia="PMingLiU"/>
          <w:lang w:bidi="en-US"/>
        </w:rPr>
        <w:t xml:space="preserve">and </w:t>
      </w:r>
      <w:r w:rsidRPr="003713DF">
        <w:rPr>
          <w:rFonts w:eastAsia="PMingLiU"/>
          <w:lang w:bidi="en-US"/>
        </w:rPr>
        <w:t xml:space="preserve">Type 3: </w:t>
      </w:r>
      <w:r w:rsidR="00110A4A" w:rsidRPr="003713DF">
        <w:rPr>
          <w:rFonts w:eastAsia="PMingLiU"/>
          <w:lang w:bidi="en-US"/>
        </w:rPr>
        <w:t xml:space="preserve">reservoirs </w:t>
      </w:r>
      <w:r w:rsidRPr="003713DF">
        <w:rPr>
          <w:rFonts w:eastAsia="PMingLiU"/>
          <w:lang w:bidi="en-US"/>
        </w:rPr>
        <w:t>where the storage variations are affected by interannual variations (α &gt; 0.1 and β ≤ 1).</w:t>
      </w:r>
    </w:p>
    <w:p w14:paraId="178ED106" w14:textId="77777777" w:rsidR="009868FB" w:rsidRDefault="009868FB" w:rsidP="009868FB">
      <w:pPr>
        <w:pStyle w:val="FIGUREposition"/>
        <w:rPr>
          <w:lang w:eastAsia="zh-TW"/>
        </w:rPr>
      </w:pPr>
      <w:r>
        <w:rPr>
          <w:noProof/>
          <w:lang w:eastAsia="zh-CN"/>
        </w:rPr>
        <w:drawing>
          <wp:inline distT="0" distB="0" distL="0" distR="0" wp14:anchorId="514757B2" wp14:editId="38FC2613">
            <wp:extent cx="4778734" cy="2408256"/>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9"/>
                    <a:stretch>
                      <a:fillRect/>
                    </a:stretch>
                  </pic:blipFill>
                  <pic:spPr>
                    <a:xfrm>
                      <a:off x="0" y="0"/>
                      <a:ext cx="4817027" cy="2427554"/>
                    </a:xfrm>
                    <a:prstGeom prst="rect">
                      <a:avLst/>
                    </a:prstGeom>
                  </pic:spPr>
                </pic:pic>
              </a:graphicData>
            </a:graphic>
          </wp:inline>
        </w:drawing>
      </w:r>
    </w:p>
    <w:p w14:paraId="5CF58049" w14:textId="6F37BDCF" w:rsidR="009868FB" w:rsidRPr="006869CA" w:rsidRDefault="009868FB" w:rsidP="009868FB">
      <w:pPr>
        <w:pStyle w:val="FigureCaption"/>
      </w:pPr>
      <w:bookmarkStart w:id="194" w:name="_Ref75788207"/>
      <w:bookmarkStart w:id="195" w:name="_Toc113380885"/>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21</w:t>
      </w:r>
      <w:r w:rsidRPr="006869CA">
        <w:rPr>
          <w:lang w:eastAsia="zh-TW"/>
        </w:rPr>
        <w:fldChar w:fldCharType="end"/>
      </w:r>
      <w:bookmarkEnd w:id="194"/>
      <w:r w:rsidRPr="006869CA">
        <w:rPr>
          <w:lang w:eastAsia="zh-TW"/>
        </w:rPr>
        <w:t xml:space="preserve">. </w:t>
      </w:r>
      <w:r>
        <w:rPr>
          <w:szCs w:val="24"/>
          <w:lang w:eastAsia="zh-CN"/>
        </w:rPr>
        <w:t>Reservoir classifications according to storage variations</w:t>
      </w:r>
      <w:r w:rsidRPr="004213A1">
        <w:rPr>
          <w:bCs/>
          <w:szCs w:val="20"/>
        </w:rPr>
        <w:t>.</w:t>
      </w:r>
      <w:bookmarkEnd w:id="195"/>
    </w:p>
    <w:p w14:paraId="304283CF" w14:textId="77777777" w:rsidR="002C4E80" w:rsidRDefault="002C4E80" w:rsidP="00AE2499">
      <w:pPr>
        <w:pStyle w:val="BodyText"/>
        <w:rPr>
          <w:rFonts w:eastAsia="PMingLiU"/>
          <w:lang w:bidi="en-US"/>
        </w:rPr>
      </w:pPr>
    </w:p>
    <w:p w14:paraId="11F627AB" w14:textId="17BBA934" w:rsidR="00AE2499" w:rsidRDefault="00AE2499" w:rsidP="00AE2499">
      <w:pPr>
        <w:pStyle w:val="BodyText"/>
        <w:rPr>
          <w:rFonts w:eastAsia="PMingLiU"/>
          <w:lang w:bidi="en-US"/>
        </w:rPr>
      </w:pPr>
      <w:r>
        <w:rPr>
          <w:rFonts w:eastAsia="PMingLiU"/>
          <w:lang w:bidi="en-US"/>
        </w:rPr>
        <w:t xml:space="preserve">The future surface areas of reservoirs </w:t>
      </w:r>
      <w:r w:rsidR="00110A4A">
        <w:rPr>
          <w:rFonts w:eastAsia="PMingLiU"/>
          <w:lang w:bidi="en-US"/>
        </w:rPr>
        <w:t xml:space="preserve">were </w:t>
      </w:r>
      <w:r>
        <w:rPr>
          <w:rFonts w:eastAsia="PMingLiU"/>
          <w:lang w:bidi="en-US"/>
        </w:rPr>
        <w:t>inferred from the CMIP6 inflow data after a series of</w:t>
      </w:r>
      <w:r w:rsidRPr="00076BE3">
        <w:rPr>
          <w:rFonts w:eastAsia="PMingLiU"/>
          <w:lang w:bidi="en-US"/>
        </w:rPr>
        <w:t xml:space="preserve"> steps</w:t>
      </w:r>
      <w:r>
        <w:rPr>
          <w:rFonts w:eastAsia="PMingLiU"/>
          <w:lang w:bidi="en-US"/>
        </w:rPr>
        <w:t xml:space="preserve"> (</w:t>
      </w:r>
      <w:r>
        <w:rPr>
          <w:rFonts w:eastAsia="PMingLiU"/>
          <w:lang w:bidi="en-US"/>
        </w:rPr>
        <w:fldChar w:fldCharType="begin"/>
      </w:r>
      <w:r>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w:t>
      </w:r>
      <w:r w:rsidRPr="00076BE3">
        <w:rPr>
          <w:rFonts w:eastAsia="PMingLiU"/>
          <w:lang w:bidi="en-US"/>
        </w:rPr>
        <w:t xml:space="preserve"> </w:t>
      </w:r>
      <w:r>
        <w:rPr>
          <w:rFonts w:eastAsia="PMingLiU"/>
          <w:lang w:bidi="en-US"/>
        </w:rPr>
        <w:t>B</w:t>
      </w:r>
      <w:r w:rsidRPr="00076BE3">
        <w:rPr>
          <w:rFonts w:eastAsia="PMingLiU"/>
          <w:lang w:bidi="en-US"/>
        </w:rPr>
        <w:t xml:space="preserve">oth the </w:t>
      </w:r>
      <w:r>
        <w:rPr>
          <w:rFonts w:eastAsia="PMingLiU"/>
          <w:lang w:bidi="en-US"/>
        </w:rPr>
        <w:t xml:space="preserve">observed </w:t>
      </w:r>
      <w:r w:rsidRPr="00076BE3">
        <w:rPr>
          <w:rFonts w:eastAsia="PMingLiU"/>
          <w:lang w:bidi="en-US"/>
        </w:rPr>
        <w:t>storage</w:t>
      </w:r>
      <w:r>
        <w:rPr>
          <w:rFonts w:eastAsia="PMingLiU"/>
          <w:lang w:bidi="en-US"/>
        </w:rPr>
        <w:t xml:space="preserve"> </w:t>
      </w:r>
      <w:r w:rsidRPr="00076BE3">
        <w:rPr>
          <w:rFonts w:eastAsia="PMingLiU"/>
          <w:lang w:bidi="en-US"/>
        </w:rPr>
        <w:t xml:space="preserve">and the inflow time series (control run) </w:t>
      </w:r>
      <w:r w:rsidR="00110A4A">
        <w:rPr>
          <w:rFonts w:eastAsia="PMingLiU"/>
          <w:lang w:bidi="en-US"/>
        </w:rPr>
        <w:t xml:space="preserve">were </w:t>
      </w:r>
      <w:r>
        <w:rPr>
          <w:rFonts w:eastAsia="PMingLiU"/>
          <w:lang w:bidi="en-US"/>
        </w:rPr>
        <w:t xml:space="preserve">decomposed </w:t>
      </w:r>
      <w:r w:rsidRPr="00076BE3">
        <w:rPr>
          <w:rFonts w:eastAsia="PMingLiU"/>
          <w:lang w:bidi="en-US"/>
        </w:rPr>
        <w:t>into a rolling average term, a seasonality term, and a noise term</w:t>
      </w:r>
      <w:r>
        <w:rPr>
          <w:rFonts w:eastAsia="PMingLiU"/>
          <w:lang w:bidi="en-US"/>
        </w:rPr>
        <w:t xml:space="preserve"> (</w:t>
      </w:r>
      <w:r>
        <w:rPr>
          <w:rFonts w:eastAsia="PMingLiU"/>
          <w:lang w:bidi="en-US"/>
        </w:rPr>
        <w:fldChar w:fldCharType="begin"/>
      </w:r>
      <w:r w:rsidRPr="006E569B">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a, b)</w:t>
      </w:r>
      <w:r w:rsidRPr="00076BE3">
        <w:rPr>
          <w:rFonts w:eastAsia="PMingLiU"/>
          <w:lang w:bidi="en-US"/>
        </w:rPr>
        <w:t xml:space="preserve">. </w:t>
      </w:r>
      <w:r>
        <w:rPr>
          <w:rFonts w:eastAsia="PMingLiU" w:hint="eastAsia"/>
          <w:lang w:eastAsia="zh-CN" w:bidi="en-US"/>
        </w:rPr>
        <w:t>Con</w:t>
      </w:r>
      <w:r>
        <w:rPr>
          <w:rFonts w:eastAsia="PMingLiU"/>
          <w:lang w:eastAsia="zh-CN" w:bidi="en-US"/>
        </w:rPr>
        <w:t xml:space="preserve">sidering the effect of water residence time, </w:t>
      </w:r>
      <w:r w:rsidRPr="00076BE3">
        <w:rPr>
          <w:rFonts w:eastAsia="PMingLiU"/>
          <w:lang w:bidi="en-US"/>
        </w:rPr>
        <w:t xml:space="preserve">the rolling average term with a 12-month moving window </w:t>
      </w:r>
      <w:r w:rsidR="00110A4A">
        <w:rPr>
          <w:rFonts w:eastAsia="PMingLiU"/>
          <w:lang w:bidi="en-US"/>
        </w:rPr>
        <w:t xml:space="preserve">was </w:t>
      </w:r>
      <w:r>
        <w:rPr>
          <w:rFonts w:eastAsia="PMingLiU"/>
          <w:lang w:bidi="en-US"/>
        </w:rPr>
        <w:t>used for</w:t>
      </w:r>
      <w:r w:rsidRPr="00076BE3">
        <w:rPr>
          <w:rFonts w:eastAsia="PMingLiU"/>
          <w:lang w:bidi="en-US"/>
        </w:rPr>
        <w:t xml:space="preserve"> </w:t>
      </w:r>
      <w:r w:rsidR="00110A4A">
        <w:rPr>
          <w:rFonts w:eastAsia="PMingLiU"/>
          <w:lang w:bidi="en-US"/>
        </w:rPr>
        <w:t>T</w:t>
      </w:r>
      <w:r w:rsidR="00110A4A" w:rsidRPr="00076BE3">
        <w:rPr>
          <w:rFonts w:eastAsia="PMingLiU"/>
          <w:lang w:bidi="en-US"/>
        </w:rPr>
        <w:t>ype</w:t>
      </w:r>
      <w:r w:rsidR="00110A4A">
        <w:rPr>
          <w:rFonts w:eastAsia="PMingLiU"/>
          <w:lang w:bidi="en-US"/>
        </w:rPr>
        <w:t> </w:t>
      </w:r>
      <w:r w:rsidRPr="00076BE3">
        <w:rPr>
          <w:rFonts w:eastAsia="PMingLiU"/>
          <w:lang w:bidi="en-US"/>
        </w:rPr>
        <w:t xml:space="preserve">1 and </w:t>
      </w:r>
      <w:r w:rsidR="00110A4A">
        <w:rPr>
          <w:rFonts w:eastAsia="PMingLiU"/>
          <w:lang w:bidi="en-US"/>
        </w:rPr>
        <w:t>T</w:t>
      </w:r>
      <w:r w:rsidR="00110A4A" w:rsidRPr="00076BE3">
        <w:rPr>
          <w:rFonts w:eastAsia="PMingLiU"/>
          <w:lang w:bidi="en-US"/>
        </w:rPr>
        <w:t xml:space="preserve">ype </w:t>
      </w:r>
      <w:r w:rsidRPr="00076BE3">
        <w:rPr>
          <w:rFonts w:eastAsia="PMingLiU"/>
          <w:lang w:bidi="en-US"/>
        </w:rPr>
        <w:t xml:space="preserve">2 reservoirs, and a 36-month moving window </w:t>
      </w:r>
      <w:r w:rsidR="00110A4A">
        <w:rPr>
          <w:rFonts w:eastAsia="PMingLiU"/>
          <w:lang w:bidi="en-US"/>
        </w:rPr>
        <w:t xml:space="preserve">was </w:t>
      </w:r>
      <w:r>
        <w:rPr>
          <w:rFonts w:eastAsia="PMingLiU"/>
          <w:lang w:bidi="en-US"/>
        </w:rPr>
        <w:t xml:space="preserve">used </w:t>
      </w:r>
      <w:r w:rsidRPr="00076BE3">
        <w:rPr>
          <w:rFonts w:eastAsia="PMingLiU"/>
          <w:lang w:bidi="en-US"/>
        </w:rPr>
        <w:t xml:space="preserve">for </w:t>
      </w:r>
      <w:r w:rsidR="00110A4A">
        <w:rPr>
          <w:rFonts w:eastAsia="PMingLiU"/>
          <w:lang w:bidi="en-US"/>
        </w:rPr>
        <w:t>T</w:t>
      </w:r>
      <w:r w:rsidR="00110A4A" w:rsidRPr="00076BE3">
        <w:rPr>
          <w:rFonts w:eastAsia="PMingLiU"/>
          <w:lang w:bidi="en-US"/>
        </w:rPr>
        <w:t xml:space="preserve">ype </w:t>
      </w:r>
      <w:r w:rsidRPr="00076BE3">
        <w:rPr>
          <w:rFonts w:eastAsia="PMingLiU"/>
          <w:lang w:bidi="en-US"/>
        </w:rPr>
        <w:t xml:space="preserve">3 reservoirs. </w:t>
      </w:r>
      <w:r>
        <w:rPr>
          <w:rFonts w:eastAsia="PMingLiU"/>
          <w:lang w:bidi="en-US"/>
        </w:rPr>
        <w:t>W</w:t>
      </w:r>
      <w:r>
        <w:rPr>
          <w:rFonts w:eastAsia="PMingLiU" w:hint="eastAsia"/>
          <w:lang w:eastAsia="zh-CN" w:bidi="en-US"/>
        </w:rPr>
        <w:t>ith</w:t>
      </w:r>
      <w:r>
        <w:rPr>
          <w:rFonts w:eastAsia="PMingLiU"/>
          <w:lang w:eastAsia="zh-CN" w:bidi="en-US"/>
        </w:rPr>
        <w:t>out considering the seasonal climatology and noise terms, a l</w:t>
      </w:r>
      <w:r w:rsidRPr="00F3202D">
        <w:rPr>
          <w:rFonts w:eastAsia="PMingLiU"/>
          <w:lang w:bidi="en-US"/>
        </w:rPr>
        <w:t>inear regression relationship between the inflow rolling average and the storage rolling average for each reservoi</w:t>
      </w:r>
      <w:r>
        <w:rPr>
          <w:rFonts w:eastAsia="PMingLiU"/>
          <w:lang w:bidi="en-US"/>
        </w:rPr>
        <w:t xml:space="preserve">r </w:t>
      </w:r>
      <w:r w:rsidR="00110A4A">
        <w:rPr>
          <w:rFonts w:eastAsia="PMingLiU"/>
          <w:lang w:bidi="en-US"/>
        </w:rPr>
        <w:t xml:space="preserve">was </w:t>
      </w:r>
      <w:r>
        <w:rPr>
          <w:rFonts w:eastAsia="PMingLiU"/>
          <w:lang w:bidi="en-US"/>
        </w:rPr>
        <w:t>established (</w:t>
      </w:r>
      <w:r>
        <w:rPr>
          <w:rFonts w:eastAsia="PMingLiU"/>
          <w:lang w:bidi="en-US"/>
        </w:rPr>
        <w:fldChar w:fldCharType="begin"/>
      </w:r>
      <w:r>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 xml:space="preserve">c). </w:t>
      </w:r>
      <w:r w:rsidRPr="002477C3">
        <w:rPr>
          <w:rFonts w:eastAsia="PMingLiU"/>
          <w:lang w:bidi="en-US"/>
        </w:rPr>
        <w:t xml:space="preserve">To </w:t>
      </w:r>
      <w:r>
        <w:rPr>
          <w:rFonts w:eastAsia="PMingLiU"/>
          <w:lang w:bidi="en-US"/>
        </w:rPr>
        <w:t>estimate</w:t>
      </w:r>
      <w:r w:rsidRPr="002477C3">
        <w:rPr>
          <w:rFonts w:eastAsia="PMingLiU"/>
          <w:lang w:bidi="en-US"/>
        </w:rPr>
        <w:t xml:space="preserve"> the storage time series under CMIP</w:t>
      </w:r>
      <w:r>
        <w:rPr>
          <w:rFonts w:eastAsia="PMingLiU"/>
          <w:lang w:bidi="en-US"/>
        </w:rPr>
        <w:t>6</w:t>
      </w:r>
      <w:r w:rsidRPr="002477C3">
        <w:rPr>
          <w:rFonts w:eastAsia="PMingLiU"/>
          <w:lang w:bidi="en-US"/>
        </w:rPr>
        <w:t xml:space="preserve"> scenarios, the regression relationship </w:t>
      </w:r>
      <w:r w:rsidR="00110A4A">
        <w:rPr>
          <w:rFonts w:eastAsia="PMingLiU"/>
          <w:lang w:bidi="en-US"/>
        </w:rPr>
        <w:t xml:space="preserve">was </w:t>
      </w:r>
      <w:r w:rsidRPr="002477C3">
        <w:rPr>
          <w:rFonts w:eastAsia="PMingLiU"/>
          <w:lang w:bidi="en-US"/>
        </w:rPr>
        <w:t xml:space="preserve">first applied to the decomposed </w:t>
      </w:r>
      <w:r>
        <w:rPr>
          <w:rFonts w:eastAsia="PMingLiU"/>
          <w:lang w:bidi="en-US"/>
        </w:rPr>
        <w:t xml:space="preserve">CMIP6 </w:t>
      </w:r>
      <w:r w:rsidRPr="002477C3">
        <w:rPr>
          <w:rFonts w:eastAsia="PMingLiU"/>
          <w:lang w:bidi="en-US"/>
        </w:rPr>
        <w:t>inflow rolling average to derive the storage rolling average</w:t>
      </w:r>
      <w:r>
        <w:rPr>
          <w:rFonts w:eastAsia="PMingLiU"/>
          <w:lang w:bidi="en-US"/>
        </w:rPr>
        <w:t xml:space="preserve"> (</w:t>
      </w:r>
      <w:r>
        <w:rPr>
          <w:rFonts w:eastAsia="PMingLiU"/>
          <w:lang w:bidi="en-US"/>
        </w:rPr>
        <w:fldChar w:fldCharType="begin"/>
      </w:r>
      <w:r>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d)</w:t>
      </w:r>
      <w:r w:rsidRPr="002477C3">
        <w:rPr>
          <w:rFonts w:eastAsia="PMingLiU"/>
          <w:lang w:bidi="en-US"/>
        </w:rPr>
        <w:t xml:space="preserve">. </w:t>
      </w:r>
      <w:r>
        <w:rPr>
          <w:rFonts w:eastAsia="PMingLiU"/>
          <w:lang w:bidi="en-US"/>
        </w:rPr>
        <w:t xml:space="preserve">Assuming </w:t>
      </w:r>
      <w:r w:rsidRPr="002477C3">
        <w:rPr>
          <w:rFonts w:eastAsia="PMingLiU"/>
          <w:lang w:bidi="en-US"/>
        </w:rPr>
        <w:t>the seasonality</w:t>
      </w:r>
      <w:r>
        <w:rPr>
          <w:rFonts w:eastAsia="PMingLiU"/>
          <w:lang w:bidi="en-US"/>
        </w:rPr>
        <w:t xml:space="preserve"> does not vary </w:t>
      </w:r>
      <w:r w:rsidR="004634A6">
        <w:rPr>
          <w:rFonts w:eastAsia="PMingLiU"/>
          <w:lang w:bidi="en-US"/>
        </w:rPr>
        <w:t xml:space="preserve">substantially </w:t>
      </w:r>
      <w:r>
        <w:rPr>
          <w:rFonts w:eastAsia="PMingLiU"/>
          <w:lang w:bidi="en-US"/>
        </w:rPr>
        <w:t xml:space="preserve">year to year, </w:t>
      </w:r>
      <w:r>
        <w:t>seasonality</w:t>
      </w:r>
      <w:r w:rsidRPr="002477C3">
        <w:rPr>
          <w:rFonts w:eastAsia="PMingLiU"/>
          <w:lang w:bidi="en-US"/>
        </w:rPr>
        <w:t xml:space="preserve"> </w:t>
      </w:r>
      <w:r w:rsidR="00110A4A">
        <w:rPr>
          <w:rFonts w:eastAsia="PMingLiU"/>
          <w:lang w:bidi="en-US"/>
        </w:rPr>
        <w:t xml:space="preserve">was </w:t>
      </w:r>
      <w:r w:rsidRPr="002477C3">
        <w:rPr>
          <w:rFonts w:eastAsia="PMingLiU"/>
          <w:lang w:bidi="en-US"/>
        </w:rPr>
        <w:t xml:space="preserve">superimposed onto the storage rolling average to </w:t>
      </w:r>
      <w:r>
        <w:rPr>
          <w:rFonts w:eastAsia="PMingLiU"/>
          <w:lang w:bidi="en-US"/>
        </w:rPr>
        <w:t>obtain</w:t>
      </w:r>
      <w:r w:rsidRPr="002477C3">
        <w:rPr>
          <w:rFonts w:eastAsia="PMingLiU"/>
          <w:lang w:bidi="en-US"/>
        </w:rPr>
        <w:t xml:space="preserve"> the </w:t>
      </w:r>
      <w:r>
        <w:rPr>
          <w:rFonts w:eastAsia="PMingLiU"/>
          <w:lang w:bidi="en-US"/>
        </w:rPr>
        <w:t xml:space="preserve">estimated </w:t>
      </w:r>
      <w:r w:rsidRPr="002477C3">
        <w:rPr>
          <w:rFonts w:eastAsia="PMingLiU"/>
          <w:lang w:bidi="en-US"/>
        </w:rPr>
        <w:t>monthly storage time</w:t>
      </w:r>
      <w:r>
        <w:rPr>
          <w:rFonts w:eastAsia="PMingLiU"/>
          <w:lang w:bidi="en-US"/>
        </w:rPr>
        <w:t xml:space="preserve"> </w:t>
      </w:r>
      <w:r w:rsidRPr="002477C3">
        <w:rPr>
          <w:rFonts w:eastAsia="PMingLiU"/>
          <w:lang w:bidi="en-US"/>
        </w:rPr>
        <w:t>series</w:t>
      </w:r>
      <w:r>
        <w:rPr>
          <w:rFonts w:eastAsia="PMingLiU"/>
          <w:lang w:bidi="en-US"/>
        </w:rPr>
        <w:t xml:space="preserve"> under different scenarios (</w:t>
      </w:r>
      <w:r>
        <w:rPr>
          <w:rFonts w:eastAsia="PMingLiU"/>
          <w:lang w:bidi="en-US"/>
        </w:rPr>
        <w:fldChar w:fldCharType="begin"/>
      </w:r>
      <w:r>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e). B</w:t>
      </w:r>
      <w:r w:rsidRPr="007A4419">
        <w:rPr>
          <w:rFonts w:eastAsia="PMingLiU"/>
          <w:lang w:bidi="en-US"/>
        </w:rPr>
        <w:t xml:space="preserve">ased on </w:t>
      </w:r>
      <w:r>
        <w:rPr>
          <w:rFonts w:eastAsia="PMingLiU"/>
          <w:lang w:bidi="en-US"/>
        </w:rPr>
        <w:t xml:space="preserve">the </w:t>
      </w:r>
      <w:r w:rsidRPr="007A4419">
        <w:rPr>
          <w:rFonts w:eastAsia="PMingLiU"/>
          <w:lang w:bidi="en-US"/>
        </w:rPr>
        <w:t xml:space="preserve">observed storage and </w:t>
      </w:r>
      <w:r>
        <w:rPr>
          <w:rFonts w:eastAsia="PMingLiU" w:hint="eastAsia"/>
          <w:lang w:eastAsia="zh-CN" w:bidi="en-US"/>
        </w:rPr>
        <w:t>re</w:t>
      </w:r>
      <w:r>
        <w:rPr>
          <w:rFonts w:eastAsia="PMingLiU"/>
          <w:lang w:eastAsia="zh-CN" w:bidi="en-US"/>
        </w:rPr>
        <w:t xml:space="preserve">motely sensed </w:t>
      </w:r>
      <w:r w:rsidRPr="007A4419">
        <w:rPr>
          <w:rFonts w:eastAsia="PMingLiU"/>
          <w:lang w:bidi="en-US"/>
        </w:rPr>
        <w:t>area</w:t>
      </w:r>
      <w:r w:rsidR="00D64187">
        <w:rPr>
          <w:rFonts w:eastAsia="PMingLiU"/>
          <w:lang w:bidi="en-US"/>
        </w:rPr>
        <w:t xml:space="preserve"> </w:t>
      </w:r>
      <w:r w:rsidR="005606E5">
        <w:rPr>
          <w:rFonts w:eastAsia="PMingLiU"/>
          <w:lang w:bidi="en-US"/>
        </w:rPr>
        <w:t>data sets</w:t>
      </w:r>
      <w:r w:rsidR="00D64187">
        <w:rPr>
          <w:rFonts w:eastAsia="PMingLiU"/>
          <w:lang w:bidi="en-US"/>
        </w:rPr>
        <w:t xml:space="preserve"> </w:t>
      </w:r>
      <w:r>
        <w:rPr>
          <w:rFonts w:eastAsia="PMingLiU"/>
          <w:lang w:bidi="en-US"/>
        </w:rPr>
        <w:t>of each reservoir</w:t>
      </w:r>
      <w:r w:rsidRPr="007A4419">
        <w:rPr>
          <w:rFonts w:eastAsia="PMingLiU"/>
          <w:lang w:bidi="en-US"/>
        </w:rPr>
        <w:t xml:space="preserve">, </w:t>
      </w:r>
      <w:r>
        <w:rPr>
          <w:rFonts w:eastAsia="PMingLiU"/>
          <w:lang w:bidi="en-US"/>
        </w:rPr>
        <w:t xml:space="preserve">the area-volume (A-V) </w:t>
      </w:r>
      <w:r w:rsidRPr="007A4419">
        <w:rPr>
          <w:rFonts w:eastAsia="PMingLiU"/>
          <w:lang w:bidi="en-US"/>
        </w:rPr>
        <w:t>relationship</w:t>
      </w:r>
      <w:r>
        <w:rPr>
          <w:rFonts w:eastAsia="PMingLiU"/>
          <w:lang w:bidi="en-US"/>
        </w:rPr>
        <w:t>—</w:t>
      </w:r>
      <w:r w:rsidRPr="007A4419">
        <w:rPr>
          <w:rFonts w:eastAsia="PMingLiU"/>
          <w:lang w:bidi="en-US"/>
        </w:rPr>
        <w:t xml:space="preserve">one of the most basic </w:t>
      </w:r>
      <w:r>
        <w:rPr>
          <w:rFonts w:eastAsia="PMingLiU" w:hint="eastAsia"/>
          <w:lang w:eastAsia="zh-CN" w:bidi="en-US"/>
        </w:rPr>
        <w:t>reservoir</w:t>
      </w:r>
      <w:r>
        <w:rPr>
          <w:rFonts w:eastAsia="PMingLiU"/>
          <w:lang w:eastAsia="zh-CN" w:bidi="en-US"/>
        </w:rPr>
        <w:t xml:space="preserve"> </w:t>
      </w:r>
      <w:r w:rsidRPr="007A4419">
        <w:rPr>
          <w:rFonts w:eastAsia="PMingLiU"/>
          <w:lang w:bidi="en-US"/>
        </w:rPr>
        <w:t>characteristics</w:t>
      </w:r>
      <w:r>
        <w:rPr>
          <w:rFonts w:eastAsia="PMingLiU"/>
          <w:lang w:bidi="en-US"/>
        </w:rPr>
        <w:t>—</w:t>
      </w:r>
      <w:r w:rsidR="00110A4A">
        <w:rPr>
          <w:rFonts w:eastAsia="PMingLiU"/>
          <w:lang w:bidi="en-US"/>
        </w:rPr>
        <w:t xml:space="preserve">was </w:t>
      </w:r>
      <w:r>
        <w:rPr>
          <w:rFonts w:eastAsia="PMingLiU"/>
          <w:lang w:bidi="en-US"/>
        </w:rPr>
        <w:t>established first (</w:t>
      </w:r>
      <w:r>
        <w:rPr>
          <w:rFonts w:eastAsia="PMingLiU"/>
          <w:lang w:bidi="en-US"/>
        </w:rPr>
        <w:fldChar w:fldCharType="begin"/>
      </w:r>
      <w:r>
        <w:rPr>
          <w:rFonts w:eastAsia="PMingLiU"/>
          <w:lang w:bidi="en-US"/>
        </w:rPr>
        <w:instrText xml:space="preserve"> REF _Ref72831769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22</w:t>
      </w:r>
      <w:r>
        <w:rPr>
          <w:rFonts w:eastAsia="PMingLiU"/>
          <w:lang w:bidi="en-US"/>
        </w:rPr>
        <w:fldChar w:fldCharType="end"/>
      </w:r>
      <w:r>
        <w:rPr>
          <w:rFonts w:eastAsia="PMingLiU"/>
          <w:lang w:bidi="en-US"/>
        </w:rPr>
        <w:t>f).</w:t>
      </w:r>
      <w:r w:rsidRPr="007A4419">
        <w:rPr>
          <w:rFonts w:eastAsia="PMingLiU"/>
          <w:lang w:bidi="en-US"/>
        </w:rPr>
        <w:t xml:space="preserve"> </w:t>
      </w:r>
      <w:r w:rsidRPr="000355FE">
        <w:rPr>
          <w:rFonts w:eastAsia="PMingLiU"/>
          <w:lang w:bidi="en-US"/>
        </w:rPr>
        <w:t>Then</w:t>
      </w:r>
      <w:r>
        <w:rPr>
          <w:rFonts w:eastAsia="PMingLiU"/>
          <w:lang w:bidi="en-US"/>
        </w:rPr>
        <w:t>, after</w:t>
      </w:r>
      <w:r w:rsidRPr="000355FE">
        <w:rPr>
          <w:rFonts w:eastAsia="PMingLiU"/>
          <w:lang w:bidi="en-US"/>
        </w:rPr>
        <w:t xml:space="preserve"> applying </w:t>
      </w:r>
      <w:r>
        <w:rPr>
          <w:rFonts w:eastAsia="PMingLiU"/>
          <w:lang w:bidi="en-US"/>
        </w:rPr>
        <w:t xml:space="preserve">the </w:t>
      </w:r>
      <w:r w:rsidRPr="000355FE">
        <w:rPr>
          <w:rFonts w:eastAsia="PMingLiU"/>
          <w:lang w:bidi="en-US"/>
        </w:rPr>
        <w:t>estimated storage time</w:t>
      </w:r>
      <w:r>
        <w:rPr>
          <w:rFonts w:eastAsia="PMingLiU"/>
          <w:lang w:bidi="en-US"/>
        </w:rPr>
        <w:t xml:space="preserve"> </w:t>
      </w:r>
      <w:r w:rsidRPr="000355FE">
        <w:rPr>
          <w:rFonts w:eastAsia="PMingLiU"/>
          <w:lang w:bidi="en-US"/>
        </w:rPr>
        <w:t xml:space="preserve">series, the monthly time-series area </w:t>
      </w:r>
      <w:r>
        <w:rPr>
          <w:rFonts w:eastAsia="PMingLiU"/>
          <w:lang w:bidi="en-US"/>
        </w:rPr>
        <w:t xml:space="preserve">values </w:t>
      </w:r>
      <w:r w:rsidR="00110A4A">
        <w:rPr>
          <w:rFonts w:eastAsia="PMingLiU"/>
          <w:lang w:bidi="en-US"/>
        </w:rPr>
        <w:t xml:space="preserve">were </w:t>
      </w:r>
      <w:r>
        <w:rPr>
          <w:rFonts w:eastAsia="PMingLiU"/>
          <w:lang w:bidi="en-US"/>
        </w:rPr>
        <w:t xml:space="preserve">projected, </w:t>
      </w:r>
      <w:r w:rsidRPr="000355FE">
        <w:rPr>
          <w:rFonts w:eastAsia="PMingLiU"/>
          <w:lang w:bidi="en-US"/>
        </w:rPr>
        <w:t xml:space="preserve">and the volume of evaporation loss for each reservoir </w:t>
      </w:r>
      <w:r w:rsidR="00110A4A">
        <w:rPr>
          <w:rFonts w:eastAsia="PMingLiU"/>
          <w:lang w:bidi="en-US"/>
        </w:rPr>
        <w:t xml:space="preserve">was </w:t>
      </w:r>
      <w:r>
        <w:rPr>
          <w:rFonts w:eastAsia="PMingLiU"/>
          <w:lang w:bidi="en-US"/>
        </w:rPr>
        <w:t>calculated</w:t>
      </w:r>
      <w:r w:rsidRPr="000355FE">
        <w:rPr>
          <w:rFonts w:eastAsia="PMingLiU"/>
          <w:lang w:bidi="en-US"/>
        </w:rPr>
        <w:t xml:space="preserve"> by multiplying the reservoir surface area by the evaporation rate under </w:t>
      </w:r>
      <w:r>
        <w:rPr>
          <w:rFonts w:eastAsia="PMingLiU"/>
          <w:lang w:bidi="en-US"/>
        </w:rPr>
        <w:t xml:space="preserve">the </w:t>
      </w:r>
      <w:r w:rsidRPr="000355FE">
        <w:rPr>
          <w:rFonts w:eastAsia="PMingLiU"/>
          <w:lang w:bidi="en-US"/>
        </w:rPr>
        <w:t>CMIP6 scenarios.</w:t>
      </w:r>
    </w:p>
    <w:p w14:paraId="6431E430" w14:textId="77777777" w:rsidR="009868FB" w:rsidRDefault="009868FB" w:rsidP="009868FB">
      <w:pPr>
        <w:pStyle w:val="FIGUREposition"/>
        <w:rPr>
          <w:lang w:eastAsia="zh-TW"/>
        </w:rPr>
      </w:pPr>
      <w:r>
        <w:rPr>
          <w:noProof/>
        </w:rPr>
        <w:lastRenderedPageBreak/>
        <w:drawing>
          <wp:inline distT="0" distB="0" distL="0" distR="0" wp14:anchorId="0A6FB6B7" wp14:editId="7AC13C14">
            <wp:extent cx="5943600" cy="474599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0">
                      <a:extLst>
                        <a:ext uri="{28A0092B-C50C-407E-A947-70E740481C1C}">
                          <a14:useLocalDpi xmlns:a14="http://schemas.microsoft.com/office/drawing/2010/main" val="0"/>
                        </a:ext>
                      </a:extLst>
                    </a:blip>
                    <a:stretch>
                      <a:fillRect/>
                    </a:stretch>
                  </pic:blipFill>
                  <pic:spPr>
                    <a:xfrm>
                      <a:off x="0" y="0"/>
                      <a:ext cx="5943600" cy="4745990"/>
                    </a:xfrm>
                    <a:prstGeom prst="rect">
                      <a:avLst/>
                    </a:prstGeom>
                  </pic:spPr>
                </pic:pic>
              </a:graphicData>
            </a:graphic>
          </wp:inline>
        </w:drawing>
      </w:r>
    </w:p>
    <w:p w14:paraId="690BF2D5" w14:textId="4A3A014B" w:rsidR="009868FB" w:rsidRDefault="009868FB" w:rsidP="009868FB">
      <w:pPr>
        <w:pStyle w:val="FigureCaption"/>
        <w:rPr>
          <w:lang w:eastAsia="zh-CN"/>
        </w:rPr>
      </w:pPr>
      <w:bookmarkStart w:id="196" w:name="_Ref72831769"/>
      <w:bookmarkStart w:id="197" w:name="_Toc113380886"/>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22</w:t>
      </w:r>
      <w:r w:rsidRPr="006869CA">
        <w:rPr>
          <w:lang w:eastAsia="zh-TW"/>
        </w:rPr>
        <w:fldChar w:fldCharType="end"/>
      </w:r>
      <w:bookmarkEnd w:id="196"/>
      <w:r w:rsidRPr="006869CA">
        <w:rPr>
          <w:lang w:eastAsia="zh-TW"/>
        </w:rPr>
        <w:t xml:space="preserve">. </w:t>
      </w:r>
      <w:r>
        <w:rPr>
          <w:szCs w:val="24"/>
          <w:lang w:eastAsia="zh-CN"/>
        </w:rPr>
        <w:t>The process of</w:t>
      </w:r>
      <w:r>
        <w:t xml:space="preserve"> reservoir storage projection based on inflow data: (</w:t>
      </w:r>
      <w:r>
        <w:rPr>
          <w:lang w:eastAsia="zh-CN"/>
        </w:rPr>
        <w:t>a) observed storage decomposition, (b) inflow (control run) decomposition, (c) relationship between storage rolling average and</w:t>
      </w:r>
      <w:r w:rsidR="00110A4A">
        <w:rPr>
          <w:lang w:eastAsia="zh-CN"/>
        </w:rPr>
        <w:t> </w:t>
      </w:r>
      <w:r>
        <w:rPr>
          <w:lang w:eastAsia="zh-CN"/>
        </w:rPr>
        <w:t>inflow rolling average, (d) CMIP6 storage rolling average estimation, (e) CMIP6 storage estimation,</w:t>
      </w:r>
      <w:r w:rsidR="00110A4A">
        <w:rPr>
          <w:lang w:eastAsia="zh-CN"/>
        </w:rPr>
        <w:t> </w:t>
      </w:r>
      <w:r>
        <w:rPr>
          <w:lang w:eastAsia="zh-CN"/>
        </w:rPr>
        <w:t>and</w:t>
      </w:r>
      <w:r w:rsidR="00110A4A">
        <w:rPr>
          <w:lang w:eastAsia="zh-CN"/>
        </w:rPr>
        <w:t> </w:t>
      </w:r>
      <w:r>
        <w:rPr>
          <w:lang w:eastAsia="zh-CN"/>
        </w:rPr>
        <w:t>(f)</w:t>
      </w:r>
      <w:r w:rsidR="00110A4A">
        <w:rPr>
          <w:lang w:eastAsia="zh-CN"/>
        </w:rPr>
        <w:t> </w:t>
      </w:r>
      <w:r>
        <w:rPr>
          <w:lang w:eastAsia="zh-CN"/>
        </w:rPr>
        <w:t>relationship between observed storage and area (remotely sensed).</w:t>
      </w:r>
      <w:bookmarkEnd w:id="197"/>
    </w:p>
    <w:p w14:paraId="13D411AE" w14:textId="0A7FC61F" w:rsidR="00AC34B9" w:rsidRPr="006D08C0" w:rsidRDefault="00AC34B9" w:rsidP="00AC34B9">
      <w:pPr>
        <w:pStyle w:val="Heading3"/>
      </w:pPr>
      <w:bookmarkStart w:id="198" w:name="_Toc82442015"/>
      <w:bookmarkStart w:id="199" w:name="_Toc82676055"/>
      <w:bookmarkStart w:id="200" w:name="_Toc82699445"/>
      <w:bookmarkStart w:id="201" w:name="_Toc113380788"/>
      <w:bookmarkEnd w:id="198"/>
      <w:bookmarkEnd w:id="199"/>
      <w:bookmarkEnd w:id="200"/>
      <w:r w:rsidRPr="006D08C0">
        <w:t>Model Validation</w:t>
      </w:r>
      <w:bookmarkEnd w:id="201"/>
    </w:p>
    <w:p w14:paraId="58593423" w14:textId="4FCC0DD8" w:rsidR="00C92ECF" w:rsidRDefault="00C92ECF" w:rsidP="00C92ECF">
      <w:pPr>
        <w:pStyle w:val="BodyText"/>
        <w:rPr>
          <w:rFonts w:eastAsia="PMingLiU"/>
          <w:lang w:bidi="en-US"/>
        </w:rPr>
      </w:pPr>
      <w:r>
        <w:rPr>
          <w:rFonts w:eastAsia="PMingLiU"/>
          <w:lang w:bidi="en-US"/>
        </w:rPr>
        <w:fldChar w:fldCharType="begin"/>
      </w:r>
      <w:r>
        <w:rPr>
          <w:rFonts w:eastAsia="PMingLiU"/>
          <w:lang w:bidi="en-US"/>
        </w:rPr>
        <w:instrText xml:space="preserve"> REF _Ref72831858 \h </w:instrText>
      </w:r>
      <w:r>
        <w:rPr>
          <w:rFonts w:eastAsia="PMingLiU"/>
          <w:lang w:bidi="en-US"/>
        </w:rPr>
      </w:r>
      <w:r>
        <w:rPr>
          <w:rFonts w:eastAsia="PMingLiU"/>
          <w:lang w:bidi="en-US"/>
        </w:rP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23</w:t>
      </w:r>
      <w:r>
        <w:rPr>
          <w:rFonts w:eastAsia="PMingLiU"/>
          <w:lang w:bidi="en-US"/>
        </w:rPr>
        <w:fldChar w:fldCharType="end"/>
      </w:r>
      <w:r w:rsidRPr="001D5312">
        <w:rPr>
          <w:rFonts w:eastAsia="PMingLiU"/>
          <w:lang w:bidi="en-US"/>
        </w:rPr>
        <w:t xml:space="preserve"> shows the validation results of the </w:t>
      </w:r>
      <w:r>
        <w:rPr>
          <w:rFonts w:eastAsia="PMingLiU"/>
          <w:lang w:bidi="en-US"/>
        </w:rPr>
        <w:t>LEM</w:t>
      </w:r>
      <w:r w:rsidR="00A33874">
        <w:rPr>
          <w:rFonts w:eastAsia="PMingLiU"/>
          <w:lang w:bidi="en-US"/>
        </w:rPr>
        <w:t>-</w:t>
      </w:r>
      <w:r>
        <w:rPr>
          <w:rFonts w:eastAsia="PMingLiU"/>
          <w:lang w:bidi="en-US"/>
        </w:rPr>
        <w:t xml:space="preserve">simulated </w:t>
      </w:r>
      <w:r w:rsidRPr="001D5312">
        <w:rPr>
          <w:rFonts w:eastAsia="PMingLiU"/>
          <w:lang w:bidi="en-US"/>
        </w:rPr>
        <w:t xml:space="preserve">evaporation rate </w:t>
      </w:r>
      <w:r>
        <w:rPr>
          <w:rFonts w:eastAsia="PMingLiU"/>
          <w:lang w:bidi="en-US"/>
        </w:rPr>
        <w:t>during the historical period</w:t>
      </w:r>
      <w:r w:rsidRPr="001D5312">
        <w:rPr>
          <w:rFonts w:eastAsia="PMingLiU"/>
          <w:lang w:bidi="en-US"/>
        </w:rPr>
        <w:t xml:space="preserve"> at locations in </w:t>
      </w:r>
      <w:r w:rsidR="008E0F9F">
        <w:rPr>
          <w:rFonts w:eastAsia="PMingLiU"/>
          <w:lang w:bidi="en-US"/>
        </w:rPr>
        <w:t>which</w:t>
      </w:r>
      <w:r w:rsidR="008E0F9F" w:rsidRPr="001D5312">
        <w:rPr>
          <w:rFonts w:eastAsia="PMingLiU"/>
          <w:lang w:bidi="en-US"/>
        </w:rPr>
        <w:t xml:space="preserve"> </w:t>
      </w:r>
      <w:r w:rsidRPr="001D5312">
        <w:rPr>
          <w:rFonts w:eastAsia="PMingLiU"/>
          <w:lang w:bidi="en-US"/>
        </w:rPr>
        <w:t>in</w:t>
      </w:r>
      <w:r w:rsidR="008B77E4">
        <w:rPr>
          <w:rFonts w:eastAsia="PMingLiU"/>
          <w:lang w:bidi="en-US"/>
        </w:rPr>
        <w:t xml:space="preserve"> </w:t>
      </w:r>
      <w:r w:rsidRPr="001D5312">
        <w:rPr>
          <w:rFonts w:eastAsia="PMingLiU"/>
          <w:lang w:bidi="en-US"/>
        </w:rPr>
        <w:t xml:space="preserve">situ observations </w:t>
      </w:r>
      <w:r w:rsidR="00110A4A">
        <w:rPr>
          <w:rFonts w:eastAsia="PMingLiU"/>
          <w:lang w:bidi="en-US"/>
        </w:rPr>
        <w:t xml:space="preserve">were </w:t>
      </w:r>
      <w:r w:rsidRPr="001D5312">
        <w:rPr>
          <w:rFonts w:eastAsia="PMingLiU"/>
          <w:lang w:bidi="en-US"/>
        </w:rPr>
        <w:t xml:space="preserve">available. For Lake Mead, there </w:t>
      </w:r>
      <w:r w:rsidR="00110A4A">
        <w:rPr>
          <w:rFonts w:eastAsia="PMingLiU"/>
          <w:lang w:bidi="en-US"/>
        </w:rPr>
        <w:t xml:space="preserve">were </w:t>
      </w:r>
      <w:r w:rsidRPr="001D5312">
        <w:rPr>
          <w:rFonts w:eastAsia="PMingLiU"/>
          <w:lang w:bidi="en-US"/>
        </w:rPr>
        <w:t xml:space="preserve">apparent time lags and magnitude differences between the observed and modeled evaporation when heat storage </w:t>
      </w:r>
      <w:r w:rsidR="00110A4A">
        <w:rPr>
          <w:rFonts w:eastAsia="PMingLiU"/>
          <w:lang w:bidi="en-US"/>
        </w:rPr>
        <w:t xml:space="preserve">was </w:t>
      </w:r>
      <w:r w:rsidRPr="001D5312">
        <w:rPr>
          <w:rFonts w:eastAsia="PMingLiU"/>
          <w:lang w:bidi="en-US"/>
        </w:rPr>
        <w:t>not considered. By incorporating the heat storage term into the algorithm, the R</w:t>
      </w:r>
      <w:r w:rsidRPr="001D5312">
        <w:rPr>
          <w:rFonts w:eastAsia="PMingLiU"/>
          <w:vertAlign w:val="superscript"/>
          <w:lang w:bidi="en-US"/>
        </w:rPr>
        <w:t>2</w:t>
      </w:r>
      <w:r w:rsidRPr="001D5312">
        <w:rPr>
          <w:rFonts w:eastAsia="PMingLiU"/>
          <w:lang w:bidi="en-US"/>
        </w:rPr>
        <w:t xml:space="preserve"> increase</w:t>
      </w:r>
      <w:r w:rsidR="00110A4A">
        <w:rPr>
          <w:rFonts w:eastAsia="PMingLiU"/>
          <w:lang w:bidi="en-US"/>
        </w:rPr>
        <w:t>d</w:t>
      </w:r>
      <w:r w:rsidRPr="001D5312">
        <w:rPr>
          <w:rFonts w:eastAsia="PMingLiU"/>
          <w:lang w:bidi="en-US"/>
        </w:rPr>
        <w:t xml:space="preserve"> from 0.29 to 0.84</w:t>
      </w:r>
      <w:r w:rsidR="00110A4A">
        <w:rPr>
          <w:rFonts w:eastAsia="PMingLiU"/>
          <w:lang w:bidi="en-US"/>
        </w:rPr>
        <w:t>;</w:t>
      </w:r>
      <w:r w:rsidRPr="001D5312">
        <w:rPr>
          <w:rFonts w:eastAsia="PMingLiU"/>
          <w:lang w:bidi="en-US"/>
        </w:rPr>
        <w:t xml:space="preserve"> the underestimation </w:t>
      </w:r>
      <w:r w:rsidR="00110A4A">
        <w:rPr>
          <w:rFonts w:eastAsia="PMingLiU"/>
          <w:lang w:bidi="en-US"/>
        </w:rPr>
        <w:t xml:space="preserve">was </w:t>
      </w:r>
      <w:r w:rsidRPr="001D5312">
        <w:rPr>
          <w:rFonts w:eastAsia="PMingLiU"/>
          <w:lang w:bidi="en-US"/>
        </w:rPr>
        <w:t>likely caused by the advective energy</w:t>
      </w:r>
      <w:r>
        <w:rPr>
          <w:rFonts w:eastAsia="PMingLiU"/>
          <w:lang w:bidi="en-US"/>
        </w:rPr>
        <w:t xml:space="preserve"> (i.e., heat transferred by water movement)</w:t>
      </w:r>
      <w:r w:rsidRPr="001D5312">
        <w:rPr>
          <w:rFonts w:eastAsia="PMingLiU"/>
          <w:lang w:bidi="en-US"/>
        </w:rPr>
        <w:t>. The R</w:t>
      </w:r>
      <w:r w:rsidRPr="001D5312">
        <w:rPr>
          <w:rFonts w:eastAsia="PMingLiU"/>
          <w:vertAlign w:val="superscript"/>
          <w:lang w:bidi="en-US"/>
        </w:rPr>
        <w:t>2</w:t>
      </w:r>
      <w:r w:rsidRPr="001D5312">
        <w:rPr>
          <w:rFonts w:eastAsia="PMingLiU"/>
          <w:lang w:bidi="en-US"/>
        </w:rPr>
        <w:t xml:space="preserve"> </w:t>
      </w:r>
      <w:r w:rsidR="00110A4A">
        <w:rPr>
          <w:rFonts w:eastAsia="PMingLiU"/>
          <w:lang w:bidi="en-US"/>
        </w:rPr>
        <w:t xml:space="preserve">increased </w:t>
      </w:r>
      <w:r w:rsidRPr="001D5312">
        <w:rPr>
          <w:rFonts w:eastAsia="PMingLiU"/>
          <w:lang w:bidi="en-US"/>
        </w:rPr>
        <w:t xml:space="preserve">from 0.73 to 0.93 </w:t>
      </w:r>
      <w:r>
        <w:rPr>
          <w:rFonts w:eastAsia="PMingLiU"/>
          <w:lang w:bidi="en-US"/>
        </w:rPr>
        <w:t>at</w:t>
      </w:r>
      <w:r w:rsidRPr="001D5312">
        <w:rPr>
          <w:rFonts w:eastAsia="PMingLiU"/>
          <w:lang w:bidi="en-US"/>
        </w:rPr>
        <w:t xml:space="preserve"> </w:t>
      </w:r>
      <w:r w:rsidR="008E0F9F">
        <w:rPr>
          <w:rFonts w:eastAsia="PMingLiU"/>
          <w:lang w:bidi="en-US"/>
        </w:rPr>
        <w:t>the</w:t>
      </w:r>
      <w:r w:rsidRPr="001D5312">
        <w:rPr>
          <w:rFonts w:eastAsia="PMingLiU"/>
          <w:lang w:bidi="en-US"/>
        </w:rPr>
        <w:t xml:space="preserve"> Ross Barnett Reservoir, from 0.93 to 0.94 </w:t>
      </w:r>
      <w:r>
        <w:rPr>
          <w:rFonts w:eastAsia="PMingLiU"/>
          <w:lang w:bidi="en-US"/>
        </w:rPr>
        <w:t>at</w:t>
      </w:r>
      <w:r w:rsidRPr="001D5312">
        <w:rPr>
          <w:rFonts w:eastAsia="PMingLiU"/>
          <w:lang w:bidi="en-US"/>
        </w:rPr>
        <w:t xml:space="preserve"> Lake Calm, and from 0.55 to 0.87 </w:t>
      </w:r>
      <w:r>
        <w:rPr>
          <w:rFonts w:eastAsia="PMingLiU"/>
          <w:lang w:bidi="en-US"/>
        </w:rPr>
        <w:t>at</w:t>
      </w:r>
      <w:r w:rsidRPr="001D5312">
        <w:rPr>
          <w:rFonts w:eastAsia="PMingLiU"/>
          <w:lang w:bidi="en-US"/>
        </w:rPr>
        <w:t xml:space="preserve"> Lake Five-O. </w:t>
      </w:r>
      <w:r>
        <w:rPr>
          <w:rFonts w:eastAsia="PMingLiU"/>
          <w:lang w:bidi="en-US"/>
        </w:rPr>
        <w:t>A</w:t>
      </w:r>
      <w:r w:rsidRPr="001D5312">
        <w:rPr>
          <w:rFonts w:eastAsia="PMingLiU"/>
          <w:lang w:bidi="en-US"/>
        </w:rPr>
        <w:t xml:space="preserve">fter adding </w:t>
      </w:r>
      <w:r>
        <w:rPr>
          <w:rFonts w:eastAsia="PMingLiU"/>
          <w:lang w:bidi="en-US"/>
        </w:rPr>
        <w:t xml:space="preserve">the </w:t>
      </w:r>
      <w:r w:rsidRPr="001D5312">
        <w:rPr>
          <w:rFonts w:eastAsia="PMingLiU"/>
          <w:lang w:bidi="en-US"/>
        </w:rPr>
        <w:t>heat storage</w:t>
      </w:r>
      <w:r>
        <w:rPr>
          <w:rFonts w:eastAsia="PMingLiU"/>
          <w:lang w:bidi="en-US"/>
        </w:rPr>
        <w:t xml:space="preserve"> term,</w:t>
      </w:r>
      <w:r w:rsidRPr="001D5312">
        <w:rPr>
          <w:rFonts w:eastAsia="PMingLiU"/>
          <w:lang w:bidi="en-US"/>
        </w:rPr>
        <w:t xml:space="preserve"> White Bear Lake </w:t>
      </w:r>
      <w:r w:rsidR="00110A4A">
        <w:rPr>
          <w:rFonts w:eastAsia="PMingLiU"/>
          <w:lang w:bidi="en-US"/>
        </w:rPr>
        <w:t xml:space="preserve">was </w:t>
      </w:r>
      <w:r w:rsidRPr="001D5312">
        <w:rPr>
          <w:rFonts w:eastAsia="PMingLiU"/>
          <w:lang w:bidi="en-US"/>
        </w:rPr>
        <w:t>the only one of these five lakes with a decreased R</w:t>
      </w:r>
      <w:r w:rsidRPr="001D5312">
        <w:rPr>
          <w:rFonts w:eastAsia="PMingLiU"/>
          <w:vertAlign w:val="superscript"/>
          <w:lang w:bidi="en-US"/>
        </w:rPr>
        <w:t>2</w:t>
      </w:r>
      <w:r w:rsidRPr="001D5312">
        <w:rPr>
          <w:rFonts w:eastAsia="PMingLiU"/>
          <w:lang w:bidi="en-US"/>
        </w:rPr>
        <w:t xml:space="preserve"> (from 0.69 to 0.64) and a slightly smaller root mean square error (RMSE). </w:t>
      </w:r>
      <w:r>
        <w:rPr>
          <w:rFonts w:eastAsia="PMingLiU"/>
          <w:lang w:bidi="en-US"/>
        </w:rPr>
        <w:t>This</w:t>
      </w:r>
      <w:r w:rsidRPr="001D5312">
        <w:rPr>
          <w:rFonts w:eastAsia="PMingLiU"/>
          <w:lang w:bidi="en-US"/>
        </w:rPr>
        <w:t xml:space="preserve"> </w:t>
      </w:r>
      <w:r w:rsidR="00F77640">
        <w:rPr>
          <w:rFonts w:eastAsia="PMingLiU"/>
          <w:lang w:bidi="en-US"/>
        </w:rPr>
        <w:t>can be</w:t>
      </w:r>
      <w:r w:rsidRPr="001D5312">
        <w:rPr>
          <w:rFonts w:eastAsia="PMingLiU"/>
          <w:lang w:bidi="en-US"/>
        </w:rPr>
        <w:t xml:space="preserve"> attributed to an overestimation in 2014 </w:t>
      </w:r>
      <w:r w:rsidR="00F77640">
        <w:rPr>
          <w:rFonts w:eastAsia="PMingLiU"/>
          <w:lang w:bidi="en-US"/>
        </w:rPr>
        <w:t>because</w:t>
      </w:r>
      <w:r w:rsidRPr="001D5312">
        <w:rPr>
          <w:rFonts w:eastAsia="PMingLiU"/>
          <w:lang w:bidi="en-US"/>
        </w:rPr>
        <w:t xml:space="preserve"> the R</w:t>
      </w:r>
      <w:r w:rsidRPr="001D5312">
        <w:rPr>
          <w:rFonts w:eastAsia="PMingLiU"/>
          <w:vertAlign w:val="superscript"/>
          <w:lang w:bidi="en-US"/>
        </w:rPr>
        <w:t>2</w:t>
      </w:r>
      <w:r w:rsidRPr="001D5312">
        <w:rPr>
          <w:rFonts w:eastAsia="PMingLiU"/>
          <w:lang w:bidi="en-US"/>
        </w:rPr>
        <w:t xml:space="preserve"> in 2015 improve</w:t>
      </w:r>
      <w:r w:rsidR="00110A4A">
        <w:rPr>
          <w:rFonts w:eastAsia="PMingLiU"/>
          <w:lang w:bidi="en-US"/>
        </w:rPr>
        <w:t>d</w:t>
      </w:r>
      <w:r w:rsidRPr="001D5312">
        <w:rPr>
          <w:rFonts w:eastAsia="PMingLiU"/>
          <w:lang w:bidi="en-US"/>
        </w:rPr>
        <w:t xml:space="preserve"> from 0.34 to 0.78. </w:t>
      </w:r>
      <w:r w:rsidR="00110A4A">
        <w:rPr>
          <w:rFonts w:eastAsia="PMingLiU"/>
          <w:lang w:bidi="en-US"/>
        </w:rPr>
        <w:t xml:space="preserve">In </w:t>
      </w:r>
      <w:r w:rsidRPr="001D5312">
        <w:rPr>
          <w:rFonts w:eastAsia="PMingLiU"/>
          <w:lang w:bidi="en-US"/>
        </w:rPr>
        <w:t xml:space="preserve">general, these validation sites show significant improvement after considering </w:t>
      </w:r>
      <w:r>
        <w:rPr>
          <w:rFonts w:eastAsia="PMingLiU"/>
          <w:lang w:bidi="en-US"/>
        </w:rPr>
        <w:t xml:space="preserve">the effects of </w:t>
      </w:r>
      <w:r w:rsidRPr="001D5312">
        <w:rPr>
          <w:rFonts w:eastAsia="PMingLiU"/>
          <w:lang w:bidi="en-US"/>
        </w:rPr>
        <w:t>heat storage</w:t>
      </w:r>
      <w:r>
        <w:rPr>
          <w:rFonts w:eastAsia="PMingLiU"/>
          <w:lang w:bidi="en-US"/>
        </w:rPr>
        <w:t>.</w:t>
      </w:r>
    </w:p>
    <w:p w14:paraId="21F14947" w14:textId="6B4FF69A" w:rsidR="005D5E34" w:rsidRDefault="00771843" w:rsidP="00093CC9">
      <w:pPr>
        <w:pStyle w:val="FIGUREposition"/>
        <w:rPr>
          <w:lang w:eastAsia="zh-TW"/>
        </w:rPr>
      </w:pPr>
      <w:r>
        <w:rPr>
          <w:noProof/>
        </w:rPr>
        <w:lastRenderedPageBreak/>
        <w:drawing>
          <wp:inline distT="0" distB="0" distL="0" distR="0" wp14:anchorId="75B461A9" wp14:editId="1BF9AC81">
            <wp:extent cx="5943600" cy="325945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259455"/>
                    </a:xfrm>
                    <a:prstGeom prst="rect">
                      <a:avLst/>
                    </a:prstGeom>
                  </pic:spPr>
                </pic:pic>
              </a:graphicData>
            </a:graphic>
          </wp:inline>
        </w:drawing>
      </w:r>
    </w:p>
    <w:p w14:paraId="3DF88EC0" w14:textId="47B11B2C" w:rsidR="00093CC9" w:rsidRPr="00093CC9" w:rsidRDefault="005D5E34" w:rsidP="00093CC9">
      <w:pPr>
        <w:pStyle w:val="FigureCaption"/>
        <w:rPr>
          <w:vanish/>
          <w:specVanish/>
        </w:rPr>
      </w:pPr>
      <w:bookmarkStart w:id="202" w:name="_Ref72831858"/>
      <w:bookmarkStart w:id="203" w:name="_Toc113380887"/>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23</w:t>
      </w:r>
      <w:r w:rsidRPr="006869CA">
        <w:rPr>
          <w:lang w:eastAsia="zh-TW"/>
        </w:rPr>
        <w:fldChar w:fldCharType="end"/>
      </w:r>
      <w:bookmarkEnd w:id="202"/>
      <w:r w:rsidRPr="006869CA">
        <w:rPr>
          <w:lang w:eastAsia="zh-TW"/>
        </w:rPr>
        <w:t xml:space="preserve">. </w:t>
      </w:r>
      <w:r w:rsidR="00203956">
        <w:t>Validation of modeled and observed evaporation rate for (a) Lake Mead (Nevada/Arizona) with eddy covariance (EC) measurements, (b) White Bear Lake (Minnesota) with EC measurements, (c) Ross Barnett Reservoir (Mississippi) with EC measurements, (d) Lake Calm (Florida) with Bowen ratio energy budget (BREB) estimates, and (e) Lake Five-O (Florida) with BREB estimates.</w:t>
      </w:r>
      <w:bookmarkEnd w:id="203"/>
      <w:r w:rsidR="00203956">
        <w:t xml:space="preserve"> </w:t>
      </w:r>
    </w:p>
    <w:p w14:paraId="5ED98DF1" w14:textId="37010600" w:rsidR="005D5E34" w:rsidRDefault="00203956" w:rsidP="00093CC9">
      <w:pPr>
        <w:pStyle w:val="FigureCaptionSeparator"/>
      </w:pPr>
      <w:r>
        <w:t>The shaded area represents the estimation uncertainty from different input forcing</w:t>
      </w:r>
      <w:r w:rsidR="00D64187">
        <w:t xml:space="preserve"> </w:t>
      </w:r>
      <w:r w:rsidR="005606E5">
        <w:t>data sets</w:t>
      </w:r>
      <w:r w:rsidR="00D64187">
        <w:t xml:space="preserve"> </w:t>
      </w:r>
      <w:r>
        <w:t>(i.e., TerraClimate, NLDAS, and GLDAS</w:t>
      </w:r>
      <w:r w:rsidR="002C4F1A">
        <w:t>).</w:t>
      </w:r>
    </w:p>
    <w:p w14:paraId="3F42C004" w14:textId="463A5732" w:rsidR="00A808EB" w:rsidRDefault="00A808EB" w:rsidP="00A808EB">
      <w:pPr>
        <w:pStyle w:val="BodyText"/>
        <w:rPr>
          <w:szCs w:val="24"/>
          <w:lang w:eastAsia="zh-CN"/>
        </w:rPr>
      </w:pPr>
      <w:r>
        <w:rPr>
          <w:szCs w:val="24"/>
          <w:lang w:eastAsia="zh-CN"/>
        </w:rPr>
        <w:t>A</w:t>
      </w:r>
      <w:r w:rsidRPr="001D5312">
        <w:rPr>
          <w:szCs w:val="24"/>
          <w:lang w:eastAsia="zh-CN"/>
        </w:rPr>
        <w:t xml:space="preserve">s an essential step </w:t>
      </w:r>
      <w:r w:rsidR="00117AA6">
        <w:rPr>
          <w:szCs w:val="24"/>
          <w:lang w:eastAsia="zh-CN"/>
        </w:rPr>
        <w:t>for</w:t>
      </w:r>
      <w:r w:rsidR="00117AA6" w:rsidRPr="001D5312">
        <w:rPr>
          <w:szCs w:val="24"/>
          <w:lang w:eastAsia="zh-CN"/>
        </w:rPr>
        <w:t xml:space="preserve"> </w:t>
      </w:r>
      <w:r w:rsidRPr="001D5312">
        <w:rPr>
          <w:szCs w:val="24"/>
          <w:lang w:eastAsia="zh-CN"/>
        </w:rPr>
        <w:t>project</w:t>
      </w:r>
      <w:r w:rsidR="00117AA6">
        <w:rPr>
          <w:szCs w:val="24"/>
          <w:lang w:eastAsia="zh-CN"/>
        </w:rPr>
        <w:t>ing</w:t>
      </w:r>
      <w:r w:rsidRPr="001D5312">
        <w:rPr>
          <w:szCs w:val="24"/>
          <w:lang w:eastAsia="zh-CN"/>
        </w:rPr>
        <w:t xml:space="preserve"> future reservoir storage </w:t>
      </w:r>
      <w:r w:rsidR="00117AA6">
        <w:rPr>
          <w:szCs w:val="24"/>
          <w:lang w:eastAsia="zh-CN"/>
        </w:rPr>
        <w:t>while considering</w:t>
      </w:r>
      <w:r w:rsidR="00117AA6" w:rsidRPr="001D5312">
        <w:rPr>
          <w:szCs w:val="24"/>
          <w:lang w:eastAsia="zh-CN"/>
        </w:rPr>
        <w:t xml:space="preserve"> </w:t>
      </w:r>
      <w:r w:rsidRPr="001D5312">
        <w:rPr>
          <w:szCs w:val="24"/>
          <w:lang w:eastAsia="zh-CN"/>
        </w:rPr>
        <w:t xml:space="preserve">climate change, the </w:t>
      </w:r>
      <w:r w:rsidRPr="00674253">
        <w:rPr>
          <w:iCs/>
          <w:szCs w:val="24"/>
          <w:lang w:eastAsia="zh-CN"/>
        </w:rPr>
        <w:t>storage-runoff</w:t>
      </w:r>
      <w:r w:rsidR="00117AA6" w:rsidRPr="001D5312">
        <w:rPr>
          <w:szCs w:val="24"/>
          <w:lang w:eastAsia="zh-CN"/>
        </w:rPr>
        <w:t xml:space="preserve"> </w:t>
      </w:r>
      <w:r w:rsidRPr="001D5312">
        <w:rPr>
          <w:szCs w:val="24"/>
          <w:lang w:eastAsia="zh-CN"/>
        </w:rPr>
        <w:t>relationship</w:t>
      </w:r>
      <w:r>
        <w:rPr>
          <w:szCs w:val="24"/>
          <w:lang w:eastAsia="zh-CN"/>
        </w:rPr>
        <w:t>s</w:t>
      </w:r>
      <w:r w:rsidRPr="001D5312">
        <w:rPr>
          <w:szCs w:val="24"/>
          <w:lang w:eastAsia="zh-CN"/>
        </w:rPr>
        <w:t xml:space="preserve"> </w:t>
      </w:r>
      <w:r w:rsidR="00110A4A">
        <w:rPr>
          <w:szCs w:val="24"/>
          <w:lang w:eastAsia="zh-CN"/>
        </w:rPr>
        <w:t xml:space="preserve">were </w:t>
      </w:r>
      <w:r>
        <w:rPr>
          <w:szCs w:val="24"/>
          <w:lang w:eastAsia="zh-CN"/>
        </w:rPr>
        <w:t>also</w:t>
      </w:r>
      <w:r w:rsidRPr="001D5312">
        <w:rPr>
          <w:szCs w:val="24"/>
          <w:lang w:eastAsia="zh-CN"/>
        </w:rPr>
        <w:t xml:space="preserve"> validated. </w:t>
      </w:r>
      <w:r w:rsidR="00203956" w:rsidRPr="001D5312">
        <w:rPr>
          <w:szCs w:val="24"/>
          <w:lang w:eastAsia="zh-CN"/>
        </w:rPr>
        <w:t xml:space="preserve">The average </w:t>
      </w:r>
      <w:r w:rsidR="00203956">
        <w:rPr>
          <w:szCs w:val="24"/>
          <w:lang w:eastAsia="zh-CN"/>
        </w:rPr>
        <w:t>R</w:t>
      </w:r>
      <w:r w:rsidR="00203956">
        <w:rPr>
          <w:szCs w:val="24"/>
          <w:vertAlign w:val="superscript"/>
          <w:lang w:eastAsia="zh-CN"/>
        </w:rPr>
        <w:t>2</w:t>
      </w:r>
      <w:r w:rsidR="00203956">
        <w:rPr>
          <w:szCs w:val="24"/>
          <w:lang w:eastAsia="zh-CN"/>
        </w:rPr>
        <w:t xml:space="preserve"> between</w:t>
      </w:r>
      <w:r w:rsidR="00203956" w:rsidRPr="001D5312">
        <w:rPr>
          <w:szCs w:val="24"/>
          <w:lang w:eastAsia="zh-CN"/>
        </w:rPr>
        <w:t xml:space="preserve"> observed storage and predicted storage for all</w:t>
      </w:r>
      <w:r w:rsidR="00203956">
        <w:rPr>
          <w:szCs w:val="24"/>
          <w:lang w:eastAsia="zh-CN"/>
        </w:rPr>
        <w:t xml:space="preserve"> the </w:t>
      </w:r>
      <w:r w:rsidR="00203956" w:rsidRPr="001D5312">
        <w:rPr>
          <w:szCs w:val="24"/>
          <w:lang w:eastAsia="zh-CN"/>
        </w:rPr>
        <w:t xml:space="preserve">reservoirs </w:t>
      </w:r>
      <w:r w:rsidR="00203956">
        <w:rPr>
          <w:szCs w:val="24"/>
          <w:lang w:eastAsia="zh-CN"/>
        </w:rPr>
        <w:t xml:space="preserve">combined </w:t>
      </w:r>
      <w:r w:rsidR="00110A4A">
        <w:rPr>
          <w:szCs w:val="24"/>
          <w:lang w:eastAsia="zh-CN"/>
        </w:rPr>
        <w:t xml:space="preserve">was </w:t>
      </w:r>
      <w:r w:rsidR="00203956" w:rsidRPr="001D5312">
        <w:rPr>
          <w:szCs w:val="24"/>
          <w:lang w:eastAsia="zh-CN"/>
        </w:rPr>
        <w:t xml:space="preserve">0.45, and the average </w:t>
      </w:r>
      <w:r w:rsidR="00203956">
        <w:rPr>
          <w:szCs w:val="24"/>
          <w:lang w:eastAsia="zh-CN"/>
        </w:rPr>
        <w:t>normalized RMSE (NRMSE)</w:t>
      </w:r>
      <w:r w:rsidR="00203956" w:rsidRPr="001D5312">
        <w:rPr>
          <w:szCs w:val="24"/>
          <w:lang w:eastAsia="zh-CN"/>
        </w:rPr>
        <w:t xml:space="preserve"> </w:t>
      </w:r>
      <w:r w:rsidR="00110A4A">
        <w:rPr>
          <w:szCs w:val="24"/>
          <w:lang w:eastAsia="zh-CN"/>
        </w:rPr>
        <w:t xml:space="preserve">was approximately </w:t>
      </w:r>
      <w:r w:rsidR="00203956" w:rsidRPr="001D5312">
        <w:rPr>
          <w:szCs w:val="24"/>
          <w:lang w:eastAsia="zh-CN"/>
        </w:rPr>
        <w:t>11.6%.</w:t>
      </w:r>
      <w:r w:rsidR="00203956">
        <w:rPr>
          <w:szCs w:val="24"/>
          <w:lang w:eastAsia="zh-CN"/>
        </w:rPr>
        <w:t xml:space="preserve"> </w:t>
      </w:r>
      <w:r w:rsidR="00203956" w:rsidRPr="001D5312">
        <w:rPr>
          <w:szCs w:val="24"/>
          <w:lang w:eastAsia="zh-CN"/>
        </w:rPr>
        <w:t xml:space="preserve">For </w:t>
      </w:r>
      <w:r w:rsidR="00110A4A" w:rsidRPr="001D5312">
        <w:rPr>
          <w:szCs w:val="24"/>
          <w:lang w:eastAsia="zh-CN"/>
        </w:rPr>
        <w:t xml:space="preserve">Type </w:t>
      </w:r>
      <w:r w:rsidR="00203956" w:rsidRPr="001D5312">
        <w:rPr>
          <w:szCs w:val="24"/>
          <w:lang w:eastAsia="zh-CN"/>
        </w:rPr>
        <w:t>3 reservoirs</w:t>
      </w:r>
      <w:r w:rsidR="00203956">
        <w:rPr>
          <w:szCs w:val="24"/>
          <w:lang w:eastAsia="zh-CN"/>
        </w:rPr>
        <w:t xml:space="preserve">, which are </w:t>
      </w:r>
      <w:r w:rsidR="00203956" w:rsidRPr="001D5312">
        <w:rPr>
          <w:szCs w:val="24"/>
          <w:lang w:eastAsia="zh-CN"/>
        </w:rPr>
        <w:t>mainly affected by interannual variations</w:t>
      </w:r>
      <w:r w:rsidR="00203956">
        <w:rPr>
          <w:szCs w:val="24"/>
          <w:lang w:eastAsia="zh-CN"/>
        </w:rPr>
        <w:t xml:space="preserve">, </w:t>
      </w:r>
      <w:r w:rsidR="00203956" w:rsidRPr="001D5312">
        <w:rPr>
          <w:szCs w:val="24"/>
          <w:lang w:eastAsia="zh-CN"/>
        </w:rPr>
        <w:t>the average R</w:t>
      </w:r>
      <w:r w:rsidR="00203956" w:rsidRPr="001D5312">
        <w:rPr>
          <w:szCs w:val="24"/>
          <w:vertAlign w:val="superscript"/>
          <w:lang w:eastAsia="zh-CN"/>
        </w:rPr>
        <w:t>2</w:t>
      </w:r>
      <w:r w:rsidR="00203956" w:rsidRPr="001D5312">
        <w:rPr>
          <w:szCs w:val="24"/>
          <w:lang w:eastAsia="zh-CN"/>
        </w:rPr>
        <w:t xml:space="preserve"> </w:t>
      </w:r>
      <w:r w:rsidR="00110A4A">
        <w:rPr>
          <w:szCs w:val="24"/>
          <w:lang w:eastAsia="zh-CN"/>
        </w:rPr>
        <w:t xml:space="preserve">was </w:t>
      </w:r>
      <w:r w:rsidR="003D476C">
        <w:rPr>
          <w:szCs w:val="24"/>
          <w:lang w:eastAsia="zh-CN"/>
        </w:rPr>
        <w:t xml:space="preserve">approximately </w:t>
      </w:r>
      <w:r w:rsidR="00203956" w:rsidRPr="001D5312">
        <w:rPr>
          <w:szCs w:val="24"/>
          <w:lang w:eastAsia="zh-CN"/>
        </w:rPr>
        <w:t xml:space="preserve">0.37, and the average NRMSE </w:t>
      </w:r>
      <w:r w:rsidR="00110A4A">
        <w:rPr>
          <w:szCs w:val="24"/>
          <w:lang w:eastAsia="zh-CN"/>
        </w:rPr>
        <w:t xml:space="preserve">was </w:t>
      </w:r>
      <w:r w:rsidR="00203956" w:rsidRPr="001D5312">
        <w:rPr>
          <w:szCs w:val="24"/>
          <w:lang w:eastAsia="zh-CN"/>
        </w:rPr>
        <w:t xml:space="preserve">approximately 16.5%. For </w:t>
      </w:r>
      <w:r w:rsidR="00110A4A" w:rsidRPr="001D5312">
        <w:rPr>
          <w:szCs w:val="24"/>
          <w:lang w:eastAsia="zh-CN"/>
        </w:rPr>
        <w:t xml:space="preserve">Type </w:t>
      </w:r>
      <w:r w:rsidR="00203956" w:rsidRPr="001D5312">
        <w:rPr>
          <w:szCs w:val="24"/>
          <w:lang w:eastAsia="zh-CN"/>
        </w:rPr>
        <w:t xml:space="preserve">2 reservoirs with </w:t>
      </w:r>
      <w:r w:rsidR="00BF5DA5">
        <w:rPr>
          <w:szCs w:val="24"/>
          <w:lang w:eastAsia="zh-CN"/>
        </w:rPr>
        <w:t>strong</w:t>
      </w:r>
      <w:r w:rsidR="00203956" w:rsidRPr="001D5312">
        <w:rPr>
          <w:szCs w:val="24"/>
          <w:lang w:eastAsia="zh-CN"/>
        </w:rPr>
        <w:t xml:space="preserve"> seasonality, the R</w:t>
      </w:r>
      <w:r w:rsidR="00203956" w:rsidRPr="001D5312">
        <w:rPr>
          <w:szCs w:val="24"/>
          <w:vertAlign w:val="superscript"/>
          <w:lang w:eastAsia="zh-CN"/>
        </w:rPr>
        <w:t>2</w:t>
      </w:r>
      <w:r w:rsidR="00203956" w:rsidRPr="001D5312">
        <w:rPr>
          <w:szCs w:val="24"/>
          <w:lang w:eastAsia="zh-CN"/>
        </w:rPr>
        <w:t xml:space="preserve"> </w:t>
      </w:r>
      <w:r w:rsidR="003D476C">
        <w:rPr>
          <w:szCs w:val="24"/>
          <w:lang w:eastAsia="zh-CN"/>
        </w:rPr>
        <w:t xml:space="preserve">was </w:t>
      </w:r>
      <w:r w:rsidR="00203956" w:rsidRPr="00174318">
        <w:rPr>
          <w:szCs w:val="24"/>
          <w:lang w:eastAsia="zh-CN"/>
        </w:rPr>
        <w:t>0.76</w:t>
      </w:r>
      <w:r w:rsidR="00203956">
        <w:rPr>
          <w:szCs w:val="24"/>
          <w:lang w:eastAsia="zh-CN"/>
        </w:rPr>
        <w:t xml:space="preserve">, </w:t>
      </w:r>
      <w:r w:rsidR="00203956" w:rsidRPr="001D5312">
        <w:rPr>
          <w:szCs w:val="24"/>
          <w:lang w:eastAsia="zh-CN"/>
        </w:rPr>
        <w:t>and</w:t>
      </w:r>
      <w:r w:rsidR="00203956">
        <w:rPr>
          <w:szCs w:val="24"/>
          <w:lang w:eastAsia="zh-CN"/>
        </w:rPr>
        <w:t xml:space="preserve"> the</w:t>
      </w:r>
      <w:r w:rsidR="00203956" w:rsidRPr="001D5312">
        <w:rPr>
          <w:szCs w:val="24"/>
          <w:lang w:eastAsia="zh-CN"/>
        </w:rPr>
        <w:t xml:space="preserve"> NRMSE </w:t>
      </w:r>
      <w:r w:rsidR="003D476C">
        <w:rPr>
          <w:szCs w:val="24"/>
          <w:lang w:eastAsia="zh-CN"/>
        </w:rPr>
        <w:t xml:space="preserve">was </w:t>
      </w:r>
      <w:r w:rsidR="00203956" w:rsidRPr="001D5312">
        <w:rPr>
          <w:szCs w:val="24"/>
          <w:lang w:eastAsia="zh-CN"/>
        </w:rPr>
        <w:t>10.0%</w:t>
      </w:r>
      <w:r w:rsidR="00203956">
        <w:rPr>
          <w:szCs w:val="24"/>
          <w:lang w:eastAsia="zh-CN"/>
        </w:rPr>
        <w:t>.</w:t>
      </w:r>
      <w:r w:rsidR="00203956" w:rsidRPr="001D5312">
        <w:rPr>
          <w:szCs w:val="24"/>
          <w:lang w:eastAsia="zh-CN"/>
        </w:rPr>
        <w:t xml:space="preserve"> </w:t>
      </w:r>
      <w:r w:rsidR="00203956">
        <w:rPr>
          <w:szCs w:val="24"/>
          <w:lang w:eastAsia="zh-CN"/>
        </w:rPr>
        <w:t>The</w:t>
      </w:r>
      <w:r w:rsidR="00203956" w:rsidRPr="001D5312">
        <w:rPr>
          <w:szCs w:val="24"/>
          <w:lang w:eastAsia="zh-CN"/>
        </w:rPr>
        <w:t xml:space="preserve"> R</w:t>
      </w:r>
      <w:r w:rsidR="00203956" w:rsidRPr="001D5312">
        <w:rPr>
          <w:szCs w:val="24"/>
          <w:vertAlign w:val="superscript"/>
          <w:lang w:eastAsia="zh-CN"/>
        </w:rPr>
        <w:t>2</w:t>
      </w:r>
      <w:r w:rsidR="00203956" w:rsidRPr="001D5312">
        <w:rPr>
          <w:szCs w:val="24"/>
          <w:lang w:eastAsia="zh-CN"/>
        </w:rPr>
        <w:t xml:space="preserve"> </w:t>
      </w:r>
      <w:r w:rsidR="003D476C">
        <w:rPr>
          <w:szCs w:val="24"/>
          <w:lang w:eastAsia="zh-CN"/>
        </w:rPr>
        <w:t xml:space="preserve">was </w:t>
      </w:r>
      <w:r w:rsidR="00203956" w:rsidRPr="001D5312">
        <w:rPr>
          <w:szCs w:val="24"/>
          <w:lang w:eastAsia="zh-CN"/>
        </w:rPr>
        <w:t xml:space="preserve">relatively high because the model retains original seasonal climatology information. For </w:t>
      </w:r>
      <w:r w:rsidR="00110A4A" w:rsidRPr="001D5312">
        <w:rPr>
          <w:szCs w:val="24"/>
          <w:lang w:eastAsia="zh-CN"/>
        </w:rPr>
        <w:t xml:space="preserve">Type </w:t>
      </w:r>
      <w:r w:rsidR="00203956" w:rsidRPr="001D5312">
        <w:rPr>
          <w:szCs w:val="24"/>
          <w:lang w:eastAsia="zh-CN"/>
        </w:rPr>
        <w:t>1</w:t>
      </w:r>
      <w:r w:rsidR="00203956">
        <w:rPr>
          <w:szCs w:val="24"/>
          <w:lang w:eastAsia="zh-CN"/>
        </w:rPr>
        <w:t xml:space="preserve"> reservoirs</w:t>
      </w:r>
      <w:r w:rsidR="00203956" w:rsidRPr="001D5312">
        <w:rPr>
          <w:szCs w:val="24"/>
          <w:lang w:eastAsia="zh-CN"/>
        </w:rPr>
        <w:t>, the average R</w:t>
      </w:r>
      <w:r w:rsidR="00203956" w:rsidRPr="001D5312">
        <w:rPr>
          <w:szCs w:val="24"/>
          <w:vertAlign w:val="superscript"/>
          <w:lang w:eastAsia="zh-CN"/>
        </w:rPr>
        <w:t>2</w:t>
      </w:r>
      <w:r w:rsidR="00203956" w:rsidRPr="001D5312">
        <w:rPr>
          <w:szCs w:val="24"/>
          <w:lang w:eastAsia="zh-CN"/>
        </w:rPr>
        <w:t xml:space="preserve"> </w:t>
      </w:r>
      <w:r w:rsidR="003D476C">
        <w:rPr>
          <w:szCs w:val="24"/>
          <w:lang w:eastAsia="zh-CN"/>
        </w:rPr>
        <w:t xml:space="preserve">was </w:t>
      </w:r>
      <w:r w:rsidR="00203956" w:rsidRPr="001D5312">
        <w:rPr>
          <w:szCs w:val="24"/>
          <w:lang w:eastAsia="zh-CN"/>
        </w:rPr>
        <w:t>0.31</w:t>
      </w:r>
      <w:r w:rsidR="00203956">
        <w:rPr>
          <w:szCs w:val="24"/>
          <w:lang w:eastAsia="zh-CN"/>
        </w:rPr>
        <w:t xml:space="preserve">, </w:t>
      </w:r>
      <w:r w:rsidR="00203956" w:rsidRPr="001D5312">
        <w:rPr>
          <w:szCs w:val="24"/>
          <w:lang w:eastAsia="zh-CN"/>
        </w:rPr>
        <w:t xml:space="preserve">but the average NRMSE </w:t>
      </w:r>
      <w:r w:rsidR="003D476C">
        <w:rPr>
          <w:szCs w:val="24"/>
          <w:lang w:eastAsia="zh-CN"/>
        </w:rPr>
        <w:t xml:space="preserve">was </w:t>
      </w:r>
      <w:r w:rsidR="00203956" w:rsidRPr="001D5312">
        <w:rPr>
          <w:szCs w:val="24"/>
          <w:lang w:eastAsia="zh-CN"/>
        </w:rPr>
        <w:t>only 1.04%, which result</w:t>
      </w:r>
      <w:r w:rsidR="003D476C">
        <w:rPr>
          <w:szCs w:val="24"/>
          <w:lang w:eastAsia="zh-CN"/>
        </w:rPr>
        <w:t>ed</w:t>
      </w:r>
      <w:r w:rsidR="00203956" w:rsidRPr="001D5312">
        <w:rPr>
          <w:szCs w:val="24"/>
          <w:lang w:eastAsia="zh-CN"/>
        </w:rPr>
        <w:t xml:space="preserve"> in a low sensitivity for the evaporation loss estimate</w:t>
      </w:r>
      <w:r w:rsidR="00203956">
        <w:rPr>
          <w:szCs w:val="24"/>
          <w:lang w:eastAsia="zh-CN"/>
        </w:rPr>
        <w:t xml:space="preserve">s. </w:t>
      </w:r>
      <w:r w:rsidR="00203956" w:rsidRPr="001D5312">
        <w:rPr>
          <w:szCs w:val="24"/>
          <w:lang w:eastAsia="zh-CN"/>
        </w:rPr>
        <w:t xml:space="preserve">After applying the A-V empirical relationship, the correlation of the remotely sensed area with the modeled area </w:t>
      </w:r>
      <w:r w:rsidR="003D476C">
        <w:rPr>
          <w:szCs w:val="24"/>
          <w:lang w:eastAsia="zh-CN"/>
        </w:rPr>
        <w:t xml:space="preserve">was approximately </w:t>
      </w:r>
      <w:r w:rsidR="00203956" w:rsidRPr="001D5312">
        <w:rPr>
          <w:szCs w:val="24"/>
          <w:lang w:eastAsia="zh-CN"/>
        </w:rPr>
        <w:t xml:space="preserve">0.23, and the average NRMSE </w:t>
      </w:r>
      <w:r w:rsidR="003D476C">
        <w:rPr>
          <w:szCs w:val="24"/>
          <w:lang w:eastAsia="zh-CN"/>
        </w:rPr>
        <w:t xml:space="preserve">was </w:t>
      </w:r>
      <w:r w:rsidR="00203956" w:rsidRPr="001D5312">
        <w:rPr>
          <w:szCs w:val="24"/>
          <w:lang w:eastAsia="zh-CN"/>
        </w:rPr>
        <w:t xml:space="preserve">only </w:t>
      </w:r>
      <w:r w:rsidR="003D476C">
        <w:rPr>
          <w:szCs w:val="24"/>
          <w:lang w:eastAsia="zh-CN"/>
        </w:rPr>
        <w:t xml:space="preserve">approximately </w:t>
      </w:r>
      <w:r w:rsidR="00203956" w:rsidRPr="001D5312">
        <w:rPr>
          <w:szCs w:val="24"/>
          <w:lang w:eastAsia="zh-CN"/>
        </w:rPr>
        <w:t xml:space="preserve">8.6%. The change </w:t>
      </w:r>
      <w:r w:rsidR="00203956">
        <w:rPr>
          <w:szCs w:val="24"/>
          <w:lang w:eastAsia="zh-CN"/>
        </w:rPr>
        <w:t xml:space="preserve">in the </w:t>
      </w:r>
      <w:r w:rsidR="00203956" w:rsidRPr="001D5312">
        <w:rPr>
          <w:szCs w:val="24"/>
          <w:lang w:eastAsia="zh-CN"/>
        </w:rPr>
        <w:t xml:space="preserve">range of area </w:t>
      </w:r>
      <w:r w:rsidR="003D476C">
        <w:rPr>
          <w:szCs w:val="24"/>
          <w:lang w:eastAsia="zh-CN"/>
        </w:rPr>
        <w:t xml:space="preserve">was </w:t>
      </w:r>
      <w:r w:rsidR="00203956">
        <w:rPr>
          <w:szCs w:val="24"/>
          <w:lang w:eastAsia="zh-CN"/>
        </w:rPr>
        <w:t>narrower</w:t>
      </w:r>
      <w:r w:rsidR="00203956" w:rsidRPr="001D5312">
        <w:rPr>
          <w:szCs w:val="24"/>
          <w:lang w:eastAsia="zh-CN"/>
        </w:rPr>
        <w:t xml:space="preserve"> than </w:t>
      </w:r>
      <w:r w:rsidR="00203956">
        <w:rPr>
          <w:szCs w:val="24"/>
          <w:lang w:eastAsia="zh-CN"/>
        </w:rPr>
        <w:t xml:space="preserve">the change in the range </w:t>
      </w:r>
      <w:r w:rsidR="00203956" w:rsidRPr="001D5312">
        <w:rPr>
          <w:szCs w:val="24"/>
          <w:lang w:eastAsia="zh-CN"/>
        </w:rPr>
        <w:t xml:space="preserve">of storage. Although the predicted correlation </w:t>
      </w:r>
      <w:r w:rsidR="003D476C">
        <w:rPr>
          <w:szCs w:val="24"/>
          <w:lang w:eastAsia="zh-CN"/>
        </w:rPr>
        <w:t xml:space="preserve">became </w:t>
      </w:r>
      <w:r w:rsidR="00203956" w:rsidRPr="001D5312">
        <w:rPr>
          <w:szCs w:val="24"/>
          <w:lang w:eastAsia="zh-CN"/>
        </w:rPr>
        <w:t xml:space="preserve">relatively minor, its average NRMSE </w:t>
      </w:r>
      <w:r w:rsidR="003D476C">
        <w:rPr>
          <w:szCs w:val="24"/>
          <w:lang w:eastAsia="zh-CN"/>
        </w:rPr>
        <w:t xml:space="preserve">was </w:t>
      </w:r>
      <w:r w:rsidR="00203956" w:rsidRPr="001D5312">
        <w:rPr>
          <w:szCs w:val="24"/>
          <w:lang w:eastAsia="zh-CN"/>
        </w:rPr>
        <w:t xml:space="preserve">only 8.6%. The absolute error of the projected area </w:t>
      </w:r>
      <w:r w:rsidR="003D476C">
        <w:rPr>
          <w:szCs w:val="24"/>
          <w:lang w:eastAsia="zh-CN"/>
        </w:rPr>
        <w:t xml:space="preserve">was </w:t>
      </w:r>
      <w:r w:rsidR="00203956" w:rsidRPr="001D5312">
        <w:rPr>
          <w:szCs w:val="24"/>
          <w:lang w:eastAsia="zh-CN"/>
        </w:rPr>
        <w:t xml:space="preserve">relatively small, </w:t>
      </w:r>
      <w:r w:rsidR="003D476C">
        <w:rPr>
          <w:szCs w:val="24"/>
          <w:lang w:eastAsia="zh-CN"/>
        </w:rPr>
        <w:t xml:space="preserve">with </w:t>
      </w:r>
      <w:r w:rsidR="00203956">
        <w:rPr>
          <w:szCs w:val="24"/>
          <w:lang w:eastAsia="zh-CN"/>
        </w:rPr>
        <w:t xml:space="preserve">limited </w:t>
      </w:r>
      <w:r w:rsidR="00203956" w:rsidRPr="001D5312">
        <w:rPr>
          <w:szCs w:val="24"/>
          <w:lang w:eastAsia="zh-CN"/>
        </w:rPr>
        <w:t>impact on the estimation of evaporation loss</w:t>
      </w:r>
      <w:r w:rsidRPr="001D5312">
        <w:rPr>
          <w:szCs w:val="24"/>
          <w:lang w:eastAsia="zh-CN"/>
        </w:rPr>
        <w:t>.</w:t>
      </w:r>
    </w:p>
    <w:p w14:paraId="0D83D806" w14:textId="3164E69E" w:rsidR="00AC34B9" w:rsidRPr="004856AD" w:rsidRDefault="00AC34B9" w:rsidP="00AC34B9">
      <w:pPr>
        <w:pStyle w:val="Heading3"/>
      </w:pPr>
      <w:bookmarkStart w:id="204" w:name="_Toc113380789"/>
      <w:r w:rsidRPr="004856AD">
        <w:t>Model Limitation</w:t>
      </w:r>
      <w:r>
        <w:t>s</w:t>
      </w:r>
      <w:bookmarkEnd w:id="204"/>
    </w:p>
    <w:p w14:paraId="74EC26B2" w14:textId="557773C7" w:rsidR="002C4F1A" w:rsidRDefault="002C4F1A" w:rsidP="002C4F1A">
      <w:pPr>
        <w:pStyle w:val="BodyText"/>
        <w:contextualSpacing/>
        <w:rPr>
          <w:lang w:eastAsia="zh-CN"/>
        </w:rPr>
      </w:pPr>
      <w:r>
        <w:rPr>
          <w:lang w:eastAsia="zh-CN"/>
        </w:rPr>
        <w:t xml:space="preserve">The limitations of the reservoir evaporation volume projections </w:t>
      </w:r>
      <w:r w:rsidR="003D476C">
        <w:rPr>
          <w:lang w:eastAsia="zh-CN"/>
        </w:rPr>
        <w:t xml:space="preserve">are </w:t>
      </w:r>
      <w:r>
        <w:rPr>
          <w:lang w:eastAsia="zh-CN"/>
        </w:rPr>
        <w:t>summarized as follows:</w:t>
      </w:r>
    </w:p>
    <w:p w14:paraId="67E70E47" w14:textId="71C0A385" w:rsidR="00C80B29" w:rsidRDefault="00C80B29" w:rsidP="00093CC9">
      <w:pPr>
        <w:pStyle w:val="BulletListspace"/>
        <w:rPr>
          <w:lang w:eastAsia="zh-CN"/>
        </w:rPr>
      </w:pPr>
      <w:r>
        <w:rPr>
          <w:lang w:eastAsia="zh-CN"/>
        </w:rPr>
        <w:t xml:space="preserve">The </w:t>
      </w:r>
      <w:r w:rsidR="00B3158C">
        <w:rPr>
          <w:lang w:eastAsia="zh-CN"/>
        </w:rPr>
        <w:t xml:space="preserve">projection of </w:t>
      </w:r>
      <w:r>
        <w:rPr>
          <w:lang w:eastAsia="zh-CN"/>
        </w:rPr>
        <w:t xml:space="preserve">future reservoir storage </w:t>
      </w:r>
      <w:r w:rsidR="003D476C">
        <w:rPr>
          <w:lang w:eastAsia="zh-CN"/>
        </w:rPr>
        <w:t xml:space="preserve">was </w:t>
      </w:r>
      <w:r>
        <w:rPr>
          <w:lang w:eastAsia="zh-CN"/>
        </w:rPr>
        <w:t>mainly based on the</w:t>
      </w:r>
      <w:r w:rsidR="00B3158C">
        <w:rPr>
          <w:lang w:eastAsia="zh-CN"/>
        </w:rPr>
        <w:t xml:space="preserve"> derived </w:t>
      </w:r>
      <w:r w:rsidR="00D80CF1">
        <w:rPr>
          <w:lang w:eastAsia="zh-CN"/>
        </w:rPr>
        <w:t>s</w:t>
      </w:r>
      <w:r>
        <w:rPr>
          <w:lang w:eastAsia="zh-CN"/>
        </w:rPr>
        <w:t>torage-</w:t>
      </w:r>
      <w:r w:rsidR="00D80CF1">
        <w:rPr>
          <w:lang w:eastAsia="zh-CN"/>
        </w:rPr>
        <w:t>r</w:t>
      </w:r>
      <w:r>
        <w:rPr>
          <w:lang w:eastAsia="zh-CN"/>
        </w:rPr>
        <w:t>unoff relationship. Although the two variables correlate</w:t>
      </w:r>
      <w:r w:rsidR="003D476C">
        <w:rPr>
          <w:lang w:eastAsia="zh-CN"/>
        </w:rPr>
        <w:t>d</w:t>
      </w:r>
      <w:r>
        <w:rPr>
          <w:lang w:eastAsia="zh-CN"/>
        </w:rPr>
        <w:t xml:space="preserve"> well, the empirical model </w:t>
      </w:r>
      <w:r w:rsidR="003D476C">
        <w:rPr>
          <w:lang w:eastAsia="zh-CN"/>
        </w:rPr>
        <w:t xml:space="preserve">could not </w:t>
      </w:r>
      <w:r w:rsidR="00D80CF1">
        <w:rPr>
          <w:lang w:eastAsia="zh-CN"/>
        </w:rPr>
        <w:t>fully</w:t>
      </w:r>
      <w:r>
        <w:rPr>
          <w:lang w:eastAsia="zh-CN"/>
        </w:rPr>
        <w:t xml:space="preserve"> represent the complex operation rules. Furthermore, it assume</w:t>
      </w:r>
      <w:r w:rsidR="003D476C">
        <w:rPr>
          <w:lang w:eastAsia="zh-CN"/>
        </w:rPr>
        <w:t>d</w:t>
      </w:r>
      <w:r>
        <w:rPr>
          <w:lang w:eastAsia="zh-CN"/>
        </w:rPr>
        <w:t xml:space="preserve"> that future water demand will not increase and operation rules will remain the same.</w:t>
      </w:r>
    </w:p>
    <w:p w14:paraId="261B9F19" w14:textId="3E31E52C" w:rsidR="00C80B29" w:rsidRDefault="004C5F3C" w:rsidP="00093CC9">
      <w:pPr>
        <w:pStyle w:val="BulletListspace"/>
        <w:rPr>
          <w:lang w:eastAsia="zh-CN"/>
        </w:rPr>
      </w:pPr>
      <w:r>
        <w:rPr>
          <w:lang w:eastAsia="zh-CN"/>
        </w:rPr>
        <w:lastRenderedPageBreak/>
        <w:t xml:space="preserve">The uncertainty of the projected evaporation rate </w:t>
      </w:r>
      <w:r w:rsidR="003D476C">
        <w:rPr>
          <w:lang w:eastAsia="zh-CN"/>
        </w:rPr>
        <w:t xml:space="preserve">was </w:t>
      </w:r>
      <w:r>
        <w:rPr>
          <w:lang w:eastAsia="zh-CN"/>
        </w:rPr>
        <w:t>mainly affected by the quality of the projected meteorological data (i.e., the downward radiation, temperature, wind speed, and vapor-pressure deficit).</w:t>
      </w:r>
      <w:r>
        <w:t xml:space="preserve"> </w:t>
      </w:r>
      <w:r w:rsidR="003D476C">
        <w:t xml:space="preserve">The </w:t>
      </w:r>
      <w:r>
        <w:t>difference</w:t>
      </w:r>
      <w:r w:rsidR="003D476C">
        <w:t>s</w:t>
      </w:r>
      <w:r>
        <w:t xml:space="preserve"> in the meteorological data between Daymet and Livneh</w:t>
      </w:r>
      <w:r w:rsidR="003D476C">
        <w:t xml:space="preserve"> were examined</w:t>
      </w:r>
      <w:r>
        <w:t>, and wind speed values show</w:t>
      </w:r>
      <w:r w:rsidR="003D476C">
        <w:t>ed</w:t>
      </w:r>
      <w:r>
        <w:t xml:space="preserve"> large systematic errors that </w:t>
      </w:r>
      <w:r w:rsidR="003D476C">
        <w:t xml:space="preserve">could </w:t>
      </w:r>
      <w:r>
        <w:t xml:space="preserve">seriously affect evaporation rate calculations. </w:t>
      </w:r>
      <w:r>
        <w:rPr>
          <w:lang w:eastAsia="zh-CN"/>
        </w:rPr>
        <w:t>For the same location at the same time, wind speed</w:t>
      </w:r>
      <w:r w:rsidRPr="00F15934">
        <w:rPr>
          <w:lang w:eastAsia="zh-CN"/>
        </w:rPr>
        <w:t xml:space="preserve"> value</w:t>
      </w:r>
      <w:r>
        <w:rPr>
          <w:lang w:eastAsia="zh-CN"/>
        </w:rPr>
        <w:t>s</w:t>
      </w:r>
      <w:r w:rsidRPr="00F15934">
        <w:rPr>
          <w:lang w:eastAsia="zh-CN"/>
        </w:rPr>
        <w:t xml:space="preserve"> across different </w:t>
      </w:r>
      <w:r>
        <w:rPr>
          <w:lang w:eastAsia="zh-CN"/>
        </w:rPr>
        <w:t xml:space="preserve">MetFs </w:t>
      </w:r>
      <w:r w:rsidR="003D476C">
        <w:rPr>
          <w:lang w:eastAsia="zh-CN"/>
        </w:rPr>
        <w:t xml:space="preserve">could </w:t>
      </w:r>
      <w:r>
        <w:rPr>
          <w:lang w:eastAsia="zh-CN"/>
        </w:rPr>
        <w:t xml:space="preserve">differ </w:t>
      </w:r>
      <w:r w:rsidR="004634A6" w:rsidRPr="24734F88">
        <w:rPr>
          <w:lang w:eastAsia="zh-CN"/>
        </w:rPr>
        <w:t>substantially</w:t>
      </w:r>
      <w:r w:rsidRPr="00F15934">
        <w:rPr>
          <w:lang w:eastAsia="zh-CN"/>
        </w:rPr>
        <w:t>. A difference of 0.1</w:t>
      </w:r>
      <w:r>
        <w:rPr>
          <w:lang w:eastAsia="zh-CN"/>
        </w:rPr>
        <w:t xml:space="preserve"> </w:t>
      </w:r>
      <w:r w:rsidRPr="00F15934">
        <w:rPr>
          <w:lang w:eastAsia="zh-CN"/>
        </w:rPr>
        <w:t xml:space="preserve">m/s in wind speed </w:t>
      </w:r>
      <w:r w:rsidR="003D476C">
        <w:rPr>
          <w:lang w:eastAsia="zh-CN"/>
        </w:rPr>
        <w:t xml:space="preserve">could </w:t>
      </w:r>
      <w:r w:rsidRPr="00F15934">
        <w:rPr>
          <w:lang w:eastAsia="zh-CN"/>
        </w:rPr>
        <w:t xml:space="preserve">cause </w:t>
      </w:r>
      <w:r>
        <w:rPr>
          <w:lang w:eastAsia="zh-CN"/>
        </w:rPr>
        <w:t xml:space="preserve">an </w:t>
      </w:r>
      <w:r w:rsidRPr="00F15934">
        <w:rPr>
          <w:lang w:eastAsia="zh-CN"/>
        </w:rPr>
        <w:t>evaporation rat</w:t>
      </w:r>
      <w:r>
        <w:rPr>
          <w:lang w:eastAsia="zh-CN"/>
        </w:rPr>
        <w:t>e</w:t>
      </w:r>
      <w:r w:rsidRPr="00F15934">
        <w:rPr>
          <w:lang w:eastAsia="zh-CN"/>
        </w:rPr>
        <w:t xml:space="preserve"> difference of 0.02</w:t>
      </w:r>
      <w:r>
        <w:rPr>
          <w:lang w:eastAsia="zh-CN"/>
        </w:rPr>
        <w:t>–</w:t>
      </w:r>
      <w:r w:rsidRPr="00F15934">
        <w:rPr>
          <w:lang w:eastAsia="zh-CN"/>
        </w:rPr>
        <w:t>0.04</w:t>
      </w:r>
      <w:r>
        <w:rPr>
          <w:lang w:eastAsia="zh-CN"/>
        </w:rPr>
        <w:t xml:space="preserve"> </w:t>
      </w:r>
      <w:r w:rsidRPr="00F15934">
        <w:rPr>
          <w:lang w:eastAsia="zh-CN"/>
        </w:rPr>
        <w:t xml:space="preserve">mm/d, depending on the </w:t>
      </w:r>
      <w:r>
        <w:rPr>
          <w:lang w:eastAsia="zh-CN"/>
        </w:rPr>
        <w:t>meteorological conditions at the given location</w:t>
      </w:r>
      <w:r w:rsidRPr="00F15934">
        <w:rPr>
          <w:lang w:eastAsia="zh-CN"/>
        </w:rPr>
        <w:t>.</w:t>
      </w:r>
    </w:p>
    <w:p w14:paraId="0CB34BBD" w14:textId="577F802D" w:rsidR="00C80B29" w:rsidRDefault="00C80B29" w:rsidP="00093CC9">
      <w:pPr>
        <w:pStyle w:val="BulletListspace"/>
      </w:pPr>
      <w:r>
        <w:rPr>
          <w:lang w:eastAsia="zh-CN"/>
        </w:rPr>
        <w:t>The quality of the reservoir area estimation depend</w:t>
      </w:r>
      <w:r w:rsidR="003D476C">
        <w:rPr>
          <w:lang w:eastAsia="zh-CN"/>
        </w:rPr>
        <w:t>ed</w:t>
      </w:r>
      <w:r>
        <w:rPr>
          <w:lang w:eastAsia="zh-CN"/>
        </w:rPr>
        <w:t xml:space="preserve"> on both the storage and the A-V relationship. The error </w:t>
      </w:r>
      <w:r w:rsidR="00D40434">
        <w:rPr>
          <w:lang w:eastAsia="zh-CN"/>
        </w:rPr>
        <w:t xml:space="preserve">in </w:t>
      </w:r>
      <w:r>
        <w:rPr>
          <w:lang w:eastAsia="zh-CN"/>
        </w:rPr>
        <w:t xml:space="preserve">the A-V relationship mainly </w:t>
      </w:r>
      <w:r w:rsidR="003D476C">
        <w:rPr>
          <w:lang w:eastAsia="zh-CN"/>
        </w:rPr>
        <w:t xml:space="preserve">came </w:t>
      </w:r>
      <w:r>
        <w:rPr>
          <w:lang w:eastAsia="zh-CN"/>
        </w:rPr>
        <w:t>from the observation errors, including observed historical storage and remotely sensed area</w:t>
      </w:r>
      <w:r w:rsidR="00D40434">
        <w:rPr>
          <w:lang w:eastAsia="zh-CN"/>
        </w:rPr>
        <w:t>,</w:t>
      </w:r>
      <w:r w:rsidR="002D63FD">
        <w:rPr>
          <w:lang w:eastAsia="zh-CN"/>
        </w:rPr>
        <w:t xml:space="preserve"> </w:t>
      </w:r>
      <w:r>
        <w:rPr>
          <w:lang w:eastAsia="zh-CN"/>
        </w:rPr>
        <w:t>and</w:t>
      </w:r>
      <w:r w:rsidR="00D40434">
        <w:rPr>
          <w:lang w:eastAsia="zh-CN"/>
        </w:rPr>
        <w:t xml:space="preserve"> from</w:t>
      </w:r>
      <w:r>
        <w:rPr>
          <w:lang w:eastAsia="zh-CN"/>
        </w:rPr>
        <w:t xml:space="preserve"> the fitting error caused by the reservoir shapes. The observation error </w:t>
      </w:r>
      <w:r w:rsidR="003D476C">
        <w:rPr>
          <w:lang w:eastAsia="zh-CN"/>
        </w:rPr>
        <w:t xml:space="preserve">was </w:t>
      </w:r>
      <w:r>
        <w:rPr>
          <w:lang w:eastAsia="zh-CN"/>
        </w:rPr>
        <w:t>relatively small, and the storage value of most reservoirs fluctuate</w:t>
      </w:r>
      <w:r w:rsidR="003D476C">
        <w:rPr>
          <w:lang w:eastAsia="zh-CN"/>
        </w:rPr>
        <w:t>d</w:t>
      </w:r>
      <w:r>
        <w:rPr>
          <w:lang w:eastAsia="zh-CN"/>
        </w:rPr>
        <w:t xml:space="preserve"> within a linear fitting range. Hence, the error </w:t>
      </w:r>
      <w:r w:rsidR="00D40434">
        <w:rPr>
          <w:lang w:eastAsia="zh-CN"/>
        </w:rPr>
        <w:t xml:space="preserve">in </w:t>
      </w:r>
      <w:r>
        <w:rPr>
          <w:lang w:eastAsia="zh-CN"/>
        </w:rPr>
        <w:t xml:space="preserve">the A-V relationship </w:t>
      </w:r>
      <w:r w:rsidR="003D476C">
        <w:rPr>
          <w:lang w:eastAsia="zh-CN"/>
        </w:rPr>
        <w:t xml:space="preserve">was </w:t>
      </w:r>
      <w:r>
        <w:rPr>
          <w:lang w:eastAsia="zh-CN"/>
        </w:rPr>
        <w:t xml:space="preserve">much smaller </w:t>
      </w:r>
      <w:r w:rsidR="00EA32DC">
        <w:rPr>
          <w:lang w:eastAsia="zh-CN"/>
        </w:rPr>
        <w:t>than</w:t>
      </w:r>
      <w:r>
        <w:rPr>
          <w:lang w:eastAsia="zh-CN"/>
        </w:rPr>
        <w:t xml:space="preserve"> the projected storage error.</w:t>
      </w:r>
    </w:p>
    <w:p w14:paraId="556D5A57" w14:textId="7008721A" w:rsidR="00C80B29" w:rsidRPr="003713DF" w:rsidRDefault="00C80B29" w:rsidP="00093CC9">
      <w:pPr>
        <w:pStyle w:val="BulletListspace"/>
      </w:pPr>
      <w:r>
        <w:rPr>
          <w:lang w:eastAsia="zh-CN"/>
        </w:rPr>
        <w:t xml:space="preserve">The uncertainties associated with the final volumetric evaporation </w:t>
      </w:r>
      <w:r w:rsidR="003D476C">
        <w:rPr>
          <w:lang w:eastAsia="zh-CN"/>
        </w:rPr>
        <w:t xml:space="preserve">were caused by </w:t>
      </w:r>
      <w:r>
        <w:rPr>
          <w:lang w:eastAsia="zh-CN"/>
        </w:rPr>
        <w:t>the uncertainties of surface area</w:t>
      </w:r>
      <w:r w:rsidRPr="003713DF">
        <w:rPr>
          <w:lang w:eastAsia="zh-CN"/>
        </w:rPr>
        <w:t xml:space="preserve"> and evaporation rate. For reservoir </w:t>
      </w:r>
      <w:r w:rsidR="003D476C" w:rsidRPr="003713DF">
        <w:rPr>
          <w:lang w:eastAsia="zh-CN"/>
        </w:rPr>
        <w:t xml:space="preserve">Type </w:t>
      </w:r>
      <w:r w:rsidRPr="003713DF">
        <w:rPr>
          <w:lang w:eastAsia="zh-CN"/>
        </w:rPr>
        <w:t xml:space="preserve">1 and </w:t>
      </w:r>
      <w:r w:rsidR="003D476C" w:rsidRPr="003713DF">
        <w:rPr>
          <w:lang w:eastAsia="zh-CN"/>
        </w:rPr>
        <w:t xml:space="preserve">Type </w:t>
      </w:r>
      <w:r w:rsidRPr="003713DF">
        <w:rPr>
          <w:lang w:eastAsia="zh-CN"/>
        </w:rPr>
        <w:t xml:space="preserve">2, the errors mainly </w:t>
      </w:r>
      <w:r w:rsidR="003D476C" w:rsidRPr="003713DF">
        <w:rPr>
          <w:lang w:eastAsia="zh-CN"/>
        </w:rPr>
        <w:t xml:space="preserve">came </w:t>
      </w:r>
      <w:r w:rsidRPr="003713DF">
        <w:rPr>
          <w:lang w:eastAsia="zh-CN"/>
        </w:rPr>
        <w:t xml:space="preserve">from the evaporation rate. For </w:t>
      </w:r>
      <w:r w:rsidR="00110A4A" w:rsidRPr="003713DF">
        <w:rPr>
          <w:lang w:eastAsia="zh-CN"/>
        </w:rPr>
        <w:t xml:space="preserve">Type </w:t>
      </w:r>
      <w:r w:rsidRPr="003713DF">
        <w:rPr>
          <w:lang w:eastAsia="zh-CN"/>
        </w:rPr>
        <w:t xml:space="preserve">3, they mainly </w:t>
      </w:r>
      <w:r w:rsidR="003D476C" w:rsidRPr="003713DF">
        <w:rPr>
          <w:lang w:eastAsia="zh-CN"/>
        </w:rPr>
        <w:t xml:space="preserve">came </w:t>
      </w:r>
      <w:r w:rsidRPr="003713DF">
        <w:rPr>
          <w:lang w:eastAsia="zh-CN"/>
        </w:rPr>
        <w:t>from the area estimation.</w:t>
      </w:r>
    </w:p>
    <w:p w14:paraId="5F9013CF" w14:textId="183DDDB2" w:rsidR="00EE5AC2" w:rsidRPr="003713DF" w:rsidRDefault="009F09AE" w:rsidP="00AD0C1C">
      <w:pPr>
        <w:pStyle w:val="Heading2"/>
        <w:rPr>
          <w:szCs w:val="22"/>
        </w:rPr>
      </w:pPr>
      <w:bookmarkStart w:id="205" w:name="_Ref72830506"/>
      <w:bookmarkStart w:id="206" w:name="_Toc113380790"/>
      <w:r w:rsidRPr="003713DF">
        <w:rPr>
          <w:szCs w:val="22"/>
        </w:rPr>
        <w:t>Energy Demand Analysis</w:t>
      </w:r>
      <w:bookmarkEnd w:id="205"/>
      <w:bookmarkEnd w:id="206"/>
    </w:p>
    <w:p w14:paraId="5A2015A6" w14:textId="02A9053F" w:rsidR="00C12CD4" w:rsidRPr="003713DF" w:rsidRDefault="00C12CD4" w:rsidP="00093CC9">
      <w:pPr>
        <w:pStyle w:val="BodyText"/>
      </w:pPr>
      <w:r w:rsidRPr="003713DF">
        <w:t xml:space="preserve">To evaluate climate-driven risks to federal power marketing, it is </w:t>
      </w:r>
      <w:r w:rsidR="0056543C" w:rsidRPr="003713DF">
        <w:t xml:space="preserve">necessary </w:t>
      </w:r>
      <w:r w:rsidRPr="003713DF">
        <w:t xml:space="preserve">to consider both the supply and </w:t>
      </w:r>
      <w:r w:rsidR="00EA2749" w:rsidRPr="003713DF">
        <w:t>the</w:t>
      </w:r>
      <w:r w:rsidRPr="003713DF">
        <w:t xml:space="preserve"> demand for federal hydropower. Previous </w:t>
      </w:r>
      <w:r w:rsidR="002F765F" w:rsidRPr="003713DF">
        <w:t>sub</w:t>
      </w:r>
      <w:r w:rsidRPr="003713DF">
        <w:t xml:space="preserve">sections describe the methodology used to project federal hydropower supply changes (i.e., climate-driven changes in the volume of hydropower generated by the federal fleet). This subsection addresses the method used to estimate the relationship between temperature and the electricity demand from the PMA preference customers. The </w:t>
      </w:r>
      <w:r w:rsidR="001E46DC" w:rsidRPr="003713DF">
        <w:t>previously described</w:t>
      </w:r>
      <w:r w:rsidRPr="003713DF">
        <w:t xml:space="preserve"> projected annual changes in temperature and hydropower supply</w:t>
      </w:r>
      <w:r w:rsidR="001E46DC" w:rsidRPr="003713DF">
        <w:t>,</w:t>
      </w:r>
      <w:r w:rsidRPr="003713DF">
        <w:t xml:space="preserve"> </w:t>
      </w:r>
      <w:r w:rsidR="001E46DC" w:rsidRPr="003713DF">
        <w:t>combined</w:t>
      </w:r>
      <w:r w:rsidRPr="003713DF">
        <w:t xml:space="preserve"> with the temperature</w:t>
      </w:r>
      <w:r w:rsidR="000C5372" w:rsidRPr="003713DF">
        <w:t>–</w:t>
      </w:r>
      <w:r w:rsidRPr="003713DF">
        <w:t>demand relationship</w:t>
      </w:r>
      <w:r w:rsidR="001E46DC" w:rsidRPr="003713DF">
        <w:t>s,</w:t>
      </w:r>
      <w:r w:rsidRPr="003713DF">
        <w:t xml:space="preserve"> help inform the PMAs about the future state of their customer base and water availability</w:t>
      </w:r>
      <w:r w:rsidR="003720D5" w:rsidRPr="003713DF">
        <w:t xml:space="preserve">. This information </w:t>
      </w:r>
      <w:r w:rsidR="005029D0" w:rsidRPr="003713DF">
        <w:t>is crucial for</w:t>
      </w:r>
      <w:r w:rsidRPr="003713DF">
        <w:t xml:space="preserve"> meet</w:t>
      </w:r>
      <w:r w:rsidR="005029D0" w:rsidRPr="003713DF">
        <w:t>ing</w:t>
      </w:r>
      <w:r w:rsidRPr="003713DF">
        <w:t xml:space="preserve"> long-term market planning objectives and potentially shorter-term operational constraints. Additionally, only BPA is required to meet the net load of its customers if they request it, meaning these customers will have their full demand portfolio met by BPA as opposed to purchasing electricity from another entity. </w:t>
      </w:r>
      <w:r w:rsidR="00D77CC5" w:rsidRPr="003713DF">
        <w:t>Therefore</w:t>
      </w:r>
      <w:r w:rsidR="008D095A" w:rsidRPr="003713DF">
        <w:t xml:space="preserve">, estimated changes in electricity demanded are most interesting for BPA because </w:t>
      </w:r>
      <w:r w:rsidR="00D77CC5" w:rsidRPr="003713DF">
        <w:t xml:space="preserve">BPA is </w:t>
      </w:r>
      <w:r w:rsidR="008D095A" w:rsidRPr="003713DF">
        <w:t>required to meet changes in load even with water supply shortages (or excess) or other external factors that make this electricity delivery costly or difficult. Nevertheless, the value of the energy and capacity products sold by other PMAs might also be affected by changes in the seasonal load patterns of their customers.</w:t>
      </w:r>
    </w:p>
    <w:p w14:paraId="26A77CEB" w14:textId="77777777" w:rsidR="009E06D3" w:rsidRPr="003713DF" w:rsidRDefault="009E06D3" w:rsidP="009E06D3">
      <w:pPr>
        <w:pStyle w:val="Heading3"/>
        <w:rPr>
          <w:szCs w:val="22"/>
        </w:rPr>
      </w:pPr>
      <w:bookmarkStart w:id="207" w:name="_Toc113380791"/>
      <w:r w:rsidRPr="003713DF">
        <w:rPr>
          <w:szCs w:val="22"/>
        </w:rPr>
        <w:t>Approach</w:t>
      </w:r>
      <w:bookmarkEnd w:id="207"/>
    </w:p>
    <w:p w14:paraId="131B5469" w14:textId="57C5466D" w:rsidR="00C12CD4" w:rsidRPr="003713DF" w:rsidRDefault="00C12CD4" w:rsidP="00093CC9">
      <w:pPr>
        <w:pStyle w:val="BodyText"/>
      </w:pPr>
      <w:r w:rsidRPr="003713DF">
        <w:t xml:space="preserve">The use of statistical analysis to estimate the relationship between weather variables and electricity demand has been an active area of research for many decades (e.g., Davies, 1959). The variable included, functional form, and estimation method </w:t>
      </w:r>
      <w:r w:rsidR="0099708C" w:rsidRPr="003713DF">
        <w:t>used</w:t>
      </w:r>
      <w:r w:rsidRPr="003713DF">
        <w:t xml:space="preserve"> depend on the </w:t>
      </w:r>
      <w:r w:rsidR="00CA52DB" w:rsidRPr="003713DF">
        <w:t xml:space="preserve">subject </w:t>
      </w:r>
      <w:r w:rsidRPr="003713DF">
        <w:t>of interest and the availability of data. This analysis focuse</w:t>
      </w:r>
      <w:r w:rsidR="00CA52DB" w:rsidRPr="003713DF">
        <w:t>d</w:t>
      </w:r>
      <w:r w:rsidRPr="003713DF">
        <w:t xml:space="preserve"> on estimating the responsiveness </w:t>
      </w:r>
      <w:r w:rsidR="004F1541" w:rsidRPr="003713DF">
        <w:t>of electricity sales</w:t>
      </w:r>
      <w:r w:rsidRPr="003713DF">
        <w:t xml:space="preserve"> to </w:t>
      </w:r>
      <w:r w:rsidR="00EC3274" w:rsidRPr="003713DF">
        <w:t xml:space="preserve">air </w:t>
      </w:r>
      <w:r w:rsidRPr="003713DF">
        <w:t xml:space="preserve">temperature (as proxy for load or demand) of PMA preference customers to their </w:t>
      </w:r>
      <w:r w:rsidR="00EC6763" w:rsidRPr="003713DF">
        <w:t>end-</w:t>
      </w:r>
      <w:r w:rsidRPr="003713DF">
        <w:t xml:space="preserve">use customers. As indicated </w:t>
      </w:r>
      <w:r w:rsidR="00CA52DB" w:rsidRPr="003713DF">
        <w:t xml:space="preserve">by </w:t>
      </w:r>
      <w:r w:rsidRPr="003713DF">
        <w:t xml:space="preserve">Huang and Gurney (2016) and Li et al. (2018), there </w:t>
      </w:r>
      <w:r w:rsidR="001B1E8B" w:rsidRPr="003713DF">
        <w:t>are</w:t>
      </w:r>
      <w:r w:rsidRPr="003713DF">
        <w:t xml:space="preserve"> often large variations in the temperature effects on load within the regions of a country. Therefore, for this study, it </w:t>
      </w:r>
      <w:r w:rsidR="00CA52DB" w:rsidRPr="003713DF">
        <w:t xml:space="preserve">was </w:t>
      </w:r>
      <w:r w:rsidRPr="003713DF">
        <w:t>important to identify a</w:t>
      </w:r>
      <w:r w:rsidR="005606E5" w:rsidRPr="003713DF">
        <w:t xml:space="preserve"> data set </w:t>
      </w:r>
      <w:r w:rsidRPr="003713DF">
        <w:t>that is representative of the electricity loads served by PMA preference customers. The PMAs do not serve loads directly</w:t>
      </w:r>
      <w:r w:rsidR="001B1E8B" w:rsidRPr="003713DF">
        <w:t>;</w:t>
      </w:r>
      <w:r w:rsidRPr="003713DF">
        <w:rPr>
          <w:rStyle w:val="FootnoteReference"/>
        </w:rPr>
        <w:footnoteReference w:id="7"/>
      </w:r>
      <w:r w:rsidRPr="003713DF">
        <w:t xml:space="preserve"> instead, they sell wholesale power to preference customers, which are utilities with residential, </w:t>
      </w:r>
      <w:r w:rsidRPr="003713DF">
        <w:lastRenderedPageBreak/>
        <w:t xml:space="preserve">commercial, and industrial end-use customers. EIA Form 861 provides a time series of electricity sales data for a sample of PMA preference customers, which </w:t>
      </w:r>
      <w:r w:rsidR="00CA52DB" w:rsidRPr="003713DF">
        <w:t xml:space="preserve">was </w:t>
      </w:r>
      <w:r w:rsidRPr="003713DF">
        <w:t>used here as a proxy for the electricity demand or load served by these utilities. This is an annual</w:t>
      </w:r>
      <w:r w:rsidR="005606E5" w:rsidRPr="003713DF">
        <w:t xml:space="preserve"> data set </w:t>
      </w:r>
      <w:r w:rsidRPr="003713DF">
        <w:t xml:space="preserve">(1990–2019) of total sales, and it also contains sales data disaggregated by sector: residential, commercial, </w:t>
      </w:r>
      <w:r w:rsidR="001B1E8B" w:rsidRPr="003713DF">
        <w:t xml:space="preserve">and </w:t>
      </w:r>
      <w:r w:rsidRPr="003713DF">
        <w:t>industrial.</w:t>
      </w:r>
      <w:r w:rsidRPr="003713DF">
        <w:rPr>
          <w:rStyle w:val="FootnoteReference"/>
        </w:rPr>
        <w:footnoteReference w:id="8"/>
      </w:r>
      <w:r w:rsidRPr="003713DF">
        <w:t xml:space="preserve"> </w:t>
      </w:r>
      <w:r w:rsidR="00A06AC6">
        <w:t>BPA also provided</w:t>
      </w:r>
      <w:r w:rsidRPr="003713DF">
        <w:t xml:space="preserve"> a monthly</w:t>
      </w:r>
      <w:r w:rsidR="005606E5" w:rsidRPr="003713DF">
        <w:t xml:space="preserve"> data set </w:t>
      </w:r>
      <w:r w:rsidRPr="003713DF">
        <w:t xml:space="preserve">for 2006–2019 of the total retail load served by their preference customers, which will be used instead of EIA </w:t>
      </w:r>
      <w:r w:rsidR="00F71B8C" w:rsidRPr="003713DF">
        <w:t>Form 861.</w:t>
      </w:r>
      <w:r w:rsidR="00F71B8C" w:rsidRPr="003713DF">
        <w:rPr>
          <w:rStyle w:val="FootnoteReference"/>
        </w:rPr>
        <w:footnoteReference w:id="9"/>
      </w:r>
    </w:p>
    <w:p w14:paraId="6356504C" w14:textId="12F2FB79" w:rsidR="00EE5AC2" w:rsidRPr="003713DF" w:rsidRDefault="00D76833" w:rsidP="00093CC9">
      <w:pPr>
        <w:pStyle w:val="BodyText"/>
      </w:pPr>
      <w:r w:rsidRPr="003713DF">
        <w:t xml:space="preserve">Annual heating degree days (HDDs) and cooling degree days (CDDs) </w:t>
      </w:r>
      <w:r w:rsidR="00CA52DB" w:rsidRPr="003713DF">
        <w:t xml:space="preserve">were </w:t>
      </w:r>
      <w:r w:rsidRPr="003713DF">
        <w:t>computed as the cumulative deviations of daily temperature from a reference balancing load point. HDDs contain information about the number of days with heating demand and the intensity of heating demand on those days. CDDs contain information about the number of days with cooling demand and the intensity of cooling demand on those days.</w:t>
      </w:r>
    </w:p>
    <w:p w14:paraId="16852CC6" w14:textId="155CB75A" w:rsidR="0013221F" w:rsidRPr="00693098" w:rsidRDefault="00945A5F" w:rsidP="00693098">
      <w:pPr>
        <w:spacing w:before="0" w:line="240" w:lineRule="auto"/>
        <w:ind w:left="720" w:firstLine="0"/>
      </w:pPr>
      <w:r>
        <w:ptab w:relativeTo="margin" w:alignment="center" w:leader="none"/>
      </w:r>
      <m:oMath>
        <m:r>
          <w:rPr>
            <w:rFonts w:ascii="Cambria Math" w:hAnsi="Cambria Math"/>
          </w:rPr>
          <m:t>annual HDD=</m:t>
        </m:r>
        <m:nary>
          <m:naryPr>
            <m:chr m:val="∑"/>
            <m:limLoc m:val="subSup"/>
            <m:supHide m:val="1"/>
            <m:ctrlPr>
              <w:rPr>
                <w:rFonts w:ascii="Cambria Math" w:hAnsi="Cambria Math"/>
                <w:i/>
              </w:rPr>
            </m:ctrlPr>
          </m:naryPr>
          <m:sub>
            <m:r>
              <w:rPr>
                <w:rFonts w:ascii="Cambria Math" w:hAnsi="Cambria Math"/>
              </w:rPr>
              <m:t>d</m:t>
            </m:r>
          </m:sub>
          <m:sup/>
          <m:e>
            <m:r>
              <w:rPr>
                <w:rFonts w:ascii="Cambria Math" w:hAnsi="Cambria Math"/>
              </w:rPr>
              <m:t>max</m:t>
            </m:r>
            <m:d>
              <m:dPr>
                <m:ctrlPr>
                  <w:rPr>
                    <w:rFonts w:ascii="Cambria Math" w:hAnsi="Cambria Math"/>
                    <w:i/>
                  </w:rPr>
                </m:ctrlPr>
              </m:dPr>
              <m:e>
                <m:sSub>
                  <m:sSubPr>
                    <m:ctrlPr>
                      <w:rPr>
                        <w:rFonts w:ascii="Cambria Math" w:hAnsi="Cambria Math"/>
                        <w:i/>
                      </w:rPr>
                    </m:ctrlPr>
                  </m:sSubPr>
                  <m:e>
                    <m:r>
                      <w:rPr>
                        <w:rFonts w:ascii="Cambria Math" w:hAnsi="Cambria Math"/>
                      </w:rPr>
                      <m:t>BLP</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tavg</m:t>
                    </m:r>
                  </m:e>
                  <m:sub>
                    <m:r>
                      <w:rPr>
                        <w:rFonts w:ascii="Cambria Math" w:hAnsi="Cambria Math"/>
                      </w:rPr>
                      <m:t>d</m:t>
                    </m:r>
                  </m:sub>
                </m:sSub>
                <m:r>
                  <w:rPr>
                    <w:rFonts w:ascii="Cambria Math" w:hAnsi="Cambria Math"/>
                  </w:rPr>
                  <m:t>, 0</m:t>
                </m:r>
              </m:e>
            </m:d>
          </m:e>
        </m:nary>
      </m:oMath>
      <w:r w:rsidR="00CA52DB">
        <w:t>,</w:t>
      </w:r>
      <w:r w:rsidR="00E34C46">
        <w:ptab w:relativeTo="margin" w:alignment="right" w:leader="none"/>
      </w:r>
      <w:r w:rsidR="00693098">
        <w:t>(2.15)</w:t>
      </w:r>
    </w:p>
    <w:p w14:paraId="0A6DAD82" w14:textId="397D9516" w:rsidR="00693098" w:rsidRPr="00693098" w:rsidRDefault="00945A5F" w:rsidP="00693098">
      <w:pPr>
        <w:spacing w:before="0" w:line="240" w:lineRule="auto"/>
        <w:ind w:left="720" w:firstLine="0"/>
      </w:pPr>
      <w:r>
        <w:ptab w:relativeTo="margin" w:alignment="center" w:leader="none"/>
      </w:r>
      <m:oMath>
        <m:r>
          <w:rPr>
            <w:rFonts w:ascii="Cambria Math" w:hAnsi="Cambria Math"/>
          </w:rPr>
          <m:t>annual CDD=</m:t>
        </m:r>
        <m:nary>
          <m:naryPr>
            <m:chr m:val="∑"/>
            <m:limLoc m:val="subSup"/>
            <m:supHide m:val="1"/>
            <m:ctrlPr>
              <w:rPr>
                <w:rFonts w:ascii="Cambria Math" w:hAnsi="Cambria Math"/>
                <w:i/>
              </w:rPr>
            </m:ctrlPr>
          </m:naryPr>
          <m:sub>
            <m:r>
              <w:rPr>
                <w:rFonts w:ascii="Cambria Math" w:hAnsi="Cambria Math"/>
              </w:rPr>
              <m:t>d</m:t>
            </m:r>
          </m:sub>
          <m:sup/>
          <m:e>
            <m:r>
              <w:rPr>
                <w:rFonts w:ascii="Cambria Math" w:hAnsi="Cambria Math"/>
              </w:rPr>
              <m:t>max</m:t>
            </m:r>
            <m:d>
              <m:dPr>
                <m:ctrlPr>
                  <w:rPr>
                    <w:rFonts w:ascii="Cambria Math" w:hAnsi="Cambria Math"/>
                    <w:i/>
                  </w:rPr>
                </m:ctrlPr>
              </m:dPr>
              <m:e>
                <m:sSub>
                  <m:sSubPr>
                    <m:ctrlPr>
                      <w:rPr>
                        <w:rFonts w:ascii="Cambria Math" w:hAnsi="Cambria Math"/>
                        <w:i/>
                      </w:rPr>
                    </m:ctrlPr>
                  </m:sSubPr>
                  <m:e>
                    <m:r>
                      <w:rPr>
                        <w:rFonts w:ascii="Cambria Math" w:hAnsi="Cambria Math"/>
                      </w:rPr>
                      <m:t>tavg</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BLP</m:t>
                    </m:r>
                  </m:e>
                  <m:sub>
                    <m:r>
                      <w:rPr>
                        <w:rFonts w:ascii="Cambria Math" w:hAnsi="Cambria Math"/>
                      </w:rPr>
                      <m:t>C</m:t>
                    </m:r>
                  </m:sub>
                </m:sSub>
                <m:r>
                  <w:rPr>
                    <w:rFonts w:ascii="Cambria Math" w:hAnsi="Cambria Math"/>
                  </w:rPr>
                  <m:t>, 0</m:t>
                </m:r>
              </m:e>
            </m:d>
          </m:e>
        </m:nary>
      </m:oMath>
      <w:r w:rsidR="00E2429A">
        <w:t>,</w:t>
      </w:r>
      <w:r w:rsidR="00E34C46">
        <w:ptab w:relativeTo="margin" w:alignment="right" w:leader="none"/>
      </w:r>
      <w:r w:rsidR="00693098">
        <w:t>(2.16)</w:t>
      </w:r>
    </w:p>
    <w:p w14:paraId="2A5EC1CC" w14:textId="552231AE" w:rsidR="009F09AE" w:rsidRPr="003713DF" w:rsidRDefault="009F09AE" w:rsidP="00093CC9">
      <w:pPr>
        <w:pStyle w:val="BodyText"/>
      </w:pPr>
      <w:r w:rsidRPr="003713DF">
        <w:t xml:space="preserve">where </w:t>
      </w:r>
      <w:r w:rsidRPr="003713DF">
        <w:rPr>
          <w:i/>
          <w:iCs/>
        </w:rPr>
        <w:t>d</w:t>
      </w:r>
      <w:r w:rsidRPr="003713DF">
        <w:t xml:space="preserve"> is </w:t>
      </w:r>
      <w:r w:rsidR="003713DF" w:rsidRPr="003713DF">
        <w:t xml:space="preserve">the </w:t>
      </w:r>
      <w:r w:rsidRPr="003713DF">
        <w:t xml:space="preserve">calendar day, </w:t>
      </w:r>
      <w:r w:rsidRPr="003713DF">
        <w:rPr>
          <w:i/>
          <w:iCs/>
        </w:rPr>
        <w:t xml:space="preserve">tavg </w:t>
      </w:r>
      <w:r w:rsidRPr="003713DF">
        <w:t xml:space="preserve">is the daily average temperature, and </w:t>
      </w:r>
      <w:r w:rsidRPr="003713DF">
        <w:rPr>
          <w:i/>
          <w:iCs/>
        </w:rPr>
        <w:t>BLP</w:t>
      </w:r>
      <w:r w:rsidRPr="003713DF">
        <w:t xml:space="preserve"> is the balancing load point. </w:t>
      </w:r>
      <w:r w:rsidRPr="00A06AC6">
        <w:rPr>
          <w:i/>
          <w:iCs/>
        </w:rPr>
        <w:t>BLP</w:t>
      </w:r>
      <w:r w:rsidRPr="003713DF">
        <w:t xml:space="preserve"> is the temperature assumed to trigger either heating demand (</w:t>
      </w:r>
      <w:r w:rsidRPr="003713DF">
        <w:rPr>
          <w:i/>
          <w:iCs/>
        </w:rPr>
        <w:t>BLP</w:t>
      </w:r>
      <w:r w:rsidRPr="003713DF">
        <w:rPr>
          <w:i/>
          <w:iCs/>
          <w:vertAlign w:val="subscript"/>
        </w:rPr>
        <w:t>H</w:t>
      </w:r>
      <w:r w:rsidRPr="003713DF">
        <w:t>) or cooling demand (</w:t>
      </w:r>
      <w:r w:rsidRPr="003713DF">
        <w:rPr>
          <w:i/>
          <w:iCs/>
        </w:rPr>
        <w:t>BLP</w:t>
      </w:r>
      <w:r w:rsidRPr="003713DF">
        <w:rPr>
          <w:i/>
          <w:iCs/>
          <w:vertAlign w:val="subscript"/>
        </w:rPr>
        <w:t>C</w:t>
      </w:r>
      <w:r w:rsidRPr="003713DF">
        <w:t xml:space="preserve">). The temperature interval between the two </w:t>
      </w:r>
      <w:r w:rsidRPr="003713DF">
        <w:rPr>
          <w:i/>
          <w:iCs/>
        </w:rPr>
        <w:t>BLP</w:t>
      </w:r>
      <w:r w:rsidRPr="003713DF">
        <w:t xml:space="preserve">s is the thermal comfort zone </w:t>
      </w:r>
      <w:r w:rsidR="00B8260A" w:rsidRPr="003713DF">
        <w:t xml:space="preserve">in which </w:t>
      </w:r>
      <w:r w:rsidRPr="003713DF">
        <w:t xml:space="preserve">electricity is not used for heating or cooling. The </w:t>
      </w:r>
      <w:r w:rsidRPr="00A06AC6">
        <w:rPr>
          <w:i/>
          <w:iCs/>
        </w:rPr>
        <w:t>BLP</w:t>
      </w:r>
      <w:r w:rsidR="00CA52DB" w:rsidRPr="003713DF">
        <w:t xml:space="preserve"> value</w:t>
      </w:r>
      <w:r w:rsidRPr="003713DF">
        <w:t xml:space="preserve">s used in this analysis </w:t>
      </w:r>
      <w:r w:rsidR="003713DF" w:rsidRPr="003713DF">
        <w:t xml:space="preserve">were </w:t>
      </w:r>
      <w:r w:rsidRPr="003713DF">
        <w:t xml:space="preserve">59°F for heating and 64°F for cooling. These values </w:t>
      </w:r>
      <w:r w:rsidR="003713DF" w:rsidRPr="003713DF">
        <w:t xml:space="preserve">were </w:t>
      </w:r>
      <w:r w:rsidRPr="003713DF">
        <w:t xml:space="preserve">based on </w:t>
      </w:r>
      <w:r w:rsidR="003713DF" w:rsidRPr="003713DF">
        <w:t xml:space="preserve">a study by </w:t>
      </w:r>
      <w:r w:rsidRPr="003713DF">
        <w:t xml:space="preserve">Auffhammer et al. (2017) </w:t>
      </w:r>
      <w:r w:rsidR="00B8260A" w:rsidRPr="003713DF">
        <w:t>in which</w:t>
      </w:r>
      <w:r w:rsidRPr="003713DF">
        <w:t xml:space="preserve"> the 59°F–64°F temperature bin </w:t>
      </w:r>
      <w:r w:rsidR="003713DF" w:rsidRPr="003713DF">
        <w:t xml:space="preserve">was </w:t>
      </w:r>
      <w:r w:rsidRPr="003713DF">
        <w:t xml:space="preserve">found to lead to the lowest load, on average, in balancing authorities across the United States. The sales equation (proxy for demand equation) </w:t>
      </w:r>
      <w:r w:rsidR="003713DF" w:rsidRPr="003713DF">
        <w:t xml:space="preserve">was </w:t>
      </w:r>
      <w:r w:rsidRPr="003713DF">
        <w:t>estimated as follows:</w:t>
      </w:r>
    </w:p>
    <w:p w14:paraId="13681039" w14:textId="5C672C50" w:rsidR="0013221F" w:rsidRPr="008F0AB3" w:rsidRDefault="008043C8" w:rsidP="006C1EBF">
      <w:pPr>
        <w:spacing w:before="0" w:line="240" w:lineRule="auto"/>
        <w:ind w:left="2340" w:hanging="1620"/>
        <w:rPr>
          <w:rFonts w:eastAsiaTheme="minorEastAsia"/>
        </w:rPr>
      </w:pPr>
      <m:oMathPara>
        <m:oMathParaPr>
          <m:jc m:val="left"/>
        </m:oMathParaPr>
        <m:oMath>
          <m:func>
            <m:funcPr>
              <m:ctrlPr>
                <w:rPr>
                  <w:rFonts w:ascii="Cambria Math" w:hAnsi="Cambria Math"/>
                  <w:i/>
                </w:rPr>
              </m:ctrlPr>
            </m:funcPr>
            <m:fName>
              <m: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Sl_cust</m:t>
                      </m:r>
                    </m:e>
                    <m:sub>
                      <m:r>
                        <w:rPr>
                          <w:rFonts w:ascii="Cambria Math" w:hAnsi="Cambria Math"/>
                        </w:rPr>
                        <m:t>i,t</m:t>
                      </m:r>
                    </m:sub>
                  </m:sSub>
                </m:e>
              </m:d>
              <m:r>
                <w:rPr>
                  <w:rFonts w:ascii="Cambria Math" w:hAnsi="Cambria Math"/>
                </w:rPr>
                <m:t xml:space="preserve">= </m:t>
              </m:r>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m:t>
              </m:r>
            </m:e>
          </m:func>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HDD</m:t>
                  </m:r>
                </m:e>
                <m:sub>
                  <m:r>
                    <w:rPr>
                      <w:rFonts w:ascii="Cambria Math" w:hAnsi="Cambria Math"/>
                    </w:rPr>
                    <m:t>t</m:t>
                  </m:r>
                </m:sub>
              </m:sSub>
            </m:e>
          </m:d>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CDD</m:t>
                  </m:r>
                </m:e>
                <m:sub>
                  <m:r>
                    <w:rPr>
                      <w:rFonts w:ascii="Cambria Math" w:hAnsi="Cambria Math"/>
                    </w:rPr>
                    <m:t>t</m:t>
                  </m:r>
                </m:sub>
              </m:sSub>
            </m:e>
          </m:d>
          <m:r>
            <m:rPr>
              <m:sty m:val="p"/>
            </m:rPr>
            <w:br/>
          </m:r>
        </m:oMath>
      </m:oMathPara>
      <m:oMath>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3</m:t>
            </m:r>
          </m:sub>
        </m:sSub>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PRC</m:t>
                </m:r>
              </m:e>
              <m:sub>
                <m:r>
                  <w:rPr>
                    <w:rFonts w:ascii="Cambria Math" w:hAnsi="Cambria Math"/>
                  </w:rPr>
                  <m:t>t</m:t>
                </m:r>
              </m:sub>
            </m:sSub>
          </m:e>
        </m:d>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4</m:t>
            </m:r>
          </m:sub>
        </m:sSub>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i,t</m:t>
                </m:r>
              </m:sub>
            </m:sSub>
          </m:e>
        </m:d>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i,t</m:t>
            </m:r>
          </m:sub>
        </m:sSub>
      </m:oMath>
      <w:r w:rsidR="00B8260A">
        <w:t xml:space="preserve"> ,</w:t>
      </w:r>
      <w:r w:rsidR="00E34C46">
        <w:ptab w:relativeTo="margin" w:alignment="right" w:leader="none"/>
      </w:r>
      <w:r w:rsidR="00693098">
        <w:rPr>
          <w:rFonts w:eastAsiaTheme="minorEastAsia"/>
        </w:rPr>
        <w:t>(2.17)</w:t>
      </w:r>
    </w:p>
    <w:p w14:paraId="17183F6B" w14:textId="2D60BD91" w:rsidR="00C12CD4" w:rsidRPr="003713DF" w:rsidRDefault="00C12CD4" w:rsidP="00093CC9">
      <w:pPr>
        <w:pStyle w:val="BodyText"/>
      </w:pPr>
      <w:r w:rsidRPr="003713DF">
        <w:rPr>
          <w:rFonts w:eastAsiaTheme="minorEastAsia"/>
        </w:rPr>
        <w:t>where</w:t>
      </w:r>
      <w:r w:rsidRPr="003713DF">
        <w:rPr>
          <w:i/>
          <w:iCs/>
        </w:rPr>
        <w:t xml:space="preserve"> i</w:t>
      </w:r>
      <w:r w:rsidRPr="003713DF">
        <w:t xml:space="preserve"> represents </w:t>
      </w:r>
      <w:r w:rsidR="003713DF" w:rsidRPr="003713DF">
        <w:t xml:space="preserve">the </w:t>
      </w:r>
      <w:r w:rsidRPr="003713DF">
        <w:t xml:space="preserve">preference customer (utility), </w:t>
      </w:r>
      <w:r w:rsidRPr="003713DF">
        <w:rPr>
          <w:i/>
          <w:iCs/>
        </w:rPr>
        <w:t>t</w:t>
      </w:r>
      <w:r w:rsidRPr="003713DF">
        <w:t xml:space="preserve"> represents </w:t>
      </w:r>
      <w:r w:rsidR="003713DF" w:rsidRPr="003713DF">
        <w:t xml:space="preserve">the </w:t>
      </w:r>
      <w:r w:rsidRPr="003713DF">
        <w:t xml:space="preserve">year, </w:t>
      </w:r>
      <w:r w:rsidRPr="003713DF">
        <w:rPr>
          <w:i/>
          <w:iCs/>
        </w:rPr>
        <w:t>Sl_cust</w:t>
      </w:r>
      <w:r w:rsidRPr="003713DF">
        <w:t xml:space="preserve"> is the annual sales per customer, </w:t>
      </w:r>
      <w:r w:rsidRPr="003713DF">
        <w:rPr>
          <w:i/>
          <w:iCs/>
        </w:rPr>
        <w:t>HDD</w:t>
      </w:r>
      <w:r w:rsidRPr="003713DF">
        <w:t xml:space="preserve"> is the annual heating degree days (with </w:t>
      </w:r>
      <w:r w:rsidR="00A07451" w:rsidRPr="00A06AC6">
        <w:rPr>
          <w:i/>
          <w:iCs/>
        </w:rPr>
        <w:t>BLP</w:t>
      </w:r>
      <w:r w:rsidRPr="003713DF">
        <w:t xml:space="preserve"> = 59°F), </w:t>
      </w:r>
      <w:r w:rsidRPr="003713DF">
        <w:rPr>
          <w:i/>
          <w:iCs/>
        </w:rPr>
        <w:t>CDD</w:t>
      </w:r>
      <w:r w:rsidRPr="003713DF">
        <w:t xml:space="preserve"> is the annual cooling degree days (with </w:t>
      </w:r>
      <w:r w:rsidR="00A07451" w:rsidRPr="00A06AC6">
        <w:rPr>
          <w:i/>
          <w:iCs/>
        </w:rPr>
        <w:t>BLP</w:t>
      </w:r>
      <w:r w:rsidRPr="003713DF">
        <w:t xml:space="preserve"> = 64°F), </w:t>
      </w:r>
      <w:r w:rsidRPr="003713DF">
        <w:rPr>
          <w:i/>
          <w:iCs/>
        </w:rPr>
        <w:t>PRC</w:t>
      </w:r>
      <w:r w:rsidRPr="003713DF">
        <w:t xml:space="preserve"> is the precipitation, </w:t>
      </w:r>
      <w:r w:rsidR="00D76833" w:rsidRPr="003713DF">
        <w:rPr>
          <w:i/>
          <w:iCs/>
        </w:rPr>
        <w:t>P</w:t>
      </w:r>
      <w:r w:rsidR="00D76833" w:rsidRPr="003713DF">
        <w:t xml:space="preserve"> is the average price, </w:t>
      </w:r>
      <w:r w:rsidR="00D76833" w:rsidRPr="003713DF">
        <w:rPr>
          <w:i/>
          <w:iCs/>
        </w:rPr>
        <w:t>Y</w:t>
      </w:r>
      <w:r w:rsidR="00D76833" w:rsidRPr="003713DF">
        <w:t xml:space="preserve"> is the income per capita averaged across the counties in the utility</w:t>
      </w:r>
      <w:r w:rsidR="00805545">
        <w:t>’</w:t>
      </w:r>
      <w:r w:rsidR="00D76833" w:rsidRPr="003713DF">
        <w:t xml:space="preserve">s service territory, and </w:t>
      </w:r>
      <w:r w:rsidR="00D76833" w:rsidRPr="00A06AC6">
        <w:rPr>
          <w:i/>
          <w:iCs/>
        </w:rPr>
        <w:t>u</w:t>
      </w:r>
      <w:r w:rsidR="00D76833" w:rsidRPr="00A06AC6">
        <w:rPr>
          <w:i/>
          <w:iCs/>
          <w:vertAlign w:val="subscript"/>
        </w:rPr>
        <w:t>i</w:t>
      </w:r>
      <w:r w:rsidR="00D76833" w:rsidRPr="003713DF">
        <w:rPr>
          <w:vertAlign w:val="subscript"/>
        </w:rPr>
        <w:t>,</w:t>
      </w:r>
      <w:r w:rsidR="00D76833" w:rsidRPr="00A06AC6">
        <w:rPr>
          <w:i/>
          <w:iCs/>
          <w:vertAlign w:val="subscript"/>
        </w:rPr>
        <w:t>t</w:t>
      </w:r>
      <w:r w:rsidR="00D76833" w:rsidRPr="003713DF">
        <w:t xml:space="preserve"> is the residual term (i.e., the difference between the observed sales per customer and the value estimated by the explanatory variables in the equation). The BPA region</w:t>
      </w:r>
      <w:r w:rsidR="00805545">
        <w:t>’</w:t>
      </w:r>
      <w:r w:rsidR="00D76833" w:rsidRPr="003713DF">
        <w:t xml:space="preserve">s equation has some differences relative to </w:t>
      </w:r>
      <w:r w:rsidR="003713DF">
        <w:t>Eq. (</w:t>
      </w:r>
      <w:r w:rsidR="00D76833" w:rsidRPr="003713DF">
        <w:t>2.17</w:t>
      </w:r>
      <w:r w:rsidR="003713DF">
        <w:t>)</w:t>
      </w:r>
      <w:r w:rsidR="00D76833" w:rsidRPr="003713DF">
        <w:t xml:space="preserve">: the dependent variable is monthly retail load, </w:t>
      </w:r>
      <w:r w:rsidR="00D76833" w:rsidRPr="003713DF">
        <w:rPr>
          <w:i/>
          <w:iCs/>
        </w:rPr>
        <w:t>t</w:t>
      </w:r>
      <w:r w:rsidR="00D76833" w:rsidRPr="003713DF">
        <w:t xml:space="preserve"> </w:t>
      </w:r>
      <w:r w:rsidR="003713DF">
        <w:t xml:space="preserve">is the </w:t>
      </w:r>
      <w:r w:rsidR="00D76833" w:rsidRPr="003713DF">
        <w:t xml:space="preserve">month, the weather variables are monthly rather than annual summaries, and </w:t>
      </w:r>
      <w:r w:rsidR="003713DF">
        <w:t xml:space="preserve">the equation </w:t>
      </w:r>
      <w:r w:rsidR="00D76833" w:rsidRPr="003713DF">
        <w:t>includes monthly indicator variables to capture the seasonal pattern of sales</w:t>
      </w:r>
      <w:r w:rsidR="003713DF">
        <w:t>,</w:t>
      </w:r>
      <w:r w:rsidR="00D76833" w:rsidRPr="003713DF">
        <w:t xml:space="preserve"> as well as an interaction term between CDDs and air conditioning penetration in the residential sector.</w:t>
      </w:r>
    </w:p>
    <w:p w14:paraId="5F080FD4" w14:textId="2F6D5371" w:rsidR="00E82EE8" w:rsidRPr="003713DF" w:rsidRDefault="002A5E6E" w:rsidP="00093CC9">
      <w:pPr>
        <w:pStyle w:val="BodyText"/>
        <w:rPr>
          <w:rFonts w:eastAsiaTheme="minorEastAsia"/>
          <w:lang w:eastAsia="zh-TW"/>
        </w:rPr>
      </w:pPr>
      <w:r>
        <w:t>Equation (2.17)</w:t>
      </w:r>
      <w:r w:rsidR="005C3710" w:rsidRPr="003713DF">
        <w:t xml:space="preserve"> </w:t>
      </w:r>
      <w:r w:rsidR="003713DF">
        <w:t xml:space="preserve">was </w:t>
      </w:r>
      <w:r w:rsidR="005C3710" w:rsidRPr="003713DF">
        <w:rPr>
          <w:szCs w:val="24"/>
        </w:rPr>
        <w:t>estimated for the sales of PMA preference customers to their end-use customers in nine PMA subregions</w:t>
      </w:r>
      <w:r w:rsidR="00941AB8" w:rsidRPr="003713DF">
        <w:rPr>
          <w:szCs w:val="24"/>
        </w:rPr>
        <w:t xml:space="preserve"> (</w:t>
      </w:r>
      <w:r w:rsidR="00DB5955" w:rsidRPr="003713DF">
        <w:rPr>
          <w:szCs w:val="24"/>
        </w:rPr>
        <w:fldChar w:fldCharType="begin"/>
      </w:r>
      <w:r w:rsidR="00DB5955" w:rsidRPr="003713DF">
        <w:rPr>
          <w:szCs w:val="24"/>
        </w:rPr>
        <w:instrText xml:space="preserve"> REF _Ref81737985 \n \h </w:instrText>
      </w:r>
      <w:r w:rsidR="00093CC9" w:rsidRPr="003713DF">
        <w:rPr>
          <w:szCs w:val="24"/>
        </w:rPr>
        <w:instrText xml:space="preserve"> \* MERGEFORMAT </w:instrText>
      </w:r>
      <w:r w:rsidR="00DB5955" w:rsidRPr="003713DF">
        <w:rPr>
          <w:szCs w:val="24"/>
        </w:rPr>
      </w:r>
      <w:r w:rsidR="00DB5955" w:rsidRPr="003713DF">
        <w:rPr>
          <w:szCs w:val="24"/>
        </w:rPr>
        <w:fldChar w:fldCharType="separate"/>
      </w:r>
      <w:r w:rsidR="00EE0BF5">
        <w:rPr>
          <w:szCs w:val="24"/>
        </w:rPr>
        <w:t>APPENDIX H</w:t>
      </w:r>
      <w:r w:rsidR="00DB5955" w:rsidRPr="003713DF">
        <w:rPr>
          <w:szCs w:val="24"/>
        </w:rPr>
        <w:fldChar w:fldCharType="end"/>
      </w:r>
      <w:r w:rsidR="00941AB8" w:rsidRPr="003713DF">
        <w:rPr>
          <w:szCs w:val="24"/>
        </w:rPr>
        <w:t>)</w:t>
      </w:r>
      <w:r w:rsidR="00E82EE8" w:rsidRPr="003713DF">
        <w:rPr>
          <w:szCs w:val="24"/>
        </w:rPr>
        <w:t>.</w:t>
      </w:r>
      <w:r w:rsidR="00E82EE8" w:rsidRPr="003713DF">
        <w:rPr>
          <w:rStyle w:val="FootnoteReference"/>
          <w:szCs w:val="24"/>
        </w:rPr>
        <w:footnoteReference w:id="10"/>
      </w:r>
      <w:r w:rsidR="00E82EE8" w:rsidRPr="003713DF">
        <w:rPr>
          <w:szCs w:val="24"/>
        </w:rPr>
        <w:t xml:space="preserve"> </w:t>
      </w:r>
      <w:r w:rsidR="00E82EE8" w:rsidRPr="003713DF">
        <w:rPr>
          <w:rFonts w:eastAsiaTheme="minorEastAsia"/>
          <w:lang w:eastAsia="zh-TW"/>
        </w:rPr>
        <w:t>Whenever possible, the nine subregions correspond</w:t>
      </w:r>
      <w:r w:rsidR="003713DF">
        <w:rPr>
          <w:rFonts w:eastAsiaTheme="minorEastAsia"/>
          <w:lang w:eastAsia="zh-TW"/>
        </w:rPr>
        <w:t>ed</w:t>
      </w:r>
      <w:r w:rsidR="00E82EE8" w:rsidRPr="003713DF">
        <w:rPr>
          <w:rFonts w:eastAsiaTheme="minorEastAsia"/>
          <w:lang w:eastAsia="zh-TW"/>
        </w:rPr>
        <w:t xml:space="preserve"> to the regional delineation used by the PMAs for marketing and rate-setting purposes. In some cases, multiple power marketing regions had to be combined because the number of preference customers reporting sales data to EIA was too small to estimate their sales equation separately.</w:t>
      </w:r>
    </w:p>
    <w:p w14:paraId="1A4B4DBB" w14:textId="40B644B0" w:rsidR="009F09AE" w:rsidRPr="003713DF" w:rsidRDefault="00D65513" w:rsidP="00093CC9">
      <w:pPr>
        <w:pStyle w:val="BodyText"/>
      </w:pPr>
      <w:r w:rsidRPr="003713DF">
        <w:t>The degree</w:t>
      </w:r>
      <w:r w:rsidR="003713DF">
        <w:t xml:space="preserve"> </w:t>
      </w:r>
      <w:r w:rsidRPr="003713DF">
        <w:t>day data in these equations reflect</w:t>
      </w:r>
      <w:r w:rsidR="003713DF">
        <w:t>ed</w:t>
      </w:r>
      <w:r w:rsidRPr="003713DF">
        <w:t xml:space="preserve"> the temperature experienced in the service territory of the PMA preference customers, which can sometimes be far from the location of the federal hydropower </w:t>
      </w:r>
      <w:r w:rsidRPr="003713DF">
        <w:lastRenderedPageBreak/>
        <w:t xml:space="preserve">plants. Each of the equations </w:t>
      </w:r>
      <w:r w:rsidR="003713DF">
        <w:t xml:space="preserve">was </w:t>
      </w:r>
      <w:r w:rsidRPr="003713DF">
        <w:t xml:space="preserve">also estimated using two different MetFs (Daymet and Livneh). The city boundary </w:t>
      </w:r>
      <w:r w:rsidRPr="002A5E6E">
        <w:rPr>
          <w:iCs/>
        </w:rPr>
        <w:t>Place</w:t>
      </w:r>
      <w:r w:rsidRPr="003713DF">
        <w:t xml:space="preserve"> shapefile from the US Census Bureau</w:t>
      </w:r>
      <w:r w:rsidR="00805545">
        <w:t>’</w:t>
      </w:r>
      <w:r w:rsidRPr="003713DF">
        <w:t>s TIGER data</w:t>
      </w:r>
      <w:r w:rsidR="005606E5" w:rsidRPr="003713DF">
        <w:t xml:space="preserve"> </w:t>
      </w:r>
      <w:r w:rsidRPr="003713DF">
        <w:t>set</w:t>
      </w:r>
      <w:r w:rsidRPr="003713DF">
        <w:rPr>
          <w:rStyle w:val="FootnoteReference"/>
        </w:rPr>
        <w:footnoteReference w:id="11"/>
      </w:r>
      <w:r w:rsidRPr="003713DF" w:rsidDel="00550262">
        <w:t xml:space="preserve"> </w:t>
      </w:r>
      <w:r w:rsidR="003713DF">
        <w:t xml:space="preserve">was </w:t>
      </w:r>
      <w:r w:rsidRPr="003713DF">
        <w:t xml:space="preserve">used as the spatial filter to average the gridded temperature observations into a value that represents the service territory for a given preference customer. Since it averages temperatures within </w:t>
      </w:r>
      <w:r w:rsidR="000369C7" w:rsidRPr="003713DF">
        <w:t>city boundary</w:t>
      </w:r>
      <w:r w:rsidRPr="003713DF">
        <w:t xml:space="preserve"> rather than across the entire </w:t>
      </w:r>
      <w:r w:rsidR="000369C7" w:rsidRPr="003713DF">
        <w:t xml:space="preserve">counties </w:t>
      </w:r>
      <w:r w:rsidRPr="003713DF">
        <w:t>of the utility</w:t>
      </w:r>
      <w:r w:rsidR="00805545">
        <w:t>’</w:t>
      </w:r>
      <w:r w:rsidRPr="003713DF">
        <w:t>s service territory, the Place filter helps capture more accurately the temperatures experienced by residential customers</w:t>
      </w:r>
      <w:r w:rsidR="003713DF">
        <w:t>,</w:t>
      </w:r>
      <w:r w:rsidRPr="003713DF">
        <w:t xml:space="preserve"> which tend to have the most temperature-sensitive electricity demand among all customer types served by electric utilities.</w:t>
      </w:r>
    </w:p>
    <w:p w14:paraId="55F1D0FB" w14:textId="67AF7A19" w:rsidR="009F09AE" w:rsidRPr="003713DF" w:rsidRDefault="009F09AE" w:rsidP="00093CC9">
      <w:pPr>
        <w:pStyle w:val="BodyText"/>
      </w:pPr>
      <w:r w:rsidRPr="003713DF">
        <w:t xml:space="preserve">The sales data </w:t>
      </w:r>
      <w:r w:rsidR="00B7138F" w:rsidRPr="003713DF">
        <w:t xml:space="preserve">were </w:t>
      </w:r>
      <w:r w:rsidRPr="003713DF">
        <w:t xml:space="preserve">divided by number of customers to normalize across utilities of different sizes. </w:t>
      </w:r>
      <w:r w:rsidR="00353FD6" w:rsidRPr="003713DF">
        <w:t>Because</w:t>
      </w:r>
      <w:r w:rsidRPr="003713DF">
        <w:t xml:space="preserve"> all variables in the equation </w:t>
      </w:r>
      <w:r w:rsidR="00B7138F" w:rsidRPr="003713DF">
        <w:t xml:space="preserve">were </w:t>
      </w:r>
      <w:r w:rsidRPr="003713DF">
        <w:t xml:space="preserve">in logarithms, the estimated </w:t>
      </w:r>
      <w:r w:rsidR="002A5E6E" w:rsidRPr="002A5E6E">
        <w:t>slopes</w:t>
      </w:r>
      <w:r w:rsidR="003713DF">
        <w:t xml:space="preserve"> were </w:t>
      </w:r>
      <w:r w:rsidRPr="003713DF">
        <w:t>interpreted as elasticities (i.e., the percent change in the dependent variable in response to a 1% increase in one of the explanatory variables).</w:t>
      </w:r>
    </w:p>
    <w:p w14:paraId="38EB030D" w14:textId="6409639C" w:rsidR="009F09AE" w:rsidRPr="003D2A7A" w:rsidRDefault="009F09AE" w:rsidP="00093CC9">
      <w:pPr>
        <w:pStyle w:val="BodyText"/>
        <w:rPr>
          <w:rFonts w:cstheme="minorBidi"/>
        </w:rPr>
      </w:pPr>
      <w:r w:rsidRPr="47E6C8DF">
        <w:rPr>
          <w:rFonts w:cstheme="minorBidi"/>
        </w:rPr>
        <w:t xml:space="preserve">All variables used to estimate the demand equations </w:t>
      </w:r>
      <w:r w:rsidR="003713DF">
        <w:rPr>
          <w:rFonts w:cstheme="minorBidi"/>
        </w:rPr>
        <w:t xml:space="preserve">had </w:t>
      </w:r>
      <w:r w:rsidRPr="47E6C8DF">
        <w:rPr>
          <w:rFonts w:cstheme="minorBidi"/>
        </w:rPr>
        <w:t>two dimensions</w:t>
      </w:r>
      <w:r w:rsidR="003713DF">
        <w:rPr>
          <w:rFonts w:cstheme="minorBidi"/>
        </w:rPr>
        <w:t>—</w:t>
      </w:r>
      <w:r w:rsidRPr="47E6C8DF">
        <w:rPr>
          <w:rFonts w:cstheme="minorBidi"/>
        </w:rPr>
        <w:t>a utility ID and a year</w:t>
      </w:r>
      <w:r w:rsidR="003713DF">
        <w:rPr>
          <w:rFonts w:cstheme="minorBidi"/>
        </w:rPr>
        <w:t>—</w:t>
      </w:r>
      <w:r w:rsidR="000B5594">
        <w:rPr>
          <w:rFonts w:cstheme="minorBidi"/>
        </w:rPr>
        <w:t>but</w:t>
      </w:r>
      <w:r w:rsidR="000B5594" w:rsidRPr="47E6C8DF">
        <w:rPr>
          <w:rFonts w:cstheme="minorBidi"/>
        </w:rPr>
        <w:t xml:space="preserve"> </w:t>
      </w:r>
      <w:r w:rsidRPr="47E6C8DF">
        <w:rPr>
          <w:rFonts w:cstheme="minorBidi"/>
        </w:rPr>
        <w:t>the BPA</w:t>
      </w:r>
      <w:r w:rsidR="005606E5">
        <w:rPr>
          <w:rFonts w:cstheme="minorBidi"/>
        </w:rPr>
        <w:t xml:space="preserve"> data set </w:t>
      </w:r>
      <w:r w:rsidR="0077215D">
        <w:rPr>
          <w:rFonts w:cstheme="minorBidi"/>
        </w:rPr>
        <w:t xml:space="preserve">also </w:t>
      </w:r>
      <w:r w:rsidRPr="47E6C8DF">
        <w:rPr>
          <w:rFonts w:cstheme="minorBidi"/>
        </w:rPr>
        <w:t>include</w:t>
      </w:r>
      <w:r w:rsidR="003713DF">
        <w:rPr>
          <w:rFonts w:cstheme="minorBidi"/>
        </w:rPr>
        <w:t>d</w:t>
      </w:r>
      <w:r w:rsidRPr="47E6C8DF">
        <w:rPr>
          <w:rFonts w:cstheme="minorBidi"/>
        </w:rPr>
        <w:t xml:space="preserve"> the month.</w:t>
      </w:r>
      <w:r w:rsidR="00D64187">
        <w:rPr>
          <w:rFonts w:cstheme="minorBidi"/>
        </w:rPr>
        <w:t xml:space="preserve"> </w:t>
      </w:r>
      <w:r w:rsidR="003713DF">
        <w:rPr>
          <w:rFonts w:cstheme="minorBidi"/>
        </w:rPr>
        <w:t>D</w:t>
      </w:r>
      <w:r w:rsidR="005606E5">
        <w:rPr>
          <w:rFonts w:cstheme="minorBidi"/>
        </w:rPr>
        <w:t>ata sets</w:t>
      </w:r>
      <w:r w:rsidR="00D64187">
        <w:rPr>
          <w:rFonts w:cstheme="minorBidi"/>
        </w:rPr>
        <w:t xml:space="preserve"> </w:t>
      </w:r>
      <w:r w:rsidRPr="47E6C8DF">
        <w:rPr>
          <w:rFonts w:cstheme="minorBidi"/>
        </w:rPr>
        <w:t xml:space="preserve">that consist of many subjects (utilities in this case) observed at different points in time are called </w:t>
      </w:r>
      <w:r w:rsidRPr="006C1EBF">
        <w:rPr>
          <w:rFonts w:cstheme="minorBidi"/>
          <w:i/>
        </w:rPr>
        <w:t>panel</w:t>
      </w:r>
      <w:r w:rsidR="00D64187">
        <w:rPr>
          <w:rFonts w:cstheme="minorBidi"/>
        </w:rPr>
        <w:t xml:space="preserve"> data sets.</w:t>
      </w:r>
      <w:r w:rsidRPr="47E6C8DF">
        <w:rPr>
          <w:rFonts w:cstheme="minorBidi"/>
        </w:rPr>
        <w:t xml:space="preserve"> There are multiple alternative specifications for regression models using panel data. The pooled model treat</w:t>
      </w:r>
      <w:r w:rsidR="003713DF">
        <w:rPr>
          <w:rFonts w:cstheme="minorBidi"/>
        </w:rPr>
        <w:t>ed</w:t>
      </w:r>
      <w:r w:rsidRPr="47E6C8DF">
        <w:rPr>
          <w:rFonts w:cstheme="minorBidi"/>
        </w:rPr>
        <w:t xml:space="preserve"> all observations as independent. The fixed effects model assume</w:t>
      </w:r>
      <w:r w:rsidR="003713DF">
        <w:rPr>
          <w:rFonts w:cstheme="minorBidi"/>
        </w:rPr>
        <w:t>d</w:t>
      </w:r>
      <w:r w:rsidRPr="47E6C8DF">
        <w:rPr>
          <w:rFonts w:cstheme="minorBidi"/>
        </w:rPr>
        <w:t xml:space="preserve"> that differences among subjects can be captured through unit-level intercepts </w:t>
      </w:r>
      <w:r w:rsidR="003713DF">
        <w:rPr>
          <w:rFonts w:cstheme="minorBidi"/>
        </w:rPr>
        <w:t xml:space="preserve">(i.e., </w:t>
      </w:r>
      <w:r w:rsidRPr="002A5E6E">
        <w:rPr>
          <w:rFonts w:cstheme="minorBidi"/>
          <w:iCs/>
        </w:rPr>
        <w:t>fixed effects</w:t>
      </w:r>
      <w:r w:rsidR="003713DF">
        <w:rPr>
          <w:rFonts w:cstheme="minorBidi"/>
        </w:rPr>
        <w:t>)</w:t>
      </w:r>
      <w:r w:rsidRPr="47E6C8DF">
        <w:rPr>
          <w:rFonts w:cstheme="minorBidi"/>
        </w:rPr>
        <w:t xml:space="preserve"> in the linear equations estimated. The random effects model posit</w:t>
      </w:r>
      <w:r w:rsidR="003713DF">
        <w:rPr>
          <w:rFonts w:cstheme="minorBidi"/>
        </w:rPr>
        <w:t>ed</w:t>
      </w:r>
      <w:r w:rsidRPr="47E6C8DF">
        <w:rPr>
          <w:rFonts w:cstheme="minorBidi"/>
        </w:rPr>
        <w:t xml:space="preserve"> that differences across subjects are random</w:t>
      </w:r>
      <w:r w:rsidR="006A4703">
        <w:rPr>
          <w:rFonts w:cstheme="minorBidi"/>
        </w:rPr>
        <w:t>,</w:t>
      </w:r>
      <w:r w:rsidRPr="47E6C8DF">
        <w:rPr>
          <w:rFonts w:cstheme="minorBidi"/>
        </w:rPr>
        <w:t xml:space="preserve"> and the corresponding model specification include</w:t>
      </w:r>
      <w:r w:rsidR="00143F40">
        <w:rPr>
          <w:rFonts w:cstheme="minorBidi"/>
        </w:rPr>
        <w:t>d</w:t>
      </w:r>
      <w:r w:rsidRPr="47E6C8DF">
        <w:rPr>
          <w:rFonts w:cstheme="minorBidi"/>
        </w:rPr>
        <w:t xml:space="preserve"> an extra error term indexed by subject. Statistical tests </w:t>
      </w:r>
      <w:r w:rsidR="00143F40">
        <w:rPr>
          <w:rFonts w:cstheme="minorBidi"/>
        </w:rPr>
        <w:t xml:space="preserve">were </w:t>
      </w:r>
      <w:r w:rsidRPr="47E6C8DF">
        <w:rPr>
          <w:rFonts w:cstheme="minorBidi"/>
        </w:rPr>
        <w:t xml:space="preserve">conducted to </w:t>
      </w:r>
      <w:r w:rsidR="006A4703">
        <w:rPr>
          <w:rFonts w:cstheme="minorBidi"/>
        </w:rPr>
        <w:t>determine</w:t>
      </w:r>
      <w:r w:rsidR="006A4703" w:rsidRPr="47E6C8DF">
        <w:rPr>
          <w:rFonts w:cstheme="minorBidi"/>
        </w:rPr>
        <w:t xml:space="preserve"> </w:t>
      </w:r>
      <w:r w:rsidRPr="47E6C8DF">
        <w:rPr>
          <w:rFonts w:cstheme="minorBidi"/>
        </w:rPr>
        <w:t xml:space="preserve">which panel data model specification </w:t>
      </w:r>
      <w:r w:rsidR="00143F40">
        <w:rPr>
          <w:rFonts w:cstheme="minorBidi"/>
        </w:rPr>
        <w:t xml:space="preserve">was </w:t>
      </w:r>
      <w:r w:rsidRPr="47E6C8DF">
        <w:rPr>
          <w:rFonts w:cstheme="minorBidi"/>
        </w:rPr>
        <w:t>more appropriate for this particular data</w:t>
      </w:r>
      <w:r w:rsidR="005606E5">
        <w:rPr>
          <w:rFonts w:cstheme="minorBidi"/>
        </w:rPr>
        <w:t xml:space="preserve"> </w:t>
      </w:r>
      <w:r w:rsidRPr="47E6C8DF">
        <w:rPr>
          <w:rFonts w:cstheme="minorBidi"/>
        </w:rPr>
        <w:t xml:space="preserve">set. Standard errors </w:t>
      </w:r>
      <w:r w:rsidR="00143F40">
        <w:rPr>
          <w:rFonts w:cstheme="minorBidi"/>
        </w:rPr>
        <w:t xml:space="preserve">were </w:t>
      </w:r>
      <w:r w:rsidRPr="47E6C8DF">
        <w:rPr>
          <w:rFonts w:cstheme="minorBidi"/>
        </w:rPr>
        <w:t>adjusted for clustering at the utility level.</w:t>
      </w:r>
      <w:r w:rsidRPr="47E6C8DF">
        <w:rPr>
          <w:rStyle w:val="FootnoteReference"/>
          <w:rFonts w:cstheme="minorBidi"/>
        </w:rPr>
        <w:footnoteReference w:id="12"/>
      </w:r>
    </w:p>
    <w:p w14:paraId="2AE0E9B5" w14:textId="3F46E117" w:rsidR="009F09AE" w:rsidRDefault="009F09AE" w:rsidP="00093CC9">
      <w:pPr>
        <w:pStyle w:val="BodyText"/>
        <w:rPr>
          <w:lang w:eastAsia="zh-TW"/>
        </w:rPr>
      </w:pPr>
      <w:r>
        <w:t xml:space="preserve">In summary, electricity sales data from a sample of PMA preference customers </w:t>
      </w:r>
      <w:r w:rsidR="00143F40">
        <w:t xml:space="preserve">were </w:t>
      </w:r>
      <w:r>
        <w:t xml:space="preserve">used as a proxy for electricity demand to estimate a demand equation with price, income, degree days, and precipitation as explanatory variables. The estimates of demand responsiveness to degree days </w:t>
      </w:r>
      <w:r w:rsidR="00143F40">
        <w:t xml:space="preserve">were </w:t>
      </w:r>
      <w:r>
        <w:t>then combined with the degree day</w:t>
      </w:r>
      <w:r w:rsidR="002A5E6E">
        <w:t>s</w:t>
      </w:r>
      <w:r>
        <w:t xml:space="preserve"> from the </w:t>
      </w:r>
      <w:r w:rsidR="00FA4192">
        <w:t xml:space="preserve">downscaled </w:t>
      </w:r>
      <w:r>
        <w:t xml:space="preserve">climate </w:t>
      </w:r>
      <w:r w:rsidR="00FA4192">
        <w:t xml:space="preserve">projections </w:t>
      </w:r>
      <w:r>
        <w:t xml:space="preserve">described in </w:t>
      </w:r>
      <w:r w:rsidR="00FA4192">
        <w:t xml:space="preserve">Section </w:t>
      </w:r>
      <w:r w:rsidR="00FA4192">
        <w:fldChar w:fldCharType="begin"/>
      </w:r>
      <w:r w:rsidR="00FA4192">
        <w:instrText xml:space="preserve"> REF _Ref75788044 \n \h </w:instrText>
      </w:r>
      <w:r w:rsidR="00FA4192">
        <w:fldChar w:fldCharType="separate"/>
      </w:r>
      <w:r w:rsidR="00EE0BF5">
        <w:t>2.4</w:t>
      </w:r>
      <w:r w:rsidR="00FA4192">
        <w:fldChar w:fldCharType="end"/>
      </w:r>
      <w:r>
        <w:t xml:space="preserve"> to estimate ranges of temperature-driven electricity demand changes in each of the nine PMA subregions out to 2059.</w:t>
      </w:r>
    </w:p>
    <w:p w14:paraId="21FAF3D8" w14:textId="7E3B6619" w:rsidR="009E06D3" w:rsidRPr="006D08C0" w:rsidRDefault="009E06D3" w:rsidP="009E06D3">
      <w:pPr>
        <w:pStyle w:val="Heading3"/>
      </w:pPr>
      <w:bookmarkStart w:id="208" w:name="_Toc113380792"/>
      <w:r w:rsidRPr="006D08C0">
        <w:t>Model Validation</w:t>
      </w:r>
      <w:bookmarkEnd w:id="208"/>
    </w:p>
    <w:p w14:paraId="18E6284E" w14:textId="3ABB6F7A" w:rsidR="00C12CD4" w:rsidRDefault="00C12CD4" w:rsidP="00C12CD4">
      <w:pPr>
        <w:pStyle w:val="BodyText"/>
        <w:rPr>
          <w:lang w:eastAsia="zh-TW"/>
        </w:rPr>
      </w:pPr>
      <w:r>
        <w:rPr>
          <w:lang w:eastAsia="zh-TW"/>
        </w:rPr>
        <w:t xml:space="preserve">The demand equation tables in </w:t>
      </w:r>
      <w:r w:rsidR="00DB5955">
        <w:rPr>
          <w:lang w:eastAsia="zh-TW"/>
        </w:rPr>
        <w:fldChar w:fldCharType="begin"/>
      </w:r>
      <w:r w:rsidR="00DB5955">
        <w:rPr>
          <w:lang w:eastAsia="zh-TW"/>
        </w:rPr>
        <w:instrText xml:space="preserve"> REF _Ref81737985 \n \h </w:instrText>
      </w:r>
      <w:r w:rsidR="00DB5955">
        <w:rPr>
          <w:lang w:eastAsia="zh-TW"/>
        </w:rPr>
      </w:r>
      <w:r w:rsidR="00DB5955">
        <w:rPr>
          <w:lang w:eastAsia="zh-TW"/>
        </w:rPr>
        <w:fldChar w:fldCharType="separate"/>
      </w:r>
      <w:r w:rsidR="00EE0BF5">
        <w:rPr>
          <w:lang w:eastAsia="zh-TW"/>
        </w:rPr>
        <w:t>APPENDIX H</w:t>
      </w:r>
      <w:r w:rsidR="00DB5955">
        <w:rPr>
          <w:lang w:eastAsia="zh-TW"/>
        </w:rPr>
        <w:fldChar w:fldCharType="end"/>
      </w:r>
      <w:r w:rsidR="00DB5955">
        <w:rPr>
          <w:lang w:eastAsia="zh-TW"/>
        </w:rPr>
        <w:t xml:space="preserve"> </w:t>
      </w:r>
      <w:r>
        <w:rPr>
          <w:lang w:eastAsia="zh-TW"/>
        </w:rPr>
        <w:t>include two model performance metrics. First, the R</w:t>
      </w:r>
      <w:r w:rsidRPr="0037347B">
        <w:rPr>
          <w:vertAlign w:val="superscript"/>
          <w:lang w:eastAsia="zh-TW"/>
        </w:rPr>
        <w:t>2</w:t>
      </w:r>
      <w:r>
        <w:rPr>
          <w:lang w:eastAsia="zh-TW"/>
        </w:rPr>
        <w:t xml:space="preserve"> measure</w:t>
      </w:r>
      <w:r w:rsidR="00143F40">
        <w:rPr>
          <w:lang w:eastAsia="zh-TW"/>
        </w:rPr>
        <w:t>d</w:t>
      </w:r>
      <w:r>
        <w:rPr>
          <w:lang w:eastAsia="zh-TW"/>
        </w:rPr>
        <w:t xml:space="preserve"> the percentage of variability in the dependent variable (electricity sales or load per customer) explained by the model.</w:t>
      </w:r>
      <w:r>
        <w:rPr>
          <w:rStyle w:val="FootnoteReference"/>
          <w:lang w:eastAsia="zh-TW"/>
        </w:rPr>
        <w:footnoteReference w:id="13"/>
      </w:r>
      <w:r>
        <w:rPr>
          <w:lang w:eastAsia="zh-TW"/>
        </w:rPr>
        <w:t xml:space="preserve"> For the seasonal BPA load equations, based on monthly data, the R</w:t>
      </w:r>
      <w:r w:rsidRPr="00B93AFD">
        <w:rPr>
          <w:vertAlign w:val="superscript"/>
          <w:lang w:eastAsia="zh-TW"/>
        </w:rPr>
        <w:t>2</w:t>
      </w:r>
      <w:r>
        <w:rPr>
          <w:lang w:eastAsia="zh-TW"/>
        </w:rPr>
        <w:t xml:space="preserve"> range</w:t>
      </w:r>
      <w:r w:rsidR="00143F40">
        <w:rPr>
          <w:lang w:eastAsia="zh-TW"/>
        </w:rPr>
        <w:t>d</w:t>
      </w:r>
      <w:r>
        <w:rPr>
          <w:lang w:eastAsia="zh-TW"/>
        </w:rPr>
        <w:t xml:space="preserve"> from 0.28 for the summer equations to approximately 0.5 for the winter equations. </w:t>
      </w:r>
      <w:r w:rsidR="0090496A" w:rsidRPr="0090496A">
        <w:rPr>
          <w:lang w:eastAsia="zh-TW"/>
        </w:rPr>
        <w:t xml:space="preserve">Thus, in </w:t>
      </w:r>
      <w:r w:rsidR="002A5E6E">
        <w:rPr>
          <w:lang w:eastAsia="zh-TW"/>
        </w:rPr>
        <w:t>the BPA</w:t>
      </w:r>
      <w:r w:rsidR="0090496A" w:rsidRPr="0090496A">
        <w:rPr>
          <w:lang w:eastAsia="zh-TW"/>
        </w:rPr>
        <w:t xml:space="preserve"> region, the set of explanatory variables included in the regressions can explain a larger fraction of variability in electricity load in the winter months than in the summer months, at least with the linear model specification used in this analysis. The lower R</w:t>
      </w:r>
      <w:r w:rsidR="0090496A" w:rsidRPr="0090496A">
        <w:rPr>
          <w:vertAlign w:val="superscript"/>
          <w:lang w:eastAsia="zh-TW"/>
        </w:rPr>
        <w:t>2</w:t>
      </w:r>
      <w:r w:rsidR="0090496A" w:rsidRPr="0090496A">
        <w:rPr>
          <w:lang w:eastAsia="zh-TW"/>
        </w:rPr>
        <w:t xml:space="preserve"> for the summer equations </w:t>
      </w:r>
      <w:r w:rsidR="00143F40">
        <w:rPr>
          <w:lang w:eastAsia="zh-TW"/>
        </w:rPr>
        <w:t xml:space="preserve">held </w:t>
      </w:r>
      <w:r w:rsidR="0090496A" w:rsidRPr="0090496A">
        <w:rPr>
          <w:lang w:eastAsia="zh-TW"/>
        </w:rPr>
        <w:t>even after including two additional explanatory variables (estimated air conditioning penetration and proxy variable for irrigation loads) in the summer regressions relative to the winter regressions.</w:t>
      </w:r>
    </w:p>
    <w:p w14:paraId="50A4F3C1" w14:textId="0A83E9A1" w:rsidR="00C12CD4" w:rsidRDefault="00202E53" w:rsidP="00C12CD4">
      <w:pPr>
        <w:pStyle w:val="BodyText"/>
        <w:rPr>
          <w:lang w:eastAsia="zh-TW"/>
        </w:rPr>
      </w:pPr>
      <w:r>
        <w:rPr>
          <w:lang w:eastAsia="zh-TW"/>
        </w:rPr>
        <w:lastRenderedPageBreak/>
        <w:t>For the annual sales equations estimated for the preference customers in the rest of PMA subregions, the R</w:t>
      </w:r>
      <w:r w:rsidRPr="00B93AFD">
        <w:rPr>
          <w:vertAlign w:val="superscript"/>
          <w:lang w:eastAsia="zh-TW"/>
        </w:rPr>
        <w:t>2</w:t>
      </w:r>
      <w:r>
        <w:rPr>
          <w:lang w:eastAsia="zh-TW"/>
        </w:rPr>
        <w:t xml:space="preserve"> range</w:t>
      </w:r>
      <w:r w:rsidR="00143F40">
        <w:rPr>
          <w:lang w:eastAsia="zh-TW"/>
        </w:rPr>
        <w:t>d</w:t>
      </w:r>
      <w:r>
        <w:rPr>
          <w:lang w:eastAsia="zh-TW"/>
        </w:rPr>
        <w:t xml:space="preserve"> from 0.09 in the WAPA-SN/RM (</w:t>
      </w:r>
      <w:r>
        <w:t>Sierra Nevada/Rocky Mountains</w:t>
      </w:r>
      <w:r>
        <w:rPr>
          <w:lang w:eastAsia="zh-TW"/>
        </w:rPr>
        <w:t>) subregion with the Daymet</w:t>
      </w:r>
      <w:r w:rsidR="005606E5">
        <w:rPr>
          <w:lang w:eastAsia="zh-TW"/>
        </w:rPr>
        <w:t xml:space="preserve"> data set </w:t>
      </w:r>
      <w:r>
        <w:rPr>
          <w:lang w:eastAsia="zh-TW"/>
        </w:rPr>
        <w:t>to 0.49 in the SEPA–</w:t>
      </w:r>
      <w:r w:rsidRPr="00A56EFF">
        <w:rPr>
          <w:lang w:eastAsia="zh-TW"/>
        </w:rPr>
        <w:t>Georgia</w:t>
      </w:r>
      <w:r>
        <w:rPr>
          <w:lang w:eastAsia="zh-TW"/>
        </w:rPr>
        <w:t>/</w:t>
      </w:r>
      <w:r w:rsidRPr="00A56EFF">
        <w:rPr>
          <w:lang w:eastAsia="zh-TW"/>
        </w:rPr>
        <w:t>Alabama</w:t>
      </w:r>
      <w:r>
        <w:rPr>
          <w:lang w:eastAsia="zh-TW"/>
        </w:rPr>
        <w:t>/</w:t>
      </w:r>
      <w:r w:rsidRPr="00A56EFF">
        <w:rPr>
          <w:lang w:eastAsia="zh-TW"/>
        </w:rPr>
        <w:t>South Carolina/Jim Woodruff</w:t>
      </w:r>
      <w:r>
        <w:rPr>
          <w:lang w:eastAsia="zh-TW"/>
        </w:rPr>
        <w:t xml:space="preserve"> (GA/AL/SC/JW)</w:t>
      </w:r>
      <w:r w:rsidRPr="00A56EFF">
        <w:rPr>
          <w:lang w:eastAsia="zh-TW"/>
        </w:rPr>
        <w:t xml:space="preserve"> </w:t>
      </w:r>
      <w:r>
        <w:rPr>
          <w:lang w:eastAsia="zh-TW"/>
        </w:rPr>
        <w:t>subregions. The poor model performance, in terms of R</w:t>
      </w:r>
      <w:r w:rsidRPr="00B93AFD">
        <w:rPr>
          <w:vertAlign w:val="superscript"/>
          <w:lang w:eastAsia="zh-TW"/>
        </w:rPr>
        <w:t>2</w:t>
      </w:r>
      <w:r>
        <w:rPr>
          <w:lang w:eastAsia="zh-TW"/>
        </w:rPr>
        <w:t xml:space="preserve"> for the WAPA-SN/RM subregion, is at least partially explained by a lower number of observations for that equation. The number of observations available for the WAPA-SN/RM and WAPA–</w:t>
      </w:r>
      <w:r>
        <w:t>Desert Southwest (</w:t>
      </w:r>
      <w:r>
        <w:rPr>
          <w:lang w:eastAsia="zh-TW"/>
        </w:rPr>
        <w:t>DSW</w:t>
      </w:r>
      <w:r>
        <w:t>)</w:t>
      </w:r>
      <w:r>
        <w:rPr>
          <w:lang w:eastAsia="zh-TW"/>
        </w:rPr>
        <w:t xml:space="preserve"> subregions </w:t>
      </w:r>
      <w:r w:rsidR="00143F40">
        <w:rPr>
          <w:lang w:eastAsia="zh-TW"/>
        </w:rPr>
        <w:t xml:space="preserve">was </w:t>
      </w:r>
      <w:r>
        <w:rPr>
          <w:lang w:eastAsia="zh-TW"/>
        </w:rPr>
        <w:t>much smaller than for the rest of equations because only a few of the PMA customers in these subregions report sales data in EIA Form 861.</w:t>
      </w:r>
    </w:p>
    <w:p w14:paraId="48B4AD36" w14:textId="3764D3DB" w:rsidR="00491DE7" w:rsidRDefault="00202E53" w:rsidP="00491DE7">
      <w:pPr>
        <w:pStyle w:val="BodyText"/>
        <w:rPr>
          <w:lang w:eastAsia="zh-TW"/>
        </w:rPr>
      </w:pPr>
      <w:r>
        <w:rPr>
          <w:lang w:eastAsia="zh-TW"/>
        </w:rPr>
        <w:t xml:space="preserve">The second validation metric presented along with the equation results is the NRMSE, which is a measure of predictive performance. The RMSE can be interpreted as the typical error (i.e., difference between observed and predicted value) expected when applying the equation to a new period or PMA customer. </w:t>
      </w:r>
      <w:r w:rsidR="008D6468">
        <w:rPr>
          <w:lang w:eastAsia="zh-TW"/>
        </w:rPr>
        <w:t>However, c</w:t>
      </w:r>
      <w:r w:rsidR="00143F40">
        <w:rPr>
          <w:lang w:eastAsia="zh-TW"/>
        </w:rPr>
        <w:t xml:space="preserve">omparing the RMSE </w:t>
      </w:r>
      <w:r>
        <w:rPr>
          <w:lang w:eastAsia="zh-TW"/>
        </w:rPr>
        <w:t>across different models applied to the same data</w:t>
      </w:r>
      <w:r w:rsidR="005606E5">
        <w:rPr>
          <w:lang w:eastAsia="zh-TW"/>
        </w:rPr>
        <w:t xml:space="preserve"> </w:t>
      </w:r>
      <w:r>
        <w:rPr>
          <w:lang w:eastAsia="zh-TW"/>
        </w:rPr>
        <w:t>set</w:t>
      </w:r>
      <w:r w:rsidR="00143F40">
        <w:rPr>
          <w:lang w:eastAsia="zh-TW"/>
        </w:rPr>
        <w:t xml:space="preserve"> is </w:t>
      </w:r>
      <w:r w:rsidR="008D6468">
        <w:rPr>
          <w:lang w:eastAsia="zh-TW"/>
        </w:rPr>
        <w:t>challenging</w:t>
      </w:r>
      <w:r w:rsidRPr="47E6C8DF">
        <w:rPr>
          <w:lang w:eastAsia="zh-TW"/>
        </w:rPr>
        <w:t>.</w:t>
      </w:r>
      <w:r>
        <w:rPr>
          <w:lang w:eastAsia="zh-TW"/>
        </w:rPr>
        <w:t xml:space="preserve"> The NRMSE is the RMSE divided by the average value of the dependent variable (monthly total retail load for customer for BPA or annual electricity sales for the other PMA subregions); it allows comparisons among the equations of the different PMA subregions. For the annual sales equations, the NRMSE range</w:t>
      </w:r>
      <w:r w:rsidR="00143F40">
        <w:rPr>
          <w:lang w:eastAsia="zh-TW"/>
        </w:rPr>
        <w:t>d</w:t>
      </w:r>
      <w:r>
        <w:rPr>
          <w:lang w:eastAsia="zh-TW"/>
        </w:rPr>
        <w:t xml:space="preserve"> from 0.025 (SEPA-Cumberland) to 0.06 (WAPA-DSW). All the NRMSE values </w:t>
      </w:r>
      <w:r w:rsidR="00143F40">
        <w:rPr>
          <w:lang w:eastAsia="zh-TW"/>
        </w:rPr>
        <w:t xml:space="preserve">were </w:t>
      </w:r>
      <w:r>
        <w:rPr>
          <w:lang w:eastAsia="zh-TW"/>
        </w:rPr>
        <w:t xml:space="preserve">reasonably low. Because they </w:t>
      </w:r>
      <w:r w:rsidR="00143F40">
        <w:rPr>
          <w:lang w:eastAsia="zh-TW"/>
        </w:rPr>
        <w:t xml:space="preserve">were </w:t>
      </w:r>
      <w:r>
        <w:rPr>
          <w:lang w:eastAsia="zh-TW"/>
        </w:rPr>
        <w:t xml:space="preserve">normalized by the average observed value, they can be interpreted as meaning that the typical error </w:t>
      </w:r>
      <w:r w:rsidR="00143F40">
        <w:rPr>
          <w:lang w:eastAsia="zh-TW"/>
        </w:rPr>
        <w:t xml:space="preserve">was </w:t>
      </w:r>
      <w:r>
        <w:rPr>
          <w:lang w:eastAsia="zh-TW"/>
        </w:rPr>
        <w:t>2%–6% of the (log-transformed) sales value that the equations aim to explain.</w:t>
      </w:r>
    </w:p>
    <w:p w14:paraId="5665CEF3" w14:textId="26EF7666" w:rsidR="00491DE7" w:rsidRDefault="00202E53" w:rsidP="00491DE7">
      <w:pPr>
        <w:pStyle w:val="BodyText"/>
        <w:rPr>
          <w:lang w:eastAsia="zh-TW"/>
        </w:rPr>
      </w:pPr>
      <w:r>
        <w:rPr>
          <w:lang w:eastAsia="zh-TW"/>
        </w:rPr>
        <w:t xml:space="preserve">The NRMSE </w:t>
      </w:r>
      <w:r w:rsidR="00143F40">
        <w:rPr>
          <w:lang w:eastAsia="zh-TW"/>
        </w:rPr>
        <w:t xml:space="preserve">was </w:t>
      </w:r>
      <w:r>
        <w:rPr>
          <w:lang w:eastAsia="zh-TW"/>
        </w:rPr>
        <w:t>larger for BPA</w:t>
      </w:r>
      <w:r w:rsidR="00805545">
        <w:rPr>
          <w:lang w:eastAsia="zh-TW"/>
        </w:rPr>
        <w:t>’</w:t>
      </w:r>
      <w:r>
        <w:rPr>
          <w:lang w:eastAsia="zh-TW"/>
        </w:rPr>
        <w:t>s seasonal load equations. It range</w:t>
      </w:r>
      <w:r w:rsidR="00143F40">
        <w:rPr>
          <w:lang w:eastAsia="zh-TW"/>
        </w:rPr>
        <w:t>d</w:t>
      </w:r>
      <w:r>
        <w:rPr>
          <w:lang w:eastAsia="zh-TW"/>
        </w:rPr>
        <w:t xml:space="preserve"> from 0.1 in the winter equations to 0.2 in the spring and fall equations. However, there </w:t>
      </w:r>
      <w:r w:rsidR="00143F40">
        <w:rPr>
          <w:lang w:eastAsia="zh-TW"/>
        </w:rPr>
        <w:t xml:space="preserve">was </w:t>
      </w:r>
      <w:r>
        <w:rPr>
          <w:lang w:eastAsia="zh-TW"/>
        </w:rPr>
        <w:t>also more variability to explain in the monthly data than in the annual data. The coefficient of variation (i.e., the ratio of the standard deviation and the mean) range</w:t>
      </w:r>
      <w:r w:rsidR="00143F40">
        <w:rPr>
          <w:lang w:eastAsia="zh-TW"/>
        </w:rPr>
        <w:t>d</w:t>
      </w:r>
      <w:r>
        <w:rPr>
          <w:lang w:eastAsia="zh-TW"/>
        </w:rPr>
        <w:t xml:space="preserve"> from 0.05 to 0.20 for the annual sales data of WAPA, SWPA, and SEPA preference customers; for the monthly BPA customer load data, it range</w:t>
      </w:r>
      <w:r w:rsidR="00143F40">
        <w:rPr>
          <w:lang w:eastAsia="zh-TW"/>
        </w:rPr>
        <w:t>d</w:t>
      </w:r>
      <w:r>
        <w:rPr>
          <w:lang w:eastAsia="zh-TW"/>
        </w:rPr>
        <w:t xml:space="preserve"> from 0.61 </w:t>
      </w:r>
      <w:r w:rsidR="00143F40">
        <w:rPr>
          <w:lang w:eastAsia="zh-TW"/>
        </w:rPr>
        <w:t xml:space="preserve">in the </w:t>
      </w:r>
      <w:r>
        <w:rPr>
          <w:lang w:eastAsia="zh-TW"/>
        </w:rPr>
        <w:t xml:space="preserve">winter to 1 </w:t>
      </w:r>
      <w:r w:rsidR="00143F40">
        <w:rPr>
          <w:lang w:eastAsia="zh-TW"/>
        </w:rPr>
        <w:t xml:space="preserve">in the </w:t>
      </w:r>
      <w:r>
        <w:rPr>
          <w:lang w:eastAsia="zh-TW"/>
        </w:rPr>
        <w:t>summer.</w:t>
      </w:r>
    </w:p>
    <w:p w14:paraId="6D1E5239" w14:textId="77777777" w:rsidR="009E06D3" w:rsidRPr="004856AD" w:rsidRDefault="009E06D3" w:rsidP="009E06D3">
      <w:pPr>
        <w:pStyle w:val="Heading3"/>
      </w:pPr>
      <w:bookmarkStart w:id="209" w:name="_Toc113380793"/>
      <w:r w:rsidRPr="004856AD">
        <w:t>Model Limitation</w:t>
      </w:r>
      <w:r>
        <w:t>s</w:t>
      </w:r>
      <w:bookmarkEnd w:id="209"/>
    </w:p>
    <w:p w14:paraId="612C72B6" w14:textId="17D727C8" w:rsidR="000206EF" w:rsidRDefault="00143F40" w:rsidP="00093CC9">
      <w:pPr>
        <w:pStyle w:val="BodyText"/>
      </w:pPr>
      <w:r>
        <w:t xml:space="preserve">Because </w:t>
      </w:r>
      <w:r w:rsidR="000206EF">
        <w:t>annual sales data and annual degree</w:t>
      </w:r>
      <w:r w:rsidR="003713DF">
        <w:t xml:space="preserve"> </w:t>
      </w:r>
      <w:r w:rsidR="000206EF">
        <w:t xml:space="preserve">day summaries </w:t>
      </w:r>
      <w:r>
        <w:t xml:space="preserve">were used, </w:t>
      </w:r>
      <w:r w:rsidR="000206EF">
        <w:t xml:space="preserve">the analysis </w:t>
      </w:r>
      <w:r>
        <w:t xml:space="preserve">could </w:t>
      </w:r>
      <w:r w:rsidR="000206EF">
        <w:t xml:space="preserve">only provide annual average results for the responsiveness of electricity demand to temperature. Other aspects of the temperature-load relationship (e.g., nonlinear effects of temperature beyond a threshold) </w:t>
      </w:r>
      <w:r>
        <w:t xml:space="preserve">could not </w:t>
      </w:r>
      <w:r w:rsidR="000206EF">
        <w:t>be addressed. Similarly, estimating temperature-driven changes in peak load, a more useful metric for planning reserves and capacity investments than total electricity demand, would require hourly load data.</w:t>
      </w:r>
      <w:r w:rsidR="00AD1F00">
        <w:t xml:space="preserve"> </w:t>
      </w:r>
      <w:r w:rsidR="000206EF">
        <w:t>The selected approach presents some limitations</w:t>
      </w:r>
      <w:r>
        <w:t>,</w:t>
      </w:r>
      <w:r w:rsidR="000206EF">
        <w:t xml:space="preserve"> </w:t>
      </w:r>
      <w:r>
        <w:t xml:space="preserve">which are </w:t>
      </w:r>
      <w:r w:rsidR="000206EF">
        <w:t>summarized as follows:</w:t>
      </w:r>
    </w:p>
    <w:p w14:paraId="01399C65" w14:textId="6D0EB240" w:rsidR="000206EF" w:rsidRDefault="000206EF" w:rsidP="00093CC9">
      <w:pPr>
        <w:pStyle w:val="BulletListspace"/>
      </w:pPr>
      <w:r>
        <w:t xml:space="preserve">The annual sales data </w:t>
      </w:r>
      <w:r w:rsidR="00B7138F">
        <w:t xml:space="preserve">were </w:t>
      </w:r>
      <w:r>
        <w:t xml:space="preserve">a proxy for total retail load. Total retail load would be the ideal data for the dependent variable of the estimated electricity demand equations, but it was only available for BPA. For BPA, the annual sales data </w:t>
      </w:r>
      <w:r w:rsidR="00B7138F">
        <w:t xml:space="preserve">were </w:t>
      </w:r>
      <w:r>
        <w:t>within ±10% of the total retail load data for 87% of the observations.</w:t>
      </w:r>
    </w:p>
    <w:p w14:paraId="43EDDCEC" w14:textId="42949441" w:rsidR="00A329B3" w:rsidRDefault="00A329B3" w:rsidP="00093CC9">
      <w:pPr>
        <w:pStyle w:val="BulletListspace"/>
      </w:pPr>
      <w:r>
        <w:t xml:space="preserve">The annual sales data </w:t>
      </w:r>
      <w:r w:rsidR="00B7138F">
        <w:t xml:space="preserve">were </w:t>
      </w:r>
      <w:r>
        <w:t xml:space="preserve">not available for all the PMA preference customers. The number of customers for which data </w:t>
      </w:r>
      <w:r w:rsidR="00B7138F">
        <w:t xml:space="preserve">were </w:t>
      </w:r>
      <w:r>
        <w:t xml:space="preserve">available in each PMA subregion is shown in </w:t>
      </w:r>
      <w:r>
        <w:fldChar w:fldCharType="begin"/>
      </w:r>
      <w:r>
        <w:instrText xml:space="preserve"> REF _Ref81737809 \h </w:instrText>
      </w:r>
      <w:r w:rsidR="00093CC9">
        <w:instrText xml:space="preserve"> \* MERGEFORMAT </w:instrText>
      </w:r>
      <w:r>
        <w:fldChar w:fldCharType="separate"/>
      </w:r>
      <w:r w:rsidR="00EE0BF5" w:rsidRPr="00EE0BF5">
        <w:rPr>
          <w:rFonts w:eastAsia="PMingLiU"/>
          <w:lang w:bidi="en-US"/>
        </w:rPr>
        <w:t>Table H.</w:t>
      </w:r>
      <w:r w:rsidR="00EE0BF5" w:rsidRPr="00EE0BF5">
        <w:rPr>
          <w:rFonts w:eastAsia="PMingLiU"/>
          <w:noProof/>
          <w:lang w:bidi="en-US"/>
        </w:rPr>
        <w:t>1</w:t>
      </w:r>
      <w:r w:rsidR="00EE0BF5" w:rsidRPr="00485D84">
        <w:rPr>
          <w:rFonts w:eastAsia="PMingLiU"/>
          <w:noProof/>
          <w:lang w:bidi="en-US"/>
        </w:rPr>
        <w:t>.</w:t>
      </w:r>
      <w:r w:rsidR="00EE0BF5" w:rsidRPr="00485D84">
        <w:rPr>
          <w:rFonts w:eastAsia="PMingLiU"/>
          <w:lang w:bidi="en-US"/>
        </w:rPr>
        <w:t xml:space="preserve"> </w:t>
      </w:r>
      <w:r>
        <w:fldChar w:fldCharType="end"/>
      </w:r>
      <w:r>
        <w:t xml:space="preserve"> in </w:t>
      </w:r>
      <w:r>
        <w:fldChar w:fldCharType="begin"/>
      </w:r>
      <w:r>
        <w:instrText xml:space="preserve"> REF _Ref81737985 \n \h </w:instrText>
      </w:r>
      <w:r w:rsidR="00093CC9">
        <w:instrText xml:space="preserve"> \* MERGEFORMAT </w:instrText>
      </w:r>
      <w:r>
        <w:fldChar w:fldCharType="separate"/>
      </w:r>
      <w:r w:rsidR="00EE0BF5">
        <w:t>APPENDIX H</w:t>
      </w:r>
      <w:r>
        <w:fldChar w:fldCharType="end"/>
      </w:r>
      <w:r>
        <w:t>. Typically, the missing data will correspond to the smallest utilities because they do not file EIA Form 861.</w:t>
      </w:r>
    </w:p>
    <w:p w14:paraId="1A316DDD" w14:textId="61AB3C22" w:rsidR="000206EF" w:rsidRDefault="00A329B3" w:rsidP="00093CC9">
      <w:pPr>
        <w:pStyle w:val="BulletListspace"/>
      </w:pPr>
      <w:r>
        <w:t xml:space="preserve">The demand analysis results presented in the rest of </w:t>
      </w:r>
      <w:r w:rsidR="00143F40">
        <w:t xml:space="preserve">this study </w:t>
      </w:r>
      <w:r>
        <w:t>extrapolate</w:t>
      </w:r>
      <w:r w:rsidR="00143F40">
        <w:t>d</w:t>
      </w:r>
      <w:r>
        <w:t xml:space="preserve"> the estimated responsiveness of electricity sales to temperature to future periods. The extrapolation implicitly assume</w:t>
      </w:r>
      <w:r w:rsidR="00143F40">
        <w:t>d</w:t>
      </w:r>
      <w:r>
        <w:t xml:space="preserve"> that there </w:t>
      </w:r>
      <w:r w:rsidR="00143F40">
        <w:t xml:space="preserve">would </w:t>
      </w:r>
      <w:r>
        <w:t>be no substantial changes in the types of heating and cooling equipment being used or their energy efficiency</w:t>
      </w:r>
      <w:r w:rsidR="00143F40">
        <w:t>,</w:t>
      </w:r>
      <w:r>
        <w:t xml:space="preserve"> as well as no substantial growth of demand response programs. Improvements in heating and cooling technology and more widespread implementation of demand response programs </w:t>
      </w:r>
      <w:r w:rsidR="00143F40">
        <w:t xml:space="preserve">would </w:t>
      </w:r>
      <w:r>
        <w:t xml:space="preserve">help reduce the </w:t>
      </w:r>
      <w:r w:rsidR="008D6468">
        <w:t>dependency</w:t>
      </w:r>
      <w:r>
        <w:t xml:space="preserve"> of electric load to temperatures.</w:t>
      </w:r>
    </w:p>
    <w:p w14:paraId="61D406AE" w14:textId="13BAB5F4" w:rsidR="00E5228F" w:rsidRPr="004856AD" w:rsidRDefault="004631E6" w:rsidP="00AD0C1C">
      <w:pPr>
        <w:pStyle w:val="Heading2"/>
      </w:pPr>
      <w:bookmarkStart w:id="210" w:name="_Toc113380794"/>
      <w:r w:rsidRPr="00C12CD4">
        <w:lastRenderedPageBreak/>
        <w:t>Analysis of Variance</w:t>
      </w:r>
      <w:bookmarkEnd w:id="210"/>
    </w:p>
    <w:p w14:paraId="5CB037DD" w14:textId="77777777" w:rsidR="001272A3" w:rsidRPr="006D08C0" w:rsidRDefault="001272A3" w:rsidP="001272A3">
      <w:pPr>
        <w:pStyle w:val="Heading3"/>
      </w:pPr>
      <w:bookmarkStart w:id="211" w:name="_Toc113380795"/>
      <w:r>
        <w:t>Approach</w:t>
      </w:r>
      <w:bookmarkEnd w:id="211"/>
    </w:p>
    <w:p w14:paraId="51F215D7" w14:textId="1DACA412" w:rsidR="00C91C8C" w:rsidRDefault="003841D8" w:rsidP="00C91C8C">
      <w:pPr>
        <w:pStyle w:val="BodyText"/>
      </w:pPr>
      <w:r>
        <w:t xml:space="preserve">The </w:t>
      </w:r>
      <w:r w:rsidR="00DF5D2B" w:rsidRPr="00E041E7">
        <w:t>a</w:t>
      </w:r>
      <w:r w:rsidR="00C91C8C" w:rsidRPr="00E041E7">
        <w:t xml:space="preserve">nalysis of variance (ANOVA) </w:t>
      </w:r>
      <w:r w:rsidR="00C91C8C">
        <w:t>technique was</w:t>
      </w:r>
      <w:r w:rsidR="00C91C8C" w:rsidRPr="00E041E7">
        <w:t xml:space="preserve"> used to quantify </w:t>
      </w:r>
      <w:r w:rsidR="00EE5AC2">
        <w:t xml:space="preserve">the </w:t>
      </w:r>
      <w:r w:rsidR="00C91C8C" w:rsidRPr="00E041E7">
        <w:t xml:space="preserve">relative contribution of uncertainties in </w:t>
      </w:r>
      <w:r w:rsidR="00C91C8C">
        <w:t xml:space="preserve">ensemble </w:t>
      </w:r>
      <w:r w:rsidR="00C91C8C" w:rsidRPr="00E041E7">
        <w:t xml:space="preserve">projections arising from different </w:t>
      </w:r>
      <w:r w:rsidR="00C91C8C">
        <w:t xml:space="preserve">modeling choices (main factors) </w:t>
      </w:r>
      <w:r w:rsidR="00C91C8C" w:rsidRPr="00E041E7">
        <w:t xml:space="preserve">and their interactions. </w:t>
      </w:r>
      <w:r w:rsidR="00C5388F">
        <w:t xml:space="preserve">The </w:t>
      </w:r>
      <w:r w:rsidR="00C91C8C" w:rsidRPr="00E041E7">
        <w:t xml:space="preserve">ANOVA has been widely </w:t>
      </w:r>
      <w:r w:rsidR="00143F40">
        <w:t xml:space="preserve">used in </w:t>
      </w:r>
      <w:r w:rsidR="00C91C8C" w:rsidRPr="00E041E7">
        <w:t xml:space="preserve">several studies to partition the total variance of ensembles by </w:t>
      </w:r>
      <w:r w:rsidR="00C5388F">
        <w:t>the</w:t>
      </w:r>
      <w:r w:rsidR="00C91C8C" w:rsidRPr="00E041E7">
        <w:t xml:space="preserve"> sum of variances introduced by individual component</w:t>
      </w:r>
      <w:r w:rsidR="00C5388F">
        <w:t>s</w:t>
      </w:r>
      <w:r w:rsidR="00C91C8C" w:rsidRPr="00E041E7">
        <w:t xml:space="preserve"> and their interactions in the modeling framework. </w:t>
      </w:r>
      <w:r w:rsidR="00C91C8C">
        <w:t xml:space="preserve">Based on </w:t>
      </w:r>
      <w:r w:rsidR="00C5388F">
        <w:t>the</w:t>
      </w:r>
      <w:r w:rsidR="00C91C8C">
        <w:t xml:space="preserve"> ANOVA, the total sum of squares can be described as </w:t>
      </w:r>
      <w:r w:rsidR="009855ED">
        <w:t>a</w:t>
      </w:r>
      <w:r w:rsidR="00C91C8C">
        <w:t xml:space="preserve"> sum of squares </w:t>
      </w:r>
      <w:r w:rsidR="00E14BDF">
        <w:t>(SS)</w:t>
      </w:r>
      <w:r w:rsidR="00C91C8C">
        <w:t xml:space="preserve"> </w:t>
      </w:r>
      <w:r w:rsidR="009F5FBB">
        <w:t>derived from</w:t>
      </w:r>
      <w:r w:rsidR="00C91C8C">
        <w:t xml:space="preserve"> individual (main) effects (SSA, SSB, SSC) in a three component framework (where, A, B</w:t>
      </w:r>
      <w:r w:rsidR="009F5FBB">
        <w:t>,</w:t>
      </w:r>
      <w:r w:rsidR="00C91C8C">
        <w:t xml:space="preserve"> and C are main factors), and their interaction terms (SSI = SSAB</w:t>
      </w:r>
      <w:r w:rsidR="005F30F3">
        <w:t xml:space="preserve"> </w:t>
      </w:r>
      <w:r w:rsidR="00C91C8C">
        <w:t>+</w:t>
      </w:r>
      <w:r w:rsidR="005F30F3">
        <w:t xml:space="preserve"> </w:t>
      </w:r>
      <w:r w:rsidR="00C91C8C">
        <w:t>SSAC</w:t>
      </w:r>
      <w:r w:rsidR="005F30F3">
        <w:t xml:space="preserve"> </w:t>
      </w:r>
      <w:r w:rsidR="00C91C8C">
        <w:t>+</w:t>
      </w:r>
      <w:r w:rsidR="005F30F3">
        <w:t xml:space="preserve"> </w:t>
      </w:r>
      <w:r w:rsidR="00C91C8C">
        <w:t>SSBC</w:t>
      </w:r>
      <w:r w:rsidR="005F30F3">
        <w:t xml:space="preserve"> </w:t>
      </w:r>
      <w:r w:rsidR="00C91C8C">
        <w:t>+</w:t>
      </w:r>
      <w:r w:rsidR="005F30F3">
        <w:t xml:space="preserve"> </w:t>
      </w:r>
      <w:r w:rsidR="00C91C8C">
        <w:t>SSABC</w:t>
      </w:r>
      <w:r w:rsidR="00337807">
        <w:t xml:space="preserve">). </w:t>
      </w:r>
      <w:r w:rsidR="00E36C1F" w:rsidRPr="00E36C1F">
        <w:t xml:space="preserve">Bosshard et al. </w:t>
      </w:r>
      <w:r w:rsidR="00E36C1F">
        <w:t>(</w:t>
      </w:r>
      <w:r w:rsidR="00E36C1F" w:rsidRPr="00E36C1F">
        <w:t>2013</w:t>
      </w:r>
      <w:r w:rsidR="00E36C1F">
        <w:t>),</w:t>
      </w:r>
      <w:r w:rsidR="00E36C1F" w:rsidRPr="00E36C1F">
        <w:t xml:space="preserve"> Chegwidden et al. </w:t>
      </w:r>
      <w:r w:rsidR="00E36C1F">
        <w:t>(</w:t>
      </w:r>
      <w:r w:rsidR="00E36C1F" w:rsidRPr="00E36C1F">
        <w:t>2019</w:t>
      </w:r>
      <w:r w:rsidR="00E36C1F">
        <w:t>),</w:t>
      </w:r>
      <w:r w:rsidR="00E36C1F" w:rsidRPr="00E36C1F">
        <w:t xml:space="preserve"> Gangrade et al. </w:t>
      </w:r>
      <w:r w:rsidR="00E36C1F">
        <w:t>(</w:t>
      </w:r>
      <w:r w:rsidR="00E36C1F" w:rsidRPr="00E36C1F">
        <w:t>2020</w:t>
      </w:r>
      <w:r w:rsidR="00E36C1F">
        <w:t>),</w:t>
      </w:r>
      <w:r w:rsidR="00E36C1F" w:rsidRPr="00E36C1F">
        <w:t xml:space="preserve"> Hattermann et al. </w:t>
      </w:r>
      <w:r w:rsidR="00E36C1F">
        <w:t>(</w:t>
      </w:r>
      <w:r w:rsidR="00E36C1F" w:rsidRPr="00E36C1F">
        <w:t>2018</w:t>
      </w:r>
      <w:r w:rsidR="00E36C1F">
        <w:t>), and</w:t>
      </w:r>
      <w:r w:rsidR="00E36C1F" w:rsidRPr="00E36C1F">
        <w:t xml:space="preserve"> Queen et al. </w:t>
      </w:r>
      <w:r w:rsidR="00E36C1F">
        <w:t>(</w:t>
      </w:r>
      <w:r w:rsidR="00E36C1F" w:rsidRPr="00E36C1F">
        <w:t>2021)</w:t>
      </w:r>
      <w:r w:rsidR="00143F40">
        <w:t xml:space="preserve"> provide more details regarding the ANOVA applications in hydroclimate assessments</w:t>
      </w:r>
      <w:r w:rsidR="00C91C8C">
        <w:t>.</w:t>
      </w:r>
    </w:p>
    <w:p w14:paraId="6A7E4E79" w14:textId="3ABA7E74" w:rsidR="00ED2DB2" w:rsidRDefault="00337807" w:rsidP="00ED2DB2">
      <w:pPr>
        <w:pStyle w:val="BodyText"/>
      </w:pPr>
      <w:r>
        <w:t>T</w:t>
      </w:r>
      <w:r w:rsidR="00ED2DB2">
        <w:t>his study focus</w:t>
      </w:r>
      <w:r>
        <w:t>ed</w:t>
      </w:r>
      <w:r w:rsidR="00ED2DB2">
        <w:t xml:space="preserve"> on</w:t>
      </w:r>
      <w:r>
        <w:t xml:space="preserve"> the</w:t>
      </w:r>
      <w:r w:rsidR="00ED2DB2">
        <w:t xml:space="preserve"> variances explained from main effects and their </w:t>
      </w:r>
      <w:r>
        <w:t>first-</w:t>
      </w:r>
      <w:r w:rsidR="00ED2DB2">
        <w:t xml:space="preserve">order interaction terms. </w:t>
      </w:r>
      <w:r>
        <w:t xml:space="preserve">An </w:t>
      </w:r>
      <w:r w:rsidR="00ED2DB2" w:rsidRPr="00E041E7">
        <w:t>ANOVA was applied for change</w:t>
      </w:r>
      <w:r>
        <w:t>s</w:t>
      </w:r>
      <w:r w:rsidR="00ED2DB2" w:rsidRPr="00E041E7">
        <w:t xml:space="preserve"> in variables</w:t>
      </w:r>
      <w:r>
        <w:t>,</w:t>
      </w:r>
      <w:r w:rsidR="00ED2DB2" w:rsidRPr="00E041E7">
        <w:t xml:space="preserve"> such as runoff, reservoir evaporation</w:t>
      </w:r>
      <w:r>
        <w:t>,</w:t>
      </w:r>
      <w:r w:rsidR="00ED2DB2" w:rsidRPr="00E041E7">
        <w:t xml:space="preserve"> and </w:t>
      </w:r>
      <w:r w:rsidR="00ED2DB2">
        <w:t xml:space="preserve">hydropower </w:t>
      </w:r>
      <w:r w:rsidR="00ED2DB2" w:rsidRPr="00E041E7">
        <w:t xml:space="preserve">generation. </w:t>
      </w:r>
      <w:r w:rsidR="00ED2DB2">
        <w:t xml:space="preserve">The change signal for each variable and each ensemble member </w:t>
      </w:r>
      <w:r w:rsidR="00143F40">
        <w:t xml:space="preserve">was </w:t>
      </w:r>
      <w:r w:rsidR="00ED2DB2">
        <w:t xml:space="preserve">calculated as </w:t>
      </w:r>
      <w:r>
        <w:t>a</w:t>
      </w:r>
      <w:r w:rsidR="00ED2DB2">
        <w:t xml:space="preserve"> magnitude of </w:t>
      </w:r>
      <w:r w:rsidR="003F0937">
        <w:t>a</w:t>
      </w:r>
      <w:r w:rsidR="00ED2DB2">
        <w:t xml:space="preserve"> variable in </w:t>
      </w:r>
      <w:r w:rsidR="003F0937">
        <w:t>the</w:t>
      </w:r>
      <w:r w:rsidR="00ED2DB2">
        <w:t xml:space="preserve"> future </w:t>
      </w:r>
      <w:r w:rsidR="003F0937">
        <w:t>period</w:t>
      </w:r>
      <w:r w:rsidR="00ED2DB2">
        <w:t xml:space="preserve"> (2020–2059) minus </w:t>
      </w:r>
      <w:r w:rsidR="003F0937">
        <w:t>the</w:t>
      </w:r>
      <w:r w:rsidR="00ED2DB2">
        <w:t xml:space="preserve"> baseline </w:t>
      </w:r>
      <w:r w:rsidR="003F0937">
        <w:t>period</w:t>
      </w:r>
      <w:r w:rsidR="00ED2DB2">
        <w:t xml:space="preserve"> (1980–2019). The change signals </w:t>
      </w:r>
      <w:r w:rsidR="00143F40">
        <w:t xml:space="preserve">were </w:t>
      </w:r>
      <w:r w:rsidR="00ED2DB2">
        <w:t xml:space="preserve">evaluated for any systematic differences arising from model setups. </w:t>
      </w:r>
      <w:r w:rsidR="00ED2DB2" w:rsidRPr="00E041E7">
        <w:t xml:space="preserve">The changes </w:t>
      </w:r>
      <w:r w:rsidR="003F0937">
        <w:t xml:space="preserve">for </w:t>
      </w:r>
      <w:r w:rsidR="00ED2DB2">
        <w:t xml:space="preserve">runoff and reservoir evaporation were studied using 48 </w:t>
      </w:r>
      <w:r w:rsidR="00ED2DB2" w:rsidRPr="00E041E7">
        <w:t xml:space="preserve">ensemble members with </w:t>
      </w:r>
      <w:r w:rsidR="00ED2DB2">
        <w:t xml:space="preserve">four main </w:t>
      </w:r>
      <w:r w:rsidR="00ED2DB2" w:rsidRPr="00E041E7">
        <w:t>components</w:t>
      </w:r>
      <w:r w:rsidR="003F0937">
        <w:t>,</w:t>
      </w:r>
      <w:r w:rsidR="00ED2DB2" w:rsidRPr="00E041E7">
        <w:t xml:space="preserve"> </w:t>
      </w:r>
      <w:r w:rsidR="00ED2DB2">
        <w:t>including six CMs</w:t>
      </w:r>
      <w:r w:rsidR="00ED2DB2" w:rsidRPr="00E041E7">
        <w:t xml:space="preserve">, </w:t>
      </w:r>
      <w:r w:rsidR="00ED2DB2">
        <w:t xml:space="preserve">two </w:t>
      </w:r>
      <w:r w:rsidR="00D83EC4">
        <w:t>DS</w:t>
      </w:r>
      <w:r w:rsidR="00ED2DB2">
        <w:t xml:space="preserve">s </w:t>
      </w:r>
      <w:r w:rsidR="00ED2DB2" w:rsidRPr="00E041E7">
        <w:t>(DB</w:t>
      </w:r>
      <w:r w:rsidR="00595591">
        <w:t>C</w:t>
      </w:r>
      <w:r w:rsidR="00ED2DB2" w:rsidRPr="00E041E7">
        <w:t>CA and</w:t>
      </w:r>
      <w:r w:rsidR="00ED2DB2">
        <w:t xml:space="preserve"> RegCM4), two </w:t>
      </w:r>
      <w:r w:rsidR="00D83EC4">
        <w:t>MetFs</w:t>
      </w:r>
      <w:r w:rsidR="00ED2DB2">
        <w:t xml:space="preserve"> (Daymet and Livneh), and two </w:t>
      </w:r>
      <w:r w:rsidR="00533D84">
        <w:t>HM</w:t>
      </w:r>
      <w:r w:rsidR="00ED2DB2">
        <w:t>s (VIC and PRMS). For hydropower generation, a fifth component</w:t>
      </w:r>
      <w:r w:rsidR="00143F40">
        <w:t>,</w:t>
      </w:r>
      <w:r w:rsidR="00ED2DB2">
        <w:t xml:space="preserve"> </w:t>
      </w:r>
      <w:r w:rsidR="00533D84">
        <w:t>PM</w:t>
      </w:r>
      <w:r w:rsidR="00ED2DB2">
        <w:t xml:space="preserve"> (WRES and WMP)</w:t>
      </w:r>
      <w:r w:rsidR="00143F40">
        <w:t>,</w:t>
      </w:r>
      <w:r w:rsidR="00ED2DB2">
        <w:t xml:space="preserve"> was added in the framework.</w:t>
      </w:r>
    </w:p>
    <w:p w14:paraId="3004BAEC" w14:textId="217D9DA0" w:rsidR="000C7638" w:rsidRDefault="00823FD7" w:rsidP="000C7638">
      <w:pPr>
        <w:pStyle w:val="BodyText"/>
      </w:pPr>
      <w:bookmarkStart w:id="212" w:name="_Toc425408236"/>
      <w:bookmarkStart w:id="213" w:name="_Toc425408237"/>
      <w:bookmarkEnd w:id="212"/>
      <w:bookmarkEnd w:id="213"/>
      <w:r>
        <w:t xml:space="preserve">ANOVA </w:t>
      </w:r>
      <w:r w:rsidRPr="007326F7">
        <w:t xml:space="preserve">results </w:t>
      </w:r>
      <w:r w:rsidR="00143F40">
        <w:t xml:space="preserve">are shown </w:t>
      </w:r>
      <w:r w:rsidRPr="007326F7">
        <w:t xml:space="preserve">for annual runoff </w:t>
      </w:r>
      <w:r>
        <w:t xml:space="preserve">change </w:t>
      </w:r>
      <w:r w:rsidRPr="007326F7">
        <w:t>in SEPA-3 as an example</w:t>
      </w:r>
      <w:r>
        <w:t xml:space="preserve"> (</w:t>
      </w:r>
      <w:r>
        <w:fldChar w:fldCharType="begin"/>
      </w:r>
      <w:r>
        <w:instrText xml:space="preserve"> REF _Ref72831985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24</w:t>
      </w:r>
      <w:r>
        <w:fldChar w:fldCharType="end"/>
      </w:r>
      <w:r>
        <w:t>)</w:t>
      </w:r>
      <w:r w:rsidRPr="007326F7">
        <w:t>. Additional results for other regions are discussed in the PMA-specific sections</w:t>
      </w:r>
      <w:r>
        <w:t xml:space="preserve"> of this report</w:t>
      </w:r>
      <w:r w:rsidRPr="007326F7">
        <w:t>.</w:t>
      </w:r>
      <w:r>
        <w:t xml:space="preserve"> The panels show the total spread of change in runoff among 48 ensemble members when grouped by CM </w:t>
      </w:r>
      <w:r w:rsidRPr="001D7ECD">
        <w:t>(a)</w:t>
      </w:r>
      <w:r>
        <w:t xml:space="preserve">, DS (b), MetF (c), and HM (d). A qualitative analysis of panels (b), (c), and (d) </w:t>
      </w:r>
      <w:r w:rsidR="00BD0EBA">
        <w:t xml:space="preserve">indicated </w:t>
      </w:r>
      <w:r>
        <w:t xml:space="preserve">that the spread of projection </w:t>
      </w:r>
      <w:r w:rsidR="00BD0EBA">
        <w:t xml:space="preserve">was </w:t>
      </w:r>
      <w:r>
        <w:t xml:space="preserve">generally similar across DS, MetF, and HM in SEPA-3, although with some variations in the interquartile ranges. However, the spread </w:t>
      </w:r>
      <w:r w:rsidR="00BD0EBA">
        <w:t xml:space="preserve">was </w:t>
      </w:r>
      <w:r>
        <w:t>significantly different across CMs. For instance, the annual runoff simulated by ACCESS-CM2 projected a ~</w:t>
      </w:r>
      <w:r w:rsidRPr="002D2C65">
        <w:t>4 i</w:t>
      </w:r>
      <w:r w:rsidRPr="001F1C0A">
        <w:t>n</w:t>
      </w:r>
      <w:r w:rsidR="0053217C">
        <w:t>.</w:t>
      </w:r>
      <w:r>
        <w:t xml:space="preserve"> increase,</w:t>
      </w:r>
      <w:r w:rsidRPr="001F1C0A">
        <w:t xml:space="preserve"> </w:t>
      </w:r>
      <w:r>
        <w:t>whereas</w:t>
      </w:r>
      <w:r w:rsidRPr="001F1C0A">
        <w:t xml:space="preserve"> CNRM-ESM2 projected </w:t>
      </w:r>
      <w:r>
        <w:t xml:space="preserve">a </w:t>
      </w:r>
      <w:r w:rsidRPr="002D2C65">
        <w:t>~0.2</w:t>
      </w:r>
      <w:r w:rsidR="00BD0EBA">
        <w:t> </w:t>
      </w:r>
      <w:r w:rsidRPr="001F1C0A">
        <w:t>in</w:t>
      </w:r>
      <w:r w:rsidR="00BD0EBA">
        <w:t>.</w:t>
      </w:r>
      <w:r>
        <w:t xml:space="preserve"> decrease</w:t>
      </w:r>
      <w:r w:rsidRPr="001F1C0A">
        <w:t xml:space="preserve">. </w:t>
      </w:r>
      <w:r w:rsidRPr="00557F8F">
        <w:t xml:space="preserve">This indicates that the choice of CM </w:t>
      </w:r>
      <w:r w:rsidR="0053217C">
        <w:t xml:space="preserve">was </w:t>
      </w:r>
      <w:r w:rsidRPr="00557F8F">
        <w:t xml:space="preserve">more important for annual runoff </w:t>
      </w:r>
      <w:r w:rsidR="0053217C">
        <w:t xml:space="preserve">than the choice of </w:t>
      </w:r>
      <w:r w:rsidRPr="00557F8F">
        <w:t>other modeling components</w:t>
      </w:r>
      <w:r w:rsidR="0053217C" w:rsidRPr="0053217C">
        <w:t xml:space="preserve"> </w:t>
      </w:r>
      <w:r w:rsidR="0053217C" w:rsidRPr="00557F8F">
        <w:t>in this study area</w:t>
      </w:r>
      <w:r w:rsidRPr="00557F8F">
        <w:t>.</w:t>
      </w:r>
      <w:r>
        <w:t xml:space="preserve"> The </w:t>
      </w:r>
      <w:r w:rsidRPr="001F1C0A">
        <w:t>ANOVA results</w:t>
      </w:r>
      <w:r w:rsidRPr="00DC4862">
        <w:t xml:space="preserve"> suggest that </w:t>
      </w:r>
      <w:r w:rsidRPr="001F1C0A">
        <w:t xml:space="preserve">CMs can explain </w:t>
      </w:r>
      <w:r w:rsidRPr="002D2C65">
        <w:t>~90%</w:t>
      </w:r>
      <w:r w:rsidRPr="001F1C0A">
        <w:t xml:space="preserve"> of the variance in the annual runoff change. </w:t>
      </w:r>
      <w:r>
        <w:t xml:space="preserve">These results </w:t>
      </w:r>
      <w:r w:rsidR="0053217C">
        <w:t xml:space="preserve">were </w:t>
      </w:r>
      <w:r>
        <w:t>based on the methodological choices incorporated in this study. Adjustment or additional modeling components may</w:t>
      </w:r>
      <w:r w:rsidR="0053217C">
        <w:t> </w:t>
      </w:r>
      <w:r>
        <w:t>yield different results.</w:t>
      </w:r>
    </w:p>
    <w:p w14:paraId="51106AE1" w14:textId="77777777" w:rsidR="000E781D" w:rsidRPr="004856AD" w:rsidRDefault="000E781D" w:rsidP="000E781D">
      <w:pPr>
        <w:pStyle w:val="Heading3"/>
      </w:pPr>
      <w:bookmarkStart w:id="214" w:name="_Toc113380796"/>
      <w:r w:rsidRPr="004856AD">
        <w:t>Limitation</w:t>
      </w:r>
      <w:r>
        <w:t>s</w:t>
      </w:r>
      <w:bookmarkEnd w:id="214"/>
    </w:p>
    <w:p w14:paraId="7DE10BB5" w14:textId="77777777" w:rsidR="000E781D" w:rsidRDefault="000E781D" w:rsidP="000E781D">
      <w:pPr>
        <w:pStyle w:val="BodyText"/>
      </w:pPr>
      <w:r>
        <w:t xml:space="preserve">This study did not </w:t>
      </w:r>
      <w:r w:rsidRPr="00681AF8">
        <w:t xml:space="preserve">explicitly separate </w:t>
      </w:r>
      <w:r>
        <w:t xml:space="preserve">the internal variability of GCMs </w:t>
      </w:r>
      <w:r w:rsidRPr="00681AF8">
        <w:t>from the total variance</w:t>
      </w:r>
      <w:r>
        <w:t xml:space="preserve">. </w:t>
      </w:r>
      <w:r w:rsidRPr="00681AF8">
        <w:t>To capture the internal variability</w:t>
      </w:r>
      <w:r>
        <w:t xml:space="preserve"> within the GCMs</w:t>
      </w:r>
      <w:r w:rsidRPr="00681AF8">
        <w:t xml:space="preserve">, multiple </w:t>
      </w:r>
      <w:r>
        <w:t xml:space="preserve">GCM </w:t>
      </w:r>
      <w:r w:rsidRPr="00681AF8">
        <w:t xml:space="preserve">runs with different initial conditions </w:t>
      </w:r>
      <w:r>
        <w:t>need to be included, which could be a subject of future efforts. Alternative methods to estimate contribution of internal variability (Rupp et al., 2017; Chegwidden et al. 2019) may be considered in future assessments.</w:t>
      </w:r>
    </w:p>
    <w:p w14:paraId="3D8B1404" w14:textId="77777777" w:rsidR="000E781D" w:rsidRDefault="000E781D" w:rsidP="000E781D">
      <w:pPr>
        <w:pStyle w:val="BodyText"/>
      </w:pPr>
      <w:r>
        <w:t>Furthermore, given the design of modeling framework, factors other than GCMs remain under-sampled. This could result in overestimation of contribution of GCM to the variance. Some alternative approaches, such as subsampling and bootstrapping approaches, could minimize these biases (Bosshard et al., 2013). These methods were not employed in this study but could be topics of future research.</w:t>
      </w:r>
    </w:p>
    <w:p w14:paraId="0F14AF14" w14:textId="07494830" w:rsidR="000C7638" w:rsidRDefault="00C73F83" w:rsidP="00093CC9">
      <w:pPr>
        <w:pStyle w:val="FIGUREposition"/>
      </w:pPr>
      <w:r>
        <w:rPr>
          <w:noProof/>
        </w:rPr>
        <w:lastRenderedPageBreak/>
        <w:drawing>
          <wp:inline distT="0" distB="0" distL="0" distR="0" wp14:anchorId="21630340" wp14:editId="53E69177">
            <wp:extent cx="5943600" cy="306260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2"/>
                    <a:stretch>
                      <a:fillRect/>
                    </a:stretch>
                  </pic:blipFill>
                  <pic:spPr bwMode="auto">
                    <a:xfrm>
                      <a:off x="0" y="0"/>
                      <a:ext cx="5943600" cy="3062605"/>
                    </a:xfrm>
                    <a:prstGeom prst="rect">
                      <a:avLst/>
                    </a:prstGeom>
                    <a:noFill/>
                  </pic:spPr>
                </pic:pic>
              </a:graphicData>
            </a:graphic>
          </wp:inline>
        </w:drawing>
      </w:r>
    </w:p>
    <w:p w14:paraId="308DAD73" w14:textId="4442CFFF" w:rsidR="00ED2DB2" w:rsidRPr="006869CA" w:rsidRDefault="00ED2DB2" w:rsidP="00093CC9">
      <w:pPr>
        <w:pStyle w:val="FigureCaption"/>
      </w:pPr>
      <w:bookmarkStart w:id="215" w:name="_Ref72831985"/>
      <w:bookmarkStart w:id="216" w:name="_Toc113380888"/>
      <w:bookmarkStart w:id="217" w:name="_Toc72785145"/>
      <w:r>
        <w:rPr>
          <w:lang w:eastAsia="zh-TW"/>
        </w:rPr>
        <w:t>Figure</w:t>
      </w:r>
      <w:r w:rsidRPr="006869CA">
        <w:rPr>
          <w:lang w:eastAsia="zh-TW"/>
        </w:rPr>
        <w:t xml:space="preserv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2</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24</w:t>
      </w:r>
      <w:r w:rsidRPr="006869CA">
        <w:rPr>
          <w:lang w:eastAsia="zh-TW"/>
        </w:rPr>
        <w:fldChar w:fldCharType="end"/>
      </w:r>
      <w:bookmarkEnd w:id="215"/>
      <w:r w:rsidRPr="006869CA">
        <w:rPr>
          <w:lang w:eastAsia="zh-TW"/>
        </w:rPr>
        <w:t xml:space="preserve">. </w:t>
      </w:r>
      <w:r w:rsidRPr="000E2AB0">
        <w:rPr>
          <w:lang w:eastAsia="zh-TW"/>
        </w:rPr>
        <w:t>Example ANOVA results for one selected variable (annual runoff) for SEPA</w:t>
      </w:r>
      <w:r>
        <w:rPr>
          <w:lang w:eastAsia="zh-TW"/>
        </w:rPr>
        <w:t>-3</w:t>
      </w:r>
      <w:r w:rsidR="003F0937">
        <w:rPr>
          <w:lang w:eastAsia="zh-TW"/>
        </w:rPr>
        <w:t>.</w:t>
      </w:r>
      <w:bookmarkEnd w:id="216"/>
    </w:p>
    <w:bookmarkEnd w:id="217"/>
    <w:p w14:paraId="61488023" w14:textId="77777777" w:rsidR="001272A3" w:rsidRDefault="001272A3" w:rsidP="00357BBE">
      <w:pPr>
        <w:pStyle w:val="BodyText"/>
      </w:pPr>
    </w:p>
    <w:p w14:paraId="5EF26982" w14:textId="77777777" w:rsidR="003608BC" w:rsidRDefault="003608BC" w:rsidP="003608BC">
      <w:pPr>
        <w:pStyle w:val="BodyText"/>
      </w:pPr>
    </w:p>
    <w:p w14:paraId="1505B083" w14:textId="2CA6BA7A" w:rsidR="000C7638" w:rsidRDefault="000C7638" w:rsidP="003608BC">
      <w:pPr>
        <w:pStyle w:val="BodyText"/>
        <w:sectPr w:rsidR="000C7638" w:rsidSect="00B121A5">
          <w:pgSz w:w="12240" w:h="15840" w:code="1"/>
          <w:pgMar w:top="1440" w:right="1440" w:bottom="1440" w:left="1440" w:header="720" w:footer="720" w:gutter="0"/>
          <w:cols w:space="720"/>
          <w:docGrid w:linePitch="360"/>
        </w:sectPr>
      </w:pPr>
    </w:p>
    <w:p w14:paraId="0DAAC86A" w14:textId="7A57D2CC" w:rsidR="006A3A0F" w:rsidRDefault="00B02106" w:rsidP="00DE0A21">
      <w:pPr>
        <w:pStyle w:val="Heading1"/>
      </w:pPr>
      <w:bookmarkStart w:id="218" w:name="_Toc321407839"/>
      <w:bookmarkStart w:id="219" w:name="_Toc321409191"/>
      <w:bookmarkStart w:id="220" w:name="_Toc321409259"/>
      <w:bookmarkStart w:id="221" w:name="_Toc321834649"/>
      <w:bookmarkStart w:id="222" w:name="_Toc322412892"/>
      <w:bookmarkStart w:id="223" w:name="_Toc321834650"/>
      <w:bookmarkStart w:id="224" w:name="_Toc322412893"/>
      <w:bookmarkStart w:id="225" w:name="_Toc321834651"/>
      <w:bookmarkStart w:id="226" w:name="_Toc322412894"/>
      <w:bookmarkStart w:id="227" w:name="_Toc321407841"/>
      <w:bookmarkStart w:id="228" w:name="_Toc321409193"/>
      <w:bookmarkStart w:id="229" w:name="_Toc321409261"/>
      <w:bookmarkStart w:id="230" w:name="_Toc321834652"/>
      <w:bookmarkStart w:id="231" w:name="_Toc322412895"/>
      <w:bookmarkStart w:id="232" w:name="_Toc321407842"/>
      <w:bookmarkStart w:id="233" w:name="_Toc321409194"/>
      <w:bookmarkStart w:id="234" w:name="_Toc321409262"/>
      <w:bookmarkStart w:id="235" w:name="_Toc321834653"/>
      <w:bookmarkStart w:id="236" w:name="_Toc322412896"/>
      <w:bookmarkStart w:id="237" w:name="_Ref425755847"/>
      <w:bookmarkStart w:id="238" w:name="_Ref425756004"/>
      <w:bookmarkStart w:id="239" w:name="_Ref425756425"/>
      <w:bookmarkStart w:id="240" w:name="_Ref425756519"/>
      <w:bookmarkStart w:id="241" w:name="_Ref425756653"/>
      <w:bookmarkStart w:id="242" w:name="_Ref425756744"/>
      <w:bookmarkStart w:id="243" w:name="_Toc113380797"/>
      <w:bookmarkStart w:id="244" w:name="_Toc293414543"/>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r w:rsidRPr="006A3A0F">
        <w:lastRenderedPageBreak/>
        <w:t xml:space="preserve">THE </w:t>
      </w:r>
      <w:r w:rsidR="00187E2F">
        <w:t xml:space="preserve">BPA </w:t>
      </w:r>
      <w:r w:rsidRPr="006A3A0F">
        <w:t>REGION</w:t>
      </w:r>
      <w:bookmarkEnd w:id="237"/>
      <w:bookmarkEnd w:id="238"/>
      <w:bookmarkEnd w:id="239"/>
      <w:bookmarkEnd w:id="240"/>
      <w:bookmarkEnd w:id="241"/>
      <w:bookmarkEnd w:id="242"/>
      <w:bookmarkEnd w:id="243"/>
    </w:p>
    <w:p w14:paraId="37FE8CE7" w14:textId="28F60057" w:rsidR="00AA05A6" w:rsidRPr="008F7AA7" w:rsidRDefault="00B81F34" w:rsidP="00AA05A6">
      <w:pPr>
        <w:pStyle w:val="BodyText"/>
      </w:pPr>
      <w:r>
        <w:t>Following the methodology</w:t>
      </w:r>
      <w:r w:rsidR="00AA05A6">
        <w:t xml:space="preserve"> described in Section </w:t>
      </w:r>
      <w:r w:rsidR="00AA05A6">
        <w:fldChar w:fldCharType="begin"/>
      </w:r>
      <w:r w:rsidR="00AA05A6">
        <w:instrText xml:space="preserve"> REF _Ref425756108 \n \h </w:instrText>
      </w:r>
      <w:r w:rsidR="00AA05A6">
        <w:fldChar w:fldCharType="separate"/>
      </w:r>
      <w:r w:rsidR="00EE0BF5">
        <w:t>2</w:t>
      </w:r>
      <w:r w:rsidR="00AA05A6">
        <w:fldChar w:fldCharType="end"/>
      </w:r>
      <w:r w:rsidR="00AA05A6">
        <w:t xml:space="preserve">, the results for federal hydropower plants marketed </w:t>
      </w:r>
      <w:r w:rsidR="00A65041">
        <w:t>by</w:t>
      </w:r>
      <w:r w:rsidR="00AA05A6">
        <w:t xml:space="preserve"> the BPA are summarized in this section. Descriptions of the </w:t>
      </w:r>
      <w:r w:rsidR="009119A3">
        <w:t xml:space="preserve">BPA </w:t>
      </w:r>
      <w:r w:rsidR="00AA05A6">
        <w:t>study area</w:t>
      </w:r>
      <w:r w:rsidR="009119A3">
        <w:t>s</w:t>
      </w:r>
      <w:r w:rsidR="00AA05A6">
        <w:t xml:space="preserve">, </w:t>
      </w:r>
      <w:r w:rsidR="009119A3">
        <w:t xml:space="preserve">federal </w:t>
      </w:r>
      <w:r w:rsidR="00AA05A6">
        <w:t>hydropower</w:t>
      </w:r>
      <w:r w:rsidR="009119A3">
        <w:t xml:space="preserve"> system</w:t>
      </w:r>
      <w:r w:rsidR="001C7B62">
        <w:t>s</w:t>
      </w:r>
      <w:r w:rsidR="00AA05A6">
        <w:t xml:space="preserve">, and </w:t>
      </w:r>
      <w:r w:rsidR="009119A3">
        <w:t xml:space="preserve">power </w:t>
      </w:r>
      <w:r w:rsidR="00AA05A6">
        <w:t xml:space="preserve">marketing </w:t>
      </w:r>
      <w:r w:rsidR="009119A3">
        <w:t xml:space="preserve">practices </w:t>
      </w:r>
      <w:r w:rsidR="00AA05A6">
        <w:t xml:space="preserve">are described in </w:t>
      </w:r>
      <w:r w:rsidR="009119A3">
        <w:t xml:space="preserve">Section </w:t>
      </w:r>
      <w:r w:rsidR="009119A3">
        <w:fldChar w:fldCharType="begin"/>
      </w:r>
      <w:r w:rsidR="009119A3">
        <w:instrText xml:space="preserve"> REF _Ref69807229 \r \h </w:instrText>
      </w:r>
      <w:r w:rsidR="009119A3">
        <w:fldChar w:fldCharType="separate"/>
      </w:r>
      <w:r w:rsidR="00EE0BF5">
        <w:t>3.1</w:t>
      </w:r>
      <w:r w:rsidR="009119A3">
        <w:fldChar w:fldCharType="end"/>
      </w:r>
      <w:r w:rsidR="00AA05A6">
        <w:t>.</w:t>
      </w:r>
      <w:r w:rsidR="00AA05A6" w:rsidRPr="008F7AA7">
        <w:rPr>
          <w:rFonts w:hint="eastAsia"/>
        </w:rPr>
        <w:t xml:space="preserve"> </w:t>
      </w:r>
      <w:r w:rsidR="009119A3">
        <w:t xml:space="preserve">The projected future atmospheric and hydrologic conditions in the BPA region are discussed in </w:t>
      </w:r>
      <w:r w:rsidR="00AA05A6" w:rsidRPr="008F7AA7">
        <w:t xml:space="preserve">Section </w:t>
      </w:r>
      <w:r w:rsidR="00AA05A6">
        <w:fldChar w:fldCharType="begin"/>
      </w:r>
      <w:r w:rsidR="00AA05A6">
        <w:instrText xml:space="preserve"> REF _Ref425756119 \n \h </w:instrText>
      </w:r>
      <w:r w:rsidR="00AA05A6">
        <w:fldChar w:fldCharType="separate"/>
      </w:r>
      <w:r w:rsidR="00EE0BF5">
        <w:t>3.2</w:t>
      </w:r>
      <w:r w:rsidR="00AA05A6">
        <w:fldChar w:fldCharType="end"/>
      </w:r>
      <w:r w:rsidR="009119A3">
        <w:t xml:space="preserve">. </w:t>
      </w:r>
      <w:r w:rsidR="00AA05A6" w:rsidRPr="008F7AA7">
        <w:rPr>
          <w:rFonts w:hint="eastAsia"/>
        </w:rPr>
        <w:t xml:space="preserve">The potential </w:t>
      </w:r>
      <w:r w:rsidR="009119A3">
        <w:t xml:space="preserve">climate change </w:t>
      </w:r>
      <w:r w:rsidR="00AA05A6" w:rsidRPr="008F7AA7">
        <w:rPr>
          <w:rFonts w:hint="eastAsia"/>
        </w:rPr>
        <w:t xml:space="preserve">impacts on federal hydropower generation and </w:t>
      </w:r>
      <w:r w:rsidR="009119A3">
        <w:t xml:space="preserve">BPA regional </w:t>
      </w:r>
      <w:r w:rsidR="002A6041">
        <w:t xml:space="preserve">energy </w:t>
      </w:r>
      <w:r w:rsidR="009119A3">
        <w:t xml:space="preserve">demands </w:t>
      </w:r>
      <w:r w:rsidR="00AA05A6" w:rsidRPr="008F7AA7">
        <w:rPr>
          <w:rFonts w:hint="eastAsia"/>
        </w:rPr>
        <w:t xml:space="preserve">are discussed in </w:t>
      </w:r>
      <w:r w:rsidR="00AA05A6" w:rsidRPr="008F7AA7">
        <w:t>Section</w:t>
      </w:r>
      <w:r w:rsidR="00920447">
        <w:t> </w:t>
      </w:r>
      <w:r w:rsidR="00AA05A6">
        <w:fldChar w:fldCharType="begin"/>
      </w:r>
      <w:r w:rsidR="00AA05A6">
        <w:instrText xml:space="preserve"> REF _Ref425756125 \n \h </w:instrText>
      </w:r>
      <w:r w:rsidR="00AA05A6">
        <w:fldChar w:fldCharType="separate"/>
      </w:r>
      <w:r w:rsidR="00EE0BF5">
        <w:t>3.3</w:t>
      </w:r>
      <w:r w:rsidR="00AA05A6">
        <w:fldChar w:fldCharType="end"/>
      </w:r>
      <w:r w:rsidR="00AA05A6" w:rsidRPr="008F7AA7">
        <w:t>.</w:t>
      </w:r>
    </w:p>
    <w:p w14:paraId="3BF03887" w14:textId="4C3D901E" w:rsidR="006A3A0F" w:rsidRPr="006A3A0F" w:rsidRDefault="00174ED0" w:rsidP="00AD0C1C">
      <w:pPr>
        <w:pStyle w:val="Heading2"/>
      </w:pPr>
      <w:bookmarkStart w:id="245" w:name="_Ref69807229"/>
      <w:bookmarkStart w:id="246" w:name="_Toc113380798"/>
      <w:r>
        <w:t xml:space="preserve">BPA </w:t>
      </w:r>
      <w:r w:rsidR="006A3A0F" w:rsidRPr="006A3A0F">
        <w:t>Regional Characteristics</w:t>
      </w:r>
      <w:bookmarkEnd w:id="245"/>
      <w:bookmarkEnd w:id="246"/>
    </w:p>
    <w:p w14:paraId="09B57713" w14:textId="25FA55FA" w:rsidR="006A3A0F" w:rsidRPr="006A3A0F" w:rsidRDefault="00476AE3" w:rsidP="006A3A0F">
      <w:pPr>
        <w:pStyle w:val="Heading3"/>
      </w:pPr>
      <w:bookmarkStart w:id="247" w:name="_Toc113380799"/>
      <w:r w:rsidRPr="006A3A0F">
        <w:t xml:space="preserve">Federal Hydropower </w:t>
      </w:r>
      <w:r w:rsidR="00B64628">
        <w:t xml:space="preserve">in </w:t>
      </w:r>
      <w:r w:rsidR="00FC31D9">
        <w:t xml:space="preserve">the </w:t>
      </w:r>
      <w:r w:rsidR="00B64628">
        <w:t>BPA</w:t>
      </w:r>
      <w:r w:rsidR="00FC31D9">
        <w:t xml:space="preserve"> </w:t>
      </w:r>
      <w:r w:rsidR="00B43E1A">
        <w:t>R</w:t>
      </w:r>
      <w:r w:rsidR="00FC31D9">
        <w:t>egion</w:t>
      </w:r>
      <w:bookmarkEnd w:id="247"/>
    </w:p>
    <w:p w14:paraId="19D9E061" w14:textId="38F48D13" w:rsidR="002E56B5" w:rsidRDefault="00332571" w:rsidP="002E56B5">
      <w:pPr>
        <w:pStyle w:val="BodyText"/>
        <w:rPr>
          <w:rFonts w:eastAsia="PMingLiU"/>
          <w:lang w:eastAsia="zh-TW"/>
        </w:rPr>
      </w:pPr>
      <w:r>
        <w:t>BPA</w:t>
      </w:r>
      <w:r w:rsidR="002E56B5" w:rsidRPr="000C4880">
        <w:t xml:space="preserve"> is the largest PMA in the </w:t>
      </w:r>
      <w:r w:rsidR="00F82049">
        <w:t>United States</w:t>
      </w:r>
      <w:r w:rsidR="002E56B5" w:rsidRPr="000C4880">
        <w:t xml:space="preserve"> in terms of </w:t>
      </w:r>
      <w:r w:rsidR="002E56B5">
        <w:t xml:space="preserve">its </w:t>
      </w:r>
      <w:r w:rsidR="002E56B5" w:rsidRPr="000C4880">
        <w:t>total capacity (20,</w:t>
      </w:r>
      <w:r w:rsidR="007671ED">
        <w:t>648</w:t>
      </w:r>
      <w:r w:rsidR="002E56B5" w:rsidRPr="000C4880">
        <w:t xml:space="preserve"> MW) and average annual generation (</w:t>
      </w:r>
      <w:r w:rsidR="007671ED">
        <w:t>76.4</w:t>
      </w:r>
      <w:r w:rsidR="002E56B5" w:rsidRPr="000C4880">
        <w:t xml:space="preserve"> </w:t>
      </w:r>
      <w:r w:rsidR="002E56B5" w:rsidRPr="00882352">
        <w:rPr>
          <w:rFonts w:eastAsia="PMingLiU" w:hint="eastAsia"/>
          <w:lang w:eastAsia="zh-TW"/>
        </w:rPr>
        <w:t>T</w:t>
      </w:r>
      <w:r w:rsidR="002E56B5" w:rsidRPr="000C4880">
        <w:t>Wh</w:t>
      </w:r>
      <w:r w:rsidR="002E56B5" w:rsidRPr="00882352">
        <w:rPr>
          <w:rFonts w:eastAsia="PMingLiU" w:hint="eastAsia"/>
          <w:lang w:eastAsia="zh-TW"/>
        </w:rPr>
        <w:t>/year</w:t>
      </w:r>
      <w:r w:rsidR="002E56B5" w:rsidRPr="000C4880">
        <w:t>)</w:t>
      </w:r>
      <w:r w:rsidR="002E56B5">
        <w:t xml:space="preserve"> (</w:t>
      </w:r>
      <w:r w:rsidR="007671ED">
        <w:fldChar w:fldCharType="begin"/>
      </w:r>
      <w:r w:rsidR="007671ED">
        <w:instrText xml:space="preserve"> REF _Ref425351662 \h </w:instrText>
      </w:r>
      <w:r w:rsidR="007671ED">
        <w:fldChar w:fldCharType="separate"/>
      </w:r>
      <w:r w:rsidR="00EE0BF5" w:rsidRPr="004C5793">
        <w:rPr>
          <w:rFonts w:eastAsia="PMingLiU"/>
        </w:rPr>
        <w:t xml:space="preserve">Table </w:t>
      </w:r>
      <w:r w:rsidR="00EE0BF5">
        <w:rPr>
          <w:rFonts w:eastAsia="PMingLiU"/>
          <w:noProof/>
        </w:rPr>
        <w:t>3</w:t>
      </w:r>
      <w:r w:rsidR="00EE0BF5">
        <w:rPr>
          <w:rFonts w:eastAsia="PMingLiU"/>
        </w:rPr>
        <w:t>.</w:t>
      </w:r>
      <w:r w:rsidR="00EE0BF5">
        <w:rPr>
          <w:rFonts w:eastAsia="PMingLiU"/>
          <w:noProof/>
        </w:rPr>
        <w:t>1</w:t>
      </w:r>
      <w:r w:rsidR="007671ED">
        <w:fldChar w:fldCharType="end"/>
      </w:r>
      <w:r w:rsidR="002E56B5">
        <w:t>)</w:t>
      </w:r>
      <w:r w:rsidR="002E56B5" w:rsidRPr="000C4880">
        <w:t xml:space="preserve">. </w:t>
      </w:r>
      <w:r w:rsidR="002E56B5" w:rsidRPr="00395EBB">
        <w:t xml:space="preserve">All federal hydropower projects in </w:t>
      </w:r>
      <w:r w:rsidR="002E56B5">
        <w:t xml:space="preserve">the </w:t>
      </w:r>
      <w:r w:rsidR="00F30A46">
        <w:t>BPA</w:t>
      </w:r>
      <w:r w:rsidR="002E56B5" w:rsidRPr="00395EBB">
        <w:t xml:space="preserve"> </w:t>
      </w:r>
      <w:r w:rsidR="002E56B5">
        <w:t xml:space="preserve">region </w:t>
      </w:r>
      <w:r w:rsidR="002E56B5" w:rsidRPr="00395EBB">
        <w:t xml:space="preserve">are managed as a single </w:t>
      </w:r>
      <w:r w:rsidR="002E56B5" w:rsidRPr="00882352">
        <w:rPr>
          <w:rFonts w:eastAsia="PMingLiU" w:hint="eastAsia"/>
          <w:lang w:eastAsia="zh-TW"/>
        </w:rPr>
        <w:t>FCRPS</w:t>
      </w:r>
      <w:r w:rsidR="002E56B5" w:rsidRPr="00395EBB">
        <w:t xml:space="preserve">. </w:t>
      </w:r>
      <w:r w:rsidR="00BE3081">
        <w:t>The river drainages provide water to the FCRPS projects and cover large portions</w:t>
      </w:r>
      <w:r w:rsidR="00BE3081" w:rsidRPr="00395EBB">
        <w:t xml:space="preserve"> </w:t>
      </w:r>
      <w:r w:rsidR="002E56B5" w:rsidRPr="00395EBB">
        <w:t>of the states of Washington and Oregon, almost all of Idaho, small parts of Montana and Wyoming, and almost 39,000 mi</w:t>
      </w:r>
      <w:r w:rsidR="002E56B5" w:rsidRPr="00395EBB">
        <w:rPr>
          <w:vertAlign w:val="superscript"/>
        </w:rPr>
        <w:t>2</w:t>
      </w:r>
      <w:r w:rsidR="002E56B5" w:rsidRPr="00395EBB">
        <w:t xml:space="preserve"> in Canada</w:t>
      </w:r>
      <w:r w:rsidR="00213C3E">
        <w:t xml:space="preserve"> (</w:t>
      </w:r>
      <w:r w:rsidR="00213C3E">
        <w:fldChar w:fldCharType="begin"/>
      </w:r>
      <w:r w:rsidR="00213C3E">
        <w:instrText xml:space="preserve"> REF _Ref425352621 \h </w:instrText>
      </w:r>
      <w:r w:rsidR="00213C3E">
        <w:fldChar w:fldCharType="separate"/>
      </w:r>
      <w:r w:rsidR="00EE0BF5">
        <w:rPr>
          <w:lang w:eastAsia="zh-TW"/>
        </w:rPr>
        <w:t>Figure</w:t>
      </w:r>
      <w:r w:rsidR="00EE0BF5" w:rsidRPr="006869CA">
        <w:rPr>
          <w:lang w:eastAsia="zh-TW"/>
        </w:rPr>
        <w:t xml:space="preserve"> </w:t>
      </w:r>
      <w:r w:rsidR="00EE0BF5">
        <w:rPr>
          <w:noProof/>
          <w:lang w:eastAsia="zh-TW"/>
        </w:rPr>
        <w:t>3</w:t>
      </w:r>
      <w:r w:rsidR="00EE0BF5">
        <w:rPr>
          <w:lang w:eastAsia="zh-TW"/>
        </w:rPr>
        <w:t>.</w:t>
      </w:r>
      <w:r w:rsidR="00EE0BF5">
        <w:rPr>
          <w:noProof/>
          <w:lang w:eastAsia="zh-TW"/>
        </w:rPr>
        <w:t>1</w:t>
      </w:r>
      <w:r w:rsidR="00213C3E">
        <w:fldChar w:fldCharType="end"/>
      </w:r>
      <w:r w:rsidR="00213C3E">
        <w:t>)</w:t>
      </w:r>
      <w:r w:rsidR="002E56B5" w:rsidRPr="00395EBB">
        <w:t>.</w:t>
      </w:r>
    </w:p>
    <w:p w14:paraId="4AE372E6" w14:textId="10E3B183" w:rsidR="006D7516" w:rsidRPr="004C5793" w:rsidRDefault="006D7516" w:rsidP="006D7516">
      <w:pPr>
        <w:pStyle w:val="TableCaption"/>
        <w:rPr>
          <w:rFonts w:eastAsia="PMingLiU"/>
        </w:rPr>
      </w:pPr>
      <w:bookmarkStart w:id="248" w:name="_Ref425351662"/>
      <w:bookmarkStart w:id="249" w:name="_Ref425505834"/>
      <w:bookmarkStart w:id="250" w:name="_Ref69808706"/>
      <w:bookmarkStart w:id="251" w:name="_Toc113380976"/>
      <w:r w:rsidRPr="004C5793">
        <w:rPr>
          <w:rFonts w:eastAsia="PMingLiU"/>
        </w:rPr>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3</w:t>
      </w:r>
      <w:r w:rsidRPr="004C5793">
        <w:rPr>
          <w:rFonts w:eastAsia="PMingLiU"/>
        </w:rPr>
        <w:fldChar w:fldCharType="end"/>
      </w:r>
      <w:r>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1</w:t>
      </w:r>
      <w:r w:rsidRPr="004C5793">
        <w:rPr>
          <w:rFonts w:eastAsia="PMingLiU"/>
        </w:rPr>
        <w:fldChar w:fldCharType="end"/>
      </w:r>
      <w:bookmarkEnd w:id="248"/>
      <w:bookmarkEnd w:id="249"/>
      <w:r w:rsidRPr="004C5793">
        <w:rPr>
          <w:rFonts w:eastAsia="PMingLiU"/>
        </w:rPr>
        <w:t>.</w:t>
      </w:r>
      <w:r>
        <w:rPr>
          <w:rFonts w:eastAsia="PMingLiU"/>
        </w:rPr>
        <w:t xml:space="preserve"> </w:t>
      </w:r>
      <w:r w:rsidRPr="004C5793">
        <w:rPr>
          <w:rFonts w:eastAsia="PMingLiU"/>
        </w:rPr>
        <w:t xml:space="preserve">Summary of federal hydropower plants in </w:t>
      </w:r>
      <w:r>
        <w:rPr>
          <w:rFonts w:eastAsia="PMingLiU"/>
        </w:rPr>
        <w:t>the BPA region</w:t>
      </w:r>
      <w:bookmarkEnd w:id="250"/>
      <w:bookmarkEnd w:id="251"/>
    </w:p>
    <w:tbl>
      <w:tblPr>
        <w:tblW w:w="9531" w:type="dxa"/>
        <w:jc w:val="center"/>
        <w:tblLayout w:type="fixed"/>
        <w:tblCellMar>
          <w:top w:w="29" w:type="dxa"/>
          <w:left w:w="58" w:type="dxa"/>
          <w:bottom w:w="29" w:type="dxa"/>
          <w:right w:w="58" w:type="dxa"/>
        </w:tblCellMar>
        <w:tblLook w:val="00A0" w:firstRow="1" w:lastRow="0" w:firstColumn="1" w:lastColumn="0" w:noHBand="0" w:noVBand="0"/>
      </w:tblPr>
      <w:tblGrid>
        <w:gridCol w:w="828"/>
        <w:gridCol w:w="1665"/>
        <w:gridCol w:w="990"/>
        <w:gridCol w:w="1440"/>
        <w:gridCol w:w="720"/>
        <w:gridCol w:w="1710"/>
        <w:gridCol w:w="2178"/>
      </w:tblGrid>
      <w:tr w:rsidR="006D7516" w:rsidRPr="00093CC9" w14:paraId="03401214" w14:textId="77777777" w:rsidTr="00093CC9">
        <w:trPr>
          <w:jc w:val="center"/>
        </w:trPr>
        <w:tc>
          <w:tcPr>
            <w:tcW w:w="828" w:type="dxa"/>
            <w:vMerge w:val="restart"/>
            <w:tcBorders>
              <w:top w:val="single" w:sz="12" w:space="0" w:color="auto"/>
              <w:bottom w:val="single" w:sz="4" w:space="0" w:color="auto"/>
            </w:tcBorders>
            <w:vAlign w:val="center"/>
          </w:tcPr>
          <w:p w14:paraId="12BBB7CD" w14:textId="77777777" w:rsidR="006D7516" w:rsidRPr="00093CC9" w:rsidRDefault="006D7516" w:rsidP="00093CC9">
            <w:pPr>
              <w:pStyle w:val="TableHeading"/>
              <w:spacing w:before="0" w:after="0"/>
              <w:jc w:val="left"/>
              <w:rPr>
                <w:rFonts w:cs="Times New Roman"/>
                <w:caps/>
                <w:szCs w:val="20"/>
              </w:rPr>
            </w:pPr>
            <w:r w:rsidRPr="00093CC9">
              <w:rPr>
                <w:rFonts w:cs="Times New Roman"/>
                <w:szCs w:val="20"/>
                <w:lang w:eastAsia="zh-TW"/>
              </w:rPr>
              <w:t>Area</w:t>
            </w:r>
          </w:p>
        </w:tc>
        <w:tc>
          <w:tcPr>
            <w:tcW w:w="1665" w:type="dxa"/>
            <w:vMerge w:val="restart"/>
            <w:tcBorders>
              <w:top w:val="single" w:sz="12" w:space="0" w:color="auto"/>
              <w:bottom w:val="single" w:sz="4" w:space="0" w:color="auto"/>
            </w:tcBorders>
            <w:vAlign w:val="center"/>
          </w:tcPr>
          <w:p w14:paraId="4686E992" w14:textId="77777777" w:rsidR="006D7516" w:rsidRPr="00093CC9" w:rsidRDefault="006D7516" w:rsidP="00093CC9">
            <w:pPr>
              <w:pStyle w:val="TableHeading"/>
              <w:spacing w:before="0" w:after="0"/>
              <w:jc w:val="left"/>
              <w:rPr>
                <w:rFonts w:eastAsia="PMingLiU" w:cs="Times New Roman"/>
                <w:caps/>
                <w:szCs w:val="20"/>
              </w:rPr>
            </w:pPr>
            <w:r w:rsidRPr="00093CC9">
              <w:rPr>
                <w:rFonts w:eastAsia="PMingLiU" w:cs="Times New Roman"/>
                <w:szCs w:val="20"/>
                <w:lang w:eastAsia="zh-TW"/>
              </w:rPr>
              <w:t>Area name</w:t>
            </w:r>
          </w:p>
        </w:tc>
        <w:tc>
          <w:tcPr>
            <w:tcW w:w="3150" w:type="dxa"/>
            <w:gridSpan w:val="3"/>
            <w:tcBorders>
              <w:top w:val="single" w:sz="12" w:space="0" w:color="auto"/>
              <w:bottom w:val="single" w:sz="4" w:space="0" w:color="auto"/>
            </w:tcBorders>
            <w:vAlign w:val="center"/>
          </w:tcPr>
          <w:p w14:paraId="40BB656C" w14:textId="77777777" w:rsidR="006D7516" w:rsidRPr="00093CC9" w:rsidRDefault="006D7516" w:rsidP="00093CC9">
            <w:pPr>
              <w:pStyle w:val="TableHeading"/>
              <w:spacing w:before="0" w:after="0"/>
              <w:rPr>
                <w:rFonts w:cs="Times New Roman"/>
                <w:caps/>
                <w:szCs w:val="20"/>
                <w:lang w:val="pt-BR"/>
              </w:rPr>
            </w:pPr>
            <w:r w:rsidRPr="00093CC9">
              <w:rPr>
                <w:rFonts w:cs="Times New Roman"/>
                <w:szCs w:val="20"/>
                <w:lang w:val="pt-BR"/>
              </w:rPr>
              <w:t>Number of plants</w:t>
            </w:r>
          </w:p>
        </w:tc>
        <w:tc>
          <w:tcPr>
            <w:tcW w:w="1710" w:type="dxa"/>
            <w:vMerge w:val="restart"/>
            <w:tcBorders>
              <w:top w:val="single" w:sz="12" w:space="0" w:color="auto"/>
              <w:bottom w:val="single" w:sz="4" w:space="0" w:color="auto"/>
            </w:tcBorders>
            <w:vAlign w:val="center"/>
          </w:tcPr>
          <w:p w14:paraId="702EC2D6" w14:textId="77777777" w:rsidR="006D7516" w:rsidRPr="00093CC9" w:rsidRDefault="006D7516" w:rsidP="00093CC9">
            <w:pPr>
              <w:pStyle w:val="TableHeading"/>
              <w:spacing w:before="0" w:after="0"/>
              <w:rPr>
                <w:rFonts w:cs="Times New Roman"/>
                <w:szCs w:val="20"/>
              </w:rPr>
            </w:pPr>
            <w:r w:rsidRPr="00093CC9">
              <w:rPr>
                <w:rFonts w:cs="Times New Roman"/>
                <w:szCs w:val="20"/>
              </w:rPr>
              <w:t>Capacity</w:t>
            </w:r>
            <w:r w:rsidRPr="00093CC9">
              <w:rPr>
                <w:rFonts w:cs="Times New Roman"/>
                <w:i/>
                <w:szCs w:val="20"/>
                <w:vertAlign w:val="superscript"/>
              </w:rPr>
              <w:t>a</w:t>
            </w:r>
            <w:r w:rsidRPr="00093CC9">
              <w:rPr>
                <w:rFonts w:cs="Times New Roman"/>
                <w:szCs w:val="20"/>
              </w:rPr>
              <w:t xml:space="preserve"> (MW)</w:t>
            </w:r>
          </w:p>
        </w:tc>
        <w:tc>
          <w:tcPr>
            <w:tcW w:w="2178" w:type="dxa"/>
            <w:vMerge w:val="restart"/>
            <w:tcBorders>
              <w:top w:val="single" w:sz="12" w:space="0" w:color="auto"/>
              <w:bottom w:val="single" w:sz="4" w:space="0" w:color="auto"/>
            </w:tcBorders>
            <w:vAlign w:val="center"/>
          </w:tcPr>
          <w:p w14:paraId="4CF58D71" w14:textId="77777777" w:rsidR="006D7516" w:rsidRPr="00093CC9" w:rsidRDefault="006D7516" w:rsidP="00093CC9">
            <w:pPr>
              <w:pStyle w:val="TableHeading"/>
              <w:spacing w:before="0" w:after="0"/>
              <w:rPr>
                <w:rFonts w:cs="Times New Roman"/>
                <w:szCs w:val="20"/>
                <w:highlight w:val="yellow"/>
              </w:rPr>
            </w:pPr>
            <w:r w:rsidRPr="00093CC9">
              <w:rPr>
                <w:rFonts w:cs="Times New Roman"/>
                <w:szCs w:val="20"/>
              </w:rPr>
              <w:t>1980–2019 generation</w:t>
            </w:r>
            <w:r w:rsidRPr="00093CC9">
              <w:rPr>
                <w:rFonts w:cs="Times New Roman"/>
                <w:i/>
                <w:szCs w:val="20"/>
                <w:vertAlign w:val="superscript"/>
              </w:rPr>
              <w:t>b</w:t>
            </w:r>
            <w:r w:rsidRPr="00093CC9">
              <w:rPr>
                <w:rFonts w:cs="Times New Roman"/>
                <w:szCs w:val="20"/>
              </w:rPr>
              <w:t xml:space="preserve"> (</w:t>
            </w:r>
            <w:r w:rsidRPr="00093CC9">
              <w:rPr>
                <w:rFonts w:eastAsia="PMingLiU" w:cs="Times New Roman"/>
                <w:szCs w:val="20"/>
                <w:lang w:eastAsia="zh-TW"/>
              </w:rPr>
              <w:t>G</w:t>
            </w:r>
            <w:r w:rsidRPr="00093CC9">
              <w:rPr>
                <w:rFonts w:cs="Times New Roman"/>
                <w:szCs w:val="20"/>
              </w:rPr>
              <w:t>Wh/year)</w:t>
            </w:r>
          </w:p>
        </w:tc>
      </w:tr>
      <w:tr w:rsidR="006D7516" w:rsidRPr="00093CC9" w14:paraId="26C515E8" w14:textId="77777777" w:rsidTr="00093CC9">
        <w:trPr>
          <w:jc w:val="center"/>
        </w:trPr>
        <w:tc>
          <w:tcPr>
            <w:tcW w:w="828" w:type="dxa"/>
            <w:vMerge/>
            <w:tcBorders>
              <w:bottom w:val="single" w:sz="12" w:space="0" w:color="auto"/>
            </w:tcBorders>
            <w:vAlign w:val="center"/>
          </w:tcPr>
          <w:p w14:paraId="4C023D91" w14:textId="77777777" w:rsidR="006D7516" w:rsidRPr="00093CC9" w:rsidRDefault="006D7516" w:rsidP="00093CC9">
            <w:pPr>
              <w:pStyle w:val="TableHeading"/>
              <w:spacing w:before="0" w:after="0"/>
              <w:jc w:val="left"/>
              <w:rPr>
                <w:rFonts w:cs="Times New Roman"/>
                <w:i/>
                <w:szCs w:val="20"/>
                <w:lang w:eastAsia="zh-TW"/>
              </w:rPr>
            </w:pPr>
          </w:p>
        </w:tc>
        <w:tc>
          <w:tcPr>
            <w:tcW w:w="1665" w:type="dxa"/>
            <w:vMerge/>
            <w:tcBorders>
              <w:bottom w:val="single" w:sz="12" w:space="0" w:color="auto"/>
            </w:tcBorders>
            <w:vAlign w:val="center"/>
          </w:tcPr>
          <w:p w14:paraId="0D00B547" w14:textId="77777777" w:rsidR="006D7516" w:rsidRPr="00093CC9" w:rsidRDefault="006D7516" w:rsidP="00093CC9">
            <w:pPr>
              <w:pStyle w:val="TableHeading"/>
              <w:spacing w:before="0" w:after="0"/>
              <w:jc w:val="left"/>
              <w:rPr>
                <w:rFonts w:cs="Times New Roman"/>
                <w:i/>
                <w:szCs w:val="20"/>
                <w:lang w:eastAsia="zh-TW"/>
              </w:rPr>
            </w:pPr>
          </w:p>
        </w:tc>
        <w:tc>
          <w:tcPr>
            <w:tcW w:w="990" w:type="dxa"/>
            <w:tcBorders>
              <w:top w:val="single" w:sz="4" w:space="0" w:color="auto"/>
              <w:bottom w:val="single" w:sz="12" w:space="0" w:color="auto"/>
            </w:tcBorders>
            <w:vAlign w:val="center"/>
          </w:tcPr>
          <w:p w14:paraId="6F3727DA" w14:textId="77777777" w:rsidR="006D7516" w:rsidRPr="00093CC9" w:rsidRDefault="006D7516" w:rsidP="00093CC9">
            <w:pPr>
              <w:pStyle w:val="TableHeading"/>
              <w:spacing w:before="0" w:after="0"/>
              <w:rPr>
                <w:rFonts w:eastAsia="Calibri" w:cs="Times New Roman"/>
                <w:szCs w:val="20"/>
                <w:lang w:val="pt-BR"/>
              </w:rPr>
            </w:pPr>
            <w:r w:rsidRPr="00093CC9">
              <w:rPr>
                <w:rFonts w:cs="Times New Roman"/>
                <w:szCs w:val="20"/>
              </w:rPr>
              <w:t>USACE</w:t>
            </w:r>
          </w:p>
        </w:tc>
        <w:tc>
          <w:tcPr>
            <w:tcW w:w="1440" w:type="dxa"/>
            <w:tcBorders>
              <w:top w:val="single" w:sz="4" w:space="0" w:color="auto"/>
              <w:bottom w:val="single" w:sz="12" w:space="0" w:color="auto"/>
            </w:tcBorders>
            <w:vAlign w:val="center"/>
          </w:tcPr>
          <w:p w14:paraId="3200C5D7" w14:textId="77777777" w:rsidR="006D7516" w:rsidRPr="00093CC9" w:rsidRDefault="006D7516" w:rsidP="00093CC9">
            <w:pPr>
              <w:pStyle w:val="TableHeading"/>
              <w:spacing w:before="0" w:after="0"/>
              <w:rPr>
                <w:rFonts w:eastAsia="Calibri" w:cs="Times New Roman"/>
                <w:szCs w:val="20"/>
                <w:lang w:val="pt-BR"/>
              </w:rPr>
            </w:pPr>
            <w:r w:rsidRPr="00093CC9">
              <w:rPr>
                <w:rFonts w:cs="Times New Roman"/>
                <w:szCs w:val="20"/>
              </w:rPr>
              <w:t>Reclamation</w:t>
            </w:r>
          </w:p>
        </w:tc>
        <w:tc>
          <w:tcPr>
            <w:tcW w:w="720" w:type="dxa"/>
            <w:tcBorders>
              <w:top w:val="single" w:sz="4" w:space="0" w:color="auto"/>
              <w:bottom w:val="single" w:sz="12" w:space="0" w:color="auto"/>
            </w:tcBorders>
            <w:vAlign w:val="center"/>
          </w:tcPr>
          <w:p w14:paraId="62B29575" w14:textId="77777777" w:rsidR="006D7516" w:rsidRPr="00093CC9" w:rsidRDefault="006D7516" w:rsidP="00093CC9">
            <w:pPr>
              <w:pStyle w:val="TableHeading"/>
              <w:spacing w:before="0" w:after="0"/>
              <w:rPr>
                <w:rFonts w:eastAsia="Calibri" w:cs="Times New Roman"/>
                <w:szCs w:val="20"/>
                <w:lang w:val="pt-BR"/>
              </w:rPr>
            </w:pPr>
            <w:r w:rsidRPr="00093CC9">
              <w:rPr>
                <w:rFonts w:cs="Times New Roman"/>
                <w:szCs w:val="20"/>
              </w:rPr>
              <w:t>Total</w:t>
            </w:r>
          </w:p>
        </w:tc>
        <w:tc>
          <w:tcPr>
            <w:tcW w:w="1710" w:type="dxa"/>
            <w:vMerge/>
            <w:tcBorders>
              <w:bottom w:val="single" w:sz="12" w:space="0" w:color="auto"/>
            </w:tcBorders>
            <w:vAlign w:val="center"/>
          </w:tcPr>
          <w:p w14:paraId="781C86DD" w14:textId="77777777" w:rsidR="006D7516" w:rsidRPr="00093CC9" w:rsidRDefault="006D7516" w:rsidP="00093CC9">
            <w:pPr>
              <w:pStyle w:val="TableHeading"/>
              <w:spacing w:before="0" w:after="0"/>
              <w:rPr>
                <w:rFonts w:cs="Times New Roman"/>
                <w:i/>
                <w:szCs w:val="20"/>
                <w:lang w:val="pt-BR"/>
              </w:rPr>
            </w:pPr>
          </w:p>
        </w:tc>
        <w:tc>
          <w:tcPr>
            <w:tcW w:w="2178" w:type="dxa"/>
            <w:vMerge/>
            <w:tcBorders>
              <w:bottom w:val="single" w:sz="12" w:space="0" w:color="auto"/>
            </w:tcBorders>
            <w:vAlign w:val="center"/>
          </w:tcPr>
          <w:p w14:paraId="796EB28F" w14:textId="77777777" w:rsidR="006D7516" w:rsidRPr="00093CC9" w:rsidRDefault="006D7516" w:rsidP="00093CC9">
            <w:pPr>
              <w:pStyle w:val="TableHeading"/>
              <w:spacing w:before="0" w:after="0"/>
              <w:rPr>
                <w:rFonts w:cs="Times New Roman"/>
                <w:i/>
                <w:szCs w:val="20"/>
                <w:highlight w:val="yellow"/>
                <w:lang w:val="pt-BR"/>
              </w:rPr>
            </w:pPr>
          </w:p>
        </w:tc>
      </w:tr>
      <w:tr w:rsidR="006D7516" w:rsidRPr="00093CC9" w14:paraId="2B1B9BF1" w14:textId="77777777" w:rsidTr="00093CC9">
        <w:trPr>
          <w:jc w:val="center"/>
        </w:trPr>
        <w:tc>
          <w:tcPr>
            <w:tcW w:w="828" w:type="dxa"/>
            <w:tcBorders>
              <w:top w:val="single" w:sz="12" w:space="0" w:color="auto"/>
              <w:bottom w:val="single" w:sz="4" w:space="0" w:color="auto"/>
            </w:tcBorders>
            <w:vAlign w:val="center"/>
          </w:tcPr>
          <w:p w14:paraId="71E625CB" w14:textId="77777777" w:rsidR="006D7516" w:rsidRPr="00093CC9" w:rsidRDefault="006D7516" w:rsidP="00093CC9">
            <w:pPr>
              <w:pStyle w:val="TableText"/>
              <w:rPr>
                <w:rFonts w:cs="Times New Roman"/>
                <w:szCs w:val="20"/>
              </w:rPr>
            </w:pPr>
            <w:r w:rsidRPr="00093CC9">
              <w:rPr>
                <w:rFonts w:cs="Times New Roman"/>
                <w:szCs w:val="20"/>
              </w:rPr>
              <w:t>BPA-1</w:t>
            </w:r>
          </w:p>
        </w:tc>
        <w:tc>
          <w:tcPr>
            <w:tcW w:w="1665" w:type="dxa"/>
            <w:tcBorders>
              <w:top w:val="single" w:sz="12" w:space="0" w:color="auto"/>
              <w:bottom w:val="single" w:sz="4" w:space="0" w:color="auto"/>
            </w:tcBorders>
            <w:vAlign w:val="center"/>
          </w:tcPr>
          <w:p w14:paraId="2544C5A6" w14:textId="77777777" w:rsidR="006D7516" w:rsidRPr="00093CC9" w:rsidRDefault="006D7516" w:rsidP="00093CC9">
            <w:pPr>
              <w:pStyle w:val="TableText"/>
              <w:rPr>
                <w:rFonts w:eastAsia="Calibri" w:cs="Times New Roman"/>
                <w:szCs w:val="20"/>
              </w:rPr>
            </w:pPr>
            <w:r w:rsidRPr="00093CC9">
              <w:rPr>
                <w:rFonts w:cs="Times New Roman"/>
                <w:szCs w:val="20"/>
              </w:rPr>
              <w:t>Upper Columbia</w:t>
            </w:r>
          </w:p>
        </w:tc>
        <w:tc>
          <w:tcPr>
            <w:tcW w:w="990" w:type="dxa"/>
            <w:tcBorders>
              <w:top w:val="single" w:sz="12" w:space="0" w:color="auto"/>
              <w:bottom w:val="single" w:sz="4" w:space="0" w:color="auto"/>
            </w:tcBorders>
            <w:vAlign w:val="center"/>
          </w:tcPr>
          <w:p w14:paraId="5A5F302B" w14:textId="77777777" w:rsidR="006D7516" w:rsidRPr="00093CC9" w:rsidRDefault="006D7516" w:rsidP="00093CC9">
            <w:pPr>
              <w:pStyle w:val="TableText"/>
              <w:jc w:val="center"/>
              <w:rPr>
                <w:rFonts w:eastAsia="Calibri" w:cs="Times New Roman"/>
                <w:szCs w:val="20"/>
              </w:rPr>
            </w:pPr>
            <w:r w:rsidRPr="00093CC9">
              <w:rPr>
                <w:rFonts w:cs="Times New Roman"/>
                <w:szCs w:val="20"/>
              </w:rPr>
              <w:t>2</w:t>
            </w:r>
          </w:p>
        </w:tc>
        <w:tc>
          <w:tcPr>
            <w:tcW w:w="1440" w:type="dxa"/>
            <w:tcBorders>
              <w:top w:val="single" w:sz="12" w:space="0" w:color="auto"/>
              <w:bottom w:val="single" w:sz="4" w:space="0" w:color="auto"/>
            </w:tcBorders>
            <w:vAlign w:val="center"/>
          </w:tcPr>
          <w:p w14:paraId="10C7CAAC" w14:textId="77777777" w:rsidR="006D7516" w:rsidRPr="00093CC9" w:rsidRDefault="006D7516" w:rsidP="00093CC9">
            <w:pPr>
              <w:pStyle w:val="TableText"/>
              <w:jc w:val="center"/>
              <w:rPr>
                <w:rFonts w:eastAsia="Calibri" w:cs="Times New Roman"/>
                <w:szCs w:val="20"/>
              </w:rPr>
            </w:pPr>
            <w:r w:rsidRPr="00093CC9">
              <w:rPr>
                <w:rFonts w:cs="Times New Roman"/>
                <w:szCs w:val="20"/>
              </w:rPr>
              <w:t>2</w:t>
            </w:r>
          </w:p>
        </w:tc>
        <w:tc>
          <w:tcPr>
            <w:tcW w:w="720" w:type="dxa"/>
            <w:tcBorders>
              <w:top w:val="single" w:sz="12" w:space="0" w:color="auto"/>
              <w:bottom w:val="single" w:sz="4" w:space="0" w:color="auto"/>
            </w:tcBorders>
            <w:vAlign w:val="center"/>
          </w:tcPr>
          <w:p w14:paraId="5BB6F549" w14:textId="77777777" w:rsidR="006D7516" w:rsidRPr="00093CC9" w:rsidRDefault="006D7516" w:rsidP="00093CC9">
            <w:pPr>
              <w:pStyle w:val="TableText"/>
              <w:jc w:val="center"/>
              <w:rPr>
                <w:rFonts w:eastAsia="Calibri" w:cs="Times New Roman"/>
                <w:szCs w:val="20"/>
              </w:rPr>
            </w:pPr>
            <w:r w:rsidRPr="00093CC9">
              <w:rPr>
                <w:rFonts w:cs="Times New Roman"/>
                <w:szCs w:val="20"/>
              </w:rPr>
              <w:t>4</w:t>
            </w:r>
          </w:p>
        </w:tc>
        <w:tc>
          <w:tcPr>
            <w:tcW w:w="1710" w:type="dxa"/>
            <w:tcBorders>
              <w:top w:val="single" w:sz="12" w:space="0" w:color="auto"/>
              <w:bottom w:val="single" w:sz="4" w:space="0" w:color="auto"/>
            </w:tcBorders>
            <w:vAlign w:val="center"/>
          </w:tcPr>
          <w:p w14:paraId="14ECD254" w14:textId="77777777" w:rsidR="006D7516" w:rsidRPr="00093CC9" w:rsidRDefault="006D7516" w:rsidP="00093CC9">
            <w:pPr>
              <w:pStyle w:val="TableText"/>
              <w:jc w:val="center"/>
              <w:rPr>
                <w:rFonts w:eastAsia="Calibri" w:cs="Times New Roman"/>
                <w:szCs w:val="20"/>
              </w:rPr>
            </w:pPr>
            <w:r w:rsidRPr="00093CC9">
              <w:rPr>
                <w:rFonts w:cs="Times New Roman"/>
                <w:color w:val="000000"/>
                <w:szCs w:val="20"/>
              </w:rPr>
              <w:t>7,804</w:t>
            </w:r>
          </w:p>
        </w:tc>
        <w:tc>
          <w:tcPr>
            <w:tcW w:w="2178" w:type="dxa"/>
            <w:tcBorders>
              <w:top w:val="single" w:sz="12" w:space="0" w:color="auto"/>
              <w:bottom w:val="single" w:sz="4" w:space="0" w:color="auto"/>
            </w:tcBorders>
            <w:vAlign w:val="center"/>
          </w:tcPr>
          <w:p w14:paraId="5C4DAE11" w14:textId="77777777" w:rsidR="006D7516" w:rsidRPr="00093CC9" w:rsidRDefault="006D7516" w:rsidP="00093CC9">
            <w:pPr>
              <w:pStyle w:val="TableText"/>
              <w:jc w:val="center"/>
              <w:rPr>
                <w:rFonts w:eastAsia="PMingLiU" w:cs="Times New Roman"/>
                <w:szCs w:val="20"/>
                <w:lang w:eastAsia="zh-TW"/>
              </w:rPr>
            </w:pPr>
            <w:r w:rsidRPr="00093CC9">
              <w:rPr>
                <w:rFonts w:eastAsia="PMingLiU" w:cs="Times New Roman"/>
                <w:color w:val="000000"/>
                <w:szCs w:val="20"/>
                <w:lang w:eastAsia="zh-TW"/>
              </w:rPr>
              <w:t>23,367</w:t>
            </w:r>
          </w:p>
        </w:tc>
      </w:tr>
      <w:tr w:rsidR="006D7516" w:rsidRPr="00093CC9" w14:paraId="77125D24" w14:textId="77777777" w:rsidTr="00093CC9">
        <w:trPr>
          <w:jc w:val="center"/>
        </w:trPr>
        <w:tc>
          <w:tcPr>
            <w:tcW w:w="828" w:type="dxa"/>
            <w:tcBorders>
              <w:top w:val="single" w:sz="4" w:space="0" w:color="auto"/>
              <w:bottom w:val="single" w:sz="4" w:space="0" w:color="auto"/>
            </w:tcBorders>
            <w:vAlign w:val="center"/>
          </w:tcPr>
          <w:p w14:paraId="5D3A3741" w14:textId="77777777" w:rsidR="006D7516" w:rsidRPr="00093CC9" w:rsidRDefault="006D7516" w:rsidP="00093CC9">
            <w:pPr>
              <w:pStyle w:val="TableText"/>
              <w:rPr>
                <w:rFonts w:eastAsia="Calibri" w:cs="Times New Roman"/>
                <w:szCs w:val="20"/>
              </w:rPr>
            </w:pPr>
            <w:r w:rsidRPr="00093CC9">
              <w:rPr>
                <w:rFonts w:cs="Times New Roman"/>
                <w:szCs w:val="20"/>
              </w:rPr>
              <w:t>BPA-2</w:t>
            </w:r>
          </w:p>
        </w:tc>
        <w:tc>
          <w:tcPr>
            <w:tcW w:w="1665" w:type="dxa"/>
            <w:tcBorders>
              <w:top w:val="single" w:sz="4" w:space="0" w:color="auto"/>
              <w:bottom w:val="single" w:sz="4" w:space="0" w:color="auto"/>
            </w:tcBorders>
            <w:vAlign w:val="center"/>
          </w:tcPr>
          <w:p w14:paraId="1D669620" w14:textId="77777777" w:rsidR="006D7516" w:rsidRPr="00093CC9" w:rsidRDefault="006D7516" w:rsidP="00093CC9">
            <w:pPr>
              <w:pStyle w:val="TableText"/>
              <w:rPr>
                <w:rFonts w:eastAsia="Calibri" w:cs="Times New Roman"/>
                <w:szCs w:val="20"/>
              </w:rPr>
            </w:pPr>
            <w:r w:rsidRPr="00093CC9">
              <w:rPr>
                <w:rFonts w:cs="Times New Roman"/>
                <w:szCs w:val="20"/>
              </w:rPr>
              <w:t>Snake River</w:t>
            </w:r>
          </w:p>
        </w:tc>
        <w:tc>
          <w:tcPr>
            <w:tcW w:w="990" w:type="dxa"/>
            <w:tcBorders>
              <w:top w:val="single" w:sz="4" w:space="0" w:color="auto"/>
              <w:bottom w:val="single" w:sz="4" w:space="0" w:color="auto"/>
            </w:tcBorders>
            <w:vAlign w:val="center"/>
          </w:tcPr>
          <w:p w14:paraId="039A177B" w14:textId="77777777" w:rsidR="006D7516" w:rsidRPr="00093CC9" w:rsidRDefault="006D7516" w:rsidP="00093CC9">
            <w:pPr>
              <w:pStyle w:val="TableText"/>
              <w:jc w:val="center"/>
              <w:rPr>
                <w:rFonts w:eastAsia="Calibri" w:cs="Times New Roman"/>
                <w:szCs w:val="20"/>
              </w:rPr>
            </w:pPr>
            <w:r w:rsidRPr="00093CC9">
              <w:rPr>
                <w:rFonts w:cs="Times New Roman"/>
                <w:szCs w:val="20"/>
              </w:rPr>
              <w:t>5</w:t>
            </w:r>
          </w:p>
        </w:tc>
        <w:tc>
          <w:tcPr>
            <w:tcW w:w="1440" w:type="dxa"/>
            <w:tcBorders>
              <w:top w:val="single" w:sz="4" w:space="0" w:color="auto"/>
              <w:bottom w:val="single" w:sz="4" w:space="0" w:color="auto"/>
            </w:tcBorders>
            <w:vAlign w:val="center"/>
          </w:tcPr>
          <w:p w14:paraId="49837298" w14:textId="77777777" w:rsidR="006D7516" w:rsidRPr="00093CC9" w:rsidRDefault="006D7516" w:rsidP="00093CC9">
            <w:pPr>
              <w:pStyle w:val="TableText"/>
              <w:jc w:val="center"/>
              <w:rPr>
                <w:rFonts w:eastAsia="Calibri" w:cs="Times New Roman"/>
                <w:szCs w:val="20"/>
              </w:rPr>
            </w:pPr>
            <w:r w:rsidRPr="00093CC9">
              <w:rPr>
                <w:rFonts w:cs="Times New Roman"/>
                <w:szCs w:val="20"/>
              </w:rPr>
              <w:t>5</w:t>
            </w:r>
          </w:p>
        </w:tc>
        <w:tc>
          <w:tcPr>
            <w:tcW w:w="720" w:type="dxa"/>
            <w:tcBorders>
              <w:top w:val="single" w:sz="4" w:space="0" w:color="auto"/>
              <w:bottom w:val="single" w:sz="4" w:space="0" w:color="auto"/>
            </w:tcBorders>
            <w:vAlign w:val="center"/>
          </w:tcPr>
          <w:p w14:paraId="52D011CD" w14:textId="77777777" w:rsidR="006D7516" w:rsidRPr="00093CC9" w:rsidRDefault="006D7516" w:rsidP="00093CC9">
            <w:pPr>
              <w:pStyle w:val="TableText"/>
              <w:jc w:val="center"/>
              <w:rPr>
                <w:rFonts w:eastAsia="Calibri" w:cs="Times New Roman"/>
                <w:szCs w:val="20"/>
              </w:rPr>
            </w:pPr>
            <w:r w:rsidRPr="00093CC9">
              <w:rPr>
                <w:rFonts w:cs="Times New Roman"/>
                <w:szCs w:val="20"/>
              </w:rPr>
              <w:t>10</w:t>
            </w:r>
          </w:p>
        </w:tc>
        <w:tc>
          <w:tcPr>
            <w:tcW w:w="1710" w:type="dxa"/>
            <w:tcBorders>
              <w:top w:val="single" w:sz="4" w:space="0" w:color="auto"/>
              <w:bottom w:val="single" w:sz="4" w:space="0" w:color="auto"/>
            </w:tcBorders>
            <w:vAlign w:val="center"/>
          </w:tcPr>
          <w:p w14:paraId="1347C47C" w14:textId="77777777" w:rsidR="006D7516" w:rsidRPr="00093CC9" w:rsidRDefault="006D7516" w:rsidP="00093CC9">
            <w:pPr>
              <w:pStyle w:val="TableText"/>
              <w:jc w:val="center"/>
              <w:rPr>
                <w:rFonts w:eastAsia="PMingLiU" w:cs="Times New Roman"/>
                <w:szCs w:val="20"/>
                <w:lang w:eastAsia="zh-TW"/>
              </w:rPr>
            </w:pPr>
            <w:r w:rsidRPr="00093CC9">
              <w:rPr>
                <w:rFonts w:cs="Times New Roman"/>
                <w:color w:val="000000"/>
                <w:szCs w:val="20"/>
              </w:rPr>
              <w:t>3,756</w:t>
            </w:r>
          </w:p>
        </w:tc>
        <w:tc>
          <w:tcPr>
            <w:tcW w:w="2178" w:type="dxa"/>
            <w:tcBorders>
              <w:top w:val="single" w:sz="4" w:space="0" w:color="auto"/>
              <w:bottom w:val="single" w:sz="4" w:space="0" w:color="auto"/>
            </w:tcBorders>
            <w:vAlign w:val="center"/>
          </w:tcPr>
          <w:p w14:paraId="434988D0" w14:textId="77777777" w:rsidR="006D7516" w:rsidRPr="00093CC9" w:rsidRDefault="006D7516" w:rsidP="00093CC9">
            <w:pPr>
              <w:pStyle w:val="TableText"/>
              <w:jc w:val="center"/>
              <w:rPr>
                <w:rFonts w:eastAsia="PMingLiU" w:cs="Times New Roman"/>
                <w:szCs w:val="20"/>
                <w:lang w:eastAsia="zh-TW"/>
              </w:rPr>
            </w:pPr>
            <w:r w:rsidRPr="00093CC9">
              <w:rPr>
                <w:rFonts w:eastAsia="PMingLiU" w:cs="Times New Roman"/>
                <w:color w:val="000000"/>
                <w:szCs w:val="20"/>
                <w:lang w:eastAsia="zh-TW"/>
              </w:rPr>
              <w:t>12,035</w:t>
            </w:r>
          </w:p>
        </w:tc>
      </w:tr>
      <w:tr w:rsidR="006D7516" w:rsidRPr="00093CC9" w14:paraId="3315703A" w14:textId="77777777" w:rsidTr="00093CC9">
        <w:trPr>
          <w:jc w:val="center"/>
        </w:trPr>
        <w:tc>
          <w:tcPr>
            <w:tcW w:w="828" w:type="dxa"/>
            <w:tcBorders>
              <w:top w:val="single" w:sz="4" w:space="0" w:color="auto"/>
              <w:bottom w:val="single" w:sz="4" w:space="0" w:color="auto"/>
            </w:tcBorders>
            <w:vAlign w:val="center"/>
          </w:tcPr>
          <w:p w14:paraId="168C1628" w14:textId="77777777" w:rsidR="006D7516" w:rsidRPr="00093CC9" w:rsidRDefault="006D7516" w:rsidP="00093CC9">
            <w:pPr>
              <w:pStyle w:val="TableText"/>
              <w:rPr>
                <w:rFonts w:eastAsia="Calibri" w:cs="Times New Roman"/>
                <w:szCs w:val="20"/>
              </w:rPr>
            </w:pPr>
            <w:r w:rsidRPr="00093CC9">
              <w:rPr>
                <w:rFonts w:cs="Times New Roman"/>
                <w:szCs w:val="20"/>
              </w:rPr>
              <w:t>BPA-3</w:t>
            </w:r>
          </w:p>
        </w:tc>
        <w:tc>
          <w:tcPr>
            <w:tcW w:w="1665" w:type="dxa"/>
            <w:tcBorders>
              <w:top w:val="single" w:sz="4" w:space="0" w:color="auto"/>
              <w:bottom w:val="single" w:sz="4" w:space="0" w:color="auto"/>
            </w:tcBorders>
            <w:vAlign w:val="center"/>
          </w:tcPr>
          <w:p w14:paraId="173ABB8C" w14:textId="77777777" w:rsidR="006D7516" w:rsidRPr="00093CC9" w:rsidRDefault="006D7516" w:rsidP="00093CC9">
            <w:pPr>
              <w:pStyle w:val="TableText"/>
              <w:rPr>
                <w:rFonts w:eastAsia="Calibri" w:cs="Times New Roman"/>
                <w:szCs w:val="20"/>
              </w:rPr>
            </w:pPr>
            <w:r w:rsidRPr="00093CC9">
              <w:rPr>
                <w:rFonts w:cs="Times New Roman"/>
                <w:szCs w:val="20"/>
              </w:rPr>
              <w:t>Mid-Lower Columbia</w:t>
            </w:r>
          </w:p>
        </w:tc>
        <w:tc>
          <w:tcPr>
            <w:tcW w:w="990" w:type="dxa"/>
            <w:tcBorders>
              <w:top w:val="single" w:sz="4" w:space="0" w:color="auto"/>
              <w:bottom w:val="single" w:sz="4" w:space="0" w:color="auto"/>
            </w:tcBorders>
            <w:vAlign w:val="center"/>
          </w:tcPr>
          <w:p w14:paraId="4339BA7B" w14:textId="77777777" w:rsidR="006D7516" w:rsidRPr="00093CC9" w:rsidRDefault="006D7516" w:rsidP="00093CC9">
            <w:pPr>
              <w:pStyle w:val="TableText"/>
              <w:jc w:val="center"/>
              <w:rPr>
                <w:rFonts w:eastAsia="Calibri" w:cs="Times New Roman"/>
                <w:szCs w:val="20"/>
                <w:lang w:eastAsia="zh-TW"/>
              </w:rPr>
            </w:pPr>
            <w:r w:rsidRPr="00093CC9">
              <w:rPr>
                <w:rFonts w:cs="Times New Roman"/>
                <w:szCs w:val="20"/>
              </w:rPr>
              <w:t>5</w:t>
            </w:r>
          </w:p>
        </w:tc>
        <w:tc>
          <w:tcPr>
            <w:tcW w:w="1440" w:type="dxa"/>
            <w:tcBorders>
              <w:top w:val="single" w:sz="4" w:space="0" w:color="auto"/>
              <w:bottom w:val="single" w:sz="4" w:space="0" w:color="auto"/>
            </w:tcBorders>
            <w:vAlign w:val="center"/>
          </w:tcPr>
          <w:p w14:paraId="18B3EB9C" w14:textId="77777777" w:rsidR="006D7516" w:rsidRPr="00093CC9" w:rsidRDefault="006D7516" w:rsidP="00093CC9">
            <w:pPr>
              <w:pStyle w:val="TableText"/>
              <w:jc w:val="center"/>
              <w:rPr>
                <w:rFonts w:eastAsia="Calibri" w:cs="Times New Roman"/>
                <w:szCs w:val="20"/>
                <w:lang w:eastAsia="zh-TW"/>
              </w:rPr>
            </w:pPr>
            <w:r w:rsidRPr="00093CC9">
              <w:rPr>
                <w:rFonts w:cs="Times New Roman"/>
                <w:szCs w:val="20"/>
              </w:rPr>
              <w:t>2</w:t>
            </w:r>
          </w:p>
        </w:tc>
        <w:tc>
          <w:tcPr>
            <w:tcW w:w="720" w:type="dxa"/>
            <w:tcBorders>
              <w:top w:val="single" w:sz="4" w:space="0" w:color="auto"/>
              <w:bottom w:val="single" w:sz="4" w:space="0" w:color="auto"/>
            </w:tcBorders>
            <w:vAlign w:val="center"/>
          </w:tcPr>
          <w:p w14:paraId="49627ADD" w14:textId="77777777" w:rsidR="006D7516" w:rsidRPr="00093CC9" w:rsidRDefault="006D7516" w:rsidP="00093CC9">
            <w:pPr>
              <w:pStyle w:val="TableText"/>
              <w:jc w:val="center"/>
              <w:rPr>
                <w:rFonts w:eastAsia="Calibri" w:cs="Times New Roman"/>
                <w:szCs w:val="20"/>
                <w:lang w:eastAsia="zh-TW"/>
              </w:rPr>
            </w:pPr>
            <w:r w:rsidRPr="00093CC9">
              <w:rPr>
                <w:rFonts w:cs="Times New Roman"/>
                <w:szCs w:val="20"/>
              </w:rPr>
              <w:t>7</w:t>
            </w:r>
          </w:p>
        </w:tc>
        <w:tc>
          <w:tcPr>
            <w:tcW w:w="1710" w:type="dxa"/>
            <w:tcBorders>
              <w:top w:val="single" w:sz="4" w:space="0" w:color="auto"/>
              <w:bottom w:val="single" w:sz="4" w:space="0" w:color="auto"/>
            </w:tcBorders>
            <w:vAlign w:val="center"/>
          </w:tcPr>
          <w:p w14:paraId="62105D27" w14:textId="77777777" w:rsidR="006D7516" w:rsidRPr="00093CC9" w:rsidRDefault="006D7516" w:rsidP="00093CC9">
            <w:pPr>
              <w:pStyle w:val="TableText"/>
              <w:jc w:val="center"/>
              <w:rPr>
                <w:rFonts w:eastAsia="PMingLiU" w:cs="Times New Roman"/>
                <w:szCs w:val="20"/>
                <w:lang w:eastAsia="zh-TW"/>
              </w:rPr>
            </w:pPr>
            <w:r w:rsidRPr="00093CC9">
              <w:rPr>
                <w:rFonts w:eastAsia="PMingLiU" w:cs="Times New Roman"/>
                <w:color w:val="000000"/>
                <w:szCs w:val="20"/>
                <w:lang w:eastAsia="zh-TW"/>
              </w:rPr>
              <w:t>8,613</w:t>
            </w:r>
          </w:p>
        </w:tc>
        <w:tc>
          <w:tcPr>
            <w:tcW w:w="2178" w:type="dxa"/>
            <w:tcBorders>
              <w:top w:val="single" w:sz="4" w:space="0" w:color="auto"/>
              <w:bottom w:val="single" w:sz="4" w:space="0" w:color="auto"/>
            </w:tcBorders>
            <w:vAlign w:val="center"/>
          </w:tcPr>
          <w:p w14:paraId="28D29E73" w14:textId="77777777" w:rsidR="006D7516" w:rsidRPr="00093CC9" w:rsidRDefault="006D7516" w:rsidP="00093CC9">
            <w:pPr>
              <w:pStyle w:val="TableText"/>
              <w:jc w:val="center"/>
              <w:rPr>
                <w:rFonts w:eastAsia="PMingLiU" w:cs="Times New Roman"/>
                <w:szCs w:val="20"/>
                <w:lang w:eastAsia="zh-TW"/>
              </w:rPr>
            </w:pPr>
            <w:r w:rsidRPr="00093CC9">
              <w:rPr>
                <w:rFonts w:eastAsia="PMingLiU" w:cs="Times New Roman"/>
                <w:color w:val="000000"/>
                <w:szCs w:val="20"/>
                <w:lang w:eastAsia="zh-TW"/>
              </w:rPr>
              <w:t>39,235</w:t>
            </w:r>
          </w:p>
        </w:tc>
      </w:tr>
      <w:tr w:rsidR="006D7516" w:rsidRPr="00093CC9" w14:paraId="56ECB1B9" w14:textId="77777777" w:rsidTr="00093CC9">
        <w:trPr>
          <w:jc w:val="center"/>
        </w:trPr>
        <w:tc>
          <w:tcPr>
            <w:tcW w:w="828" w:type="dxa"/>
            <w:tcBorders>
              <w:top w:val="single" w:sz="4" w:space="0" w:color="auto"/>
              <w:bottom w:val="single" w:sz="4" w:space="0" w:color="auto"/>
            </w:tcBorders>
            <w:vAlign w:val="center"/>
          </w:tcPr>
          <w:p w14:paraId="587F41BA" w14:textId="77777777" w:rsidR="006D7516" w:rsidRPr="00093CC9" w:rsidRDefault="006D7516" w:rsidP="00093CC9">
            <w:pPr>
              <w:pStyle w:val="TableText"/>
              <w:rPr>
                <w:rFonts w:eastAsia="Calibri" w:cs="Times New Roman"/>
                <w:szCs w:val="20"/>
              </w:rPr>
            </w:pPr>
            <w:r w:rsidRPr="00093CC9">
              <w:rPr>
                <w:rFonts w:cs="Times New Roman"/>
                <w:szCs w:val="20"/>
              </w:rPr>
              <w:t>BPA-4</w:t>
            </w:r>
          </w:p>
        </w:tc>
        <w:tc>
          <w:tcPr>
            <w:tcW w:w="1665" w:type="dxa"/>
            <w:tcBorders>
              <w:top w:val="single" w:sz="4" w:space="0" w:color="auto"/>
              <w:bottom w:val="single" w:sz="4" w:space="0" w:color="auto"/>
            </w:tcBorders>
            <w:vAlign w:val="center"/>
          </w:tcPr>
          <w:p w14:paraId="2509628D" w14:textId="77777777" w:rsidR="006D7516" w:rsidRPr="00093CC9" w:rsidRDefault="006D7516" w:rsidP="00093CC9">
            <w:pPr>
              <w:pStyle w:val="TableText"/>
              <w:rPr>
                <w:rFonts w:eastAsia="Calibri" w:cs="Times New Roman"/>
                <w:szCs w:val="20"/>
              </w:rPr>
            </w:pPr>
            <w:r w:rsidRPr="00093CC9">
              <w:rPr>
                <w:rFonts w:cs="Times New Roman"/>
                <w:szCs w:val="20"/>
              </w:rPr>
              <w:t>Cascade Mountains</w:t>
            </w:r>
          </w:p>
        </w:tc>
        <w:tc>
          <w:tcPr>
            <w:tcW w:w="990" w:type="dxa"/>
            <w:tcBorders>
              <w:top w:val="single" w:sz="4" w:space="0" w:color="auto"/>
              <w:bottom w:val="single" w:sz="4" w:space="0" w:color="auto"/>
            </w:tcBorders>
            <w:vAlign w:val="center"/>
          </w:tcPr>
          <w:p w14:paraId="741676DD" w14:textId="77777777" w:rsidR="006D7516" w:rsidRPr="00093CC9" w:rsidRDefault="006D7516" w:rsidP="00093CC9">
            <w:pPr>
              <w:pStyle w:val="TableText"/>
              <w:jc w:val="center"/>
              <w:rPr>
                <w:rFonts w:eastAsia="Calibri" w:cs="Times New Roman"/>
                <w:szCs w:val="20"/>
              </w:rPr>
            </w:pPr>
            <w:r w:rsidRPr="00093CC9">
              <w:rPr>
                <w:rFonts w:cs="Times New Roman"/>
                <w:szCs w:val="20"/>
              </w:rPr>
              <w:t>9</w:t>
            </w:r>
          </w:p>
        </w:tc>
        <w:tc>
          <w:tcPr>
            <w:tcW w:w="1440" w:type="dxa"/>
            <w:tcBorders>
              <w:top w:val="single" w:sz="4" w:space="0" w:color="auto"/>
              <w:bottom w:val="single" w:sz="4" w:space="0" w:color="auto"/>
            </w:tcBorders>
            <w:vAlign w:val="center"/>
          </w:tcPr>
          <w:p w14:paraId="1CDAEC9B" w14:textId="77777777" w:rsidR="006D7516" w:rsidRPr="00093CC9" w:rsidRDefault="006D7516" w:rsidP="00093CC9">
            <w:pPr>
              <w:pStyle w:val="TableText"/>
              <w:jc w:val="center"/>
              <w:rPr>
                <w:rFonts w:eastAsia="Calibri" w:cs="Times New Roman"/>
                <w:szCs w:val="20"/>
              </w:rPr>
            </w:pPr>
            <w:r w:rsidRPr="00093CC9">
              <w:rPr>
                <w:rFonts w:cs="Times New Roman"/>
                <w:szCs w:val="20"/>
              </w:rPr>
              <w:t>1</w:t>
            </w:r>
          </w:p>
        </w:tc>
        <w:tc>
          <w:tcPr>
            <w:tcW w:w="720" w:type="dxa"/>
            <w:tcBorders>
              <w:top w:val="single" w:sz="4" w:space="0" w:color="auto"/>
              <w:bottom w:val="single" w:sz="4" w:space="0" w:color="auto"/>
            </w:tcBorders>
            <w:vAlign w:val="center"/>
          </w:tcPr>
          <w:p w14:paraId="15B3B494" w14:textId="77777777" w:rsidR="006D7516" w:rsidRPr="00093CC9" w:rsidRDefault="006D7516" w:rsidP="00093CC9">
            <w:pPr>
              <w:pStyle w:val="TableText"/>
              <w:jc w:val="center"/>
              <w:rPr>
                <w:rFonts w:eastAsia="Calibri" w:cs="Times New Roman"/>
                <w:szCs w:val="20"/>
              </w:rPr>
            </w:pPr>
            <w:r w:rsidRPr="00093CC9">
              <w:rPr>
                <w:rFonts w:cs="Times New Roman"/>
                <w:szCs w:val="20"/>
              </w:rPr>
              <w:t>10</w:t>
            </w:r>
          </w:p>
        </w:tc>
        <w:tc>
          <w:tcPr>
            <w:tcW w:w="1710" w:type="dxa"/>
            <w:tcBorders>
              <w:top w:val="single" w:sz="4" w:space="0" w:color="auto"/>
              <w:bottom w:val="single" w:sz="4" w:space="0" w:color="auto"/>
            </w:tcBorders>
            <w:vAlign w:val="center"/>
          </w:tcPr>
          <w:p w14:paraId="2A234312" w14:textId="77777777" w:rsidR="006D7516" w:rsidRPr="00093CC9" w:rsidRDefault="006D7516" w:rsidP="00093CC9">
            <w:pPr>
              <w:pStyle w:val="TableText"/>
              <w:jc w:val="center"/>
              <w:rPr>
                <w:rFonts w:eastAsia="Calibri" w:cs="Times New Roman"/>
                <w:szCs w:val="20"/>
              </w:rPr>
            </w:pPr>
            <w:r w:rsidRPr="00093CC9">
              <w:rPr>
                <w:rFonts w:cs="Times New Roman"/>
                <w:color w:val="000000"/>
                <w:szCs w:val="20"/>
              </w:rPr>
              <w:t>475</w:t>
            </w:r>
          </w:p>
        </w:tc>
        <w:tc>
          <w:tcPr>
            <w:tcW w:w="2178" w:type="dxa"/>
            <w:tcBorders>
              <w:top w:val="single" w:sz="4" w:space="0" w:color="auto"/>
              <w:bottom w:val="single" w:sz="4" w:space="0" w:color="auto"/>
            </w:tcBorders>
            <w:vAlign w:val="center"/>
          </w:tcPr>
          <w:p w14:paraId="25D0D0F3" w14:textId="77777777" w:rsidR="006D7516" w:rsidRPr="00093CC9" w:rsidRDefault="006D7516" w:rsidP="00093CC9">
            <w:pPr>
              <w:pStyle w:val="TableText"/>
              <w:jc w:val="center"/>
              <w:rPr>
                <w:rFonts w:eastAsia="PMingLiU" w:cs="Times New Roman"/>
                <w:szCs w:val="20"/>
                <w:lang w:eastAsia="zh-TW"/>
              </w:rPr>
            </w:pPr>
            <w:r w:rsidRPr="00093CC9">
              <w:rPr>
                <w:rFonts w:eastAsia="PMingLiU" w:cs="Times New Roman"/>
                <w:color w:val="000000"/>
                <w:szCs w:val="20"/>
                <w:lang w:eastAsia="zh-TW"/>
              </w:rPr>
              <w:t>1,750</w:t>
            </w:r>
          </w:p>
        </w:tc>
      </w:tr>
      <w:tr w:rsidR="006D7516" w:rsidRPr="00093CC9" w14:paraId="1DD37618" w14:textId="77777777" w:rsidTr="00093CC9">
        <w:trPr>
          <w:jc w:val="center"/>
        </w:trPr>
        <w:tc>
          <w:tcPr>
            <w:tcW w:w="828" w:type="dxa"/>
            <w:tcBorders>
              <w:top w:val="single" w:sz="4" w:space="0" w:color="auto"/>
              <w:bottom w:val="single" w:sz="12" w:space="0" w:color="auto"/>
            </w:tcBorders>
            <w:vAlign w:val="center"/>
          </w:tcPr>
          <w:p w14:paraId="516AEFEE" w14:textId="77777777" w:rsidR="006D7516" w:rsidRPr="00093CC9" w:rsidRDefault="006D7516" w:rsidP="00093CC9">
            <w:pPr>
              <w:pStyle w:val="TableHeading"/>
              <w:spacing w:before="0" w:after="0"/>
              <w:jc w:val="left"/>
              <w:rPr>
                <w:rFonts w:eastAsia="Calibri" w:cs="Times New Roman"/>
                <w:b w:val="0"/>
                <w:bCs/>
                <w:szCs w:val="20"/>
              </w:rPr>
            </w:pPr>
            <w:r w:rsidRPr="00093CC9">
              <w:rPr>
                <w:rFonts w:cs="Times New Roman"/>
                <w:b w:val="0"/>
                <w:bCs/>
                <w:szCs w:val="20"/>
              </w:rPr>
              <w:t>Total</w:t>
            </w:r>
          </w:p>
        </w:tc>
        <w:tc>
          <w:tcPr>
            <w:tcW w:w="1665" w:type="dxa"/>
            <w:tcBorders>
              <w:top w:val="single" w:sz="4" w:space="0" w:color="auto"/>
              <w:bottom w:val="single" w:sz="12" w:space="0" w:color="auto"/>
            </w:tcBorders>
            <w:vAlign w:val="center"/>
          </w:tcPr>
          <w:p w14:paraId="0E83629E" w14:textId="77777777" w:rsidR="006D7516" w:rsidRPr="00093CC9" w:rsidRDefault="006D7516" w:rsidP="00093CC9">
            <w:pPr>
              <w:pStyle w:val="TableHeading"/>
              <w:spacing w:before="0" w:after="0"/>
              <w:jc w:val="left"/>
              <w:rPr>
                <w:rFonts w:cs="Times New Roman"/>
                <w:b w:val="0"/>
                <w:bCs/>
                <w:szCs w:val="20"/>
              </w:rPr>
            </w:pPr>
          </w:p>
        </w:tc>
        <w:tc>
          <w:tcPr>
            <w:tcW w:w="990" w:type="dxa"/>
            <w:tcBorders>
              <w:top w:val="single" w:sz="4" w:space="0" w:color="auto"/>
              <w:bottom w:val="single" w:sz="12" w:space="0" w:color="auto"/>
            </w:tcBorders>
            <w:vAlign w:val="center"/>
          </w:tcPr>
          <w:p w14:paraId="616B031D" w14:textId="77777777" w:rsidR="006D7516" w:rsidRPr="00093CC9" w:rsidRDefault="006D7516" w:rsidP="00093CC9">
            <w:pPr>
              <w:pStyle w:val="TableHeading"/>
              <w:spacing w:before="0" w:after="0"/>
              <w:rPr>
                <w:rFonts w:eastAsia="Calibri" w:cs="Times New Roman"/>
                <w:b w:val="0"/>
                <w:bCs/>
                <w:szCs w:val="20"/>
              </w:rPr>
            </w:pPr>
            <w:r w:rsidRPr="00093CC9">
              <w:rPr>
                <w:rFonts w:cs="Times New Roman"/>
                <w:b w:val="0"/>
                <w:bCs/>
                <w:szCs w:val="20"/>
              </w:rPr>
              <w:t>21</w:t>
            </w:r>
          </w:p>
        </w:tc>
        <w:tc>
          <w:tcPr>
            <w:tcW w:w="1440" w:type="dxa"/>
            <w:tcBorders>
              <w:top w:val="single" w:sz="4" w:space="0" w:color="auto"/>
              <w:bottom w:val="single" w:sz="12" w:space="0" w:color="auto"/>
            </w:tcBorders>
            <w:vAlign w:val="center"/>
          </w:tcPr>
          <w:p w14:paraId="616366D2" w14:textId="77777777" w:rsidR="006D7516" w:rsidRPr="00093CC9" w:rsidRDefault="006D7516" w:rsidP="00093CC9">
            <w:pPr>
              <w:pStyle w:val="TableHeading"/>
              <w:spacing w:before="0" w:after="0"/>
              <w:rPr>
                <w:rFonts w:eastAsia="Calibri" w:cs="Times New Roman"/>
                <w:b w:val="0"/>
                <w:bCs/>
                <w:szCs w:val="20"/>
              </w:rPr>
            </w:pPr>
            <w:r w:rsidRPr="00093CC9">
              <w:rPr>
                <w:rFonts w:cs="Times New Roman"/>
                <w:b w:val="0"/>
                <w:bCs/>
                <w:szCs w:val="20"/>
              </w:rPr>
              <w:t>10</w:t>
            </w:r>
          </w:p>
        </w:tc>
        <w:tc>
          <w:tcPr>
            <w:tcW w:w="720" w:type="dxa"/>
            <w:tcBorders>
              <w:top w:val="single" w:sz="4" w:space="0" w:color="auto"/>
              <w:bottom w:val="single" w:sz="12" w:space="0" w:color="auto"/>
            </w:tcBorders>
            <w:vAlign w:val="center"/>
          </w:tcPr>
          <w:p w14:paraId="3D6C66B9" w14:textId="77777777" w:rsidR="006D7516" w:rsidRPr="00093CC9" w:rsidRDefault="006D7516" w:rsidP="00093CC9">
            <w:pPr>
              <w:pStyle w:val="TableHeading"/>
              <w:spacing w:before="0" w:after="0"/>
              <w:rPr>
                <w:rFonts w:eastAsia="Calibri" w:cs="Times New Roman"/>
                <w:b w:val="0"/>
                <w:bCs/>
                <w:szCs w:val="20"/>
              </w:rPr>
            </w:pPr>
            <w:r w:rsidRPr="00093CC9">
              <w:rPr>
                <w:rFonts w:cs="Times New Roman"/>
                <w:b w:val="0"/>
                <w:bCs/>
                <w:szCs w:val="20"/>
              </w:rPr>
              <w:t>31</w:t>
            </w:r>
          </w:p>
        </w:tc>
        <w:tc>
          <w:tcPr>
            <w:tcW w:w="1710" w:type="dxa"/>
            <w:tcBorders>
              <w:top w:val="single" w:sz="4" w:space="0" w:color="auto"/>
              <w:bottom w:val="single" w:sz="12" w:space="0" w:color="auto"/>
            </w:tcBorders>
            <w:vAlign w:val="center"/>
          </w:tcPr>
          <w:p w14:paraId="02AD9849" w14:textId="77777777" w:rsidR="006D7516" w:rsidRPr="00093CC9" w:rsidRDefault="006D7516" w:rsidP="00093CC9">
            <w:pPr>
              <w:pStyle w:val="TableHeading"/>
              <w:spacing w:before="0" w:after="0"/>
              <w:rPr>
                <w:rFonts w:eastAsia="Calibri" w:cs="Times New Roman"/>
                <w:b w:val="0"/>
                <w:bCs/>
                <w:szCs w:val="20"/>
              </w:rPr>
            </w:pPr>
            <w:r w:rsidRPr="00093CC9">
              <w:rPr>
                <w:rFonts w:cs="Times New Roman"/>
                <w:b w:val="0"/>
                <w:bCs/>
                <w:color w:val="000000"/>
                <w:szCs w:val="20"/>
              </w:rPr>
              <w:t>20,648</w:t>
            </w:r>
          </w:p>
        </w:tc>
        <w:tc>
          <w:tcPr>
            <w:tcW w:w="2178" w:type="dxa"/>
            <w:tcBorders>
              <w:top w:val="single" w:sz="4" w:space="0" w:color="auto"/>
              <w:bottom w:val="single" w:sz="12" w:space="0" w:color="auto"/>
            </w:tcBorders>
            <w:vAlign w:val="center"/>
          </w:tcPr>
          <w:p w14:paraId="58B7CA29" w14:textId="77777777" w:rsidR="006D7516" w:rsidRPr="00093CC9" w:rsidRDefault="006D7516" w:rsidP="00093CC9">
            <w:pPr>
              <w:pStyle w:val="TableHeading"/>
              <w:spacing w:before="0" w:after="0"/>
              <w:rPr>
                <w:rFonts w:eastAsia="PMingLiU" w:cs="Times New Roman"/>
                <w:b w:val="0"/>
                <w:bCs/>
                <w:szCs w:val="20"/>
                <w:lang w:eastAsia="zh-TW"/>
              </w:rPr>
            </w:pPr>
            <w:r w:rsidRPr="00093CC9">
              <w:rPr>
                <w:rFonts w:eastAsia="PMingLiU" w:cs="Times New Roman"/>
                <w:b w:val="0"/>
                <w:bCs/>
                <w:color w:val="000000"/>
                <w:szCs w:val="20"/>
                <w:lang w:eastAsia="zh-TW"/>
              </w:rPr>
              <w:t>76,388</w:t>
            </w:r>
          </w:p>
        </w:tc>
      </w:tr>
    </w:tbl>
    <w:p w14:paraId="0CBCD565" w14:textId="4339D46D" w:rsidR="00737CF6" w:rsidRPr="006A3A0F" w:rsidRDefault="00737CF6" w:rsidP="00737CF6">
      <w:pPr>
        <w:pStyle w:val="TableFootnote"/>
        <w:widowControl/>
        <w:rPr>
          <w:sz w:val="18"/>
        </w:rPr>
      </w:pPr>
      <w:r w:rsidRPr="006A3A0F">
        <w:rPr>
          <w:i/>
          <w:sz w:val="18"/>
          <w:vertAlign w:val="superscript"/>
        </w:rPr>
        <w:t>a</w:t>
      </w:r>
      <w:r w:rsidRPr="006A3A0F">
        <w:rPr>
          <w:sz w:val="18"/>
        </w:rPr>
        <w:t xml:space="preserve"> EIA 20</w:t>
      </w:r>
      <w:r w:rsidRPr="006A3A0F">
        <w:rPr>
          <w:rFonts w:hint="eastAsia"/>
          <w:sz w:val="18"/>
          <w:lang w:eastAsia="zh-TW"/>
        </w:rPr>
        <w:t>1</w:t>
      </w:r>
      <w:r>
        <w:rPr>
          <w:sz w:val="18"/>
          <w:lang w:eastAsia="zh-TW"/>
        </w:rPr>
        <w:t>9</w:t>
      </w:r>
      <w:r w:rsidRPr="006A3A0F">
        <w:rPr>
          <w:sz w:val="18"/>
        </w:rPr>
        <w:t xml:space="preserve"> total nameplate capacity</w:t>
      </w:r>
      <w:r>
        <w:rPr>
          <w:sz w:val="18"/>
        </w:rPr>
        <w:t>, i</w:t>
      </w:r>
      <w:r w:rsidRPr="006A3A0F">
        <w:rPr>
          <w:sz w:val="18"/>
        </w:rPr>
        <w:t>ncludes both conventional hydro and pumped</w:t>
      </w:r>
      <w:r w:rsidR="00BA1221">
        <w:rPr>
          <w:sz w:val="18"/>
        </w:rPr>
        <w:t xml:space="preserve"> </w:t>
      </w:r>
      <w:r w:rsidRPr="006A3A0F">
        <w:rPr>
          <w:sz w:val="18"/>
        </w:rPr>
        <w:t>storage.</w:t>
      </w:r>
    </w:p>
    <w:p w14:paraId="2A34D505" w14:textId="435341A8" w:rsidR="002E56B5" w:rsidRDefault="00737CF6" w:rsidP="00737CF6">
      <w:pPr>
        <w:pStyle w:val="BodyText"/>
        <w:rPr>
          <w:rFonts w:eastAsia="PMingLiU"/>
          <w:lang w:eastAsia="zh-TW"/>
        </w:rPr>
      </w:pPr>
      <w:r w:rsidRPr="006A3A0F">
        <w:rPr>
          <w:i/>
          <w:sz w:val="18"/>
          <w:vertAlign w:val="superscript"/>
        </w:rPr>
        <w:t>b</w:t>
      </w:r>
      <w:r w:rsidRPr="006A3A0F">
        <w:rPr>
          <w:sz w:val="18"/>
        </w:rPr>
        <w:t xml:space="preserve"> EIA and </w:t>
      </w:r>
      <w:r w:rsidRPr="006A3A0F">
        <w:rPr>
          <w:rFonts w:hint="eastAsia"/>
          <w:sz w:val="18"/>
          <w:lang w:eastAsia="zh-TW"/>
        </w:rPr>
        <w:t xml:space="preserve">BPA </w:t>
      </w:r>
      <w:r w:rsidRPr="006A3A0F">
        <w:rPr>
          <w:sz w:val="18"/>
        </w:rPr>
        <w:t>average annual generation from 19</w:t>
      </w:r>
      <w:r>
        <w:rPr>
          <w:sz w:val="18"/>
        </w:rPr>
        <w:t>8</w:t>
      </w:r>
      <w:r w:rsidRPr="006A3A0F">
        <w:rPr>
          <w:sz w:val="18"/>
        </w:rPr>
        <w:t>0 to 20</w:t>
      </w:r>
      <w:r w:rsidRPr="006A3A0F">
        <w:rPr>
          <w:rFonts w:hint="eastAsia"/>
          <w:sz w:val="18"/>
          <w:lang w:eastAsia="zh-TW"/>
        </w:rPr>
        <w:t>1</w:t>
      </w:r>
      <w:r>
        <w:rPr>
          <w:sz w:val="18"/>
          <w:lang w:eastAsia="zh-TW"/>
        </w:rPr>
        <w:t>9</w:t>
      </w:r>
      <w:r w:rsidRPr="006A3A0F">
        <w:rPr>
          <w:rFonts w:hint="eastAsia"/>
          <w:sz w:val="18"/>
          <w:lang w:eastAsia="zh-TW"/>
        </w:rPr>
        <w:t>,</w:t>
      </w:r>
      <w:r w:rsidRPr="006A3A0F">
        <w:rPr>
          <w:sz w:val="18"/>
        </w:rPr>
        <w:t xml:space="preserve"> </w:t>
      </w:r>
      <w:r w:rsidRPr="006A3A0F">
        <w:rPr>
          <w:rFonts w:hint="eastAsia"/>
          <w:sz w:val="18"/>
          <w:lang w:eastAsia="zh-TW"/>
        </w:rPr>
        <w:t>c</w:t>
      </w:r>
      <w:r w:rsidRPr="006A3A0F">
        <w:rPr>
          <w:sz w:val="18"/>
        </w:rPr>
        <w:t>onventional hydro only.</w:t>
      </w:r>
    </w:p>
    <w:p w14:paraId="174D215F" w14:textId="5D604D6E" w:rsidR="00777F5E" w:rsidRDefault="00777F5E" w:rsidP="00777F5E">
      <w:pPr>
        <w:pStyle w:val="BodyText"/>
      </w:pPr>
      <w:r w:rsidRPr="00D56E3F">
        <w:t xml:space="preserve">The Columbia River </w:t>
      </w:r>
      <w:r w:rsidR="00070BC5" w:rsidRPr="00D56E3F">
        <w:t>basin</w:t>
      </w:r>
      <w:r w:rsidRPr="00D56E3F">
        <w:t xml:space="preserve"> is rich </w:t>
      </w:r>
      <w:r>
        <w:t>in</w:t>
      </w:r>
      <w:r w:rsidRPr="00D56E3F">
        <w:t xml:space="preserve"> water resources</w:t>
      </w:r>
      <w:r>
        <w:t>, representing</w:t>
      </w:r>
      <w:r w:rsidRPr="00D56E3F">
        <w:t xml:space="preserve"> the most heavily developed region for hydropower</w:t>
      </w:r>
      <w:r>
        <w:t xml:space="preserve"> in the U</w:t>
      </w:r>
      <w:r w:rsidR="002A2493">
        <w:t xml:space="preserve">nited </w:t>
      </w:r>
      <w:r>
        <w:t>S</w:t>
      </w:r>
      <w:r w:rsidR="002A2493">
        <w:t>tates</w:t>
      </w:r>
      <w:r>
        <w:t>.</w:t>
      </w:r>
      <w:r w:rsidRPr="00D56E3F">
        <w:t xml:space="preserve"> </w:t>
      </w:r>
      <w:r w:rsidR="00AA4A30">
        <w:t xml:space="preserve">Overall, there is a total of 34,300 MW </w:t>
      </w:r>
      <w:r w:rsidR="00EE3B0E">
        <w:t xml:space="preserve">federal and nonfederal hydropower in the Pacific Northwest </w:t>
      </w:r>
      <w:r w:rsidR="002B204B">
        <w:t>r</w:t>
      </w:r>
      <w:r w:rsidR="00EE3B0E">
        <w:t xml:space="preserve">egion, accounting for 33% of the total </w:t>
      </w:r>
      <w:r w:rsidR="002A2493">
        <w:t>US</w:t>
      </w:r>
      <w:r w:rsidR="00EE3B0E">
        <w:t xml:space="preserve"> hydropower capacity</w:t>
      </w:r>
      <w:r w:rsidR="008E6FA7">
        <w:t xml:space="preserve"> (</w:t>
      </w:r>
      <w:r w:rsidR="008E6FA7" w:rsidRPr="00C473D6">
        <w:rPr>
          <w:szCs w:val="24"/>
          <w:lang w:eastAsia="zh-TW"/>
        </w:rPr>
        <w:t>Johnson</w:t>
      </w:r>
      <w:r w:rsidR="008E6FA7">
        <w:rPr>
          <w:szCs w:val="24"/>
          <w:lang w:eastAsia="zh-TW"/>
        </w:rPr>
        <w:t>, 2021</w:t>
      </w:r>
      <w:r w:rsidR="008E6FA7">
        <w:t>)</w:t>
      </w:r>
      <w:r w:rsidR="00EE3B0E">
        <w:t>.</w:t>
      </w:r>
      <w:r w:rsidR="003A6913">
        <w:t xml:space="preserve"> Among </w:t>
      </w:r>
      <w:r w:rsidR="00063DB9">
        <w:t>these hydropower projects</w:t>
      </w:r>
      <w:r w:rsidR="003A6913">
        <w:t xml:space="preserve">, 60% of the capacity is provided by the federal hydropower plants. </w:t>
      </w:r>
      <w:r w:rsidRPr="00D56E3F">
        <w:t xml:space="preserve">The federal </w:t>
      </w:r>
      <w:r>
        <w:t xml:space="preserve">hydropower plants </w:t>
      </w:r>
      <w:r w:rsidRPr="00D56E3F">
        <w:t>in the region are owned and operated by either USACE or Reclamation</w:t>
      </w:r>
      <w:r>
        <w:t xml:space="preserve"> (</w:t>
      </w:r>
      <w:r>
        <w:fldChar w:fldCharType="begin"/>
      </w:r>
      <w:r>
        <w:instrText xml:space="preserve"> REF _Ref425505834 \h </w:instrText>
      </w:r>
      <w:r>
        <w:fldChar w:fldCharType="separate"/>
      </w:r>
      <w:r w:rsidR="00EE0BF5" w:rsidRPr="004C5793">
        <w:rPr>
          <w:rFonts w:eastAsia="PMingLiU"/>
        </w:rPr>
        <w:t xml:space="preserve">Table </w:t>
      </w:r>
      <w:r w:rsidR="00EE0BF5">
        <w:rPr>
          <w:rFonts w:eastAsia="PMingLiU"/>
          <w:noProof/>
        </w:rPr>
        <w:t>3</w:t>
      </w:r>
      <w:r w:rsidR="00EE0BF5">
        <w:rPr>
          <w:rFonts w:eastAsia="PMingLiU"/>
        </w:rPr>
        <w:t>.</w:t>
      </w:r>
      <w:r w:rsidR="00EE0BF5">
        <w:rPr>
          <w:rFonts w:eastAsia="PMingLiU"/>
          <w:noProof/>
        </w:rPr>
        <w:t>1</w:t>
      </w:r>
      <w:r>
        <w:fldChar w:fldCharType="end"/>
      </w:r>
      <w:r w:rsidRPr="00D56E3F">
        <w:t xml:space="preserve">). Some of the largest </w:t>
      </w:r>
      <w:r w:rsidR="003A6913">
        <w:t xml:space="preserve">federal </w:t>
      </w:r>
      <w:r w:rsidRPr="00D56E3F">
        <w:t xml:space="preserve">hydropower </w:t>
      </w:r>
      <w:r>
        <w:t xml:space="preserve">plants </w:t>
      </w:r>
      <w:r w:rsidRPr="00D56E3F">
        <w:t>are located on the Columbia River. For example, Reclamation</w:t>
      </w:r>
      <w:r w:rsidR="00805545">
        <w:t>’</w:t>
      </w:r>
      <w:r w:rsidRPr="00D56E3F">
        <w:t xml:space="preserve">s Grand Coulee Dam is the largest federal hydropower </w:t>
      </w:r>
      <w:r>
        <w:t xml:space="preserve">plant </w:t>
      </w:r>
      <w:r w:rsidRPr="00D56E3F">
        <w:t xml:space="preserve">in the </w:t>
      </w:r>
      <w:r w:rsidR="00D2695A">
        <w:t>United States</w:t>
      </w:r>
      <w:r>
        <w:t>,</w:t>
      </w:r>
      <w:r w:rsidRPr="00D56E3F">
        <w:t xml:space="preserve"> with an install</w:t>
      </w:r>
      <w:r>
        <w:t>ed conventional capacity of 6,49</w:t>
      </w:r>
      <w:r w:rsidRPr="00D56E3F">
        <w:t>5 MW</w:t>
      </w:r>
      <w:r>
        <w:t>,</w:t>
      </w:r>
      <w:r w:rsidRPr="00D56E3F">
        <w:t xml:space="preserve"> and another 314 MW of pumped</w:t>
      </w:r>
      <w:r w:rsidR="00D2695A">
        <w:t xml:space="preserve"> </w:t>
      </w:r>
      <w:r w:rsidRPr="00D56E3F">
        <w:t>storage capacity. The largest USACE hyd</w:t>
      </w:r>
      <w:r>
        <w:t xml:space="preserve">ropower plant is the 2,456 </w:t>
      </w:r>
      <w:r w:rsidRPr="00D56E3F">
        <w:t>MW Chief Joseph, which is immediately downstream of Grand Coulee</w:t>
      </w:r>
      <w:r>
        <w:t>.</w:t>
      </w:r>
      <w:r w:rsidRPr="00D56E3F">
        <w:t xml:space="preserve"> </w:t>
      </w:r>
      <w:r>
        <w:t>A</w:t>
      </w:r>
      <w:r w:rsidRPr="00D56E3F">
        <w:t xml:space="preserve"> </w:t>
      </w:r>
      <w:r>
        <w:t>complete</w:t>
      </w:r>
      <w:r w:rsidRPr="00D56E3F">
        <w:t xml:space="preserve"> list of federal </w:t>
      </w:r>
      <w:r>
        <w:t xml:space="preserve">hydropower plants </w:t>
      </w:r>
      <w:r w:rsidRPr="00D56E3F">
        <w:t xml:space="preserve">in </w:t>
      </w:r>
      <w:r>
        <w:t xml:space="preserve">the </w:t>
      </w:r>
      <w:r w:rsidR="003A6913">
        <w:t xml:space="preserve">BPA </w:t>
      </w:r>
      <w:r>
        <w:t xml:space="preserve">region </w:t>
      </w:r>
      <w:r w:rsidRPr="00D56E3F">
        <w:t xml:space="preserve">is </w:t>
      </w:r>
      <w:r w:rsidR="003A6913">
        <w:t xml:space="preserve">provided </w:t>
      </w:r>
      <w:r w:rsidRPr="00D56E3F">
        <w:t xml:space="preserve">in </w:t>
      </w:r>
      <w:r w:rsidR="00896F84">
        <w:rPr>
          <w:snapToGrid/>
        </w:rPr>
        <w:fldChar w:fldCharType="begin"/>
      </w:r>
      <w:r w:rsidR="00896F84">
        <w:rPr>
          <w:snapToGrid/>
        </w:rPr>
        <w:instrText xml:space="preserve"> REF _Ref75948519 \n \h </w:instrText>
      </w:r>
      <w:r w:rsidR="00896F84">
        <w:rPr>
          <w:snapToGrid/>
        </w:rPr>
      </w:r>
      <w:r w:rsidR="00896F84">
        <w:rPr>
          <w:snapToGrid/>
        </w:rPr>
        <w:fldChar w:fldCharType="separate"/>
      </w:r>
      <w:r w:rsidR="00EE0BF5">
        <w:rPr>
          <w:snapToGrid/>
        </w:rPr>
        <w:t>APPENDIX B</w:t>
      </w:r>
      <w:r w:rsidR="00896F84">
        <w:rPr>
          <w:snapToGrid/>
        </w:rPr>
        <w:fldChar w:fldCharType="end"/>
      </w:r>
      <w:r w:rsidRPr="00D56E3F">
        <w:t>.</w:t>
      </w:r>
    </w:p>
    <w:p w14:paraId="2BDAFE57" w14:textId="77777777" w:rsidR="00D805C6" w:rsidRDefault="00D805C6" w:rsidP="00777F5E">
      <w:pPr>
        <w:pStyle w:val="BodyText"/>
      </w:pPr>
    </w:p>
    <w:p w14:paraId="25BFB790" w14:textId="5E25ADD9" w:rsidR="006A3A0F" w:rsidRDefault="008C3186" w:rsidP="00093CC9">
      <w:pPr>
        <w:pStyle w:val="FIGUREposition"/>
      </w:pPr>
      <w:r w:rsidRPr="00093CC9">
        <w:rPr>
          <w:noProof/>
        </w:rPr>
        <w:lastRenderedPageBreak/>
        <w:drawing>
          <wp:inline distT="0" distB="0" distL="0" distR="0" wp14:anchorId="525BD2FC" wp14:editId="4338B9F9">
            <wp:extent cx="5944235" cy="71329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4235" cy="7132955"/>
                    </a:xfrm>
                    <a:prstGeom prst="rect">
                      <a:avLst/>
                    </a:prstGeom>
                    <a:noFill/>
                  </pic:spPr>
                </pic:pic>
              </a:graphicData>
            </a:graphic>
          </wp:inline>
        </w:drawing>
      </w:r>
    </w:p>
    <w:p w14:paraId="46F1E2EF" w14:textId="6C504F6E" w:rsidR="006A3A0F" w:rsidRPr="006869CA" w:rsidRDefault="003F6C94" w:rsidP="006A3A0F">
      <w:pPr>
        <w:pStyle w:val="FigureCaption"/>
      </w:pPr>
      <w:bookmarkStart w:id="252" w:name="_Ref425352621"/>
      <w:bookmarkStart w:id="253" w:name="_Toc113380889"/>
      <w:r>
        <w:rPr>
          <w:lang w:eastAsia="zh-TW"/>
        </w:rPr>
        <w:t>Figure</w:t>
      </w:r>
      <w:r w:rsidR="006A3A0F" w:rsidRPr="006869CA">
        <w:rPr>
          <w:lang w:eastAsia="zh-TW"/>
        </w:rPr>
        <w:t xml:space="preserve"> </w:t>
      </w:r>
      <w:r w:rsidR="003214E4" w:rsidRPr="006869CA">
        <w:rPr>
          <w:lang w:eastAsia="zh-TW"/>
        </w:rPr>
        <w:fldChar w:fldCharType="begin"/>
      </w:r>
      <w:r w:rsidR="006A3A0F" w:rsidRPr="006869CA">
        <w:rPr>
          <w:lang w:eastAsia="zh-TW"/>
        </w:rPr>
        <w:instrText xml:space="preserve"> STYLEREF 1 \s </w:instrText>
      </w:r>
      <w:r w:rsidR="003214E4" w:rsidRPr="006869CA">
        <w:rPr>
          <w:lang w:eastAsia="zh-TW"/>
        </w:rPr>
        <w:fldChar w:fldCharType="separate"/>
      </w:r>
      <w:r w:rsidR="00EE0BF5">
        <w:rPr>
          <w:noProof/>
          <w:lang w:eastAsia="zh-TW"/>
        </w:rPr>
        <w:t>3</w:t>
      </w:r>
      <w:r w:rsidR="003214E4" w:rsidRPr="006869CA">
        <w:rPr>
          <w:lang w:eastAsia="zh-TW"/>
        </w:rPr>
        <w:fldChar w:fldCharType="end"/>
      </w:r>
      <w:r w:rsidR="006A3A0F">
        <w:rPr>
          <w:lang w:eastAsia="zh-TW"/>
        </w:rPr>
        <w:t>.</w:t>
      </w:r>
      <w:r w:rsidR="003214E4" w:rsidRPr="006869CA">
        <w:rPr>
          <w:lang w:eastAsia="zh-TW"/>
        </w:rPr>
        <w:fldChar w:fldCharType="begin"/>
      </w:r>
      <w:r w:rsidR="006A3A0F" w:rsidRPr="006869CA">
        <w:rPr>
          <w:lang w:eastAsia="zh-TW"/>
        </w:rPr>
        <w:instrText xml:space="preserve"> SEQ Figure \* ARABIC \s 1 </w:instrText>
      </w:r>
      <w:r w:rsidR="003214E4" w:rsidRPr="006869CA">
        <w:rPr>
          <w:lang w:eastAsia="zh-TW"/>
        </w:rPr>
        <w:fldChar w:fldCharType="separate"/>
      </w:r>
      <w:r w:rsidR="00EE0BF5">
        <w:rPr>
          <w:noProof/>
          <w:lang w:eastAsia="zh-TW"/>
        </w:rPr>
        <w:t>1</w:t>
      </w:r>
      <w:r w:rsidR="003214E4" w:rsidRPr="006869CA">
        <w:rPr>
          <w:lang w:eastAsia="zh-TW"/>
        </w:rPr>
        <w:fldChar w:fldCharType="end"/>
      </w:r>
      <w:bookmarkEnd w:id="252"/>
      <w:r w:rsidR="006A3A0F" w:rsidRPr="006869CA">
        <w:rPr>
          <w:lang w:eastAsia="zh-TW"/>
        </w:rPr>
        <w:t xml:space="preserve">. </w:t>
      </w:r>
      <w:r w:rsidR="00D37C9A" w:rsidRPr="00D37C9A">
        <w:rPr>
          <w:lang w:eastAsia="zh-TW"/>
        </w:rPr>
        <w:t xml:space="preserve">Map of the federal hydropower plants and </w:t>
      </w:r>
      <w:r w:rsidR="00492B37">
        <w:rPr>
          <w:lang w:eastAsia="zh-TW"/>
        </w:rPr>
        <w:t xml:space="preserve">four </w:t>
      </w:r>
      <w:r w:rsidR="00D37C9A" w:rsidRPr="00D37C9A">
        <w:rPr>
          <w:lang w:eastAsia="zh-TW"/>
        </w:rPr>
        <w:t xml:space="preserve">study areas in </w:t>
      </w:r>
      <w:r w:rsidR="00E0058B">
        <w:rPr>
          <w:lang w:eastAsia="zh-TW"/>
        </w:rPr>
        <w:t xml:space="preserve">the </w:t>
      </w:r>
      <w:r w:rsidR="00492B37">
        <w:rPr>
          <w:lang w:eastAsia="zh-TW"/>
        </w:rPr>
        <w:t xml:space="preserve">BPA </w:t>
      </w:r>
      <w:r w:rsidR="00E0058B">
        <w:rPr>
          <w:lang w:eastAsia="zh-TW"/>
        </w:rPr>
        <w:t>region</w:t>
      </w:r>
      <w:r w:rsidR="00D37C9A">
        <w:rPr>
          <w:lang w:eastAsia="zh-TW"/>
        </w:rPr>
        <w:t>.</w:t>
      </w:r>
      <w:bookmarkEnd w:id="253"/>
    </w:p>
    <w:p w14:paraId="5283A305" w14:textId="6CF1901A" w:rsidR="003348C5" w:rsidRPr="00882352" w:rsidRDefault="00410AA7" w:rsidP="003348C5">
      <w:pPr>
        <w:pStyle w:val="BodyText"/>
        <w:rPr>
          <w:rFonts w:eastAsia="PMingLiU"/>
          <w:lang w:eastAsia="zh-TW"/>
        </w:rPr>
      </w:pPr>
      <w:r w:rsidRPr="00882352">
        <w:rPr>
          <w:rFonts w:eastAsia="PMingLiU"/>
          <w:lang w:eastAsia="zh-TW"/>
        </w:rPr>
        <w:t xml:space="preserve">Aging infrastructure and rising </w:t>
      </w:r>
      <w:r>
        <w:rPr>
          <w:rFonts w:eastAsia="PMingLiU"/>
          <w:lang w:eastAsia="zh-TW"/>
        </w:rPr>
        <w:t xml:space="preserve">O&amp;M </w:t>
      </w:r>
      <w:r w:rsidRPr="00882352">
        <w:rPr>
          <w:rFonts w:eastAsia="PMingLiU"/>
          <w:lang w:eastAsia="zh-TW"/>
        </w:rPr>
        <w:t>costs are serious concern</w:t>
      </w:r>
      <w:r>
        <w:rPr>
          <w:rFonts w:eastAsia="PMingLiU"/>
          <w:lang w:eastAsia="zh-TW"/>
        </w:rPr>
        <w:t>s</w:t>
      </w:r>
      <w:r w:rsidRPr="00882352">
        <w:rPr>
          <w:rFonts w:eastAsia="PMingLiU"/>
          <w:lang w:eastAsia="zh-TW"/>
        </w:rPr>
        <w:t xml:space="preserve"> </w:t>
      </w:r>
      <w:r>
        <w:rPr>
          <w:rFonts w:eastAsia="PMingLiU"/>
          <w:lang w:eastAsia="zh-TW"/>
        </w:rPr>
        <w:t>for the federal hydropower plants in the BPA region</w:t>
      </w:r>
      <w:r w:rsidRPr="00882352">
        <w:rPr>
          <w:rFonts w:eastAsia="PMingLiU"/>
          <w:lang w:eastAsia="zh-TW"/>
        </w:rPr>
        <w:t>.</w:t>
      </w:r>
      <w:r>
        <w:rPr>
          <w:rFonts w:eastAsia="PMingLiU"/>
          <w:lang w:eastAsia="zh-TW"/>
        </w:rPr>
        <w:t xml:space="preserve"> </w:t>
      </w:r>
      <w:r w:rsidRPr="00882352">
        <w:rPr>
          <w:rFonts w:eastAsia="PMingLiU"/>
          <w:lang w:eastAsia="zh-TW"/>
        </w:rPr>
        <w:t>The oldest USACE project</w:t>
      </w:r>
      <w:r>
        <w:rPr>
          <w:rFonts w:eastAsia="PMingLiU"/>
          <w:lang w:eastAsia="zh-TW"/>
        </w:rPr>
        <w:t xml:space="preserve"> within this region </w:t>
      </w:r>
      <w:r w:rsidRPr="00882352">
        <w:rPr>
          <w:rFonts w:eastAsia="PMingLiU"/>
          <w:lang w:eastAsia="zh-TW"/>
        </w:rPr>
        <w:t>is Bonneville Dam, which began operat</w:t>
      </w:r>
      <w:r>
        <w:rPr>
          <w:rFonts w:eastAsia="PMingLiU"/>
          <w:lang w:eastAsia="zh-TW"/>
        </w:rPr>
        <w:t>ing</w:t>
      </w:r>
      <w:r w:rsidRPr="00882352">
        <w:rPr>
          <w:rFonts w:eastAsia="PMingLiU"/>
          <w:lang w:eastAsia="zh-TW"/>
        </w:rPr>
        <w:t xml:space="preserve"> in 1938</w:t>
      </w:r>
      <w:r>
        <w:rPr>
          <w:rFonts w:eastAsia="PMingLiU"/>
          <w:lang w:eastAsia="zh-TW"/>
        </w:rPr>
        <w:t>, and</w:t>
      </w:r>
      <w:r w:rsidRPr="00882352">
        <w:rPr>
          <w:rFonts w:eastAsia="PMingLiU"/>
          <w:lang w:eastAsia="zh-TW"/>
        </w:rPr>
        <w:t xml:space="preserve"> the last USACE project constructed was Lost Creek in 1977. Reclamation</w:t>
      </w:r>
      <w:r w:rsidR="00805545">
        <w:rPr>
          <w:rFonts w:eastAsia="PMingLiU"/>
          <w:lang w:eastAsia="zh-TW"/>
        </w:rPr>
        <w:t>’</w:t>
      </w:r>
      <w:r w:rsidRPr="00882352">
        <w:rPr>
          <w:rFonts w:eastAsia="PMingLiU"/>
          <w:lang w:eastAsia="zh-TW"/>
        </w:rPr>
        <w:t xml:space="preserve">s </w:t>
      </w:r>
      <w:r>
        <w:rPr>
          <w:rFonts w:eastAsia="PMingLiU"/>
          <w:lang w:eastAsia="zh-TW"/>
        </w:rPr>
        <w:t>hydropower plants</w:t>
      </w:r>
      <w:r w:rsidRPr="00882352">
        <w:rPr>
          <w:rFonts w:eastAsia="PMingLiU"/>
          <w:lang w:eastAsia="zh-TW"/>
        </w:rPr>
        <w:t xml:space="preserve"> in this region were constructed between 1909 (Minidoka) and 1964 (Green Springs). </w:t>
      </w:r>
      <w:r>
        <w:rPr>
          <w:rFonts w:eastAsia="PMingLiU"/>
          <w:lang w:eastAsia="zh-TW"/>
        </w:rPr>
        <w:t xml:space="preserve">Aging infrastructure </w:t>
      </w:r>
      <w:r>
        <w:rPr>
          <w:rFonts w:eastAsia="PMingLiU"/>
          <w:lang w:eastAsia="zh-TW"/>
        </w:rPr>
        <w:lastRenderedPageBreak/>
        <w:t>results in higher O&amp;M costs, especially for non-routine maintenance expenses. To curb that trend, increases in capital expenditures to modernize the generation assets would be required. However, as of 2016, there was a substantial backlog between programmed capital expenditures and recommended expenditures according to asset performance models (Connolly, 2016). Higher O&amp;M costs need to be recovered through the electricity rates that BPA charges its customers; thus, they lead to rate increases</w:t>
      </w:r>
      <w:r w:rsidR="00A1717F">
        <w:rPr>
          <w:rFonts w:eastAsia="PMingLiU"/>
          <w:lang w:eastAsia="zh-TW"/>
        </w:rPr>
        <w:t>,</w:t>
      </w:r>
      <w:r>
        <w:rPr>
          <w:rFonts w:eastAsia="PMingLiU"/>
          <w:lang w:eastAsia="zh-TW"/>
        </w:rPr>
        <w:t xml:space="preserve"> which can damage the competitiveness of BPA</w:t>
      </w:r>
      <w:r w:rsidR="00805545">
        <w:rPr>
          <w:rFonts w:eastAsia="PMingLiU"/>
          <w:lang w:eastAsia="zh-TW"/>
        </w:rPr>
        <w:t>’</w:t>
      </w:r>
      <w:r>
        <w:rPr>
          <w:rFonts w:eastAsia="PMingLiU"/>
          <w:lang w:eastAsia="zh-TW"/>
        </w:rPr>
        <w:t>s products. The high O&amp;M costs, coupled with the goal to maintain competitive rates, may reduce BPA</w:t>
      </w:r>
      <w:r w:rsidR="00805545">
        <w:rPr>
          <w:rFonts w:eastAsia="PMingLiU"/>
          <w:lang w:eastAsia="zh-TW"/>
        </w:rPr>
        <w:t>’</w:t>
      </w:r>
      <w:r>
        <w:rPr>
          <w:rFonts w:eastAsia="PMingLiU"/>
          <w:lang w:eastAsia="zh-TW"/>
        </w:rPr>
        <w:t>s abilities to balance other emerging issues, such as the need to adjust the operations and invest in new technologies to maximize the value of the FCRPS assets in a grid with large volumes of variable renewable generation.</w:t>
      </w:r>
    </w:p>
    <w:p w14:paraId="1F11CCB0" w14:textId="69E6F029" w:rsidR="003348C5" w:rsidRDefault="003348C5" w:rsidP="003348C5">
      <w:pPr>
        <w:pStyle w:val="BodyText"/>
      </w:pPr>
      <w:r w:rsidRPr="00D56E3F">
        <w:t xml:space="preserve">Almost all hydropower plants in </w:t>
      </w:r>
      <w:r>
        <w:t xml:space="preserve">the </w:t>
      </w:r>
      <w:r w:rsidR="00047CE0">
        <w:t>BPA</w:t>
      </w:r>
      <w:r w:rsidRPr="00D56E3F">
        <w:t xml:space="preserve"> </w:t>
      </w:r>
      <w:r>
        <w:t xml:space="preserve">region </w:t>
      </w:r>
      <w:r w:rsidRPr="00D56E3F">
        <w:t>are part of multipurpose water developments</w:t>
      </w:r>
      <w:r>
        <w:t xml:space="preserve"> where hydropower represents one of many services a reservoir must provide. Balancing the operating and policy complexities of providing multiple services (e.g., flood control, navigation, </w:t>
      </w:r>
      <w:r w:rsidRPr="00D56E3F">
        <w:t xml:space="preserve">irrigation, </w:t>
      </w:r>
      <w:r>
        <w:t>fish and wildlife protection, and</w:t>
      </w:r>
      <w:r w:rsidRPr="00D56E3F">
        <w:t xml:space="preserve"> municipal and industrial uses</w:t>
      </w:r>
      <w:r>
        <w:t>) remains a key objective for the federal dams in the BPA region.</w:t>
      </w:r>
      <w:r w:rsidRPr="005548F8">
        <w:t xml:space="preserve"> </w:t>
      </w:r>
      <w:r w:rsidRPr="00D56E3F">
        <w:t>B</w:t>
      </w:r>
      <w:r>
        <w:t>PA</w:t>
      </w:r>
      <w:r w:rsidRPr="00D56E3F">
        <w:t xml:space="preserve">, USACE, and Reclamation </w:t>
      </w:r>
      <w:r>
        <w:t>comprise the</w:t>
      </w:r>
      <w:r w:rsidRPr="00D56E3F">
        <w:t xml:space="preserve"> River Management Joint Operations Committee (RMJOC) </w:t>
      </w:r>
      <w:r>
        <w:t>tasked with</w:t>
      </w:r>
      <w:r w:rsidRPr="00D56E3F">
        <w:t xml:space="preserve"> long-term planning and operational decisions that affect the Columbia </w:t>
      </w:r>
      <w:r w:rsidR="00070BC5">
        <w:t xml:space="preserve">River </w:t>
      </w:r>
      <w:r w:rsidRPr="00D56E3F">
        <w:t xml:space="preserve">and Snake River </w:t>
      </w:r>
      <w:r w:rsidR="00070BC5" w:rsidRPr="00D56E3F">
        <w:t>basin</w:t>
      </w:r>
      <w:r w:rsidRPr="00D56E3F">
        <w:t>s.</w:t>
      </w:r>
    </w:p>
    <w:p w14:paraId="397952A6" w14:textId="290013AD" w:rsidR="00C505CA" w:rsidRDefault="003348C5" w:rsidP="003348C5">
      <w:pPr>
        <w:pStyle w:val="BodyText"/>
        <w:rPr>
          <w:rFonts w:eastAsia="PMingLiU"/>
          <w:lang w:eastAsia="zh-TW"/>
        </w:rPr>
      </w:pPr>
      <w:r>
        <w:t xml:space="preserve">Some management decisions in this area are subject to international considerations concerning the use of the Columbia River. Around 35% of the total runoff (as measured at The Dalles Dam) </w:t>
      </w:r>
      <w:r w:rsidRPr="00D56E3F">
        <w:t xml:space="preserve">flowing through the Columbia River originates in Canadian watersheds; therefore, the basin is managed as an international resource. </w:t>
      </w:r>
      <w:r>
        <w:t xml:space="preserve">The Columbia River Treaty coordination between Canada and </w:t>
      </w:r>
      <w:r w:rsidR="00A31BA0">
        <w:t>the United States</w:t>
      </w:r>
      <w:r>
        <w:t xml:space="preserve"> on power and flood control provides $100 million of annual mutual benefits across the Columbia River </w:t>
      </w:r>
      <w:r w:rsidR="00562609">
        <w:t>basin</w:t>
      </w:r>
      <w:r>
        <w:t xml:space="preserve"> (USACE and BPA 2009</w:t>
      </w:r>
      <w:r w:rsidR="00C505CA">
        <w:t>).</w:t>
      </w:r>
    </w:p>
    <w:p w14:paraId="09C2139B" w14:textId="47D4E3FE" w:rsidR="006D7516" w:rsidRDefault="00B96963" w:rsidP="006D7516">
      <w:pPr>
        <w:pStyle w:val="BodyText"/>
      </w:pPr>
      <w:r>
        <w:rPr>
          <w:lang w:eastAsia="zh-TW"/>
        </w:rPr>
        <w:t>In</w:t>
      </w:r>
      <w:r w:rsidR="000C3656">
        <w:rPr>
          <w:lang w:eastAsia="zh-TW"/>
        </w:rPr>
        <w:t xml:space="preserve"> this study, the entire BPA region </w:t>
      </w:r>
      <w:r w:rsidR="006D7516" w:rsidRPr="000C4880">
        <w:t xml:space="preserve">is subdivided into four </w:t>
      </w:r>
      <w:r w:rsidR="006D7516" w:rsidRPr="00882352">
        <w:rPr>
          <w:rFonts w:eastAsia="PMingLiU" w:hint="eastAsia"/>
          <w:lang w:eastAsia="zh-TW"/>
        </w:rPr>
        <w:t xml:space="preserve">study </w:t>
      </w:r>
      <w:r w:rsidR="006D7516" w:rsidRPr="000C4880">
        <w:t>areas</w:t>
      </w:r>
      <w:r w:rsidR="006D7516">
        <w:t xml:space="preserve"> based on power system and watershed boundaries</w:t>
      </w:r>
      <w:r w:rsidR="006D7516" w:rsidRPr="00882352">
        <w:rPr>
          <w:rFonts w:eastAsia="PMingLiU" w:hint="eastAsia"/>
          <w:lang w:eastAsia="zh-TW"/>
        </w:rPr>
        <w:t xml:space="preserve"> (</w:t>
      </w:r>
      <w:r w:rsidR="006D7516">
        <w:rPr>
          <w:rFonts w:eastAsia="PMingLiU"/>
          <w:lang w:eastAsia="zh-TW"/>
        </w:rPr>
        <w:fldChar w:fldCharType="begin"/>
      </w:r>
      <w:r w:rsidR="006D7516">
        <w:rPr>
          <w:rFonts w:eastAsia="PMingLiU"/>
          <w:lang w:eastAsia="zh-TW"/>
        </w:rPr>
        <w:instrText xml:space="preserve"> </w:instrText>
      </w:r>
      <w:r w:rsidR="006D7516">
        <w:rPr>
          <w:rFonts w:eastAsia="PMingLiU" w:hint="eastAsia"/>
          <w:lang w:eastAsia="zh-TW"/>
        </w:rPr>
        <w:instrText>REF _Ref425352621 \h</w:instrText>
      </w:r>
      <w:r w:rsidR="006D7516">
        <w:rPr>
          <w:rFonts w:eastAsia="PMingLiU"/>
          <w:lang w:eastAsia="zh-TW"/>
        </w:rPr>
        <w:instrText xml:space="preserve"> </w:instrText>
      </w:r>
      <w:r w:rsidR="006D7516">
        <w:rPr>
          <w:rFonts w:eastAsia="PMingLiU"/>
          <w:lang w:eastAsia="zh-TW"/>
        </w:rPr>
      </w:r>
      <w:r w:rsidR="006D7516">
        <w:rPr>
          <w:rFonts w:eastAsia="PMingLiU"/>
          <w:lang w:eastAsia="zh-TW"/>
        </w:rPr>
        <w:fldChar w:fldCharType="separate"/>
      </w:r>
      <w:r w:rsidR="00EE0BF5">
        <w:rPr>
          <w:lang w:eastAsia="zh-TW"/>
        </w:rPr>
        <w:t>Figure</w:t>
      </w:r>
      <w:r w:rsidR="00EE0BF5" w:rsidRPr="006869CA">
        <w:rPr>
          <w:lang w:eastAsia="zh-TW"/>
        </w:rPr>
        <w:t xml:space="preserve"> </w:t>
      </w:r>
      <w:r w:rsidR="00EE0BF5">
        <w:rPr>
          <w:noProof/>
          <w:lang w:eastAsia="zh-TW"/>
        </w:rPr>
        <w:t>3</w:t>
      </w:r>
      <w:r w:rsidR="00EE0BF5">
        <w:rPr>
          <w:lang w:eastAsia="zh-TW"/>
        </w:rPr>
        <w:t>.</w:t>
      </w:r>
      <w:r w:rsidR="00EE0BF5">
        <w:rPr>
          <w:noProof/>
          <w:lang w:eastAsia="zh-TW"/>
        </w:rPr>
        <w:t>1</w:t>
      </w:r>
      <w:r w:rsidR="006D7516">
        <w:rPr>
          <w:rFonts w:eastAsia="PMingLiU"/>
          <w:lang w:eastAsia="zh-TW"/>
        </w:rPr>
        <w:fldChar w:fldCharType="end"/>
      </w:r>
      <w:r w:rsidR="006D7516" w:rsidRPr="00882352">
        <w:rPr>
          <w:rFonts w:eastAsia="PMingLiU" w:hint="eastAsia"/>
          <w:lang w:eastAsia="zh-TW"/>
        </w:rPr>
        <w:t>)</w:t>
      </w:r>
      <w:r w:rsidR="006D7516" w:rsidRPr="000C4880">
        <w:t>:</w:t>
      </w:r>
    </w:p>
    <w:p w14:paraId="7576D4EE" w14:textId="79751DFB" w:rsidR="006D7516" w:rsidRPr="000C4880" w:rsidRDefault="006D7516" w:rsidP="002954B7">
      <w:pPr>
        <w:pStyle w:val="BulletListspace"/>
      </w:pPr>
      <w:r w:rsidRPr="000C3656">
        <w:rPr>
          <w:b/>
          <w:bCs/>
        </w:rPr>
        <w:t>BPA-1</w:t>
      </w:r>
      <w:r w:rsidRPr="000C3656">
        <w:rPr>
          <w:rFonts w:hint="eastAsia"/>
          <w:b/>
          <w:bCs/>
          <w:lang w:eastAsia="zh-TW"/>
        </w:rPr>
        <w:t xml:space="preserve"> Upper Columbia</w:t>
      </w:r>
      <w:r w:rsidRPr="000C4880">
        <w:t xml:space="preserve">: </w:t>
      </w:r>
      <w:r w:rsidR="003348C5" w:rsidRPr="00395EBB">
        <w:t>The Upper Columbia River system includes the main stem of the Columbia River and its tributaries</w:t>
      </w:r>
      <w:r w:rsidR="003348C5">
        <w:t>,</w:t>
      </w:r>
      <w:r w:rsidR="003348C5" w:rsidRPr="00395EBB">
        <w:t xml:space="preserve"> including Grand Coulee Dam. The total drainage area </w:t>
      </w:r>
      <w:r w:rsidR="003348C5" w:rsidRPr="00882352">
        <w:rPr>
          <w:rFonts w:eastAsia="PMingLiU" w:hint="eastAsia"/>
          <w:lang w:eastAsia="zh-TW"/>
        </w:rPr>
        <w:t>of</w:t>
      </w:r>
      <w:r w:rsidR="003348C5" w:rsidRPr="00395EBB">
        <w:t xml:space="preserve"> BPA-1 is 75,058 mi</w:t>
      </w:r>
      <w:r w:rsidR="003348C5" w:rsidRPr="00395EBB">
        <w:rPr>
          <w:vertAlign w:val="superscript"/>
        </w:rPr>
        <w:t>2</w:t>
      </w:r>
      <w:r w:rsidR="003348C5" w:rsidRPr="00395EBB">
        <w:t xml:space="preserve">, </w:t>
      </w:r>
      <w:r w:rsidR="00DE5248">
        <w:t>and 45%</w:t>
      </w:r>
      <w:r w:rsidR="003348C5">
        <w:t xml:space="preserve"> of this area </w:t>
      </w:r>
      <w:r w:rsidR="00DE5248">
        <w:t xml:space="preserve">is </w:t>
      </w:r>
      <w:r w:rsidR="003348C5" w:rsidRPr="00395EBB">
        <w:t>in Canada. The major tributaries where federal hydropower plants are located are the Pend Oreille</w:t>
      </w:r>
      <w:r w:rsidR="003348C5">
        <w:t xml:space="preserve"> and</w:t>
      </w:r>
      <w:r w:rsidR="003348C5" w:rsidRPr="00395EBB">
        <w:t xml:space="preserve"> Kootenai </w:t>
      </w:r>
      <w:r w:rsidR="003348C5">
        <w:t>R</w:t>
      </w:r>
      <w:r w:rsidR="003348C5" w:rsidRPr="00395EBB">
        <w:t>iver</w:t>
      </w:r>
      <w:r w:rsidR="003348C5">
        <w:t xml:space="preserve"> basin</w:t>
      </w:r>
      <w:r w:rsidR="003348C5" w:rsidRPr="00395EBB">
        <w:t>s. The watershed of this uppermost area is predominantly mountainous, with a median elevation of 4,600 ft</w:t>
      </w:r>
      <w:r w:rsidR="00D60955">
        <w:t>,</w:t>
      </w:r>
      <w:r w:rsidR="003348C5" w:rsidRPr="00395EBB">
        <w:t xml:space="preserve"> and maximum elevations exceed 11,000 ft in the Canadian Rockies. </w:t>
      </w:r>
      <w:r w:rsidR="00104738">
        <w:t>L</w:t>
      </w:r>
      <w:r w:rsidR="003348C5" w:rsidRPr="00395EBB">
        <w:t>and cover is evergreen (69%) and deciduous (13%) needle</w:t>
      </w:r>
      <w:r w:rsidR="003348C5">
        <w:t xml:space="preserve"> </w:t>
      </w:r>
      <w:r w:rsidR="003348C5" w:rsidRPr="00395EBB">
        <w:t>leaf forest</w:t>
      </w:r>
      <w:r w:rsidR="00104738">
        <w:t>,</w:t>
      </w:r>
      <w:r w:rsidR="003348C5" w:rsidRPr="00395EBB">
        <w:t xml:space="preserve"> with minor amounts of grasslands and mixed forests (6% each).</w:t>
      </w:r>
      <w:r w:rsidR="003348C5" w:rsidRPr="00AB0383">
        <w:t xml:space="preserve"> </w:t>
      </w:r>
      <w:r w:rsidR="003348C5">
        <w:t>Wa</w:t>
      </w:r>
      <w:r w:rsidR="003348C5" w:rsidRPr="00395EBB">
        <w:t>ter management</w:t>
      </w:r>
      <w:r w:rsidR="003348C5">
        <w:t xml:space="preserve"> in this study area</w:t>
      </w:r>
      <w:r w:rsidR="003348C5" w:rsidRPr="00395EBB">
        <w:t xml:space="preserve"> is </w:t>
      </w:r>
      <w:r w:rsidR="003348C5">
        <w:t xml:space="preserve">mainly </w:t>
      </w:r>
      <w:r w:rsidR="003348C5" w:rsidRPr="00395EBB">
        <w:t xml:space="preserve">controlled by </w:t>
      </w:r>
      <w:r w:rsidR="003348C5">
        <w:t xml:space="preserve">an </w:t>
      </w:r>
      <w:r w:rsidR="003348C5" w:rsidRPr="00395EBB">
        <w:t>international treaty</w:t>
      </w:r>
      <w:r w:rsidR="003348C5">
        <w:t xml:space="preserve"> with a smaller portion controlled </w:t>
      </w:r>
      <w:r w:rsidR="003348C5" w:rsidRPr="00E41A8A">
        <w:t xml:space="preserve">by US projects on the Pend Oreille, Kootenai, </w:t>
      </w:r>
      <w:r w:rsidR="003348C5" w:rsidRPr="0027718B">
        <w:t xml:space="preserve">Flathead, Kootenai, </w:t>
      </w:r>
      <w:r w:rsidR="003348C5">
        <w:t xml:space="preserve">and </w:t>
      </w:r>
      <w:r w:rsidR="003348C5" w:rsidRPr="00E41A8A">
        <w:t>Spokane</w:t>
      </w:r>
      <w:r w:rsidR="00EE7BAD">
        <w:t xml:space="preserve"> Rivers</w:t>
      </w:r>
      <w:r w:rsidR="000C3656" w:rsidRPr="00395EBB">
        <w:t>.</w:t>
      </w:r>
    </w:p>
    <w:p w14:paraId="6AD3B46E" w14:textId="22B0A369" w:rsidR="006D7516" w:rsidRPr="000C4880" w:rsidRDefault="006D7516" w:rsidP="002954B7">
      <w:pPr>
        <w:pStyle w:val="BulletListspace"/>
      </w:pPr>
      <w:r w:rsidRPr="000C3656">
        <w:rPr>
          <w:b/>
          <w:bCs/>
        </w:rPr>
        <w:t>BPA-2</w:t>
      </w:r>
      <w:r w:rsidRPr="000C3656">
        <w:rPr>
          <w:rFonts w:hint="eastAsia"/>
          <w:b/>
          <w:bCs/>
          <w:lang w:eastAsia="zh-TW"/>
        </w:rPr>
        <w:t xml:space="preserve"> Snake River</w:t>
      </w:r>
      <w:r w:rsidRPr="000C4880">
        <w:t xml:space="preserve">: </w:t>
      </w:r>
      <w:r w:rsidR="000C3656">
        <w:t>T</w:t>
      </w:r>
      <w:r w:rsidRPr="000C4880">
        <w:t xml:space="preserve">he Snake River </w:t>
      </w:r>
      <w:r w:rsidR="000C3656">
        <w:t xml:space="preserve">system is </w:t>
      </w:r>
      <w:r w:rsidR="000C3656" w:rsidRPr="00395EBB">
        <w:t xml:space="preserve">upstream of the Columbia–Snake confluence. The total drainage area </w:t>
      </w:r>
      <w:r w:rsidR="000C3656" w:rsidRPr="00882352">
        <w:rPr>
          <w:rFonts w:eastAsia="PMingLiU" w:hint="eastAsia"/>
          <w:lang w:eastAsia="zh-TW"/>
        </w:rPr>
        <w:t>of</w:t>
      </w:r>
      <w:r w:rsidR="000C3656" w:rsidRPr="00395EBB">
        <w:t xml:space="preserve"> BPA-2 is approximately 108,000 mi</w:t>
      </w:r>
      <w:r w:rsidR="000C3656" w:rsidRPr="00395EBB">
        <w:rPr>
          <w:vertAlign w:val="superscript"/>
        </w:rPr>
        <w:t>2</w:t>
      </w:r>
      <w:r w:rsidR="000C3656" w:rsidRPr="00395EBB">
        <w:t>, most of which is in Idaho. Federal hydropower plants are located on the main stem of the lower and upper Snake River, as well as on some of its major tributaries</w:t>
      </w:r>
      <w:r w:rsidR="000C3656">
        <w:t>—</w:t>
      </w:r>
      <w:r w:rsidR="000C3656" w:rsidRPr="00395EBB">
        <w:t xml:space="preserve">the Clearwater, Boise, and </w:t>
      </w:r>
      <w:r w:rsidR="000C3656" w:rsidRPr="00532C80">
        <w:t>Payette</w:t>
      </w:r>
      <w:r w:rsidR="000C3656">
        <w:t xml:space="preserve"> </w:t>
      </w:r>
      <w:r w:rsidR="000C3656" w:rsidRPr="00395EBB">
        <w:t xml:space="preserve">Rivers. Topography here is a mix of high plains and mountains, with a median elevation of 5,112 ft and </w:t>
      </w:r>
      <w:r w:rsidR="000C3656">
        <w:t xml:space="preserve">a </w:t>
      </w:r>
      <w:r w:rsidR="000C3656" w:rsidRPr="00395EBB">
        <w:t xml:space="preserve">maximum </w:t>
      </w:r>
      <w:r w:rsidR="00EE7BAD">
        <w:t xml:space="preserve">elevation higher than </w:t>
      </w:r>
      <w:r w:rsidR="000C3656" w:rsidRPr="00395EBB">
        <w:t xml:space="preserve">12,000 ft. </w:t>
      </w:r>
      <w:r w:rsidR="000C3656">
        <w:t>BPA-2 is a semi-arid area with relatively diverse l</w:t>
      </w:r>
      <w:r w:rsidR="000C3656" w:rsidRPr="00395EBB">
        <w:t>and cover</w:t>
      </w:r>
      <w:r w:rsidR="000C3656">
        <w:t>,</w:t>
      </w:r>
      <w:r w:rsidR="000C3656" w:rsidRPr="00395EBB">
        <w:t xml:space="preserve"> </w:t>
      </w:r>
      <w:r w:rsidR="000C3656">
        <w:t xml:space="preserve">including </w:t>
      </w:r>
      <w:r w:rsidR="000C3656" w:rsidRPr="00395EBB">
        <w:t>grassland</w:t>
      </w:r>
      <w:r w:rsidR="007F27B8">
        <w:t xml:space="preserve"> (</w:t>
      </w:r>
      <w:r w:rsidR="007F27B8" w:rsidRPr="00395EBB">
        <w:t>52%</w:t>
      </w:r>
      <w:r w:rsidR="007F27B8">
        <w:t>)</w:t>
      </w:r>
      <w:r w:rsidR="000C3656" w:rsidRPr="00395EBB">
        <w:t>, evergreen forest</w:t>
      </w:r>
      <w:r w:rsidR="007F27B8">
        <w:t xml:space="preserve"> (</w:t>
      </w:r>
      <w:r w:rsidR="007F27B8" w:rsidRPr="00395EBB">
        <w:t>27%</w:t>
      </w:r>
      <w:r w:rsidR="007F27B8">
        <w:t>)</w:t>
      </w:r>
      <w:r w:rsidR="000C3656" w:rsidRPr="00395EBB">
        <w:t>, cropland</w:t>
      </w:r>
      <w:r w:rsidR="007F27B8">
        <w:t xml:space="preserve"> (</w:t>
      </w:r>
      <w:r w:rsidR="007F27B8" w:rsidRPr="00395EBB">
        <w:t>12%</w:t>
      </w:r>
      <w:r w:rsidR="007F27B8">
        <w:t>)</w:t>
      </w:r>
      <w:r w:rsidR="000C3656" w:rsidRPr="00395EBB">
        <w:t>, and closed scrubland</w:t>
      </w:r>
      <w:r w:rsidR="007F27B8">
        <w:t xml:space="preserve"> (</w:t>
      </w:r>
      <w:r w:rsidR="007F27B8" w:rsidRPr="00395EBB">
        <w:t>9%</w:t>
      </w:r>
      <w:r w:rsidR="007F27B8">
        <w:t>)</w:t>
      </w:r>
      <w:r w:rsidR="000C3656" w:rsidRPr="00395EBB">
        <w:t>.</w:t>
      </w:r>
    </w:p>
    <w:p w14:paraId="56BDD778" w14:textId="16F57598" w:rsidR="006D7516" w:rsidRPr="000C4880" w:rsidRDefault="006D7516" w:rsidP="002954B7">
      <w:pPr>
        <w:pStyle w:val="BulletListspace"/>
      </w:pPr>
      <w:r w:rsidRPr="000C3656">
        <w:rPr>
          <w:b/>
          <w:bCs/>
        </w:rPr>
        <w:t>BPA-3</w:t>
      </w:r>
      <w:r w:rsidRPr="000C3656">
        <w:rPr>
          <w:rFonts w:hint="eastAsia"/>
          <w:b/>
          <w:bCs/>
          <w:lang w:eastAsia="zh-TW"/>
        </w:rPr>
        <w:t xml:space="preserve"> Mid-</w:t>
      </w:r>
      <w:r w:rsidR="00A31BA0" w:rsidRPr="000C3656">
        <w:rPr>
          <w:b/>
          <w:bCs/>
          <w:lang w:eastAsia="zh-TW"/>
        </w:rPr>
        <w:t xml:space="preserve">Lower </w:t>
      </w:r>
      <w:r w:rsidRPr="000C3656">
        <w:rPr>
          <w:rFonts w:hint="eastAsia"/>
          <w:b/>
          <w:bCs/>
          <w:lang w:eastAsia="zh-TW"/>
        </w:rPr>
        <w:t>Columbia</w:t>
      </w:r>
      <w:r w:rsidRPr="000C4880">
        <w:t xml:space="preserve">: </w:t>
      </w:r>
      <w:r w:rsidR="000C3656" w:rsidRPr="00395EBB">
        <w:t>The mid</w:t>
      </w:r>
      <w:r w:rsidR="00766BA5">
        <w:t>–</w:t>
      </w:r>
      <w:r w:rsidR="000C3656" w:rsidRPr="00395EBB">
        <w:t xml:space="preserve"> and lower</w:t>
      </w:r>
      <w:r w:rsidR="00766BA5">
        <w:t>–</w:t>
      </w:r>
      <w:r w:rsidR="000C3656" w:rsidRPr="00395EBB">
        <w:t xml:space="preserve">Columbia River </w:t>
      </w:r>
      <w:r w:rsidR="000C3656">
        <w:t xml:space="preserve">systems span </w:t>
      </w:r>
      <w:r w:rsidR="000C3656" w:rsidRPr="00395EBB">
        <w:t xml:space="preserve">from the most downstream federal hydropower plant, Bonneville Dam, up to the tailwater of Grand Coulee. The </w:t>
      </w:r>
      <w:r w:rsidR="000C3656">
        <w:t xml:space="preserve">total </w:t>
      </w:r>
      <w:r w:rsidR="000C3656" w:rsidRPr="00395EBB">
        <w:t>drainage area of BPA-3 is 242,199 mi</w:t>
      </w:r>
      <w:r w:rsidR="000C3656" w:rsidRPr="00395EBB">
        <w:rPr>
          <w:vertAlign w:val="superscript"/>
        </w:rPr>
        <w:t>2</w:t>
      </w:r>
      <w:r w:rsidR="000C3656" w:rsidRPr="00395EBB">
        <w:t xml:space="preserve"> </w:t>
      </w:r>
      <w:r w:rsidR="000C3656">
        <w:t>(</w:t>
      </w:r>
      <w:r w:rsidR="000C3656" w:rsidRPr="00395EBB">
        <w:t xml:space="preserve">including the </w:t>
      </w:r>
      <w:r w:rsidR="000C3656">
        <w:t xml:space="preserve">two upstream areas, </w:t>
      </w:r>
      <w:r w:rsidR="000C3656" w:rsidRPr="00395EBB">
        <w:t>BPA-1 and BPA-2</w:t>
      </w:r>
      <w:r w:rsidR="000C3656">
        <w:t>)</w:t>
      </w:r>
      <w:r w:rsidR="000C3656" w:rsidRPr="00395EBB">
        <w:t>. All federal hydropower projects in BPA-3 are on the main stem of the Columbia River. Topography in the watershed is a mix of high plains and mountains. Median elevation is 2,927 ft</w:t>
      </w:r>
      <w:r w:rsidR="000C3656">
        <w:t>,</w:t>
      </w:r>
      <w:r w:rsidR="000C3656" w:rsidRPr="00395EBB">
        <w:t xml:space="preserve"> and the highest </w:t>
      </w:r>
      <w:r w:rsidR="000C3656" w:rsidRPr="00395EBB">
        <w:lastRenderedPageBreak/>
        <w:t xml:space="preserve">elevations are upstream in other areas (BPA-1 and BPA-2). </w:t>
      </w:r>
      <w:r w:rsidR="000C3656">
        <w:t xml:space="preserve">BPA-3 is also a semi-arid area. </w:t>
      </w:r>
      <w:r w:rsidR="000C3656" w:rsidRPr="00395EBB">
        <w:t>Land cover in BPA-3 is closed scrubland</w:t>
      </w:r>
      <w:r w:rsidR="007F27B8">
        <w:t xml:space="preserve"> (</w:t>
      </w:r>
      <w:r w:rsidR="007F27B8" w:rsidRPr="00395EBB">
        <w:t>52%</w:t>
      </w:r>
      <w:r w:rsidR="007F27B8">
        <w:t>)</w:t>
      </w:r>
      <w:r w:rsidR="000C3656" w:rsidRPr="00395EBB">
        <w:t>, grasslands</w:t>
      </w:r>
      <w:r w:rsidR="007F27B8">
        <w:t xml:space="preserve"> (</w:t>
      </w:r>
      <w:r w:rsidR="007F27B8" w:rsidRPr="00395EBB">
        <w:t>38%</w:t>
      </w:r>
      <w:r w:rsidR="007F27B8">
        <w:t>)</w:t>
      </w:r>
      <w:r w:rsidR="000C3656" w:rsidRPr="00395EBB">
        <w:t>, cropland</w:t>
      </w:r>
      <w:r w:rsidR="007F27B8">
        <w:t xml:space="preserve"> (</w:t>
      </w:r>
      <w:r w:rsidR="007F27B8" w:rsidRPr="00395EBB">
        <w:t>14%</w:t>
      </w:r>
      <w:r w:rsidR="007F27B8">
        <w:t>)</w:t>
      </w:r>
      <w:r w:rsidR="000C3656" w:rsidRPr="00395EBB">
        <w:t>, and woody savanna</w:t>
      </w:r>
      <w:r w:rsidR="007F27B8">
        <w:t xml:space="preserve"> (</w:t>
      </w:r>
      <w:r w:rsidR="007F27B8" w:rsidRPr="00395EBB">
        <w:t>7%</w:t>
      </w:r>
      <w:r w:rsidR="007F27B8">
        <w:t>)</w:t>
      </w:r>
      <w:r w:rsidR="000C3656" w:rsidRPr="00395EBB">
        <w:t>.</w:t>
      </w:r>
    </w:p>
    <w:p w14:paraId="4C000C02" w14:textId="206EFF6F" w:rsidR="006D7516" w:rsidRDefault="006D7516" w:rsidP="002954B7">
      <w:pPr>
        <w:pStyle w:val="BulletListspace"/>
      </w:pPr>
      <w:r w:rsidRPr="000C3656">
        <w:rPr>
          <w:b/>
          <w:bCs/>
        </w:rPr>
        <w:t>BPA-4</w:t>
      </w:r>
      <w:r w:rsidRPr="000C3656">
        <w:rPr>
          <w:rFonts w:hint="eastAsia"/>
          <w:b/>
          <w:bCs/>
          <w:lang w:eastAsia="zh-TW"/>
        </w:rPr>
        <w:t xml:space="preserve"> Cascade Mountains</w:t>
      </w:r>
      <w:r w:rsidRPr="000C4880">
        <w:t xml:space="preserve">: </w:t>
      </w:r>
      <w:r w:rsidR="001C3AA2">
        <w:t xml:space="preserve">The </w:t>
      </w:r>
      <w:r w:rsidRPr="000C4880">
        <w:t>Cascade Mountain</w:t>
      </w:r>
      <w:r w:rsidR="007F27B8">
        <w:t>s</w:t>
      </w:r>
      <w:r w:rsidRPr="000C4880">
        <w:t xml:space="preserve"> projects </w:t>
      </w:r>
      <w:r w:rsidR="001C3AA2">
        <w:t xml:space="preserve">are located </w:t>
      </w:r>
      <w:r w:rsidRPr="000C4880">
        <w:t xml:space="preserve">in </w:t>
      </w:r>
      <w:r w:rsidR="001C3AA2" w:rsidRPr="00395EBB">
        <w:t xml:space="preserve">four separate watersheds on the western slope of the Cascade Mountains of Oregon. Two of these are in the Willamette River </w:t>
      </w:r>
      <w:r w:rsidR="003A449F" w:rsidRPr="00395EBB">
        <w:t>basin</w:t>
      </w:r>
      <w:r w:rsidR="001C3AA2">
        <w:t>,</w:t>
      </w:r>
      <w:r w:rsidR="001C3AA2" w:rsidRPr="00395EBB">
        <w:t xml:space="preserve"> and two are farther south on other coastal rivers. The aggregate median elevation of this area is 3,773</w:t>
      </w:r>
      <w:r w:rsidR="00EA125E">
        <w:t xml:space="preserve"> </w:t>
      </w:r>
      <w:r w:rsidR="001C3AA2" w:rsidRPr="00395EBB">
        <w:t>ft</w:t>
      </w:r>
      <w:r w:rsidR="001C3AA2">
        <w:t>,</w:t>
      </w:r>
      <w:r w:rsidR="001C3AA2" w:rsidRPr="00395EBB">
        <w:t xml:space="preserve"> and the maximum elevation in this part of the Cascade Range is 9,459 ft. Land cover is </w:t>
      </w:r>
      <w:r w:rsidR="007F27B8">
        <w:t xml:space="preserve">primarily </w:t>
      </w:r>
      <w:r w:rsidR="001C3AA2" w:rsidRPr="00395EBB">
        <w:t>evergreen needle</w:t>
      </w:r>
      <w:r w:rsidR="001C3AA2">
        <w:t xml:space="preserve"> </w:t>
      </w:r>
      <w:r w:rsidR="001C3AA2" w:rsidRPr="00395EBB">
        <w:t>leaf forest</w:t>
      </w:r>
      <w:r w:rsidR="007F27B8">
        <w:t xml:space="preserve"> (94%)</w:t>
      </w:r>
      <w:r w:rsidR="001C3AA2" w:rsidRPr="00395EBB">
        <w:t>.</w:t>
      </w:r>
    </w:p>
    <w:p w14:paraId="3DD0C4C6" w14:textId="2EFCB3DB" w:rsidR="006A3A0F" w:rsidRPr="006A3A0F" w:rsidRDefault="006A3A0F" w:rsidP="006A3A0F">
      <w:pPr>
        <w:pStyle w:val="Heading3"/>
      </w:pPr>
      <w:bookmarkStart w:id="254" w:name="_Ref95321389"/>
      <w:bookmarkStart w:id="255" w:name="_Toc113380800"/>
      <w:r w:rsidRPr="006A3A0F">
        <w:t xml:space="preserve">Power Marketing </w:t>
      </w:r>
      <w:r w:rsidR="00E0058B">
        <w:t>by</w:t>
      </w:r>
      <w:r w:rsidRPr="006A3A0F">
        <w:t xml:space="preserve"> </w:t>
      </w:r>
      <w:r w:rsidR="00A22DDD">
        <w:t>BPA</w:t>
      </w:r>
      <w:bookmarkEnd w:id="254"/>
      <w:bookmarkEnd w:id="255"/>
    </w:p>
    <w:p w14:paraId="0C4E6BA3" w14:textId="429D1A80" w:rsidR="00E876EE" w:rsidRDefault="00E876EE" w:rsidP="00093CC9">
      <w:pPr>
        <w:pStyle w:val="BodyText"/>
      </w:pPr>
      <w:r>
        <w:t>BPA was the first PMA, created by the Bonneville Project Act of 1937, and is the largest in terms of marketed hydropower capacity and annual generation. BPA markets the electricity from the 31 hydropower plants in the FCRPS and a nuclear plant. It also operates more than 15,000 mi of transmission lines―approximately 75% of the region</w:t>
      </w:r>
      <w:r w:rsidR="00805545">
        <w:t>’</w:t>
      </w:r>
      <w:r>
        <w:t>s high</w:t>
      </w:r>
      <w:r w:rsidR="004D0287">
        <w:t>-</w:t>
      </w:r>
      <w:r>
        <w:t>voltage transmission―and acts as a balancing authority (i.e., it is responsible for maintaining continuous balance between electricity load and generation in its region).</w:t>
      </w:r>
    </w:p>
    <w:p w14:paraId="4EF34FF4" w14:textId="77FE3EBE" w:rsidR="00E82EE8" w:rsidRDefault="00E82EE8" w:rsidP="00093CC9">
      <w:pPr>
        <w:pStyle w:val="BodyText"/>
      </w:pPr>
      <w:r>
        <w:t xml:space="preserve">A general description of a PMA and its marketing practices is presented in Section </w:t>
      </w:r>
      <w:r>
        <w:fldChar w:fldCharType="begin"/>
      </w:r>
      <w:r>
        <w:instrText xml:space="preserve"> REF _Ref425756051 \n \h </w:instrText>
      </w:r>
      <w:r>
        <w:fldChar w:fldCharType="separate"/>
      </w:r>
      <w:r w:rsidR="00EE0BF5">
        <w:t>1.2.2</w:t>
      </w:r>
      <w:r>
        <w:fldChar w:fldCharType="end"/>
      </w:r>
      <w:r>
        <w:t xml:space="preserve">. For BPA, several pieces of legislation over the past 50 years have resulted in substantial differences in its obligations and funding mechanism relative to the rest of PMAs. First, with the Columbia River Transmission System Act of 1974, BPA became a self-financing agency and was granted permanent Treasury borrowing authority. Self-financing meant that BPA would deposit its power and transmission sales revenue in a revolving fund (rather than the General Fund of the Treasury) and use </w:t>
      </w:r>
      <w:r w:rsidR="003B37AB">
        <w:t xml:space="preserve">this revenue </w:t>
      </w:r>
      <w:r>
        <w:t xml:space="preserve">directly to cover its </w:t>
      </w:r>
      <w:r w:rsidR="00E61334">
        <w:t>O&amp;M</w:t>
      </w:r>
      <w:r>
        <w:t xml:space="preserve"> expenses rather than receiving appropriations to cover its costs. The borrowing authority ceiling has been raised several times since 1974 and stands at $7.7 billion; BPA repays these loans with interest at market rates. Second, the Northwest Power Act of 1980 directed BPA to serve the net load requirements of its preference customers and gave it authority to purchase power from sources outside the FCRPS to meet that obligation</w:t>
      </w:r>
      <w:r w:rsidR="001E4DA1">
        <w:t>,</w:t>
      </w:r>
      <w:r>
        <w:t xml:space="preserve"> prioritizing energy efficiency and renewables to cover additional load growth.</w:t>
      </w:r>
      <w:r>
        <w:rPr>
          <w:rStyle w:val="FootnoteReference"/>
        </w:rPr>
        <w:footnoteReference w:id="14"/>
      </w:r>
      <w:r>
        <w:t xml:space="preserve"> It also directed BPA to implement a program to protect and enhance fish and wildlife in the Columbia River basin. Third, the Energy Policy Act of 1992 gave BPA authority to use power sales revenues for financing some power plant upgrades</w:t>
      </w:r>
      <w:r w:rsidR="00BE1B82">
        <w:t>,</w:t>
      </w:r>
      <w:r>
        <w:t xml:space="preserve"> </w:t>
      </w:r>
      <w:r w:rsidR="00BE1B82">
        <w:t xml:space="preserve">whereas </w:t>
      </w:r>
      <w:r>
        <w:t>the other PMAs depend on appropriations or funding from the preference customers.</w:t>
      </w:r>
    </w:p>
    <w:p w14:paraId="4F1F1EBE" w14:textId="2DE85B3B" w:rsidR="0013221F" w:rsidRDefault="00E82EE8" w:rsidP="00093CC9">
      <w:pPr>
        <w:pStyle w:val="BodyText"/>
      </w:pPr>
      <w:r>
        <w:t xml:space="preserve">As of </w:t>
      </w:r>
      <w:r w:rsidR="00B044F2">
        <w:t>2021</w:t>
      </w:r>
      <w:r>
        <w:t>, BPA had 142 customers</w:t>
      </w:r>
      <w:r w:rsidR="00A44BEA">
        <w:t>,</w:t>
      </w:r>
      <w:r>
        <w:t xml:space="preserve"> 124 </w:t>
      </w:r>
      <w:r w:rsidR="00A44BEA">
        <w:t xml:space="preserve">of which </w:t>
      </w:r>
      <w:r>
        <w:t xml:space="preserve">are cooperatives, municipalities, or public utility districts. The rest include federal agencies (7), </w:t>
      </w:r>
      <w:r w:rsidR="00E61334">
        <w:t>IOUs</w:t>
      </w:r>
      <w:r>
        <w:t xml:space="preserve"> (6), port districts (1), </w:t>
      </w:r>
      <w:r w:rsidR="0086316C">
        <w:t>DSIs</w:t>
      </w:r>
      <w:r w:rsidR="00BE3081">
        <w:t xml:space="preserve"> </w:t>
      </w:r>
      <w:r>
        <w:t>(1), and tribal utilities (3). The power sales contracts in place between BPA and its customers cover the period 2008–2028 and were the result of the Regional Dialogue Policy (Kao et al., 2016). Preference customers could choose among three products: load following, slice/block, and block. With the load</w:t>
      </w:r>
      <w:r w:rsidR="00DF431E">
        <w:t xml:space="preserve"> </w:t>
      </w:r>
      <w:r>
        <w:t xml:space="preserve">following product, the customer purchases firm power for all its net load (i.e., total retail load minus nonfederal firm resources owned by the customer) from BPA. The block product provides a planned amount of firm power </w:t>
      </w:r>
      <w:r w:rsidR="00B044F2">
        <w:t xml:space="preserve">in </w:t>
      </w:r>
      <w:r w:rsidR="00D560BD">
        <w:t>a</w:t>
      </w:r>
      <w:r w:rsidR="00B044F2">
        <w:t xml:space="preserve"> flat block</w:t>
      </w:r>
      <w:r w:rsidR="00D560BD">
        <w:t>, which</w:t>
      </w:r>
      <w:r w:rsidR="00B044F2">
        <w:t xml:space="preserve"> delivers an equal amount of power in all hours of the year, </w:t>
      </w:r>
      <w:r w:rsidR="00D560BD">
        <w:t>or a</w:t>
      </w:r>
      <w:r w:rsidR="00B044F2">
        <w:t xml:space="preserve"> shaped block</w:t>
      </w:r>
      <w:r w:rsidR="00D560BD">
        <w:t>, which</w:t>
      </w:r>
      <w:r w:rsidR="00B044F2">
        <w:t xml:space="preserve"> delivers different amounts each month based on the monthly shape of the customer</w:t>
      </w:r>
      <w:r w:rsidR="00805545">
        <w:t>’</w:t>
      </w:r>
      <w:r w:rsidR="00B044F2">
        <w:t>s retail load (there can also be some diurnal shaping with up to 60% of the energy provided during high load hours). The slice/block product combines a block of firm power that varies by month based on the monthly shape of the customer</w:t>
      </w:r>
      <w:r w:rsidR="00805545">
        <w:t>’</w:t>
      </w:r>
      <w:r w:rsidR="00B044F2">
        <w:t>s retail load (but is flat within the month) and a percentage (slice) of power in the shape of BPA</w:t>
      </w:r>
      <w:r w:rsidR="00805545">
        <w:t>’</w:t>
      </w:r>
      <w:r w:rsidR="00B044F2">
        <w:t xml:space="preserve">s generation from the FCRPS over the year. The slice portion </w:t>
      </w:r>
      <w:r w:rsidR="00D560BD">
        <w:t xml:space="preserve">varies </w:t>
      </w:r>
      <w:r w:rsidR="00B044F2">
        <w:t xml:space="preserve">depending on hydrologic </w:t>
      </w:r>
      <w:r w:rsidR="00B044F2">
        <w:lastRenderedPageBreak/>
        <w:t>conditions and operational constraints. As of 2021, out of BPA</w:t>
      </w:r>
      <w:r w:rsidR="00805545">
        <w:t>’</w:t>
      </w:r>
      <w:r w:rsidR="00B044F2">
        <w:t>s 135 customers with Regional Dialogue contracts, 119 were load-following customers, 13 were slice/block customers, and 3 were block customers.</w:t>
      </w:r>
      <w:r w:rsidR="00B044F2">
        <w:rPr>
          <w:rStyle w:val="FootnoteReference"/>
        </w:rPr>
        <w:footnoteReference w:id="15"/>
      </w:r>
    </w:p>
    <w:p w14:paraId="49569EE2" w14:textId="48910B6A" w:rsidR="00E82EE8" w:rsidRDefault="00E82EE8" w:rsidP="00093CC9">
      <w:pPr>
        <w:pStyle w:val="BodyText"/>
      </w:pPr>
      <w:r>
        <w:fldChar w:fldCharType="begin"/>
      </w:r>
      <w:r>
        <w:instrText xml:space="preserve"> REF _Ref72854138 \h </w:instrText>
      </w:r>
      <w:r>
        <w:fldChar w:fldCharType="separate"/>
      </w:r>
      <w:r w:rsidR="00EE0BF5" w:rsidRPr="004C5793">
        <w:rPr>
          <w:rFonts w:eastAsia="PMingLiU"/>
        </w:rPr>
        <w:t xml:space="preserve">Table </w:t>
      </w:r>
      <w:r w:rsidR="00EE0BF5">
        <w:rPr>
          <w:rFonts w:eastAsia="PMingLiU"/>
          <w:noProof/>
        </w:rPr>
        <w:t>3</w:t>
      </w:r>
      <w:r w:rsidR="00EE0BF5">
        <w:rPr>
          <w:rFonts w:eastAsia="PMingLiU"/>
        </w:rPr>
        <w:t>.</w:t>
      </w:r>
      <w:r w:rsidR="00EE0BF5">
        <w:rPr>
          <w:rFonts w:eastAsia="PMingLiU"/>
          <w:noProof/>
        </w:rPr>
        <w:t>2</w:t>
      </w:r>
      <w:r>
        <w:fldChar w:fldCharType="end"/>
      </w:r>
      <w:r>
        <w:t xml:space="preserve"> shows </w:t>
      </w:r>
      <w:r w:rsidR="00B044F2">
        <w:t>BPA power rates for FY</w:t>
      </w:r>
      <w:r w:rsidR="006F4EF4">
        <w:t> 20</w:t>
      </w:r>
      <w:r w:rsidR="00B044F2">
        <w:t>22 and FY</w:t>
      </w:r>
      <w:r w:rsidR="006F4EF4">
        <w:t> 20</w:t>
      </w:r>
      <w:r w:rsidR="00B044F2">
        <w:t xml:space="preserve">23. The Priority Firm rate is the rate paid by preference customers. The </w:t>
      </w:r>
      <w:r w:rsidR="001B0CF9">
        <w:t xml:space="preserve">tier </w:t>
      </w:r>
      <w:r w:rsidR="00B044F2">
        <w:t>1 rate corresponds to the cost of electricity generated by the Tier 1 system resources (i.e., the FCRPS)</w:t>
      </w:r>
      <w:r w:rsidR="001B0CF9">
        <w:t>,</w:t>
      </w:r>
      <w:r w:rsidR="00B044F2">
        <w:t xml:space="preserve"> and the </w:t>
      </w:r>
      <w:r w:rsidR="001B0CF9">
        <w:t xml:space="preserve">tier </w:t>
      </w:r>
      <w:r w:rsidR="00B044F2">
        <w:t>2 rate corresponds to other energy acquired by BPA to meet the rest of the load-following customers</w:t>
      </w:r>
      <w:r w:rsidR="00805545">
        <w:t>’</w:t>
      </w:r>
      <w:r w:rsidR="00B044F2">
        <w:t xml:space="preserve"> needs.</w:t>
      </w:r>
      <w:r w:rsidR="00B044F2">
        <w:rPr>
          <w:rStyle w:val="FootnoteReference"/>
        </w:rPr>
        <w:footnoteReference w:id="16"/>
      </w:r>
      <w:r w:rsidR="00B044F2">
        <w:t xml:space="preserve"> The exchange rate is the rate at which BPA sells power for </w:t>
      </w:r>
      <w:r w:rsidR="00FE07E3">
        <w:t>BPA</w:t>
      </w:r>
      <w:r w:rsidR="00805545">
        <w:t>’</w:t>
      </w:r>
      <w:r w:rsidR="00FE07E3">
        <w:t xml:space="preserve">s </w:t>
      </w:r>
      <w:r w:rsidR="00B044F2">
        <w:t xml:space="preserve">Residential Exchange </w:t>
      </w:r>
      <w:r w:rsidR="002335C7">
        <w:t>Program</w:t>
      </w:r>
      <w:r w:rsidR="00FB3E58">
        <w:t>. The Industrial Firm rate is available to large industrial customers that take energy directly from BPA to power their operations. The New Resource Firm rate applies to IOUs for loads that do not qualify under the Residential Exchange Program and to power requested by preference customers to serve any new large (&gt;10 MW) single load</w:t>
      </w:r>
      <w:r>
        <w:t>.</w:t>
      </w:r>
    </w:p>
    <w:p w14:paraId="57ECB607" w14:textId="630F4F5A" w:rsidR="001B0CF9" w:rsidRPr="004C5793" w:rsidRDefault="001B0CF9" w:rsidP="001B0CF9">
      <w:pPr>
        <w:pStyle w:val="TableCaption"/>
        <w:rPr>
          <w:rFonts w:eastAsia="PMingLiU"/>
        </w:rPr>
      </w:pPr>
      <w:bookmarkStart w:id="256" w:name="_Ref72854138"/>
      <w:bookmarkStart w:id="257" w:name="_Toc113380977"/>
      <w:r w:rsidRPr="004C5793">
        <w:rPr>
          <w:rFonts w:eastAsia="PMingLiU"/>
        </w:rPr>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3</w:t>
      </w:r>
      <w:r w:rsidRPr="004C5793">
        <w:rPr>
          <w:rFonts w:eastAsia="PMingLiU"/>
        </w:rPr>
        <w:fldChar w:fldCharType="end"/>
      </w:r>
      <w:r>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2</w:t>
      </w:r>
      <w:r w:rsidRPr="004C5793">
        <w:rPr>
          <w:rFonts w:eastAsia="PMingLiU"/>
        </w:rPr>
        <w:fldChar w:fldCharType="end"/>
      </w:r>
      <w:bookmarkEnd w:id="256"/>
      <w:r w:rsidRPr="004C5793">
        <w:rPr>
          <w:rFonts w:eastAsia="PMingLiU"/>
        </w:rPr>
        <w:t>.</w:t>
      </w:r>
      <w:r>
        <w:rPr>
          <w:rFonts w:eastAsia="PMingLiU"/>
        </w:rPr>
        <w:t xml:space="preserve"> BPA w</w:t>
      </w:r>
      <w:r w:rsidRPr="00C8348F">
        <w:rPr>
          <w:bCs/>
          <w:szCs w:val="20"/>
        </w:rPr>
        <w:t>holesale power rates (FY</w:t>
      </w:r>
      <w:r w:rsidR="006F4EF4">
        <w:t> 20</w:t>
      </w:r>
      <w:r w:rsidRPr="00C8348F">
        <w:rPr>
          <w:bCs/>
          <w:szCs w:val="20"/>
        </w:rPr>
        <w:t>2</w:t>
      </w:r>
      <w:r>
        <w:rPr>
          <w:bCs/>
          <w:szCs w:val="20"/>
        </w:rPr>
        <w:t>2</w:t>
      </w:r>
      <w:r w:rsidRPr="00C8348F">
        <w:rPr>
          <w:bCs/>
          <w:szCs w:val="20"/>
        </w:rPr>
        <w:t xml:space="preserve"> and FY</w:t>
      </w:r>
      <w:r w:rsidR="006F4EF4">
        <w:t> 20</w:t>
      </w:r>
      <w:r w:rsidRPr="00C8348F">
        <w:rPr>
          <w:bCs/>
          <w:szCs w:val="20"/>
        </w:rPr>
        <w:t>2</w:t>
      </w:r>
      <w:r>
        <w:rPr>
          <w:bCs/>
          <w:szCs w:val="20"/>
        </w:rPr>
        <w:t>3</w:t>
      </w:r>
      <w:r w:rsidRPr="00C8348F">
        <w:rPr>
          <w:bCs/>
          <w:szCs w:val="20"/>
        </w:rPr>
        <w:t>)</w:t>
      </w:r>
      <w:bookmarkEnd w:id="257"/>
    </w:p>
    <w:tbl>
      <w:tblPr>
        <w:tblStyle w:val="PlainTable2"/>
        <w:tblW w:w="6390" w:type="dxa"/>
        <w:jc w:val="center"/>
        <w:tblBorders>
          <w:top w:val="single" w:sz="4" w:space="0" w:color="auto"/>
          <w:bottom w:val="single" w:sz="4" w:space="0" w:color="auto"/>
          <w:insideH w:val="single" w:sz="4" w:space="0" w:color="auto"/>
        </w:tblBorders>
        <w:tblLayout w:type="fixed"/>
        <w:tblCellMar>
          <w:top w:w="29" w:type="dxa"/>
          <w:left w:w="58" w:type="dxa"/>
          <w:bottom w:w="29" w:type="dxa"/>
          <w:right w:w="58" w:type="dxa"/>
        </w:tblCellMar>
        <w:tblLook w:val="04A0" w:firstRow="1" w:lastRow="0" w:firstColumn="1" w:lastColumn="0" w:noHBand="0" w:noVBand="1"/>
      </w:tblPr>
      <w:tblGrid>
        <w:gridCol w:w="3780"/>
        <w:gridCol w:w="2610"/>
      </w:tblGrid>
      <w:tr w:rsidR="001B0CF9" w:rsidRPr="00386720" w14:paraId="21DFD0C5" w14:textId="77777777" w:rsidTr="00093C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0" w:type="dxa"/>
            <w:tcBorders>
              <w:top w:val="single" w:sz="12" w:space="0" w:color="auto"/>
              <w:bottom w:val="single" w:sz="12" w:space="0" w:color="auto"/>
            </w:tcBorders>
            <w:vAlign w:val="bottom"/>
          </w:tcPr>
          <w:p w14:paraId="2F1019AA" w14:textId="77777777" w:rsidR="001B0CF9" w:rsidRPr="00386720" w:rsidRDefault="001B0CF9" w:rsidP="00093CC9">
            <w:pPr>
              <w:keepNext/>
              <w:spacing w:before="0" w:after="0" w:line="240" w:lineRule="auto"/>
              <w:ind w:firstLine="0"/>
              <w:jc w:val="center"/>
              <w:rPr>
                <w:sz w:val="20"/>
                <w:szCs w:val="20"/>
              </w:rPr>
            </w:pPr>
            <w:r>
              <w:rPr>
                <w:sz w:val="20"/>
                <w:szCs w:val="20"/>
              </w:rPr>
              <w:t>Type</w:t>
            </w:r>
          </w:p>
        </w:tc>
        <w:tc>
          <w:tcPr>
            <w:tcW w:w="2610" w:type="dxa"/>
            <w:tcBorders>
              <w:top w:val="single" w:sz="12" w:space="0" w:color="auto"/>
              <w:bottom w:val="single" w:sz="12" w:space="0" w:color="auto"/>
            </w:tcBorders>
            <w:vAlign w:val="center"/>
          </w:tcPr>
          <w:p w14:paraId="17B5508C" w14:textId="0DDEAF19" w:rsidR="001B0CF9" w:rsidRPr="00386720" w:rsidRDefault="001B0CF9" w:rsidP="00093CC9">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386720">
              <w:rPr>
                <w:sz w:val="20"/>
                <w:szCs w:val="20"/>
              </w:rPr>
              <w:t xml:space="preserve">Average </w:t>
            </w:r>
            <w:r>
              <w:rPr>
                <w:sz w:val="20"/>
                <w:szCs w:val="20"/>
              </w:rPr>
              <w:t>r</w:t>
            </w:r>
            <w:r w:rsidRPr="00386720">
              <w:rPr>
                <w:sz w:val="20"/>
                <w:szCs w:val="20"/>
              </w:rPr>
              <w:t>ate ($/MWh)</w:t>
            </w:r>
          </w:p>
        </w:tc>
      </w:tr>
      <w:tr w:rsidR="001B0CF9" w:rsidRPr="00386720" w14:paraId="60763529" w14:textId="77777777" w:rsidTr="00093C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0" w:type="dxa"/>
            <w:tcBorders>
              <w:top w:val="single" w:sz="12" w:space="0" w:color="auto"/>
            </w:tcBorders>
            <w:vAlign w:val="bottom"/>
          </w:tcPr>
          <w:p w14:paraId="2258DB1A" w14:textId="36D70085" w:rsidR="001B0CF9" w:rsidRPr="00EB789E" w:rsidRDefault="001B0CF9" w:rsidP="00093CC9">
            <w:pPr>
              <w:keepNext/>
              <w:spacing w:before="0" w:after="0" w:line="240" w:lineRule="auto"/>
              <w:ind w:firstLine="0"/>
              <w:rPr>
                <w:b w:val="0"/>
                <w:bCs w:val="0"/>
                <w:sz w:val="20"/>
                <w:szCs w:val="20"/>
              </w:rPr>
            </w:pPr>
            <w:r w:rsidRPr="00EB789E">
              <w:rPr>
                <w:b w:val="0"/>
                <w:bCs w:val="0"/>
                <w:sz w:val="20"/>
                <w:szCs w:val="20"/>
              </w:rPr>
              <w:t>Priority Firm</w:t>
            </w:r>
            <w:r>
              <w:rPr>
                <w:b w:val="0"/>
                <w:bCs w:val="0"/>
                <w:sz w:val="20"/>
                <w:szCs w:val="20"/>
              </w:rPr>
              <w:t>:</w:t>
            </w:r>
            <w:r w:rsidRPr="00EB789E">
              <w:rPr>
                <w:b w:val="0"/>
                <w:bCs w:val="0"/>
                <w:sz w:val="20"/>
                <w:szCs w:val="20"/>
              </w:rPr>
              <w:t xml:space="preserve"> average tier 1 rate</w:t>
            </w:r>
          </w:p>
        </w:tc>
        <w:tc>
          <w:tcPr>
            <w:tcW w:w="2610" w:type="dxa"/>
            <w:tcBorders>
              <w:top w:val="single" w:sz="12" w:space="0" w:color="auto"/>
            </w:tcBorders>
            <w:vAlign w:val="center"/>
          </w:tcPr>
          <w:p w14:paraId="45DA3D80" w14:textId="77777777" w:rsidR="001B0CF9" w:rsidRPr="00386720" w:rsidRDefault="001B0CF9" w:rsidP="00093CC9">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86720">
              <w:rPr>
                <w:sz w:val="20"/>
                <w:szCs w:val="20"/>
              </w:rPr>
              <w:t>3</w:t>
            </w:r>
            <w:r>
              <w:rPr>
                <w:sz w:val="20"/>
                <w:szCs w:val="20"/>
              </w:rPr>
              <w:t>4.93</w:t>
            </w:r>
          </w:p>
        </w:tc>
      </w:tr>
      <w:tr w:rsidR="001B0CF9" w:rsidRPr="00386720" w14:paraId="75F124A3" w14:textId="77777777" w:rsidTr="00093CC9">
        <w:trPr>
          <w:jc w:val="center"/>
        </w:trPr>
        <w:tc>
          <w:tcPr>
            <w:cnfStyle w:val="001000000000" w:firstRow="0" w:lastRow="0" w:firstColumn="1" w:lastColumn="0" w:oddVBand="0" w:evenVBand="0" w:oddHBand="0" w:evenHBand="0" w:firstRowFirstColumn="0" w:firstRowLastColumn="0" w:lastRowFirstColumn="0" w:lastRowLastColumn="0"/>
            <w:tcW w:w="3780" w:type="dxa"/>
            <w:vAlign w:val="bottom"/>
          </w:tcPr>
          <w:p w14:paraId="31E241AF" w14:textId="74B9249F" w:rsidR="001B0CF9" w:rsidRPr="00EB789E" w:rsidRDefault="001B0CF9" w:rsidP="00093CC9">
            <w:pPr>
              <w:keepNext/>
              <w:spacing w:before="0" w:after="0" w:line="240" w:lineRule="auto"/>
              <w:ind w:firstLine="0"/>
              <w:rPr>
                <w:b w:val="0"/>
                <w:bCs w:val="0"/>
                <w:sz w:val="20"/>
                <w:szCs w:val="20"/>
              </w:rPr>
            </w:pPr>
            <w:r w:rsidRPr="00EB789E">
              <w:rPr>
                <w:b w:val="0"/>
                <w:bCs w:val="0"/>
                <w:sz w:val="20"/>
                <w:szCs w:val="20"/>
              </w:rPr>
              <w:t>Priority Firm</w:t>
            </w:r>
            <w:r>
              <w:rPr>
                <w:b w:val="0"/>
                <w:bCs w:val="0"/>
                <w:sz w:val="20"/>
                <w:szCs w:val="20"/>
              </w:rPr>
              <w:t>:</w:t>
            </w:r>
            <w:r w:rsidRPr="00EB789E">
              <w:rPr>
                <w:b w:val="0"/>
                <w:bCs w:val="0"/>
                <w:sz w:val="20"/>
                <w:szCs w:val="20"/>
              </w:rPr>
              <w:t xml:space="preserve"> average tier 1 + tier 2 rate</w:t>
            </w:r>
          </w:p>
        </w:tc>
        <w:tc>
          <w:tcPr>
            <w:tcW w:w="2610" w:type="dxa"/>
            <w:vAlign w:val="center"/>
          </w:tcPr>
          <w:p w14:paraId="4FFE9D9B" w14:textId="77777777" w:rsidR="001B0CF9" w:rsidRPr="00386720" w:rsidRDefault="001B0CF9" w:rsidP="00093CC9">
            <w:pPr>
              <w:keepNext/>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86720">
              <w:rPr>
                <w:sz w:val="20"/>
                <w:szCs w:val="20"/>
              </w:rPr>
              <w:t>3</w:t>
            </w:r>
            <w:r>
              <w:rPr>
                <w:sz w:val="20"/>
                <w:szCs w:val="20"/>
              </w:rPr>
              <w:t>4.87</w:t>
            </w:r>
          </w:p>
        </w:tc>
      </w:tr>
      <w:tr w:rsidR="001B0CF9" w:rsidRPr="00386720" w14:paraId="1ACF915D" w14:textId="77777777" w:rsidTr="00093C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0" w:type="dxa"/>
            <w:vAlign w:val="bottom"/>
          </w:tcPr>
          <w:p w14:paraId="3F177F8B" w14:textId="7544E99D" w:rsidR="001B0CF9" w:rsidRPr="00EB789E" w:rsidRDefault="001B0CF9" w:rsidP="00093CC9">
            <w:pPr>
              <w:keepNext/>
              <w:spacing w:before="0" w:after="0" w:line="240" w:lineRule="auto"/>
              <w:ind w:firstLine="0"/>
              <w:rPr>
                <w:b w:val="0"/>
                <w:bCs w:val="0"/>
                <w:sz w:val="20"/>
                <w:szCs w:val="20"/>
              </w:rPr>
            </w:pPr>
            <w:r w:rsidRPr="00EB789E">
              <w:rPr>
                <w:b w:val="0"/>
                <w:bCs w:val="0"/>
                <w:sz w:val="20"/>
                <w:szCs w:val="20"/>
              </w:rPr>
              <w:t>Priority Firm</w:t>
            </w:r>
            <w:r>
              <w:rPr>
                <w:b w:val="0"/>
                <w:bCs w:val="0"/>
                <w:sz w:val="20"/>
                <w:szCs w:val="20"/>
              </w:rPr>
              <w:t>:</w:t>
            </w:r>
            <w:r w:rsidRPr="00EB789E">
              <w:rPr>
                <w:b w:val="0"/>
                <w:bCs w:val="0"/>
                <w:sz w:val="20"/>
                <w:szCs w:val="20"/>
              </w:rPr>
              <w:t xml:space="preserve"> exchange rate</w:t>
            </w:r>
          </w:p>
        </w:tc>
        <w:tc>
          <w:tcPr>
            <w:tcW w:w="2610" w:type="dxa"/>
            <w:vAlign w:val="center"/>
          </w:tcPr>
          <w:p w14:paraId="0384DAEE" w14:textId="77777777" w:rsidR="001B0CF9" w:rsidRPr="00386720" w:rsidRDefault="001B0CF9" w:rsidP="00093CC9">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86720">
              <w:rPr>
                <w:sz w:val="20"/>
                <w:szCs w:val="20"/>
              </w:rPr>
              <w:t>6</w:t>
            </w:r>
            <w:r>
              <w:rPr>
                <w:sz w:val="20"/>
                <w:szCs w:val="20"/>
              </w:rPr>
              <w:t>2.00</w:t>
            </w:r>
          </w:p>
        </w:tc>
      </w:tr>
      <w:tr w:rsidR="001B0CF9" w:rsidRPr="00386720" w14:paraId="26287F24" w14:textId="77777777" w:rsidTr="00093CC9">
        <w:trPr>
          <w:jc w:val="center"/>
        </w:trPr>
        <w:tc>
          <w:tcPr>
            <w:cnfStyle w:val="001000000000" w:firstRow="0" w:lastRow="0" w:firstColumn="1" w:lastColumn="0" w:oddVBand="0" w:evenVBand="0" w:oddHBand="0" w:evenHBand="0" w:firstRowFirstColumn="0" w:firstRowLastColumn="0" w:lastRowFirstColumn="0" w:lastRowLastColumn="0"/>
            <w:tcW w:w="3780" w:type="dxa"/>
            <w:tcBorders>
              <w:bottom w:val="single" w:sz="4" w:space="0" w:color="auto"/>
            </w:tcBorders>
            <w:vAlign w:val="bottom"/>
          </w:tcPr>
          <w:p w14:paraId="28085967" w14:textId="5EEC4BE0" w:rsidR="001B0CF9" w:rsidRPr="00EB789E" w:rsidRDefault="001B0CF9" w:rsidP="00093CC9">
            <w:pPr>
              <w:keepNext/>
              <w:spacing w:before="0" w:after="0" w:line="240" w:lineRule="auto"/>
              <w:ind w:firstLine="0"/>
              <w:rPr>
                <w:b w:val="0"/>
                <w:bCs w:val="0"/>
                <w:sz w:val="20"/>
                <w:szCs w:val="20"/>
              </w:rPr>
            </w:pPr>
            <w:r w:rsidRPr="00EB789E">
              <w:rPr>
                <w:b w:val="0"/>
                <w:bCs w:val="0"/>
                <w:sz w:val="20"/>
                <w:szCs w:val="20"/>
              </w:rPr>
              <w:t>Industrial Firm</w:t>
            </w:r>
          </w:p>
        </w:tc>
        <w:tc>
          <w:tcPr>
            <w:tcW w:w="2610" w:type="dxa"/>
            <w:tcBorders>
              <w:bottom w:val="single" w:sz="4" w:space="0" w:color="auto"/>
            </w:tcBorders>
            <w:vAlign w:val="center"/>
          </w:tcPr>
          <w:p w14:paraId="635A9C3B" w14:textId="77777777" w:rsidR="001B0CF9" w:rsidRPr="00386720" w:rsidRDefault="001B0CF9" w:rsidP="00093CC9">
            <w:pPr>
              <w:keepNext/>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386720">
              <w:rPr>
                <w:sz w:val="20"/>
                <w:szCs w:val="20"/>
              </w:rPr>
              <w:t>4</w:t>
            </w:r>
            <w:r>
              <w:rPr>
                <w:sz w:val="20"/>
                <w:szCs w:val="20"/>
              </w:rPr>
              <w:t>0.69</w:t>
            </w:r>
          </w:p>
        </w:tc>
      </w:tr>
      <w:tr w:rsidR="001B0CF9" w:rsidRPr="00386720" w14:paraId="194559B2" w14:textId="77777777" w:rsidTr="00093C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0" w:type="dxa"/>
            <w:tcBorders>
              <w:bottom w:val="single" w:sz="12" w:space="0" w:color="auto"/>
            </w:tcBorders>
            <w:vAlign w:val="bottom"/>
          </w:tcPr>
          <w:p w14:paraId="7AA25DA5" w14:textId="762236A5" w:rsidR="001B0CF9" w:rsidRPr="00EB789E" w:rsidRDefault="001B0CF9" w:rsidP="00093CC9">
            <w:pPr>
              <w:spacing w:before="0" w:after="0" w:line="240" w:lineRule="auto"/>
              <w:ind w:firstLine="0"/>
              <w:rPr>
                <w:b w:val="0"/>
                <w:bCs w:val="0"/>
                <w:sz w:val="20"/>
                <w:szCs w:val="20"/>
              </w:rPr>
            </w:pPr>
            <w:r w:rsidRPr="00EB789E">
              <w:rPr>
                <w:b w:val="0"/>
                <w:bCs w:val="0"/>
                <w:sz w:val="20"/>
                <w:szCs w:val="20"/>
              </w:rPr>
              <w:t>New Resource Firm</w:t>
            </w:r>
          </w:p>
        </w:tc>
        <w:tc>
          <w:tcPr>
            <w:tcW w:w="2610" w:type="dxa"/>
            <w:tcBorders>
              <w:bottom w:val="single" w:sz="12" w:space="0" w:color="auto"/>
            </w:tcBorders>
            <w:vAlign w:val="center"/>
          </w:tcPr>
          <w:p w14:paraId="41EF6D6A" w14:textId="77777777" w:rsidR="001B0CF9" w:rsidRPr="00386720" w:rsidRDefault="001B0CF9" w:rsidP="00093CC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86720">
              <w:rPr>
                <w:sz w:val="20"/>
                <w:szCs w:val="20"/>
              </w:rPr>
              <w:t>7</w:t>
            </w:r>
            <w:r>
              <w:rPr>
                <w:sz w:val="20"/>
                <w:szCs w:val="20"/>
              </w:rPr>
              <w:t>8.84</w:t>
            </w:r>
          </w:p>
        </w:tc>
      </w:tr>
    </w:tbl>
    <w:p w14:paraId="7BF8F96E" w14:textId="77777777" w:rsidR="00093CC9" w:rsidRDefault="00093CC9" w:rsidP="00093CC9">
      <w:pPr>
        <w:pStyle w:val="BodyText"/>
      </w:pPr>
    </w:p>
    <w:p w14:paraId="1B1A2A75" w14:textId="383A105C" w:rsidR="00E82EE8" w:rsidRPr="00093CC9" w:rsidRDefault="00E82EE8" w:rsidP="00093CC9">
      <w:pPr>
        <w:pStyle w:val="BodyText"/>
      </w:pPr>
      <w:r>
        <w:t>Providing competitive power products and services is one of the four goals prioritized by BPA in its 2018–2023 Strategic Plan.</w:t>
      </w:r>
      <w:r>
        <w:rPr>
          <w:rStyle w:val="FootnoteReference"/>
        </w:rPr>
        <w:footnoteReference w:id="17"/>
      </w:r>
      <w:r>
        <w:t xml:space="preserve"> The plan recognizes that the historical cost advantage of federal power </w:t>
      </w:r>
      <w:r w:rsidR="008E03C3">
        <w:t>vs.</w:t>
      </w:r>
      <w:r>
        <w:t xml:space="preserve"> other sources in the Pacific Northwest has declined in recent years </w:t>
      </w:r>
      <w:r w:rsidR="002335C7">
        <w:t xml:space="preserve">because of </w:t>
      </w:r>
      <w:r>
        <w:t xml:space="preserve">a combination of low wholesale electricity prices and flat </w:t>
      </w:r>
      <w:r w:rsidRPr="00093CC9">
        <w:t>power demand. Managing the costs of the power program and the fish and wildlife program and pursuing additional revenue from new markets for clean capacity and flexibility are among the strategies pursued to ensure the continued competitiveness of BPA</w:t>
      </w:r>
      <w:r w:rsidR="00805545">
        <w:t>’</w:t>
      </w:r>
      <w:r w:rsidRPr="00093CC9">
        <w:t>s power products.</w:t>
      </w:r>
    </w:p>
    <w:p w14:paraId="3F975BE1" w14:textId="29B42962" w:rsidR="00B611B0" w:rsidRPr="00882352" w:rsidRDefault="00E876EE" w:rsidP="00093CC9">
      <w:pPr>
        <w:pStyle w:val="BodyText"/>
        <w:rPr>
          <w:lang w:eastAsia="zh-TW"/>
        </w:rPr>
      </w:pPr>
      <w:r w:rsidRPr="00093CC9">
        <w:t>In an effort to optimize the value of the FRCPS assets, BPA plans to join CAISO</w:t>
      </w:r>
      <w:r w:rsidR="00805545">
        <w:t>’</w:t>
      </w:r>
      <w:r w:rsidRPr="00093CC9">
        <w:t xml:space="preserve">s Western EIM in 2022. </w:t>
      </w:r>
      <w:r w:rsidR="0016341C" w:rsidRPr="00093CC9">
        <w:t xml:space="preserve">In the </w:t>
      </w:r>
      <w:r w:rsidRPr="00093CC9">
        <w:t>EIM</w:t>
      </w:r>
      <w:r w:rsidR="0016341C" w:rsidRPr="00093CC9">
        <w:t>,</w:t>
      </w:r>
      <w:r w:rsidRPr="00093CC9">
        <w:t xml:space="preserve"> dispatch decisions are made at 5-min intervals</w:t>
      </w:r>
      <w:r w:rsidR="00787AB3" w:rsidRPr="00093CC9">
        <w:t>,</w:t>
      </w:r>
      <w:r w:rsidRPr="00093CC9">
        <w:t xml:space="preserve"> providing more operational flexibility by helping manage transmission grid congestion. In addition, BPA</w:t>
      </w:r>
      <w:r w:rsidR="00805545">
        <w:t>’</w:t>
      </w:r>
      <w:r w:rsidRPr="00093CC9">
        <w:t xml:space="preserve">s hydropower would be compensated for balancing sub-hourly solar and wind </w:t>
      </w:r>
      <w:r w:rsidRPr="00E876EE">
        <w:t>power fluctuations or could be displaced by lower cost energy, saving valuable fuel for future hours. Additionally, BPA is supportive of CAISO</w:t>
      </w:r>
      <w:r w:rsidR="00805545">
        <w:t>’</w:t>
      </w:r>
      <w:r w:rsidRPr="00E876EE">
        <w:t xml:space="preserve">s ongoing efforts to establish an </w:t>
      </w:r>
      <w:r w:rsidR="00C4330F">
        <w:t>i</w:t>
      </w:r>
      <w:r w:rsidRPr="00E876EE">
        <w:t xml:space="preserve">mbalance </w:t>
      </w:r>
      <w:r w:rsidR="00C4330F">
        <w:t>r</w:t>
      </w:r>
      <w:r w:rsidRPr="00E876EE">
        <w:t xml:space="preserve">eserve </w:t>
      </w:r>
      <w:r w:rsidR="00C4330F">
        <w:t>p</w:t>
      </w:r>
      <w:r w:rsidRPr="00E876EE">
        <w:t xml:space="preserve">roduct in its day-ahead market horizon that will help to more efficiently and effectively commit units available to the CAISO balancing authority area to better </w:t>
      </w:r>
      <w:r w:rsidR="00C4330F">
        <w:t>en</w:t>
      </w:r>
      <w:r w:rsidRPr="00E876EE">
        <w:t>sure reliable market outcomes and integration of increasing amounts of variable energy resources. CAISO has recently reinitiated its Day-Ahead Market Enhancements policy initiative in which this product is being considered.</w:t>
      </w:r>
    </w:p>
    <w:p w14:paraId="5DD5105F" w14:textId="3BF43706" w:rsidR="006A3A0F" w:rsidRPr="00DE36AC" w:rsidRDefault="006A3A0F" w:rsidP="00AD0C1C">
      <w:pPr>
        <w:pStyle w:val="Heading2"/>
      </w:pPr>
      <w:bookmarkStart w:id="258" w:name="_Toc364409029"/>
      <w:bookmarkStart w:id="259" w:name="_Toc364412938"/>
      <w:bookmarkStart w:id="260" w:name="_Ref422463810"/>
      <w:bookmarkStart w:id="261" w:name="_Ref425756119"/>
      <w:bookmarkStart w:id="262" w:name="_Toc113380801"/>
      <w:r w:rsidRPr="00DE36AC">
        <w:lastRenderedPageBreak/>
        <w:t xml:space="preserve">Future Climate in </w:t>
      </w:r>
      <w:r w:rsidR="00E0058B">
        <w:t xml:space="preserve">the </w:t>
      </w:r>
      <w:bookmarkEnd w:id="258"/>
      <w:bookmarkEnd w:id="259"/>
      <w:bookmarkEnd w:id="260"/>
      <w:bookmarkEnd w:id="261"/>
      <w:r w:rsidR="001100CF">
        <w:t>BPA</w:t>
      </w:r>
      <w:r w:rsidR="00E0058B">
        <w:t xml:space="preserve"> Region</w:t>
      </w:r>
      <w:bookmarkEnd w:id="262"/>
    </w:p>
    <w:p w14:paraId="6706260C" w14:textId="77777777" w:rsidR="006A3A0F" w:rsidRPr="00DE36AC" w:rsidRDefault="006A3A0F" w:rsidP="00DE36AC">
      <w:pPr>
        <w:pStyle w:val="Heading3"/>
      </w:pPr>
      <w:bookmarkStart w:id="263" w:name="_Toc364409030"/>
      <w:bookmarkStart w:id="264" w:name="_Toc364412939"/>
      <w:bookmarkStart w:id="265" w:name="_Ref425756176"/>
      <w:bookmarkStart w:id="266" w:name="_Toc113380802"/>
      <w:r w:rsidRPr="00DE36AC">
        <w:t>Regional Climate Projections</w:t>
      </w:r>
      <w:bookmarkEnd w:id="263"/>
      <w:bookmarkEnd w:id="264"/>
      <w:bookmarkEnd w:id="265"/>
      <w:bookmarkEnd w:id="266"/>
    </w:p>
    <w:p w14:paraId="74150399" w14:textId="3AEE5D28" w:rsidR="008E7619" w:rsidRDefault="008E7619" w:rsidP="008E7619">
      <w:pPr>
        <w:pStyle w:val="BodyText"/>
      </w:pPr>
      <w:r>
        <w:t xml:space="preserve">The annual temperatures in the baseline (1980–2019) and future (2020–2059) </w:t>
      </w:r>
      <w:r w:rsidR="003B796D">
        <w:t xml:space="preserve">periods </w:t>
      </w:r>
      <w:r>
        <w:t>are presented in</w:t>
      </w:r>
      <w:r w:rsidR="00DA763C">
        <w:t xml:space="preserve"> </w:t>
      </w:r>
      <w:r w:rsidR="00DA763C">
        <w:fldChar w:fldCharType="begin"/>
      </w:r>
      <w:r w:rsidR="00DA763C">
        <w:instrText xml:space="preserve"> REF _Ref83536868 \h </w:instrText>
      </w:r>
      <w:r w:rsidR="00DA763C">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2</w:t>
      </w:r>
      <w:r w:rsidR="00DA763C">
        <w:fldChar w:fldCharType="end"/>
      </w:r>
      <w:r>
        <w:t>. The gray lines show the annual mean temperature from 24 sets of downscaled</w:t>
      </w:r>
      <w:r w:rsidR="000B583C">
        <w:t xml:space="preserve"> climate</w:t>
      </w:r>
      <w:r>
        <w:t xml:space="preserve"> projections, the black line represents the </w:t>
      </w:r>
      <w:r w:rsidR="005E23BA">
        <w:t>multimodel</w:t>
      </w:r>
      <w:r>
        <w:t xml:space="preserve"> median, and the blue and green lines show the Daymet and Livneh historical observations, respectively. These plots depict interannual variability and annual trends for projections</w:t>
      </w:r>
      <w:r w:rsidR="00897D74">
        <w:t>,</w:t>
      </w:r>
      <w:r>
        <w:t xml:space="preserve"> as well as the observations.</w:t>
      </w:r>
      <w:r>
        <w:rPr>
          <w:rStyle w:val="FootnoteReference"/>
        </w:rPr>
        <w:footnoteReference w:id="18"/>
      </w:r>
      <w:r>
        <w:t xml:space="preserve"> The climate models are not expected to replicate the exact timing of historical interannual and decadal variability. Therefore, they do not completely follow the historical interannual values. The corresponding probability distribution for the baseline and future periods are compared in the right panel. A two-sample </w:t>
      </w:r>
      <w:r w:rsidRPr="00AF2A55">
        <w:t>Kolmogorov</w:t>
      </w:r>
      <w:r>
        <w:t>-</w:t>
      </w:r>
      <w:r w:rsidRPr="00AF2A55">
        <w:t>Smirnov test</w:t>
      </w:r>
      <w:r>
        <w:t xml:space="preserve"> at the 5% significance level </w:t>
      </w:r>
      <w:r w:rsidR="00FD2EE1">
        <w:t xml:space="preserve">was </w:t>
      </w:r>
      <w:r>
        <w:t xml:space="preserve">used to determine </w:t>
      </w:r>
      <w:r w:rsidR="004E2674">
        <w:t xml:space="preserve">whether </w:t>
      </w:r>
      <w:r>
        <w:t>the difference between baseline and future periods is statistically significant.</w:t>
      </w:r>
    </w:p>
    <w:p w14:paraId="2A20676B" w14:textId="1D5DC2A2" w:rsidR="00534A27" w:rsidRDefault="00534A27" w:rsidP="00534A27">
      <w:pPr>
        <w:pStyle w:val="BodyText"/>
      </w:pPr>
      <w:r w:rsidRPr="00F61532">
        <w:t>In all four assessment areas (BPA-1</w:t>
      </w:r>
      <w:r>
        <w:t>–</w:t>
      </w:r>
      <w:r w:rsidRPr="00F61532">
        <w:t>4),</w:t>
      </w:r>
      <w:r>
        <w:t xml:space="preserve"> the ensemble model median captures the increasing trend in annual mean temperature from the observations during the historical period. However, there is a large variability across the ensemble members, which reflects the importance of using a multimodel ensemble approach. There are also differences in inter-annual variability between Livneh and Daymet observations, which may arise from different processing techniques used to generate these observations. These differences between</w:t>
      </w:r>
      <w:r w:rsidRPr="0045734B">
        <w:t xml:space="preserve"> Livneh </w:t>
      </w:r>
      <w:r>
        <w:t xml:space="preserve">and other observations </w:t>
      </w:r>
      <w:r w:rsidRPr="0045734B">
        <w:t xml:space="preserve">over the </w:t>
      </w:r>
      <w:r>
        <w:t>w</w:t>
      </w:r>
      <w:r w:rsidRPr="0045734B">
        <w:t>est</w:t>
      </w:r>
      <w:r>
        <w:t>ern–s</w:t>
      </w:r>
      <w:r w:rsidRPr="0045734B">
        <w:t>outhwest</w:t>
      </w:r>
      <w:r>
        <w:t>ern</w:t>
      </w:r>
      <w:r w:rsidRPr="0045734B">
        <w:t xml:space="preserve"> </w:t>
      </w:r>
      <w:r>
        <w:t>United States</w:t>
      </w:r>
      <w:r w:rsidRPr="0045734B" w:rsidDel="006C6778">
        <w:t xml:space="preserve"> </w:t>
      </w:r>
      <w:r>
        <w:t xml:space="preserve">have been discussed in detail by </w:t>
      </w:r>
      <w:r w:rsidRPr="00DE27BD">
        <w:t xml:space="preserve">Walton and Hall </w:t>
      </w:r>
      <w:r>
        <w:t>(</w:t>
      </w:r>
      <w:r w:rsidRPr="0045734B">
        <w:t>2018</w:t>
      </w:r>
      <w:r>
        <w:t>)</w:t>
      </w:r>
      <w:r w:rsidRPr="0045734B">
        <w:t>.</w:t>
      </w:r>
      <w:r>
        <w:t xml:space="preserve"> In the future period, annual mean temperature is projected to continue to increase across all the four areas. A comparison between the probability distributions for the multimodel mean annual temperature during the historical (black line) and future (purple line) periods also shows a statistically significant shift toward a warmer climate across all the BPA areas (</w:t>
      </w:r>
      <w:r>
        <w:fldChar w:fldCharType="begin"/>
      </w:r>
      <w:r>
        <w:instrText xml:space="preserve"> REF _Ref83536868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2</w:t>
      </w:r>
      <w:r>
        <w:fldChar w:fldCharType="end"/>
      </w:r>
      <w:r>
        <w:t>).</w:t>
      </w:r>
    </w:p>
    <w:p w14:paraId="16469573" w14:textId="6E584934" w:rsidR="00534A27" w:rsidRDefault="00534A27" w:rsidP="00534A27">
      <w:pPr>
        <w:pStyle w:val="BodyText"/>
        <w:rPr>
          <w:rFonts w:eastAsia="PMingLiU"/>
          <w:lang w:eastAsia="zh-TW"/>
        </w:rPr>
      </w:pPr>
      <w:r>
        <w:t xml:space="preserve">The annual and seasonal changes in temperature are further summarized in </w:t>
      </w:r>
      <w:r>
        <w:fldChar w:fldCharType="begin"/>
      </w:r>
      <w:r>
        <w:instrText xml:space="preserve"> REF _Ref421256382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3</w:t>
      </w:r>
      <w:r>
        <w:fldChar w:fldCharType="end"/>
      </w:r>
      <w:r>
        <w:t xml:space="preserve">. The change is presented as differences in temperature during the future periods (2020–2039 near-term and 2040–2059 mid-term) compared with the baseline period (1980–2019) in degrees Fahrenheit. </w:t>
      </w:r>
      <w:r w:rsidRPr="00882352">
        <w:rPr>
          <w:rFonts w:eastAsia="PMingLiU"/>
          <w:lang w:eastAsia="zh-TW"/>
        </w:rPr>
        <w:t xml:space="preserve">Each box plot shows the spread across </w:t>
      </w:r>
      <w:r>
        <w:rPr>
          <w:rFonts w:eastAsia="PMingLiU"/>
          <w:lang w:eastAsia="zh-TW"/>
        </w:rPr>
        <w:t>24 sets of downscaled climate projections; t</w:t>
      </w:r>
      <w:r w:rsidRPr="00882352">
        <w:rPr>
          <w:rFonts w:eastAsia="PMingLiU"/>
          <w:lang w:eastAsia="zh-TW"/>
        </w:rPr>
        <w:t>he central mark indicat</w:t>
      </w:r>
      <w:r>
        <w:rPr>
          <w:rFonts w:eastAsia="PMingLiU"/>
          <w:lang w:eastAsia="zh-TW"/>
        </w:rPr>
        <w:t>es</w:t>
      </w:r>
      <w:r w:rsidRPr="00882352">
        <w:rPr>
          <w:rFonts w:eastAsia="PMingLiU"/>
          <w:lang w:eastAsia="zh-TW"/>
        </w:rPr>
        <w:t xml:space="preserve"> the </w:t>
      </w:r>
      <w:r>
        <w:rPr>
          <w:rFonts w:eastAsia="PMingLiU"/>
          <w:lang w:eastAsia="zh-TW"/>
        </w:rPr>
        <w:t>multimodel</w:t>
      </w:r>
      <w:r w:rsidRPr="00882352">
        <w:rPr>
          <w:rFonts w:eastAsia="PMingLiU"/>
          <w:lang w:eastAsia="zh-TW"/>
        </w:rPr>
        <w:t xml:space="preserve"> median</w:t>
      </w:r>
      <w:r>
        <w:rPr>
          <w:rFonts w:eastAsia="PMingLiU"/>
          <w:lang w:eastAsia="zh-TW"/>
        </w:rPr>
        <w:t>, and</w:t>
      </w:r>
      <w:r w:rsidRPr="00882352">
        <w:rPr>
          <w:rFonts w:eastAsia="PMingLiU"/>
          <w:lang w:eastAsia="zh-TW"/>
        </w:rPr>
        <w:t xml:space="preserve"> the edges of </w:t>
      </w:r>
      <w:r>
        <w:rPr>
          <w:rFonts w:eastAsia="PMingLiU"/>
          <w:lang w:eastAsia="zh-TW"/>
        </w:rPr>
        <w:t xml:space="preserve">the </w:t>
      </w:r>
      <w:r w:rsidRPr="00882352">
        <w:rPr>
          <w:rFonts w:eastAsia="PMingLiU"/>
          <w:lang w:eastAsia="zh-TW"/>
        </w:rPr>
        <w:t>box indicat</w:t>
      </w:r>
      <w:r>
        <w:rPr>
          <w:rFonts w:eastAsia="PMingLiU"/>
          <w:lang w:eastAsia="zh-TW"/>
        </w:rPr>
        <w:t>e</w:t>
      </w:r>
      <w:r w:rsidRPr="00882352">
        <w:rPr>
          <w:rFonts w:eastAsia="PMingLiU"/>
          <w:lang w:eastAsia="zh-TW"/>
        </w:rPr>
        <w:t xml:space="preserve"> the </w:t>
      </w:r>
      <w:r>
        <w:rPr>
          <w:rFonts w:eastAsia="PMingLiU"/>
          <w:lang w:eastAsia="zh-TW"/>
        </w:rPr>
        <w:t>25</w:t>
      </w:r>
      <w:r w:rsidRPr="00FA458A">
        <w:rPr>
          <w:rFonts w:eastAsia="PMingLiU"/>
          <w:lang w:eastAsia="zh-TW"/>
        </w:rPr>
        <w:t>th</w:t>
      </w:r>
      <w:r w:rsidRPr="00882352">
        <w:rPr>
          <w:rFonts w:eastAsia="PMingLiU"/>
          <w:lang w:eastAsia="zh-TW"/>
        </w:rPr>
        <w:t xml:space="preserve"> and </w:t>
      </w:r>
      <w:r>
        <w:rPr>
          <w:rFonts w:eastAsia="PMingLiU"/>
          <w:lang w:eastAsia="zh-TW"/>
        </w:rPr>
        <w:t>75</w:t>
      </w:r>
      <w:r w:rsidRPr="00FA458A">
        <w:rPr>
          <w:rFonts w:eastAsia="PMingLiU"/>
          <w:lang w:eastAsia="zh-TW"/>
        </w:rPr>
        <w:t>th</w:t>
      </w:r>
      <w:r w:rsidRPr="00882352">
        <w:rPr>
          <w:rFonts w:eastAsia="PMingLiU"/>
          <w:lang w:eastAsia="zh-TW"/>
        </w:rPr>
        <w:t xml:space="preserve"> percentiles.</w:t>
      </w:r>
      <w:r>
        <w:rPr>
          <w:rFonts w:eastAsia="PMingLiU"/>
          <w:lang w:eastAsia="zh-TW"/>
        </w:rPr>
        <w:t xml:space="preserve"> The maximum </w:t>
      </w:r>
      <w:r w:rsidRPr="00726701">
        <w:rPr>
          <w:rFonts w:eastAsia="PMingLiU"/>
          <w:lang w:eastAsia="zh-TW"/>
        </w:rPr>
        <w:t>whisker length</w:t>
      </w:r>
      <w:r>
        <w:rPr>
          <w:rFonts w:eastAsia="PMingLiU"/>
          <w:lang w:eastAsia="zh-TW"/>
        </w:rPr>
        <w:t xml:space="preserve"> is 1.5 times the box height (25</w:t>
      </w:r>
      <w:r w:rsidRPr="00FA458A">
        <w:rPr>
          <w:rFonts w:eastAsia="PMingLiU"/>
          <w:lang w:eastAsia="zh-TW"/>
        </w:rPr>
        <w:t>th</w:t>
      </w:r>
      <w:r>
        <w:rPr>
          <w:rFonts w:eastAsia="PMingLiU"/>
          <w:lang w:eastAsia="zh-TW"/>
        </w:rPr>
        <w:t xml:space="preserve"> to the 75</w:t>
      </w:r>
      <w:r w:rsidRPr="00FA458A">
        <w:rPr>
          <w:rFonts w:eastAsia="PMingLiU"/>
          <w:lang w:eastAsia="zh-TW"/>
        </w:rPr>
        <w:t>th</w:t>
      </w:r>
      <w:r w:rsidRPr="00AE42EB">
        <w:rPr>
          <w:rFonts w:eastAsia="PMingLiU"/>
          <w:lang w:eastAsia="zh-TW"/>
        </w:rPr>
        <w:t xml:space="preserve"> </w:t>
      </w:r>
      <w:r w:rsidRPr="004C111D">
        <w:rPr>
          <w:rFonts w:eastAsia="PMingLiU"/>
          <w:lang w:eastAsia="zh-TW"/>
        </w:rPr>
        <w:t>percentile</w:t>
      </w:r>
      <w:r>
        <w:rPr>
          <w:rFonts w:eastAsia="PMingLiU"/>
          <w:lang w:eastAsia="zh-TW"/>
        </w:rPr>
        <w:t>). Ensemble members outside of the maximum whisker length denoted by x are considered statistical outliers (but should not be excluded in the context of climate change).</w:t>
      </w:r>
    </w:p>
    <w:p w14:paraId="40C425DD" w14:textId="77777777" w:rsidR="00534A27" w:rsidRDefault="00534A27" w:rsidP="00534A27">
      <w:pPr>
        <w:pStyle w:val="BodyText"/>
      </w:pPr>
      <w:r>
        <w:rPr>
          <w:rFonts w:eastAsia="PMingLiU"/>
          <w:lang w:eastAsia="zh-TW"/>
        </w:rPr>
        <w:t xml:space="preserve">Annual and seasonal temperature is projected to increase across all ensemble members during the near-term and mid-term future periods. A relatively large increase is projected during the mid-term future period. </w:t>
      </w:r>
      <w:r>
        <w:t>The multimodel</w:t>
      </w:r>
      <w:r w:rsidRPr="00F61532">
        <w:t xml:space="preserve"> median annual temperature </w:t>
      </w:r>
      <w:r>
        <w:t>in the BPA region</w:t>
      </w:r>
      <w:r w:rsidRPr="00F61532">
        <w:t xml:space="preserve"> is projected to increase by</w:t>
      </w:r>
      <w:r>
        <w:t xml:space="preserve"> approximately </w:t>
      </w:r>
      <w:r w:rsidRPr="000D27C0">
        <w:t>1.5</w:t>
      </w:r>
      <w:r>
        <w:t>°F</w:t>
      </w:r>
      <w:r w:rsidRPr="000D27C0">
        <w:t xml:space="preserve"> to 3</w:t>
      </w:r>
      <w:r>
        <w:t>°F</w:t>
      </w:r>
      <w:r w:rsidRPr="0022368C">
        <w:t xml:space="preserve"> in the</w:t>
      </w:r>
      <w:r>
        <w:t xml:space="preserve"> near-term and up</w:t>
      </w:r>
      <w:r w:rsidRPr="000D27C0">
        <w:t xml:space="preserve"> to </w:t>
      </w:r>
      <w:r>
        <w:t>5.5°F</w:t>
      </w:r>
      <w:r w:rsidRPr="0022368C">
        <w:t xml:space="preserve"> in</w:t>
      </w:r>
      <w:r>
        <w:t xml:space="preserve"> the mid-term future periods. The highest median increase is projected during the summer and fall seasons </w:t>
      </w:r>
      <w:r w:rsidRPr="0022368C">
        <w:t>(</w:t>
      </w:r>
      <w:r w:rsidRPr="000D27C0">
        <w:t>up to ~</w:t>
      </w:r>
      <w:r>
        <w:t>5.5°F for the mid-term) across the four areas, whereas the winter and spring show a comparatively lower increase (</w:t>
      </w:r>
      <w:r w:rsidRPr="0022368C">
        <w:t xml:space="preserve">up to </w:t>
      </w:r>
      <w:r w:rsidRPr="000D27C0">
        <w:t>~</w:t>
      </w:r>
      <w:r>
        <w:t>4°F</w:t>
      </w:r>
      <w:r w:rsidRPr="0022368C">
        <w:t xml:space="preserve"> in</w:t>
      </w:r>
      <w:r>
        <w:t xml:space="preserve"> the mid-term) over all areas except BPA-2, where an increase of up </w:t>
      </w:r>
      <w:r w:rsidRPr="000D27C0">
        <w:t>to ~</w:t>
      </w:r>
      <w:r>
        <w:t>5°F is shown</w:t>
      </w:r>
      <w:r w:rsidRPr="0022368C">
        <w:t>.</w:t>
      </w:r>
    </w:p>
    <w:p w14:paraId="7AA514EB" w14:textId="34609E7C" w:rsidR="00534A27" w:rsidRDefault="00B557AD" w:rsidP="008E7619">
      <w:pPr>
        <w:pStyle w:val="BodyText"/>
      </w:pPr>
      <w:r>
        <w:t>The annual precipitation (</w:t>
      </w:r>
      <w:r>
        <w:fldChar w:fldCharType="begin"/>
      </w:r>
      <w:r>
        <w:instrText xml:space="preserve"> REF _Ref72832251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4</w:t>
      </w:r>
      <w:r>
        <w:fldChar w:fldCharType="end"/>
      </w:r>
      <w:r>
        <w:t xml:space="preserve">) also shows high interannual and intermodel variability. A comparison of the probability distribution between the baseline and future periods indicates a statistically significant increase in precipitation across all four BPA areas. </w:t>
      </w:r>
      <w:r w:rsidRPr="00984578">
        <w:rPr>
          <w:lang w:eastAsia="zh-TW"/>
        </w:rPr>
        <w:t xml:space="preserve">The annual and seasonal changes of </w:t>
      </w:r>
      <w:r w:rsidRPr="00984578">
        <w:rPr>
          <w:lang w:eastAsia="zh-TW"/>
        </w:rPr>
        <w:lastRenderedPageBreak/>
        <w:t xml:space="preserve">precipitation are summarized in </w:t>
      </w:r>
      <w:r>
        <w:rPr>
          <w:lang w:eastAsia="zh-TW"/>
        </w:rPr>
        <w:fldChar w:fldCharType="begin"/>
      </w:r>
      <w:r>
        <w:rPr>
          <w:lang w:eastAsia="zh-TW"/>
        </w:rPr>
        <w:instrText xml:space="preserve"> REF _Ref72832208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5</w:t>
      </w:r>
      <w:r>
        <w:rPr>
          <w:lang w:eastAsia="zh-TW"/>
        </w:rPr>
        <w:fldChar w:fldCharType="end"/>
      </w:r>
      <w:r w:rsidRPr="00984578">
        <w:t>.</w:t>
      </w:r>
      <w:r>
        <w:t xml:space="preserve"> In the near-term (2020–2039) and mid-term (2040–2059) future periods, the ensemble median precipitation is projected to increase annually.</w:t>
      </w:r>
    </w:p>
    <w:p w14:paraId="6DB19024" w14:textId="77777777" w:rsidR="00093CC9" w:rsidRDefault="007011A1" w:rsidP="00093CC9">
      <w:pPr>
        <w:pStyle w:val="FIGUREposition"/>
      </w:pPr>
      <w:r>
        <w:rPr>
          <w:noProof/>
        </w:rPr>
        <w:drawing>
          <wp:inline distT="0" distB="0" distL="0" distR="0" wp14:anchorId="158207E4" wp14:editId="1F391015">
            <wp:extent cx="5394960" cy="1798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4"/>
                    <a:stretch>
                      <a:fillRect/>
                    </a:stretch>
                  </pic:blipFill>
                  <pic:spPr bwMode="auto">
                    <a:xfrm>
                      <a:off x="0" y="0"/>
                      <a:ext cx="5394960" cy="1798320"/>
                    </a:xfrm>
                    <a:prstGeom prst="rect">
                      <a:avLst/>
                    </a:prstGeom>
                    <a:noFill/>
                    <a:ln>
                      <a:noFill/>
                    </a:ln>
                  </pic:spPr>
                </pic:pic>
              </a:graphicData>
            </a:graphic>
          </wp:inline>
        </w:drawing>
      </w:r>
    </w:p>
    <w:p w14:paraId="516A94E7" w14:textId="77777777" w:rsidR="00093CC9" w:rsidRDefault="007011A1" w:rsidP="00093CC9">
      <w:pPr>
        <w:pStyle w:val="FIGUREposition"/>
      </w:pPr>
      <w:r>
        <w:rPr>
          <w:noProof/>
        </w:rPr>
        <w:drawing>
          <wp:inline distT="0" distB="0" distL="0" distR="0" wp14:anchorId="0BFC5F83" wp14:editId="6B2AAB33">
            <wp:extent cx="5394960"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75"/>
                    <a:stretch>
                      <a:fillRect/>
                    </a:stretch>
                  </pic:blipFill>
                  <pic:spPr bwMode="auto">
                    <a:xfrm>
                      <a:off x="0" y="0"/>
                      <a:ext cx="5394960" cy="1798320"/>
                    </a:xfrm>
                    <a:prstGeom prst="rect">
                      <a:avLst/>
                    </a:prstGeom>
                    <a:noFill/>
                    <a:ln>
                      <a:noFill/>
                    </a:ln>
                  </pic:spPr>
                </pic:pic>
              </a:graphicData>
            </a:graphic>
          </wp:inline>
        </w:drawing>
      </w:r>
    </w:p>
    <w:p w14:paraId="104EE447" w14:textId="77777777" w:rsidR="00093CC9" w:rsidRDefault="007011A1" w:rsidP="00093CC9">
      <w:pPr>
        <w:pStyle w:val="FIGUREposition"/>
      </w:pPr>
      <w:r>
        <w:rPr>
          <w:noProof/>
        </w:rPr>
        <w:drawing>
          <wp:inline distT="0" distB="0" distL="0" distR="0" wp14:anchorId="5D5165E2" wp14:editId="5EF6BEDC">
            <wp:extent cx="5394960" cy="1798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76"/>
                    <a:stretch>
                      <a:fillRect/>
                    </a:stretch>
                  </pic:blipFill>
                  <pic:spPr bwMode="auto">
                    <a:xfrm>
                      <a:off x="0" y="0"/>
                      <a:ext cx="5394960" cy="1798320"/>
                    </a:xfrm>
                    <a:prstGeom prst="rect">
                      <a:avLst/>
                    </a:prstGeom>
                    <a:noFill/>
                    <a:ln>
                      <a:noFill/>
                    </a:ln>
                  </pic:spPr>
                </pic:pic>
              </a:graphicData>
            </a:graphic>
          </wp:inline>
        </w:drawing>
      </w:r>
    </w:p>
    <w:p w14:paraId="24889BCC" w14:textId="00DF4461" w:rsidR="007011A1" w:rsidRDefault="007011A1" w:rsidP="00093CC9">
      <w:pPr>
        <w:pStyle w:val="FIGUREposition"/>
      </w:pPr>
      <w:r>
        <w:rPr>
          <w:noProof/>
        </w:rPr>
        <w:drawing>
          <wp:inline distT="0" distB="0" distL="0" distR="0" wp14:anchorId="2398A288" wp14:editId="3B04D729">
            <wp:extent cx="5394960" cy="1798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7"/>
                    <a:stretch>
                      <a:fillRect/>
                    </a:stretch>
                  </pic:blipFill>
                  <pic:spPr bwMode="auto">
                    <a:xfrm>
                      <a:off x="0" y="0"/>
                      <a:ext cx="5394960" cy="1798320"/>
                    </a:xfrm>
                    <a:prstGeom prst="rect">
                      <a:avLst/>
                    </a:prstGeom>
                    <a:noFill/>
                    <a:ln>
                      <a:noFill/>
                    </a:ln>
                  </pic:spPr>
                </pic:pic>
              </a:graphicData>
            </a:graphic>
          </wp:inline>
        </w:drawing>
      </w:r>
    </w:p>
    <w:p w14:paraId="27CD9962" w14:textId="79C4586F" w:rsidR="007011A1" w:rsidRDefault="007011A1" w:rsidP="00093CC9">
      <w:pPr>
        <w:pStyle w:val="FigureCaption"/>
        <w:rPr>
          <w:b w:val="0"/>
        </w:rPr>
      </w:pPr>
      <w:bookmarkStart w:id="267" w:name="_Ref83536868"/>
      <w:bookmarkStart w:id="268" w:name="_Toc113380890"/>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2</w:t>
      </w:r>
      <w:r w:rsidRPr="00F61532">
        <w:rPr>
          <w:lang w:eastAsia="zh-TW"/>
        </w:rPr>
        <w:fldChar w:fldCharType="end"/>
      </w:r>
      <w:bookmarkEnd w:id="267"/>
      <w:r w:rsidRPr="00F61532">
        <w:rPr>
          <w:lang w:eastAsia="zh-TW"/>
        </w:rPr>
        <w:t xml:space="preserve">. Projected annual mean temperature in </w:t>
      </w:r>
      <w:r>
        <w:rPr>
          <w:lang w:eastAsia="zh-TW"/>
        </w:rPr>
        <w:t>the BPA region.</w:t>
      </w:r>
      <w:bookmarkEnd w:id="268"/>
    </w:p>
    <w:p w14:paraId="0D8AA0BE" w14:textId="77777777" w:rsidR="00093CC9" w:rsidRDefault="008D3258" w:rsidP="00093CC9">
      <w:pPr>
        <w:pStyle w:val="FIGUREposition"/>
      </w:pPr>
      <w:r>
        <w:rPr>
          <w:noProof/>
        </w:rPr>
        <w:lastRenderedPageBreak/>
        <w:drawing>
          <wp:inline distT="0" distB="0" distL="0" distR="0" wp14:anchorId="5DB79907" wp14:editId="252C48CA">
            <wp:extent cx="2743200" cy="18288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09B4610" wp14:editId="31A0940F">
            <wp:extent cx="2743200" cy="18288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74A6FD31" w14:textId="660FF72F" w:rsidR="008D3258" w:rsidRDefault="008D3258" w:rsidP="00093CC9">
      <w:pPr>
        <w:pStyle w:val="FIGUREposition"/>
      </w:pPr>
      <w:r>
        <w:rPr>
          <w:noProof/>
        </w:rPr>
        <w:drawing>
          <wp:inline distT="0" distB="0" distL="0" distR="0" wp14:anchorId="5859AA9D" wp14:editId="0243890F">
            <wp:extent cx="2743200" cy="18288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5B4DC924" wp14:editId="0A9BFC2E">
            <wp:extent cx="2743200" cy="182880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0AD1BEC8" w14:textId="72433354" w:rsidR="008D3258" w:rsidRPr="00F61532" w:rsidRDefault="003F6C94" w:rsidP="008D3258">
      <w:pPr>
        <w:pStyle w:val="FigureCaption"/>
        <w:rPr>
          <w:b w:val="0"/>
        </w:rPr>
      </w:pPr>
      <w:bookmarkStart w:id="269" w:name="_Ref421256382"/>
      <w:bookmarkStart w:id="270" w:name="_Toc436744734"/>
      <w:bookmarkStart w:id="271" w:name="_Toc113380891"/>
      <w:r>
        <w:rPr>
          <w:lang w:eastAsia="zh-TW"/>
        </w:rPr>
        <w:t>Figure</w:t>
      </w:r>
      <w:r w:rsidR="008D3258" w:rsidRPr="00F61532">
        <w:rPr>
          <w:lang w:eastAsia="zh-TW"/>
        </w:rPr>
        <w:t xml:space="preserve"> </w:t>
      </w:r>
      <w:r w:rsidR="008D3258" w:rsidRPr="00F61532">
        <w:rPr>
          <w:lang w:eastAsia="zh-TW"/>
        </w:rPr>
        <w:fldChar w:fldCharType="begin"/>
      </w:r>
      <w:r w:rsidR="008D3258" w:rsidRPr="00F61532">
        <w:rPr>
          <w:lang w:eastAsia="zh-TW"/>
        </w:rPr>
        <w:instrText xml:space="preserve"> STYLEREF 1 \s </w:instrText>
      </w:r>
      <w:r w:rsidR="008D3258" w:rsidRPr="00F61532">
        <w:rPr>
          <w:lang w:eastAsia="zh-TW"/>
        </w:rPr>
        <w:fldChar w:fldCharType="separate"/>
      </w:r>
      <w:r w:rsidR="00EE0BF5">
        <w:rPr>
          <w:noProof/>
          <w:lang w:eastAsia="zh-TW"/>
        </w:rPr>
        <w:t>3</w:t>
      </w:r>
      <w:r w:rsidR="008D3258" w:rsidRPr="00F61532">
        <w:rPr>
          <w:lang w:eastAsia="zh-TW"/>
        </w:rPr>
        <w:fldChar w:fldCharType="end"/>
      </w:r>
      <w:r w:rsidR="008D3258" w:rsidRPr="00F61532">
        <w:rPr>
          <w:lang w:eastAsia="zh-TW"/>
        </w:rPr>
        <w:t>.</w:t>
      </w:r>
      <w:r w:rsidR="008D3258" w:rsidRPr="00F61532">
        <w:rPr>
          <w:lang w:eastAsia="zh-TW"/>
        </w:rPr>
        <w:fldChar w:fldCharType="begin"/>
      </w:r>
      <w:r w:rsidR="008D3258" w:rsidRPr="00F61532">
        <w:rPr>
          <w:lang w:eastAsia="zh-TW"/>
        </w:rPr>
        <w:instrText xml:space="preserve"> SEQ Figure \* ARABIC \s 1 </w:instrText>
      </w:r>
      <w:r w:rsidR="008D3258" w:rsidRPr="00F61532">
        <w:rPr>
          <w:lang w:eastAsia="zh-TW"/>
        </w:rPr>
        <w:fldChar w:fldCharType="separate"/>
      </w:r>
      <w:r w:rsidR="00EE0BF5">
        <w:rPr>
          <w:noProof/>
          <w:lang w:eastAsia="zh-TW"/>
        </w:rPr>
        <w:t>3</w:t>
      </w:r>
      <w:r w:rsidR="008D3258" w:rsidRPr="00F61532">
        <w:rPr>
          <w:lang w:eastAsia="zh-TW"/>
        </w:rPr>
        <w:fldChar w:fldCharType="end"/>
      </w:r>
      <w:bookmarkEnd w:id="269"/>
      <w:r w:rsidR="008D3258" w:rsidRPr="00F61532">
        <w:rPr>
          <w:lang w:eastAsia="zh-TW"/>
        </w:rPr>
        <w:t xml:space="preserve">. Projected change of annual and seasonal mean temperature in </w:t>
      </w:r>
      <w:r w:rsidR="008D3258">
        <w:rPr>
          <w:lang w:eastAsia="zh-TW"/>
        </w:rPr>
        <w:t>the BPA region.</w:t>
      </w:r>
      <w:bookmarkEnd w:id="270"/>
      <w:bookmarkEnd w:id="271"/>
    </w:p>
    <w:p w14:paraId="04AD4DED" w14:textId="4BEE0FC2" w:rsidR="000B583C" w:rsidRDefault="000B583C" w:rsidP="000B583C">
      <w:pPr>
        <w:pStyle w:val="BodyText"/>
      </w:pPr>
      <w:r>
        <w:t xml:space="preserve">On a seasonal scale in the near-term future period, the ensemble median precipitation is projected to increase during the winter, spring, and fall across all BPA </w:t>
      </w:r>
      <w:r w:rsidRPr="00364A9D">
        <w:t>areas</w:t>
      </w:r>
      <w:r>
        <w:t xml:space="preserve">, which </w:t>
      </w:r>
      <w:r w:rsidR="00A1717F">
        <w:t xml:space="preserve">are </w:t>
      </w:r>
      <w:r>
        <w:t xml:space="preserve">historically the wettest times of year in the BPA region. Meanwhile, median precipitation shows no change to a small </w:t>
      </w:r>
      <w:r w:rsidRPr="00505D16">
        <w:t>decrease during the summer</w:t>
      </w:r>
      <w:r>
        <w:t>, although model spread is rather large on a percentage basis, and summer is historically a dry season in all BPA areas</w:t>
      </w:r>
      <w:r w:rsidRPr="00505D16">
        <w:t xml:space="preserve">. </w:t>
      </w:r>
      <w:r>
        <w:t xml:space="preserve">Comparatively, the </w:t>
      </w:r>
      <w:r w:rsidRPr="00505D16">
        <w:t>mid</w:t>
      </w:r>
      <w:r>
        <w:t>-</w:t>
      </w:r>
      <w:r w:rsidRPr="00505D16">
        <w:t>term future period</w:t>
      </w:r>
      <w:r>
        <w:t xml:space="preserve"> on a seasonal scale shows a projected increase in</w:t>
      </w:r>
      <w:r w:rsidRPr="00505D16">
        <w:t xml:space="preserve"> the ensemble median precipitation </w:t>
      </w:r>
      <w:r>
        <w:t>for</w:t>
      </w:r>
      <w:r w:rsidRPr="00505D16">
        <w:t xml:space="preserve"> all seasons across most of the </w:t>
      </w:r>
      <w:r>
        <w:t>BPA</w:t>
      </w:r>
      <w:r w:rsidRPr="00505D16">
        <w:t xml:space="preserve"> areas</w:t>
      </w:r>
      <w:r>
        <w:t xml:space="preserve">. The </w:t>
      </w:r>
      <w:r w:rsidRPr="00505D16">
        <w:t>except</w:t>
      </w:r>
      <w:r>
        <w:t>ions include the</w:t>
      </w:r>
      <w:r w:rsidRPr="00505D16">
        <w:t xml:space="preserve"> summer in BPA-1</w:t>
      </w:r>
      <w:r>
        <w:t>,</w:t>
      </w:r>
      <w:r w:rsidRPr="00505D16">
        <w:t xml:space="preserve"> and </w:t>
      </w:r>
      <w:r>
        <w:t xml:space="preserve">the </w:t>
      </w:r>
      <w:r w:rsidRPr="00505D16">
        <w:t xml:space="preserve">spring and </w:t>
      </w:r>
      <w:r>
        <w:t>f</w:t>
      </w:r>
      <w:r w:rsidRPr="00505D16">
        <w:t>all in BPA-4</w:t>
      </w:r>
      <w:r>
        <w:t xml:space="preserve">, resulting in </w:t>
      </w:r>
      <w:r w:rsidRPr="00505D16">
        <w:t>negligible to no change in median precipitation (</w:t>
      </w:r>
      <w:r>
        <w:fldChar w:fldCharType="begin"/>
      </w:r>
      <w:r>
        <w:instrText xml:space="preserve"> REF _Ref72832208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5</w:t>
      </w:r>
      <w:r>
        <w:fldChar w:fldCharType="end"/>
      </w:r>
      <w:r w:rsidRPr="00505D16">
        <w:t>).</w:t>
      </w:r>
    </w:p>
    <w:p w14:paraId="4FFC8B9A" w14:textId="2F2FE677" w:rsidR="00B557AD" w:rsidRDefault="00B557AD" w:rsidP="000B583C">
      <w:pPr>
        <w:pStyle w:val="BodyText"/>
      </w:pPr>
      <w:r>
        <w:t>These projections agree with other climate change assessments over the Pacific Northwest (Jiang et al., 2018; Huang and Ullrich, 2017</w:t>
      </w:r>
      <w:r w:rsidRPr="00C14AB8">
        <w:t>; Rupp et al., 2016; Mote and Salath</w:t>
      </w:r>
      <w:r w:rsidRPr="007708DB">
        <w:t>é</w:t>
      </w:r>
      <w:r w:rsidRPr="00C14AB8">
        <w:t>, 2010</w:t>
      </w:r>
      <w:r>
        <w:t xml:space="preserve">). Using the CMIP5-based statistically downscaled climate projections, Jiang et al. (2018) suggested increasing and noticeable changes in temperature and precipitation during the near-term and mid-term future periods. Their analysis also suggests an increase in mean precipitation during the winter and a decrease during the summer. Rupp et al. (2016) and Mote and </w:t>
      </w:r>
      <w:r w:rsidRPr="00C14AB8">
        <w:t>Salath</w:t>
      </w:r>
      <w:r w:rsidRPr="007708DB">
        <w:t>é</w:t>
      </w:r>
      <w:r>
        <w:t xml:space="preserve"> (2010) reported similar findings by directly using ensemble of CMIP5 and CMIP3 GCMs, respectively. Similarly, Huang and Ullrich (2017) found an increase in extreme precipitation during the winter using the variable-resolution Community Earth System Model under the RCP8.5 scenario over the Pacific Northwest. Jiang et al. (2018) used six CMIP5 GCMs downscaled by four statistical downscaling methods. Despite these methodological differences, the projected changes in seasonal precipitation agree with the current assessment.</w:t>
      </w:r>
    </w:p>
    <w:p w14:paraId="5BA93C52" w14:textId="5B79A719" w:rsidR="00B557AD" w:rsidRDefault="00B557AD" w:rsidP="000B583C">
      <w:pPr>
        <w:pStyle w:val="BodyText"/>
      </w:pPr>
      <w:bookmarkStart w:id="272" w:name="_Ref425756066"/>
      <w:bookmarkStart w:id="273" w:name="_Ref425756168"/>
      <w:bookmarkStart w:id="274" w:name="_Ref425756195"/>
      <w:bookmarkStart w:id="275" w:name="_Ref425756203"/>
      <w:r w:rsidRPr="00EA6D23">
        <w:t xml:space="preserve">In all </w:t>
      </w:r>
      <w:r>
        <w:t>BPA</w:t>
      </w:r>
      <w:r w:rsidRPr="00EA6D23">
        <w:t xml:space="preserve"> areas, the important signals of change include (1)</w:t>
      </w:r>
      <w:r>
        <w:t xml:space="preserve"> an </w:t>
      </w:r>
      <w:r w:rsidRPr="00EA6D23">
        <w:t>increase in temperature in all seasons, and (2)</w:t>
      </w:r>
      <w:r>
        <w:t xml:space="preserve"> an</w:t>
      </w:r>
      <w:r w:rsidRPr="00EA6D23">
        <w:t xml:space="preserve"> increase in precipitation in </w:t>
      </w:r>
      <w:r>
        <w:t xml:space="preserve">the </w:t>
      </w:r>
      <w:r w:rsidRPr="00EA6D23">
        <w:t>winter, spring</w:t>
      </w:r>
      <w:r>
        <w:t>,</w:t>
      </w:r>
      <w:r w:rsidRPr="00EA6D23">
        <w:t xml:space="preserve"> and fall</w:t>
      </w:r>
      <w:r>
        <w:t>,</w:t>
      </w:r>
      <w:r w:rsidRPr="00EA6D23">
        <w:t xml:space="preserve"> </w:t>
      </w:r>
      <w:r>
        <w:t>which more than offsets any decreases in summer precipitation</w:t>
      </w:r>
      <w:r w:rsidRPr="00EA6D23">
        <w:t xml:space="preserve">. </w:t>
      </w:r>
      <w:r>
        <w:t>Since summer is already the dry season in the BPA region, t</w:t>
      </w:r>
      <w:r w:rsidRPr="00EA6D23">
        <w:t xml:space="preserve">he </w:t>
      </w:r>
      <w:r>
        <w:rPr>
          <w:rFonts w:eastAsia="PMingLiU"/>
          <w:lang w:eastAsia="zh-TW"/>
        </w:rPr>
        <w:t xml:space="preserve">most </w:t>
      </w:r>
      <w:r>
        <w:t xml:space="preserve">dominant </w:t>
      </w:r>
      <w:r w:rsidRPr="00EA6D23">
        <w:lastRenderedPageBreak/>
        <w:t>contributor</w:t>
      </w:r>
      <w:r>
        <w:t>s</w:t>
      </w:r>
      <w:r w:rsidRPr="00EA6D23">
        <w:t xml:space="preserve"> to the summer streamflow </w:t>
      </w:r>
      <w:r>
        <w:t xml:space="preserve">are </w:t>
      </w:r>
      <w:r w:rsidRPr="00EA6D23">
        <w:t xml:space="preserve">runoff and snowmelt, which </w:t>
      </w:r>
      <w:r>
        <w:t xml:space="preserve">are </w:t>
      </w:r>
      <w:r w:rsidRPr="00EA6D23">
        <w:t>discussed in the following section.</w:t>
      </w:r>
      <w:bookmarkEnd w:id="272"/>
      <w:bookmarkEnd w:id="273"/>
      <w:bookmarkEnd w:id="274"/>
      <w:bookmarkEnd w:id="275"/>
    </w:p>
    <w:p w14:paraId="776F483E" w14:textId="77777777" w:rsidR="00A1717F" w:rsidRDefault="00A1717F" w:rsidP="00A1717F">
      <w:pPr>
        <w:pStyle w:val="FIGUREposition"/>
      </w:pPr>
      <w:r w:rsidRPr="00093CC9">
        <w:rPr>
          <w:noProof/>
        </w:rPr>
        <w:drawing>
          <wp:inline distT="0" distB="0" distL="0" distR="0" wp14:anchorId="2800B086" wp14:editId="4BB8D77A">
            <wp:extent cx="5394960" cy="17983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82"/>
                    <a:stretch>
                      <a:fillRect/>
                    </a:stretch>
                  </pic:blipFill>
                  <pic:spPr bwMode="auto">
                    <a:xfrm>
                      <a:off x="0" y="0"/>
                      <a:ext cx="5394960" cy="1798320"/>
                    </a:xfrm>
                    <a:prstGeom prst="rect">
                      <a:avLst/>
                    </a:prstGeom>
                    <a:noFill/>
                    <a:ln>
                      <a:noFill/>
                    </a:ln>
                  </pic:spPr>
                </pic:pic>
              </a:graphicData>
            </a:graphic>
          </wp:inline>
        </w:drawing>
      </w:r>
    </w:p>
    <w:p w14:paraId="0333580C" w14:textId="77777777" w:rsidR="00A1717F" w:rsidRDefault="00A1717F" w:rsidP="00A1717F">
      <w:pPr>
        <w:pStyle w:val="FIGUREposition"/>
      </w:pPr>
      <w:r w:rsidRPr="00093CC9">
        <w:rPr>
          <w:noProof/>
        </w:rPr>
        <w:drawing>
          <wp:inline distT="0" distB="0" distL="0" distR="0" wp14:anchorId="11C05EB1" wp14:editId="37C37EA1">
            <wp:extent cx="5394960" cy="1798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83"/>
                    <a:stretch>
                      <a:fillRect/>
                    </a:stretch>
                  </pic:blipFill>
                  <pic:spPr bwMode="auto">
                    <a:xfrm>
                      <a:off x="0" y="0"/>
                      <a:ext cx="5394960" cy="1798320"/>
                    </a:xfrm>
                    <a:prstGeom prst="rect">
                      <a:avLst/>
                    </a:prstGeom>
                    <a:noFill/>
                    <a:ln>
                      <a:noFill/>
                    </a:ln>
                  </pic:spPr>
                </pic:pic>
              </a:graphicData>
            </a:graphic>
          </wp:inline>
        </w:drawing>
      </w:r>
    </w:p>
    <w:p w14:paraId="73BB6BA7" w14:textId="66303898" w:rsidR="00A1717F" w:rsidRDefault="00A1717F" w:rsidP="00A1717F">
      <w:pPr>
        <w:pStyle w:val="FIGUREposition"/>
      </w:pPr>
      <w:r w:rsidRPr="00093CC9">
        <w:rPr>
          <w:noProof/>
        </w:rPr>
        <w:drawing>
          <wp:inline distT="0" distB="0" distL="0" distR="0" wp14:anchorId="6538A578" wp14:editId="5F78BB96">
            <wp:extent cx="5394960" cy="1798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84"/>
                    <a:stretch>
                      <a:fillRect/>
                    </a:stretch>
                  </pic:blipFill>
                  <pic:spPr bwMode="auto">
                    <a:xfrm>
                      <a:off x="0" y="0"/>
                      <a:ext cx="5394960" cy="1798320"/>
                    </a:xfrm>
                    <a:prstGeom prst="rect">
                      <a:avLst/>
                    </a:prstGeom>
                    <a:noFill/>
                    <a:ln>
                      <a:noFill/>
                    </a:ln>
                  </pic:spPr>
                </pic:pic>
              </a:graphicData>
            </a:graphic>
          </wp:inline>
        </w:drawing>
      </w:r>
    </w:p>
    <w:p w14:paraId="4F9946C9" w14:textId="77777777" w:rsidR="009868FB" w:rsidRDefault="009868FB" w:rsidP="009868FB">
      <w:pPr>
        <w:pStyle w:val="FIGUREposition"/>
      </w:pPr>
      <w:r>
        <w:rPr>
          <w:noProof/>
        </w:rPr>
        <w:drawing>
          <wp:inline distT="0" distB="0" distL="0" distR="0" wp14:anchorId="3D3B109C" wp14:editId="300F6A67">
            <wp:extent cx="5212080" cy="173736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85"/>
                    <a:stretch>
                      <a:fillRect/>
                    </a:stretch>
                  </pic:blipFill>
                  <pic:spPr bwMode="auto">
                    <a:xfrm>
                      <a:off x="0" y="0"/>
                      <a:ext cx="5212080" cy="1737360"/>
                    </a:xfrm>
                    <a:prstGeom prst="rect">
                      <a:avLst/>
                    </a:prstGeom>
                    <a:noFill/>
                    <a:ln>
                      <a:noFill/>
                    </a:ln>
                  </pic:spPr>
                </pic:pic>
              </a:graphicData>
            </a:graphic>
          </wp:inline>
        </w:drawing>
      </w:r>
    </w:p>
    <w:p w14:paraId="463D6AE8" w14:textId="1897DE0C" w:rsidR="009868FB" w:rsidRDefault="009868FB" w:rsidP="009868FB">
      <w:pPr>
        <w:pStyle w:val="FigureCaption"/>
        <w:rPr>
          <w:lang w:eastAsia="zh-TW"/>
        </w:rPr>
      </w:pPr>
      <w:bookmarkStart w:id="276" w:name="_Ref72832251"/>
      <w:bookmarkStart w:id="277" w:name="_Toc113380892"/>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4</w:t>
      </w:r>
      <w:r w:rsidRPr="00F61532">
        <w:rPr>
          <w:lang w:eastAsia="zh-TW"/>
        </w:rPr>
        <w:fldChar w:fldCharType="end"/>
      </w:r>
      <w:bookmarkEnd w:id="276"/>
      <w:r w:rsidRPr="00F61532">
        <w:rPr>
          <w:lang w:eastAsia="zh-TW"/>
        </w:rPr>
        <w:t xml:space="preserve">. Projected annual </w:t>
      </w:r>
      <w:r>
        <w:rPr>
          <w:lang w:eastAsia="zh-TW"/>
        </w:rPr>
        <w:t>total precipitation</w:t>
      </w:r>
      <w:r w:rsidRPr="00F61532">
        <w:rPr>
          <w:lang w:eastAsia="zh-TW"/>
        </w:rPr>
        <w:t xml:space="preserve"> in </w:t>
      </w:r>
      <w:r>
        <w:rPr>
          <w:lang w:eastAsia="zh-TW"/>
        </w:rPr>
        <w:t>the BPA region.</w:t>
      </w:r>
      <w:bookmarkEnd w:id="277"/>
    </w:p>
    <w:p w14:paraId="180B5402" w14:textId="77777777" w:rsidR="00093CC9" w:rsidRDefault="00A16DE0" w:rsidP="00093CC9">
      <w:pPr>
        <w:pStyle w:val="FIGUREposition"/>
      </w:pPr>
      <w:r>
        <w:rPr>
          <w:noProof/>
        </w:rPr>
        <w:lastRenderedPageBreak/>
        <w:drawing>
          <wp:inline distT="0" distB="0" distL="0" distR="0" wp14:anchorId="43D067E6" wp14:editId="2D2EC456">
            <wp:extent cx="2743200" cy="18288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26FD715" wp14:editId="779B349D">
            <wp:extent cx="2743200" cy="182880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16AEE97F" w14:textId="52E0E057" w:rsidR="00A16DE0" w:rsidRDefault="00A16DE0" w:rsidP="00093CC9">
      <w:pPr>
        <w:pStyle w:val="FIGUREposition"/>
      </w:pPr>
      <w:r>
        <w:rPr>
          <w:noProof/>
        </w:rPr>
        <w:drawing>
          <wp:inline distT="0" distB="0" distL="0" distR="0" wp14:anchorId="0FCC1CBC" wp14:editId="13005188">
            <wp:extent cx="2743200" cy="182880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4CC97138" wp14:editId="50808441">
            <wp:extent cx="2743200" cy="182880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2F74562F" w14:textId="6DCD59C6" w:rsidR="008D3258" w:rsidRDefault="003F6C94" w:rsidP="008D3258">
      <w:pPr>
        <w:pStyle w:val="FigureCaption"/>
        <w:rPr>
          <w:lang w:eastAsia="zh-TW"/>
        </w:rPr>
      </w:pPr>
      <w:bookmarkStart w:id="278" w:name="_Ref72832208"/>
      <w:bookmarkStart w:id="279" w:name="_Toc113380893"/>
      <w:r>
        <w:rPr>
          <w:lang w:eastAsia="zh-TW"/>
        </w:rPr>
        <w:t>Figure</w:t>
      </w:r>
      <w:r w:rsidR="008D3258" w:rsidRPr="00F61532">
        <w:rPr>
          <w:lang w:eastAsia="zh-TW"/>
        </w:rPr>
        <w:t xml:space="preserve"> </w:t>
      </w:r>
      <w:r w:rsidR="008D3258" w:rsidRPr="00F61532">
        <w:rPr>
          <w:lang w:eastAsia="zh-TW"/>
        </w:rPr>
        <w:fldChar w:fldCharType="begin"/>
      </w:r>
      <w:r w:rsidR="008D3258" w:rsidRPr="00F61532">
        <w:rPr>
          <w:lang w:eastAsia="zh-TW"/>
        </w:rPr>
        <w:instrText xml:space="preserve"> STYLEREF 1 \s </w:instrText>
      </w:r>
      <w:r w:rsidR="008D3258" w:rsidRPr="00F61532">
        <w:rPr>
          <w:lang w:eastAsia="zh-TW"/>
        </w:rPr>
        <w:fldChar w:fldCharType="separate"/>
      </w:r>
      <w:r w:rsidR="00EE0BF5">
        <w:rPr>
          <w:noProof/>
          <w:lang w:eastAsia="zh-TW"/>
        </w:rPr>
        <w:t>3</w:t>
      </w:r>
      <w:r w:rsidR="008D3258" w:rsidRPr="00F61532">
        <w:rPr>
          <w:lang w:eastAsia="zh-TW"/>
        </w:rPr>
        <w:fldChar w:fldCharType="end"/>
      </w:r>
      <w:r w:rsidR="008D3258" w:rsidRPr="00F61532">
        <w:rPr>
          <w:lang w:eastAsia="zh-TW"/>
        </w:rPr>
        <w:t>.</w:t>
      </w:r>
      <w:r w:rsidR="008D3258" w:rsidRPr="00F61532">
        <w:rPr>
          <w:lang w:eastAsia="zh-TW"/>
        </w:rPr>
        <w:fldChar w:fldCharType="begin"/>
      </w:r>
      <w:r w:rsidR="008D3258" w:rsidRPr="00F61532">
        <w:rPr>
          <w:lang w:eastAsia="zh-TW"/>
        </w:rPr>
        <w:instrText xml:space="preserve"> SEQ Figure \* ARABIC \s 1 </w:instrText>
      </w:r>
      <w:r w:rsidR="008D3258" w:rsidRPr="00F61532">
        <w:rPr>
          <w:lang w:eastAsia="zh-TW"/>
        </w:rPr>
        <w:fldChar w:fldCharType="separate"/>
      </w:r>
      <w:r w:rsidR="00EE0BF5">
        <w:rPr>
          <w:noProof/>
          <w:lang w:eastAsia="zh-TW"/>
        </w:rPr>
        <w:t>5</w:t>
      </w:r>
      <w:r w:rsidR="008D3258" w:rsidRPr="00F61532">
        <w:rPr>
          <w:lang w:eastAsia="zh-TW"/>
        </w:rPr>
        <w:fldChar w:fldCharType="end"/>
      </w:r>
      <w:bookmarkEnd w:id="278"/>
      <w:r w:rsidR="008D3258" w:rsidRPr="00F61532">
        <w:rPr>
          <w:lang w:eastAsia="zh-TW"/>
        </w:rPr>
        <w:t xml:space="preserve">. Projected change of annual and seasonal </w:t>
      </w:r>
      <w:r w:rsidR="008D3258">
        <w:rPr>
          <w:lang w:eastAsia="zh-TW"/>
        </w:rPr>
        <w:t>total precipitation</w:t>
      </w:r>
      <w:r w:rsidR="008D3258" w:rsidRPr="00F61532">
        <w:rPr>
          <w:lang w:eastAsia="zh-TW"/>
        </w:rPr>
        <w:t xml:space="preserve"> in </w:t>
      </w:r>
      <w:r w:rsidR="008D3258">
        <w:rPr>
          <w:lang w:eastAsia="zh-TW"/>
        </w:rPr>
        <w:t>the BPA region.</w:t>
      </w:r>
      <w:bookmarkEnd w:id="279"/>
    </w:p>
    <w:p w14:paraId="4ECE558C" w14:textId="77777777" w:rsidR="000A56D2" w:rsidRPr="00DE36AC" w:rsidRDefault="000A56D2" w:rsidP="00346639">
      <w:pPr>
        <w:pStyle w:val="Heading3"/>
      </w:pPr>
      <w:bookmarkStart w:id="280" w:name="_Ref81829212"/>
      <w:bookmarkStart w:id="281" w:name="_Ref81829213"/>
      <w:bookmarkStart w:id="282" w:name="_Ref81829214"/>
      <w:bookmarkStart w:id="283" w:name="_Ref81829260"/>
      <w:bookmarkStart w:id="284" w:name="_Toc113380803"/>
      <w:r w:rsidRPr="00DE36AC">
        <w:t>Regional Hydrologic Projections</w:t>
      </w:r>
      <w:bookmarkEnd w:id="280"/>
      <w:bookmarkEnd w:id="281"/>
      <w:bookmarkEnd w:id="282"/>
      <w:bookmarkEnd w:id="283"/>
      <w:bookmarkEnd w:id="284"/>
    </w:p>
    <w:p w14:paraId="5CB4C8F4" w14:textId="16741FD8" w:rsidR="000A56D2" w:rsidRPr="00D80A06" w:rsidRDefault="00E25580" w:rsidP="000A56D2">
      <w:pPr>
        <w:pStyle w:val="BodyText"/>
      </w:pPr>
      <w:r w:rsidRPr="00D80A06">
        <w:t xml:space="preserve">Changes in hydrologic regimes are </w:t>
      </w:r>
      <w:r>
        <w:t xml:space="preserve">generally expected to be driven </w:t>
      </w:r>
      <w:r w:rsidRPr="00D80A06">
        <w:t>by changes in temperature and precipitation</w:t>
      </w:r>
      <w:r>
        <w:t xml:space="preserve"> among other factors such as changes in land use</w:t>
      </w:r>
      <w:r w:rsidR="005606E5">
        <w:t>/</w:t>
      </w:r>
      <w:r>
        <w:t xml:space="preserve">land cover, urbanization, </w:t>
      </w:r>
      <w:r w:rsidR="005606E5">
        <w:t>and so on</w:t>
      </w:r>
      <w:r w:rsidRPr="00D80A06">
        <w:t xml:space="preserve">. </w:t>
      </w:r>
      <w:r>
        <w:t>R</w:t>
      </w:r>
      <w:r w:rsidRPr="00D80A06">
        <w:t xml:space="preserve">ecent assessments </w:t>
      </w:r>
      <w:r w:rsidRPr="0008413C">
        <w:t>(Mote et al., 2005</w:t>
      </w:r>
      <w:r>
        <w:t>,</w:t>
      </w:r>
      <w:r w:rsidRPr="0008413C">
        <w:t xml:space="preserve"> 2018; Schnorbus et al., 2014)</w:t>
      </w:r>
      <w:r w:rsidRPr="00D80A06">
        <w:t xml:space="preserve"> have indicated a dramatic decline in the snowpack in the </w:t>
      </w:r>
      <w:r w:rsidR="006C6778">
        <w:t>w</w:t>
      </w:r>
      <w:r w:rsidRPr="00D80A06">
        <w:t xml:space="preserve">estern </w:t>
      </w:r>
      <w:r>
        <w:t>United States</w:t>
      </w:r>
      <w:r w:rsidRPr="00D80A06">
        <w:t xml:space="preserve"> attributed to earlier spring snowmelt, delayed winter snowfall</w:t>
      </w:r>
      <w:r>
        <w:t>,</w:t>
      </w:r>
      <w:r w:rsidRPr="00D80A06">
        <w:t xml:space="preserve"> and increasing temperatures. </w:t>
      </w:r>
      <w:r>
        <w:t xml:space="preserve">With these shifts in precipitation and temperature </w:t>
      </w:r>
      <w:r w:rsidR="00EB13D4">
        <w:t xml:space="preserve">and the </w:t>
      </w:r>
      <w:r>
        <w:t xml:space="preserve">increased fraction of winter rainfall, the subsequent changes would affect the timing and total amount of water flowing into the rivers, with an increased risk of hydrologic extremes in the region </w:t>
      </w:r>
      <w:r w:rsidRPr="00470A8E">
        <w:t>(Leng et al., 2016; Wrzesien and Pavelsky, 2020</w:t>
      </w:r>
      <w:r>
        <w:t xml:space="preserve">; </w:t>
      </w:r>
      <w:r w:rsidRPr="000335D4">
        <w:t>Chegwidden</w:t>
      </w:r>
      <w:r>
        <w:t xml:space="preserve"> et al., 2020; Queen et al., 2021</w:t>
      </w:r>
      <w:r w:rsidRPr="00470A8E">
        <w:t>)</w:t>
      </w:r>
      <w:r>
        <w:t>.</w:t>
      </w:r>
    </w:p>
    <w:p w14:paraId="0C172FFF" w14:textId="72BBB2E9" w:rsidR="000A56D2" w:rsidRDefault="000A56D2" w:rsidP="000A56D2">
      <w:pPr>
        <w:pStyle w:val="BodyText"/>
        <w:rPr>
          <w:rFonts w:eastAsia="PMingLiU"/>
          <w:lang w:eastAsia="zh-TW"/>
        </w:rPr>
      </w:pPr>
      <w:r>
        <w:t xml:space="preserve">The runoff projections for each of the BPA areas are illustrated in </w:t>
      </w:r>
      <w:r w:rsidR="00F51CB6">
        <w:fldChar w:fldCharType="begin"/>
      </w:r>
      <w:r w:rsidR="00F51CB6">
        <w:instrText xml:space="preserve"> REF _Ref83536982 \h </w:instrText>
      </w:r>
      <w:r w:rsidR="00F51CB6">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6</w:t>
      </w:r>
      <w:r w:rsidR="00F51CB6">
        <w:fldChar w:fldCharType="end"/>
      </w:r>
      <w:r w:rsidR="00F51CB6">
        <w:t xml:space="preserve"> </w:t>
      </w:r>
      <w:r>
        <w:t>and</w:t>
      </w:r>
      <w:r w:rsidR="00F51CB6">
        <w:t xml:space="preserve"> </w:t>
      </w:r>
      <w:r w:rsidR="00F51CB6">
        <w:fldChar w:fldCharType="begin"/>
      </w:r>
      <w:r w:rsidR="00F51CB6">
        <w:instrText xml:space="preserve"> REF _Ref83536995 \h </w:instrText>
      </w:r>
      <w:r w:rsidR="00F51CB6">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7</w:t>
      </w:r>
      <w:r w:rsidR="00F51CB6">
        <w:fldChar w:fldCharType="end"/>
      </w:r>
      <w:r>
        <w:t xml:space="preserve">. The annual total runoff in baseline (1980–2019) and future (2020–2059) periods is presented in </w:t>
      </w:r>
      <w:r w:rsidR="00F51CB6">
        <w:fldChar w:fldCharType="begin"/>
      </w:r>
      <w:r w:rsidR="00F51CB6">
        <w:instrText xml:space="preserve"> REF _Ref83536982 \h </w:instrText>
      </w:r>
      <w:r w:rsidR="00F51CB6">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6</w:t>
      </w:r>
      <w:r w:rsidR="00F51CB6">
        <w:fldChar w:fldCharType="end"/>
      </w:r>
      <w:r>
        <w:t>. The gray lines show annual runoff from 48 sets of hydrologic projections, the black line represents the multimodel median, and the blue and green lines show the control simulations driven by Daymet and Livneh observations, respectively. The corresponding probability distributions are compared in the right panel.</w:t>
      </w:r>
      <w:r>
        <w:rPr>
          <w:rFonts w:eastAsia="PMingLiU"/>
          <w:lang w:eastAsia="zh-TW"/>
        </w:rPr>
        <w:t xml:space="preserve"> </w:t>
      </w:r>
      <w:r w:rsidRPr="00882352">
        <w:rPr>
          <w:rFonts w:eastAsia="PMingLiU"/>
          <w:lang w:eastAsia="zh-TW"/>
        </w:rPr>
        <w:t xml:space="preserve">The annual and seasonal changes </w:t>
      </w:r>
      <w:r>
        <w:rPr>
          <w:rFonts w:eastAsia="PMingLiU"/>
          <w:lang w:eastAsia="zh-TW"/>
        </w:rPr>
        <w:t>in runoff</w:t>
      </w:r>
      <w:r w:rsidRPr="00882352">
        <w:rPr>
          <w:rFonts w:eastAsia="PMingLiU"/>
          <w:lang w:eastAsia="zh-TW"/>
        </w:rPr>
        <w:t xml:space="preserve"> are </w:t>
      </w:r>
      <w:r>
        <w:rPr>
          <w:rFonts w:eastAsia="PMingLiU"/>
          <w:lang w:eastAsia="zh-TW"/>
        </w:rPr>
        <w:t xml:space="preserve">further </w:t>
      </w:r>
      <w:r w:rsidRPr="00882352">
        <w:rPr>
          <w:rFonts w:eastAsia="PMingLiU"/>
          <w:lang w:eastAsia="zh-TW"/>
        </w:rPr>
        <w:t xml:space="preserve">summarized in </w:t>
      </w:r>
      <w:r w:rsidR="00AA57F0">
        <w:fldChar w:fldCharType="begin"/>
      </w:r>
      <w:r w:rsidR="00AA57F0">
        <w:instrText xml:space="preserve"> REF _Ref83536995 \h </w:instrText>
      </w:r>
      <w:r w:rsidR="00AA57F0">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7</w:t>
      </w:r>
      <w:r w:rsidR="00AA57F0">
        <w:fldChar w:fldCharType="end"/>
      </w:r>
      <w:r>
        <w:t xml:space="preserve">. </w:t>
      </w:r>
      <w:r w:rsidRPr="00882352">
        <w:rPr>
          <w:rFonts w:eastAsia="PMingLiU"/>
          <w:lang w:eastAsia="zh-TW"/>
        </w:rPr>
        <w:t xml:space="preserve">Change is defined as the </w:t>
      </w:r>
      <w:r>
        <w:rPr>
          <w:rFonts w:eastAsia="PMingLiU"/>
          <w:lang w:eastAsia="zh-TW"/>
        </w:rPr>
        <w:t xml:space="preserve">percentage </w:t>
      </w:r>
      <w:r w:rsidRPr="00882352">
        <w:rPr>
          <w:rFonts w:eastAsia="PMingLiU"/>
          <w:lang w:eastAsia="zh-TW"/>
        </w:rPr>
        <w:t>difference of future periods (20</w:t>
      </w:r>
      <w:r>
        <w:rPr>
          <w:rFonts w:eastAsia="PMingLiU"/>
          <w:lang w:eastAsia="zh-TW"/>
        </w:rPr>
        <w:t>20</w:t>
      </w:r>
      <w:r w:rsidRPr="00882352">
        <w:rPr>
          <w:rFonts w:eastAsia="PMingLiU"/>
          <w:lang w:eastAsia="zh-TW"/>
        </w:rPr>
        <w:t>–20</w:t>
      </w:r>
      <w:r>
        <w:rPr>
          <w:rFonts w:eastAsia="PMingLiU"/>
          <w:lang w:eastAsia="zh-TW"/>
        </w:rPr>
        <w:t>39</w:t>
      </w:r>
      <w:r w:rsidRPr="00882352">
        <w:rPr>
          <w:rFonts w:eastAsia="PMingLiU"/>
          <w:lang w:eastAsia="zh-TW"/>
        </w:rPr>
        <w:t xml:space="preserve"> and 20</w:t>
      </w:r>
      <w:r>
        <w:rPr>
          <w:rFonts w:eastAsia="PMingLiU"/>
          <w:lang w:eastAsia="zh-TW"/>
        </w:rPr>
        <w:t>40</w:t>
      </w:r>
      <w:r w:rsidRPr="00882352">
        <w:rPr>
          <w:rFonts w:eastAsia="PMingLiU"/>
          <w:lang w:eastAsia="zh-TW"/>
        </w:rPr>
        <w:t>–205</w:t>
      </w:r>
      <w:r>
        <w:rPr>
          <w:rFonts w:eastAsia="PMingLiU"/>
          <w:lang w:eastAsia="zh-TW"/>
        </w:rPr>
        <w:t>9</w:t>
      </w:r>
      <w:r w:rsidRPr="00882352">
        <w:rPr>
          <w:rFonts w:eastAsia="PMingLiU"/>
          <w:lang w:eastAsia="zh-TW"/>
        </w:rPr>
        <w:t xml:space="preserve">) </w:t>
      </w:r>
      <w:r>
        <w:rPr>
          <w:rFonts w:eastAsia="PMingLiU"/>
          <w:lang w:eastAsia="zh-TW"/>
        </w:rPr>
        <w:t>compared</w:t>
      </w:r>
      <w:r w:rsidRPr="00882352">
        <w:rPr>
          <w:rFonts w:eastAsia="PMingLiU"/>
          <w:lang w:eastAsia="zh-TW"/>
        </w:rPr>
        <w:t xml:space="preserve"> </w:t>
      </w:r>
      <w:r>
        <w:rPr>
          <w:rFonts w:eastAsia="PMingLiU"/>
          <w:lang w:eastAsia="zh-TW"/>
        </w:rPr>
        <w:t xml:space="preserve">with </w:t>
      </w:r>
      <w:r w:rsidRPr="00882352">
        <w:rPr>
          <w:rFonts w:eastAsia="PMingLiU"/>
          <w:lang w:eastAsia="zh-TW"/>
        </w:rPr>
        <w:t>the baseline period</w:t>
      </w:r>
      <w:r>
        <w:rPr>
          <w:rFonts w:eastAsia="PMingLiU"/>
          <w:lang w:eastAsia="zh-TW"/>
        </w:rPr>
        <w:t xml:space="preserve"> (1980</w:t>
      </w:r>
      <w:r w:rsidRPr="00882352">
        <w:rPr>
          <w:rFonts w:eastAsia="PMingLiU"/>
          <w:lang w:eastAsia="zh-TW"/>
        </w:rPr>
        <w:t>–20</w:t>
      </w:r>
      <w:r>
        <w:rPr>
          <w:rFonts w:eastAsia="PMingLiU"/>
          <w:lang w:eastAsia="zh-TW"/>
        </w:rPr>
        <w:t>19)</w:t>
      </w:r>
      <w:r w:rsidRPr="00882352">
        <w:rPr>
          <w:rFonts w:eastAsia="PMingLiU"/>
          <w:lang w:eastAsia="zh-TW"/>
        </w:rPr>
        <w:t xml:space="preserve">. Each box plot shows the spread across </w:t>
      </w:r>
      <w:r>
        <w:rPr>
          <w:rFonts w:eastAsia="PMingLiU"/>
          <w:lang w:eastAsia="zh-TW"/>
        </w:rPr>
        <w:t>48 ensemble members;</w:t>
      </w:r>
      <w:r w:rsidRPr="00882352">
        <w:rPr>
          <w:rFonts w:eastAsia="PMingLiU"/>
          <w:lang w:eastAsia="zh-TW"/>
        </w:rPr>
        <w:t xml:space="preserve"> the central mark </w:t>
      </w:r>
      <w:r>
        <w:t xml:space="preserve">indicates </w:t>
      </w:r>
      <w:r w:rsidRPr="00882352">
        <w:rPr>
          <w:rFonts w:eastAsia="PMingLiU"/>
          <w:lang w:eastAsia="zh-TW"/>
        </w:rPr>
        <w:t xml:space="preserve">the </w:t>
      </w:r>
      <w:r>
        <w:rPr>
          <w:rFonts w:eastAsia="PMingLiU"/>
          <w:lang w:eastAsia="zh-TW"/>
        </w:rPr>
        <w:t>multimodel</w:t>
      </w:r>
      <w:r w:rsidRPr="00882352">
        <w:rPr>
          <w:rFonts w:eastAsia="PMingLiU"/>
          <w:lang w:eastAsia="zh-TW"/>
        </w:rPr>
        <w:t xml:space="preserve"> median, </w:t>
      </w:r>
      <w:r>
        <w:rPr>
          <w:rFonts w:eastAsia="PMingLiU"/>
          <w:lang w:eastAsia="zh-TW"/>
        </w:rPr>
        <w:t xml:space="preserve">and </w:t>
      </w:r>
      <w:r w:rsidRPr="00882352">
        <w:rPr>
          <w:rFonts w:eastAsia="PMingLiU"/>
          <w:lang w:eastAsia="zh-TW"/>
        </w:rPr>
        <w:t xml:space="preserve">the edges of </w:t>
      </w:r>
      <w:r>
        <w:rPr>
          <w:rFonts w:eastAsia="PMingLiU"/>
          <w:lang w:eastAsia="zh-TW"/>
        </w:rPr>
        <w:t xml:space="preserve">the </w:t>
      </w:r>
      <w:r w:rsidRPr="00882352">
        <w:rPr>
          <w:rFonts w:eastAsia="PMingLiU"/>
          <w:lang w:eastAsia="zh-TW"/>
        </w:rPr>
        <w:t xml:space="preserve">box </w:t>
      </w:r>
      <w:r>
        <w:t xml:space="preserve">indicate </w:t>
      </w:r>
      <w:r w:rsidRPr="00882352">
        <w:rPr>
          <w:rFonts w:eastAsia="PMingLiU"/>
          <w:lang w:eastAsia="zh-TW"/>
        </w:rPr>
        <w:t xml:space="preserve">the </w:t>
      </w:r>
      <w:r>
        <w:rPr>
          <w:rFonts w:eastAsia="PMingLiU"/>
          <w:lang w:eastAsia="zh-TW"/>
        </w:rPr>
        <w:t>25</w:t>
      </w:r>
      <w:r w:rsidR="00FA458A" w:rsidRPr="00FA458A">
        <w:rPr>
          <w:rFonts w:eastAsia="PMingLiU"/>
          <w:lang w:eastAsia="zh-TW"/>
        </w:rPr>
        <w:t>th</w:t>
      </w:r>
      <w:r w:rsidRPr="00882352">
        <w:rPr>
          <w:rFonts w:eastAsia="PMingLiU"/>
          <w:lang w:eastAsia="zh-TW"/>
        </w:rPr>
        <w:t xml:space="preserve"> and </w:t>
      </w:r>
      <w:r>
        <w:rPr>
          <w:rFonts w:eastAsia="PMingLiU"/>
          <w:lang w:eastAsia="zh-TW"/>
        </w:rPr>
        <w:t>75</w:t>
      </w:r>
      <w:r w:rsidR="00FA458A" w:rsidRPr="00FA458A">
        <w:rPr>
          <w:rFonts w:eastAsia="PMingLiU"/>
          <w:lang w:eastAsia="zh-TW"/>
        </w:rPr>
        <w:t>th</w:t>
      </w:r>
      <w:r w:rsidRPr="00882352">
        <w:rPr>
          <w:rFonts w:eastAsia="PMingLiU"/>
          <w:lang w:eastAsia="zh-TW"/>
        </w:rPr>
        <w:t xml:space="preserve"> percentiles.</w:t>
      </w:r>
      <w:r>
        <w:rPr>
          <w:rFonts w:eastAsia="PMingLiU"/>
          <w:lang w:eastAsia="zh-TW"/>
        </w:rPr>
        <w:t xml:space="preserve"> The maximum </w:t>
      </w:r>
      <w:r w:rsidRPr="00726701">
        <w:rPr>
          <w:rFonts w:eastAsia="PMingLiU"/>
          <w:lang w:eastAsia="zh-TW"/>
        </w:rPr>
        <w:t>whisker length</w:t>
      </w:r>
      <w:r>
        <w:rPr>
          <w:rFonts w:eastAsia="PMingLiU"/>
          <w:lang w:eastAsia="zh-TW"/>
        </w:rPr>
        <w:t xml:space="preserve"> is 1.5 times the box height (25</w:t>
      </w:r>
      <w:r w:rsidR="00FA458A" w:rsidRPr="00FA458A">
        <w:rPr>
          <w:rFonts w:eastAsia="PMingLiU"/>
          <w:lang w:eastAsia="zh-TW"/>
        </w:rPr>
        <w:t>th</w:t>
      </w:r>
      <w:r>
        <w:rPr>
          <w:rFonts w:eastAsia="PMingLiU"/>
          <w:lang w:eastAsia="zh-TW"/>
        </w:rPr>
        <w:t xml:space="preserve"> to 75</w:t>
      </w:r>
      <w:r w:rsidR="00FA458A" w:rsidRPr="00FA458A">
        <w:rPr>
          <w:rFonts w:eastAsia="PMingLiU"/>
          <w:lang w:eastAsia="zh-TW"/>
        </w:rPr>
        <w:t>th</w:t>
      </w:r>
      <w:r>
        <w:rPr>
          <w:rFonts w:eastAsia="PMingLiU"/>
          <w:lang w:eastAsia="zh-TW"/>
        </w:rPr>
        <w:t xml:space="preserve"> </w:t>
      </w:r>
      <w:r w:rsidRPr="004C111D">
        <w:rPr>
          <w:rFonts w:eastAsia="PMingLiU"/>
          <w:lang w:eastAsia="zh-TW"/>
        </w:rPr>
        <w:t>percentiles</w:t>
      </w:r>
      <w:r>
        <w:rPr>
          <w:rFonts w:eastAsia="PMingLiU"/>
          <w:lang w:eastAsia="zh-TW"/>
        </w:rPr>
        <w:t>). Ensemble members outside of the maximum whisker length are considered as statistical outliers (but should not be excluded in the context of climate change).</w:t>
      </w:r>
    </w:p>
    <w:p w14:paraId="0C7FCEC3" w14:textId="77777777" w:rsidR="009868FB" w:rsidRDefault="009868FB" w:rsidP="009868FB">
      <w:pPr>
        <w:pStyle w:val="FIGUREposition"/>
      </w:pPr>
      <w:r>
        <w:rPr>
          <w:noProof/>
        </w:rPr>
        <w:lastRenderedPageBreak/>
        <w:drawing>
          <wp:inline distT="0" distB="0" distL="0" distR="0" wp14:anchorId="54B7A581" wp14:editId="24551C55">
            <wp:extent cx="5394960" cy="179831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90"/>
                    <a:stretch>
                      <a:fillRect/>
                    </a:stretch>
                  </pic:blipFill>
                  <pic:spPr bwMode="auto">
                    <a:xfrm>
                      <a:off x="0" y="0"/>
                      <a:ext cx="5394960" cy="1798319"/>
                    </a:xfrm>
                    <a:prstGeom prst="rect">
                      <a:avLst/>
                    </a:prstGeom>
                    <a:noFill/>
                    <a:ln>
                      <a:noFill/>
                    </a:ln>
                  </pic:spPr>
                </pic:pic>
              </a:graphicData>
            </a:graphic>
          </wp:inline>
        </w:drawing>
      </w:r>
    </w:p>
    <w:p w14:paraId="1E2BB3A2" w14:textId="77777777" w:rsidR="009868FB" w:rsidRDefault="009868FB" w:rsidP="009868FB">
      <w:pPr>
        <w:pStyle w:val="FIGUREposition"/>
      </w:pPr>
      <w:r>
        <w:rPr>
          <w:noProof/>
        </w:rPr>
        <w:drawing>
          <wp:inline distT="0" distB="0" distL="0" distR="0" wp14:anchorId="702CB3E1" wp14:editId="7DFDB81E">
            <wp:extent cx="5394960" cy="17983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91"/>
                    <a:stretch>
                      <a:fillRect/>
                    </a:stretch>
                  </pic:blipFill>
                  <pic:spPr bwMode="auto">
                    <a:xfrm>
                      <a:off x="0" y="0"/>
                      <a:ext cx="5394960" cy="1798319"/>
                    </a:xfrm>
                    <a:prstGeom prst="rect">
                      <a:avLst/>
                    </a:prstGeom>
                    <a:noFill/>
                    <a:ln>
                      <a:noFill/>
                    </a:ln>
                  </pic:spPr>
                </pic:pic>
              </a:graphicData>
            </a:graphic>
          </wp:inline>
        </w:drawing>
      </w:r>
    </w:p>
    <w:p w14:paraId="0D970873" w14:textId="77777777" w:rsidR="009868FB" w:rsidRDefault="009868FB" w:rsidP="009868FB">
      <w:pPr>
        <w:pStyle w:val="FIGUREposition"/>
      </w:pPr>
      <w:r>
        <w:rPr>
          <w:noProof/>
        </w:rPr>
        <w:drawing>
          <wp:inline distT="0" distB="0" distL="0" distR="0" wp14:anchorId="098D60FF" wp14:editId="0FCEC120">
            <wp:extent cx="5394960" cy="17983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92"/>
                    <a:stretch>
                      <a:fillRect/>
                    </a:stretch>
                  </pic:blipFill>
                  <pic:spPr bwMode="auto">
                    <a:xfrm>
                      <a:off x="0" y="0"/>
                      <a:ext cx="5394960" cy="1798319"/>
                    </a:xfrm>
                    <a:prstGeom prst="rect">
                      <a:avLst/>
                    </a:prstGeom>
                    <a:noFill/>
                    <a:ln>
                      <a:noFill/>
                    </a:ln>
                  </pic:spPr>
                </pic:pic>
              </a:graphicData>
            </a:graphic>
          </wp:inline>
        </w:drawing>
      </w:r>
    </w:p>
    <w:p w14:paraId="762BD8E6" w14:textId="77777777" w:rsidR="009868FB" w:rsidRDefault="009868FB" w:rsidP="009868FB">
      <w:pPr>
        <w:pStyle w:val="FIGUREposition"/>
      </w:pPr>
      <w:r>
        <w:rPr>
          <w:noProof/>
        </w:rPr>
        <w:drawing>
          <wp:inline distT="0" distB="0" distL="0" distR="0" wp14:anchorId="09D39BBB" wp14:editId="160A03C4">
            <wp:extent cx="5394960" cy="179831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93"/>
                    <a:stretch>
                      <a:fillRect/>
                    </a:stretch>
                  </pic:blipFill>
                  <pic:spPr bwMode="auto">
                    <a:xfrm>
                      <a:off x="0" y="0"/>
                      <a:ext cx="5394960" cy="1798319"/>
                    </a:xfrm>
                    <a:prstGeom prst="rect">
                      <a:avLst/>
                    </a:prstGeom>
                    <a:noFill/>
                    <a:ln>
                      <a:noFill/>
                    </a:ln>
                  </pic:spPr>
                </pic:pic>
              </a:graphicData>
            </a:graphic>
          </wp:inline>
        </w:drawing>
      </w:r>
    </w:p>
    <w:p w14:paraId="0B2CE772" w14:textId="1C48C9B6" w:rsidR="009868FB" w:rsidRDefault="009868FB" w:rsidP="009868FB">
      <w:pPr>
        <w:pStyle w:val="FigureCaption"/>
        <w:rPr>
          <w:lang w:eastAsia="zh-TW"/>
        </w:rPr>
      </w:pPr>
      <w:bookmarkStart w:id="285" w:name="_Ref83536982"/>
      <w:bookmarkStart w:id="286" w:name="_Toc11338089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6</w:t>
      </w:r>
      <w:r w:rsidRPr="00F61532">
        <w:rPr>
          <w:lang w:eastAsia="zh-TW"/>
        </w:rPr>
        <w:fldChar w:fldCharType="end"/>
      </w:r>
      <w:bookmarkEnd w:id="285"/>
      <w:r w:rsidRPr="00F61532">
        <w:rPr>
          <w:lang w:eastAsia="zh-TW"/>
        </w:rPr>
        <w:t xml:space="preserve">. Projected annual </w:t>
      </w:r>
      <w:r>
        <w:rPr>
          <w:lang w:eastAsia="zh-TW"/>
        </w:rPr>
        <w:t xml:space="preserve">total runoff </w:t>
      </w:r>
      <w:r w:rsidRPr="00F61532">
        <w:rPr>
          <w:lang w:eastAsia="zh-TW"/>
        </w:rPr>
        <w:t xml:space="preserve">in </w:t>
      </w:r>
      <w:r>
        <w:rPr>
          <w:lang w:eastAsia="zh-TW"/>
        </w:rPr>
        <w:t>the BPA region.</w:t>
      </w:r>
      <w:bookmarkEnd w:id="286"/>
    </w:p>
    <w:p w14:paraId="487826CD" w14:textId="77777777" w:rsidR="00093CC9" w:rsidRDefault="00E863BD" w:rsidP="00093CC9">
      <w:pPr>
        <w:pStyle w:val="FIGUREposition"/>
      </w:pPr>
      <w:r>
        <w:rPr>
          <w:noProof/>
        </w:rPr>
        <w:lastRenderedPageBreak/>
        <w:drawing>
          <wp:inline distT="0" distB="0" distL="0" distR="0" wp14:anchorId="121244D2" wp14:editId="61E6EFA6">
            <wp:extent cx="2743200" cy="18288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3849874" wp14:editId="40D9A296">
            <wp:extent cx="2743200" cy="18288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134A87B6" w14:textId="38EBC883" w:rsidR="00E863BD" w:rsidRDefault="00E863BD" w:rsidP="00093CC9">
      <w:pPr>
        <w:pStyle w:val="FIGUREposition"/>
      </w:pPr>
      <w:r>
        <w:rPr>
          <w:noProof/>
        </w:rPr>
        <w:drawing>
          <wp:inline distT="0" distB="0" distL="0" distR="0" wp14:anchorId="783F257D" wp14:editId="298E13D0">
            <wp:extent cx="2743200" cy="18288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4A9ADF83" wp14:editId="327D9356">
            <wp:extent cx="2743200" cy="18288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2D44FC34" w14:textId="7F87EC72" w:rsidR="00E863BD" w:rsidRDefault="00E863BD" w:rsidP="00E863BD">
      <w:pPr>
        <w:pStyle w:val="FigureCaption"/>
        <w:rPr>
          <w:lang w:eastAsia="zh-TW"/>
        </w:rPr>
      </w:pPr>
      <w:bookmarkStart w:id="287" w:name="_Ref83536995"/>
      <w:bookmarkStart w:id="288" w:name="_Toc113380895"/>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7</w:t>
      </w:r>
      <w:r w:rsidRPr="00F61532">
        <w:rPr>
          <w:lang w:eastAsia="zh-TW"/>
        </w:rPr>
        <w:fldChar w:fldCharType="end"/>
      </w:r>
      <w:bookmarkEnd w:id="287"/>
      <w:r w:rsidRPr="00F61532">
        <w:rPr>
          <w:lang w:eastAsia="zh-TW"/>
        </w:rPr>
        <w:t xml:space="preserve">. Projected change of annual and seasonal </w:t>
      </w:r>
      <w:r>
        <w:rPr>
          <w:lang w:eastAsia="zh-TW"/>
        </w:rPr>
        <w:t xml:space="preserve">total runoff </w:t>
      </w:r>
      <w:r w:rsidRPr="00F61532">
        <w:rPr>
          <w:lang w:eastAsia="zh-TW"/>
        </w:rPr>
        <w:t xml:space="preserve">in </w:t>
      </w:r>
      <w:r>
        <w:rPr>
          <w:lang w:eastAsia="zh-TW"/>
        </w:rPr>
        <w:t>the BPA region.</w:t>
      </w:r>
      <w:bookmarkEnd w:id="288"/>
    </w:p>
    <w:p w14:paraId="05F32C67" w14:textId="5EC873FA" w:rsidR="00BB4DCF" w:rsidRPr="003A1ED6" w:rsidRDefault="00BB4DCF" w:rsidP="00BB4DCF">
      <w:pPr>
        <w:pStyle w:val="BodyText"/>
      </w:pPr>
      <w:r>
        <w:t>Consistent with both historical and future precipitation projections, the interannual variability of total runoff is also high. However, t</w:t>
      </w:r>
      <w:r w:rsidRPr="00C75C6E">
        <w:t xml:space="preserve">he shifts </w:t>
      </w:r>
      <w:r>
        <w:t xml:space="preserve">of </w:t>
      </w:r>
      <w:r w:rsidRPr="00C75C6E">
        <w:t>probability density functions (</w:t>
      </w:r>
      <w:r w:rsidR="00FB1109">
        <w:fldChar w:fldCharType="begin"/>
      </w:r>
      <w:r w:rsidR="00FB1109">
        <w:instrText xml:space="preserve"> REF _Ref83536982 \h </w:instrText>
      </w:r>
      <w:r w:rsidR="00FB1109">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6</w:t>
      </w:r>
      <w:r w:rsidR="00FB1109">
        <w:fldChar w:fldCharType="end"/>
      </w:r>
      <w:r w:rsidRPr="00C75C6E">
        <w:t xml:space="preserve">) suggest that </w:t>
      </w:r>
      <w:r>
        <w:t xml:space="preserve">the </w:t>
      </w:r>
      <w:r w:rsidRPr="00C75C6E">
        <w:t xml:space="preserve">annual runoff </w:t>
      </w:r>
      <w:r>
        <w:t xml:space="preserve">is projected to increase </w:t>
      </w:r>
      <w:r w:rsidRPr="00C75C6E">
        <w:t>in the future period</w:t>
      </w:r>
      <w:r w:rsidR="00F207A1">
        <w:t>,</w:t>
      </w:r>
      <w:r w:rsidRPr="00C75C6E">
        <w:t xml:space="preserve"> </w:t>
      </w:r>
      <w:r>
        <w:t xml:space="preserve">and the distributions are </w:t>
      </w:r>
      <w:r w:rsidRPr="00C75C6E">
        <w:t xml:space="preserve">statistically </w:t>
      </w:r>
      <w:r>
        <w:t>different</w:t>
      </w:r>
      <w:r w:rsidRPr="00C75C6E">
        <w:t>. Additionally</w:t>
      </w:r>
      <w:r>
        <w:t>, t</w:t>
      </w:r>
      <w:r w:rsidRPr="00C75C6E">
        <w:t xml:space="preserve">he </w:t>
      </w:r>
      <w:r>
        <w:t xml:space="preserve">shapes of </w:t>
      </w:r>
      <w:r w:rsidRPr="00C75C6E">
        <w:t>probability density function</w:t>
      </w:r>
      <w:r>
        <w:t>s</w:t>
      </w:r>
      <w:r w:rsidRPr="00C75C6E">
        <w:t xml:space="preserve"> </w:t>
      </w:r>
      <w:r>
        <w:t>in</w:t>
      </w:r>
      <w:r w:rsidRPr="00C75C6E">
        <w:t xml:space="preserve"> all </w:t>
      </w:r>
      <w:r>
        <w:t>BPA</w:t>
      </w:r>
      <w:r w:rsidRPr="00C75C6E">
        <w:t xml:space="preserve"> areas</w:t>
      </w:r>
      <w:r>
        <w:t xml:space="preserve"> are similar, which </w:t>
      </w:r>
      <w:r w:rsidRPr="00C75C6E">
        <w:t>indicat</w:t>
      </w:r>
      <w:r>
        <w:t>es</w:t>
      </w:r>
      <w:r w:rsidRPr="00C75C6E">
        <w:t xml:space="preserve"> that </w:t>
      </w:r>
      <w:r>
        <w:t xml:space="preserve">the range of </w:t>
      </w:r>
      <w:r w:rsidRPr="00C75C6E">
        <w:t xml:space="preserve">interannual variability </w:t>
      </w:r>
      <w:r>
        <w:t xml:space="preserve">of </w:t>
      </w:r>
      <w:r w:rsidRPr="00C75C6E">
        <w:t xml:space="preserve">future </w:t>
      </w:r>
      <w:r>
        <w:t xml:space="preserve">annual </w:t>
      </w:r>
      <w:r w:rsidRPr="00C75C6E">
        <w:t xml:space="preserve">runoff </w:t>
      </w:r>
      <w:r>
        <w:t xml:space="preserve">should generally be similar to </w:t>
      </w:r>
      <w:r w:rsidRPr="00C75C6E">
        <w:t xml:space="preserve">the baseline </w:t>
      </w:r>
      <w:r>
        <w:t>period</w:t>
      </w:r>
      <w:r w:rsidRPr="00C75C6E">
        <w:t xml:space="preserve">. The maximum increase in median annual runoff is projected in the range of </w:t>
      </w:r>
      <w:r>
        <w:t>3.1</w:t>
      </w:r>
      <w:r w:rsidR="00D52840">
        <w:t xml:space="preserve">% to </w:t>
      </w:r>
      <w:r>
        <w:t>6.7</w:t>
      </w:r>
      <w:r w:rsidRPr="00C75C6E">
        <w:t xml:space="preserve">% across all </w:t>
      </w:r>
      <w:r>
        <w:t>BPA</w:t>
      </w:r>
      <w:r w:rsidRPr="00C75C6E">
        <w:t xml:space="preserve"> areas. More specifically, </w:t>
      </w:r>
      <w:r w:rsidRPr="003A1ED6">
        <w:t xml:space="preserve">the median annual runoff is projected to increase </w:t>
      </w:r>
      <w:r>
        <w:t>across</w:t>
      </w:r>
      <w:r w:rsidRPr="003A1ED6">
        <w:t xml:space="preserve"> all study areas in the range of 3.9</w:t>
      </w:r>
      <w:r w:rsidR="00F207A1">
        <w:t xml:space="preserve">% to </w:t>
      </w:r>
      <w:r w:rsidRPr="003A1ED6">
        <w:t>6.5% in the near</w:t>
      </w:r>
      <w:r>
        <w:t>-term</w:t>
      </w:r>
      <w:r w:rsidRPr="003A1ED6">
        <w:t xml:space="preserve"> (2020</w:t>
      </w:r>
      <w:r>
        <w:t>–</w:t>
      </w:r>
      <w:r w:rsidRPr="003A1ED6">
        <w:t>2039) and 1.9</w:t>
      </w:r>
      <w:r w:rsidR="00F207A1">
        <w:t xml:space="preserve">% to </w:t>
      </w:r>
      <w:r w:rsidRPr="003A1ED6">
        <w:t xml:space="preserve">9.4% </w:t>
      </w:r>
      <w:r>
        <w:t xml:space="preserve">in the </w:t>
      </w:r>
      <w:r w:rsidRPr="003A1ED6">
        <w:t>mid</w:t>
      </w:r>
      <w:r>
        <w:t>-term</w:t>
      </w:r>
      <w:r w:rsidRPr="003A1ED6">
        <w:t xml:space="preserve"> (2040</w:t>
      </w:r>
      <w:r>
        <w:t>–</w:t>
      </w:r>
      <w:r w:rsidRPr="003A1ED6">
        <w:t xml:space="preserve">2059) </w:t>
      </w:r>
      <w:r>
        <w:t xml:space="preserve">future </w:t>
      </w:r>
      <w:r w:rsidRPr="003A1ED6">
        <w:t>period</w:t>
      </w:r>
      <w:r>
        <w:t>s</w:t>
      </w:r>
      <w:r w:rsidR="004333E5">
        <w:t xml:space="preserve"> (</w:t>
      </w:r>
      <w:r w:rsidR="004333E5">
        <w:fldChar w:fldCharType="begin"/>
      </w:r>
      <w:r w:rsidR="004333E5">
        <w:instrText xml:space="preserve"> REF _Ref83536995 \h </w:instrText>
      </w:r>
      <w:r w:rsidR="004333E5">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7</w:t>
      </w:r>
      <w:r w:rsidR="004333E5">
        <w:fldChar w:fldCharType="end"/>
      </w:r>
      <w:r w:rsidR="004333E5">
        <w:t>)</w:t>
      </w:r>
      <w:r w:rsidRPr="003A1ED6">
        <w:t xml:space="preserve">. </w:t>
      </w:r>
      <w:r>
        <w:rPr>
          <w:rFonts w:eastAsia="PMingLiU"/>
          <w:lang w:eastAsia="zh-TW"/>
        </w:rPr>
        <w:t>The range of annual runoff change is higher in the mid-term future period</w:t>
      </w:r>
      <w:r w:rsidR="00D52840">
        <w:rPr>
          <w:rFonts w:eastAsia="PMingLiU"/>
          <w:lang w:eastAsia="zh-TW"/>
        </w:rPr>
        <w:t>,</w:t>
      </w:r>
      <w:r>
        <w:rPr>
          <w:rFonts w:eastAsia="PMingLiU"/>
          <w:lang w:eastAsia="zh-TW"/>
        </w:rPr>
        <w:t xml:space="preserve"> indicating greater uncertainties in future runoff projections</w:t>
      </w:r>
      <w:r w:rsidRPr="00C75C6E">
        <w:t>.</w:t>
      </w:r>
    </w:p>
    <w:p w14:paraId="6B1C3077" w14:textId="24D1F40D" w:rsidR="00BB4DCF" w:rsidRDefault="004333E5" w:rsidP="00BB4DCF">
      <w:pPr>
        <w:pStyle w:val="BodyText"/>
      </w:pPr>
      <w:r w:rsidRPr="004831DB">
        <w:rPr>
          <w:rFonts w:eastAsia="PMingLiU"/>
          <w:lang w:eastAsia="zh-TW"/>
        </w:rPr>
        <w:t>At</w:t>
      </w:r>
      <w:r>
        <w:rPr>
          <w:rFonts w:eastAsia="PMingLiU"/>
          <w:lang w:eastAsia="zh-TW"/>
        </w:rPr>
        <w:t xml:space="preserve"> the</w:t>
      </w:r>
      <w:r w:rsidRPr="004831DB">
        <w:rPr>
          <w:rFonts w:eastAsia="PMingLiU"/>
          <w:lang w:eastAsia="zh-TW"/>
        </w:rPr>
        <w:t xml:space="preserve"> seasonal scale, </w:t>
      </w:r>
      <w:r w:rsidRPr="004831DB">
        <w:t>the strongest change</w:t>
      </w:r>
      <w:r>
        <w:t>s</w:t>
      </w:r>
      <w:r w:rsidRPr="004831DB">
        <w:t xml:space="preserve"> projected in </w:t>
      </w:r>
      <w:r>
        <w:t>the BPA region</w:t>
      </w:r>
      <w:r w:rsidRPr="004831DB">
        <w:t xml:space="preserve"> </w:t>
      </w:r>
      <w:r>
        <w:t>are</w:t>
      </w:r>
      <w:r w:rsidRPr="004831DB">
        <w:t xml:space="preserve"> the increase in winter runoff and the decrease in summer runoff (</w:t>
      </w:r>
      <w:r>
        <w:fldChar w:fldCharType="begin"/>
      </w:r>
      <w:r>
        <w:instrText xml:space="preserve"> REF _Ref83536995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7</w:t>
      </w:r>
      <w:r>
        <w:fldChar w:fldCharType="end"/>
      </w:r>
      <w:r w:rsidRPr="004831DB">
        <w:t xml:space="preserve">). </w:t>
      </w:r>
      <w:r>
        <w:t xml:space="preserve">The winter runoff is projected to increase in the range of 16% to 20% in the near-term and 24% to 36% in the mid-term future periods. </w:t>
      </w:r>
      <w:r w:rsidRPr="004831DB">
        <w:t>Increases in spring runoff are also projected in BPA-1, BPA-2</w:t>
      </w:r>
      <w:r>
        <w:t>,</w:t>
      </w:r>
      <w:r w:rsidRPr="004831DB">
        <w:t xml:space="preserve"> and BPA</w:t>
      </w:r>
      <w:r>
        <w:t>-</w:t>
      </w:r>
      <w:r w:rsidRPr="004831DB">
        <w:t xml:space="preserve">3 </w:t>
      </w:r>
      <w:r>
        <w:t xml:space="preserve">in the range of 5.4% to 8.4% in </w:t>
      </w:r>
      <w:r w:rsidR="00C76327">
        <w:t xml:space="preserve">the </w:t>
      </w:r>
      <w:r>
        <w:t xml:space="preserve">near-term and 8% to 12% in </w:t>
      </w:r>
      <w:r w:rsidR="00C76327">
        <w:t xml:space="preserve">the </w:t>
      </w:r>
      <w:r>
        <w:t xml:space="preserve">mid-term future periods. BPA-4 show little to no change in future runoff conditions with </w:t>
      </w:r>
      <w:r w:rsidRPr="004831DB">
        <w:t>a</w:t>
      </w:r>
      <w:r>
        <w:t xml:space="preserve">n </w:t>
      </w:r>
      <w:r w:rsidRPr="004831DB">
        <w:t>increase</w:t>
      </w:r>
      <w:r>
        <w:t xml:space="preserve"> of 0.7%</w:t>
      </w:r>
      <w:r w:rsidRPr="004831DB">
        <w:t xml:space="preserve"> in spring in the near-term </w:t>
      </w:r>
      <w:r>
        <w:t xml:space="preserve">future </w:t>
      </w:r>
      <w:r w:rsidRPr="004831DB">
        <w:t xml:space="preserve">period, but a decrease </w:t>
      </w:r>
      <w:r>
        <w:t xml:space="preserve">of 0.8% </w:t>
      </w:r>
      <w:r w:rsidRPr="004831DB">
        <w:t xml:space="preserve">in </w:t>
      </w:r>
      <w:r>
        <w:t xml:space="preserve">the </w:t>
      </w:r>
      <w:r w:rsidRPr="004831DB">
        <w:t>mid</w:t>
      </w:r>
      <w:r>
        <w:t>-</w:t>
      </w:r>
      <w:r w:rsidRPr="004831DB">
        <w:t xml:space="preserve">term future period. </w:t>
      </w:r>
      <w:r>
        <w:t xml:space="preserve">Summer runoff is projected to decrease across all BPA areas in the range of 3.5% to 6.6% in the near-term and 8.6% to 18% in the mid-term future periods. The trends in winter and summer runoff projections indicate that these changes would be stronger in magnitude in the </w:t>
      </w:r>
      <w:r w:rsidRPr="004831DB">
        <w:t>mid</w:t>
      </w:r>
      <w:r>
        <w:t>-</w:t>
      </w:r>
      <w:r w:rsidRPr="004831DB">
        <w:t xml:space="preserve">term </w:t>
      </w:r>
      <w:r>
        <w:t>future period, although also accompanied with greater uncertainties across all ensemble members. The fall runoff is projected to increase in the range of 1.4% to 7.2% in the near-term and 2.0% to 6.2% in the mid-term future periods.</w:t>
      </w:r>
    </w:p>
    <w:p w14:paraId="789C517C" w14:textId="3E3BFC49" w:rsidR="00F033C9" w:rsidRDefault="00F033C9" w:rsidP="00F033C9">
      <w:pPr>
        <w:pStyle w:val="BodyText"/>
      </w:pPr>
      <w:r w:rsidRPr="003F64F3">
        <w:lastRenderedPageBreak/>
        <w:t xml:space="preserve">These projections could relate to trends already observed in SWE and earlier snowmelt runoff in the region </w:t>
      </w:r>
      <w:r w:rsidRPr="00E559BD">
        <w:t>(Mote et al., 2005</w:t>
      </w:r>
      <w:r>
        <w:t xml:space="preserve"> and 2018</w:t>
      </w:r>
      <w:r w:rsidRPr="00E559BD">
        <w:t>; Stewart et al., 2005)</w:t>
      </w:r>
      <w:r w:rsidRPr="003F64F3">
        <w:t>, accompanied with little to</w:t>
      </w:r>
      <w:r>
        <w:t xml:space="preserve"> </w:t>
      </w:r>
      <w:r w:rsidRPr="003F64F3">
        <w:t xml:space="preserve">no change in summer precipitation </w:t>
      </w:r>
      <w:r>
        <w:t xml:space="preserve">relative to large increases in other seasons, </w:t>
      </w:r>
      <w:r w:rsidRPr="003F64F3">
        <w:t xml:space="preserve">and potentially increasing evapotranspiration due </w:t>
      </w:r>
      <w:r w:rsidRPr="006268D6">
        <w:t xml:space="preserve">to increased temperatures. To further evaluate snow dynamics in the region, </w:t>
      </w:r>
      <w:r>
        <w:t xml:space="preserve">a </w:t>
      </w:r>
      <w:r w:rsidRPr="006268D6">
        <w:t xml:space="preserve">change </w:t>
      </w:r>
      <w:r>
        <w:t>of</w:t>
      </w:r>
      <w:r w:rsidRPr="006268D6">
        <w:t xml:space="preserve"> </w:t>
      </w:r>
      <w:r w:rsidR="003F23A1">
        <w:t>April 1</w:t>
      </w:r>
      <w:r w:rsidRPr="006268D6">
        <w:t xml:space="preserve"> SWE </w:t>
      </w:r>
      <w:r>
        <w:t xml:space="preserve">is presented in </w:t>
      </w:r>
      <w:r>
        <w:fldChar w:fldCharType="begin"/>
      </w:r>
      <w:r>
        <w:instrText xml:space="preserve"> REF _Ref72837791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8</w:t>
      </w:r>
      <w:r>
        <w:fldChar w:fldCharType="end"/>
      </w:r>
      <w:r w:rsidRPr="006268D6">
        <w:t xml:space="preserve">. The change is defined as the percentage difference </w:t>
      </w:r>
      <w:r>
        <w:t xml:space="preserve">of </w:t>
      </w:r>
      <w:r w:rsidR="003F23A1">
        <w:t>April 1</w:t>
      </w:r>
      <w:r w:rsidRPr="006268D6">
        <w:t xml:space="preserve"> SWE</w:t>
      </w:r>
      <w:r w:rsidRPr="003F64F3">
        <w:t xml:space="preserve"> </w:t>
      </w:r>
      <w:r>
        <w:rPr>
          <w:rFonts w:eastAsia="PMingLiU"/>
          <w:lang w:eastAsia="zh-TW"/>
        </w:rPr>
        <w:t>in</w:t>
      </w:r>
      <w:r w:rsidRPr="003F64F3">
        <w:rPr>
          <w:rFonts w:eastAsia="PMingLiU"/>
          <w:lang w:eastAsia="zh-TW"/>
        </w:rPr>
        <w:t xml:space="preserve"> future periods (2020–2039 and 2040–2059) compared </w:t>
      </w:r>
      <w:r>
        <w:rPr>
          <w:rFonts w:eastAsia="PMingLiU"/>
          <w:lang w:eastAsia="zh-TW"/>
        </w:rPr>
        <w:t xml:space="preserve">with </w:t>
      </w:r>
      <w:r w:rsidRPr="003F64F3">
        <w:rPr>
          <w:rFonts w:eastAsia="PMingLiU"/>
          <w:lang w:eastAsia="zh-TW"/>
        </w:rPr>
        <w:t>the baseline period</w:t>
      </w:r>
      <w:r>
        <w:rPr>
          <w:rFonts w:eastAsia="PMingLiU"/>
          <w:lang w:eastAsia="zh-TW"/>
        </w:rPr>
        <w:t xml:space="preserve"> (</w:t>
      </w:r>
      <w:r w:rsidRPr="003F64F3">
        <w:rPr>
          <w:rFonts w:eastAsia="PMingLiU"/>
          <w:lang w:eastAsia="zh-TW"/>
        </w:rPr>
        <w:t>1980–2019</w:t>
      </w:r>
      <w:r>
        <w:rPr>
          <w:rFonts w:eastAsia="PMingLiU"/>
          <w:lang w:eastAsia="zh-TW"/>
        </w:rPr>
        <w:t>)</w:t>
      </w:r>
      <w:r w:rsidRPr="003F64F3">
        <w:t xml:space="preserve">. The changes are summarized for HUC8s </w:t>
      </w:r>
      <w:r>
        <w:t xml:space="preserve">with more significant snowpack (defined as HUC8s with </w:t>
      </w:r>
      <w:r w:rsidRPr="003F64F3">
        <w:t>average 1980</w:t>
      </w:r>
      <w:r>
        <w:t>–</w:t>
      </w:r>
      <w:r w:rsidRPr="003F64F3">
        <w:t xml:space="preserve">2019 </w:t>
      </w:r>
      <w:r>
        <w:t xml:space="preserve">control run </w:t>
      </w:r>
      <w:r w:rsidR="003F23A1">
        <w:t>April 1</w:t>
      </w:r>
      <w:r w:rsidRPr="003F64F3">
        <w:t xml:space="preserve"> SWE greater than 5 mm</w:t>
      </w:r>
      <w:r>
        <w:t>)</w:t>
      </w:r>
      <w:r w:rsidRPr="003F64F3">
        <w:t xml:space="preserve">. The results suggest a strong decrease in ensemble median </w:t>
      </w:r>
      <w:r w:rsidR="003F23A1">
        <w:t>April 1</w:t>
      </w:r>
      <w:r w:rsidRPr="003F64F3">
        <w:t xml:space="preserve"> SWE (</w:t>
      </w:r>
      <w:r>
        <w:fldChar w:fldCharType="begin"/>
      </w:r>
      <w:r>
        <w:instrText xml:space="preserve"> REF _Ref72837791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8</w:t>
      </w:r>
      <w:r>
        <w:fldChar w:fldCharType="end"/>
      </w:r>
      <w:r w:rsidRPr="003F64F3">
        <w:t>, 2020</w:t>
      </w:r>
      <w:r>
        <w:t>–</w:t>
      </w:r>
      <w:r w:rsidRPr="003F64F3">
        <w:t>2059 future to 1980</w:t>
      </w:r>
      <w:r>
        <w:t>–</w:t>
      </w:r>
      <w:r w:rsidRPr="003F64F3">
        <w:t>2019 baseline)</w:t>
      </w:r>
      <w:r>
        <w:t>, with more than half of the HUC8s projecting a decrease of 34% or more</w:t>
      </w:r>
      <w:r w:rsidRPr="003F64F3">
        <w:t xml:space="preserve">. These changes in snow hydrology along with findings from the changes in runoff regimes suggest that more water </w:t>
      </w:r>
      <w:r>
        <w:t xml:space="preserve">being </w:t>
      </w:r>
      <w:r w:rsidRPr="003F64F3">
        <w:t xml:space="preserve">available as runoff during </w:t>
      </w:r>
      <w:r>
        <w:t xml:space="preserve">the </w:t>
      </w:r>
      <w:r w:rsidRPr="003F64F3">
        <w:t>spring may result in lower summer streamflow conditions.</w:t>
      </w:r>
    </w:p>
    <w:p w14:paraId="2C90E76B" w14:textId="77777777" w:rsidR="009868FB" w:rsidRDefault="009868FB" w:rsidP="009868FB">
      <w:pPr>
        <w:pStyle w:val="FIGUREposition"/>
      </w:pPr>
      <w:r>
        <w:rPr>
          <w:noProof/>
        </w:rPr>
        <w:drawing>
          <wp:inline distT="0" distB="0" distL="0" distR="0" wp14:anchorId="0DB0E5BE" wp14:editId="566A6C7C">
            <wp:extent cx="4023360" cy="40233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98"/>
                    <a:stretch>
                      <a:fillRect/>
                    </a:stretch>
                  </pic:blipFill>
                  <pic:spPr bwMode="auto">
                    <a:xfrm>
                      <a:off x="0" y="0"/>
                      <a:ext cx="4023360" cy="4023360"/>
                    </a:xfrm>
                    <a:prstGeom prst="rect">
                      <a:avLst/>
                    </a:prstGeom>
                    <a:noFill/>
                    <a:ln>
                      <a:noFill/>
                    </a:ln>
                  </pic:spPr>
                </pic:pic>
              </a:graphicData>
            </a:graphic>
          </wp:inline>
        </w:drawing>
      </w:r>
    </w:p>
    <w:p w14:paraId="4E0AC192" w14:textId="76AF53E1" w:rsidR="009868FB" w:rsidRDefault="009868FB" w:rsidP="009868FB">
      <w:pPr>
        <w:pStyle w:val="FigureCaption"/>
        <w:rPr>
          <w:lang w:eastAsia="zh-TW"/>
        </w:rPr>
      </w:pPr>
      <w:bookmarkStart w:id="289" w:name="_Ref72837791"/>
      <w:bookmarkStart w:id="290" w:name="_Toc72785153"/>
      <w:bookmarkStart w:id="291" w:name="_Toc11338089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8</w:t>
      </w:r>
      <w:r w:rsidRPr="00F61532">
        <w:rPr>
          <w:lang w:eastAsia="zh-TW"/>
        </w:rPr>
        <w:fldChar w:fldCharType="end"/>
      </w:r>
      <w:bookmarkEnd w:id="289"/>
      <w:r w:rsidRPr="00F61532">
        <w:rPr>
          <w:lang w:eastAsia="zh-TW"/>
        </w:rPr>
        <w:t xml:space="preserve">. Projected change of </w:t>
      </w:r>
      <w:r>
        <w:rPr>
          <w:lang w:eastAsia="zh-TW"/>
        </w:rPr>
        <w:t xml:space="preserve">April 1 SWE </w:t>
      </w:r>
      <w:r w:rsidRPr="00F61532">
        <w:rPr>
          <w:lang w:eastAsia="zh-TW"/>
        </w:rPr>
        <w:t xml:space="preserve">in </w:t>
      </w:r>
      <w:r>
        <w:rPr>
          <w:lang w:eastAsia="zh-TW"/>
        </w:rPr>
        <w:t>the BPA region.</w:t>
      </w:r>
      <w:bookmarkEnd w:id="290"/>
      <w:bookmarkEnd w:id="291"/>
    </w:p>
    <w:p w14:paraId="58D14D1A" w14:textId="51718D16" w:rsidR="00F83F1F" w:rsidRDefault="00F83F1F" w:rsidP="00F83F1F">
      <w:pPr>
        <w:pStyle w:val="BodyText"/>
        <w:rPr>
          <w:color w:val="000000" w:themeColor="text1"/>
          <w:lang w:eastAsia="zh-TW"/>
        </w:rPr>
      </w:pPr>
      <w:r w:rsidRPr="00002F5A">
        <w:rPr>
          <w:color w:val="000000" w:themeColor="text1"/>
          <w:lang w:eastAsia="zh-TW"/>
        </w:rPr>
        <w:t xml:space="preserve">An additional analysis </w:t>
      </w:r>
      <w:r>
        <w:rPr>
          <w:color w:val="000000" w:themeColor="text1"/>
          <w:lang w:eastAsia="zh-TW"/>
        </w:rPr>
        <w:t>of</w:t>
      </w:r>
      <w:r w:rsidRPr="00002F5A">
        <w:rPr>
          <w:color w:val="000000" w:themeColor="text1"/>
          <w:lang w:eastAsia="zh-TW"/>
        </w:rPr>
        <w:t xml:space="preserve"> extreme runoff is shown in</w:t>
      </w:r>
      <w:r w:rsidRPr="00002F5A">
        <w:rPr>
          <w:color w:val="000000" w:themeColor="text1"/>
        </w:rPr>
        <w:t xml:space="preserve"> </w:t>
      </w:r>
      <w:r w:rsidR="006C2B2C">
        <w:rPr>
          <w:color w:val="000000" w:themeColor="text1"/>
        </w:rPr>
        <w:fldChar w:fldCharType="begin"/>
      </w:r>
      <w:r w:rsidR="006C2B2C">
        <w:rPr>
          <w:color w:val="000000" w:themeColor="text1"/>
        </w:rPr>
        <w:instrText xml:space="preserve"> REF _Ref83537083 \h </w:instrText>
      </w:r>
      <w:r w:rsidR="006C2B2C">
        <w:rPr>
          <w:color w:val="000000" w:themeColor="text1"/>
        </w:rPr>
      </w:r>
      <w:r w:rsidR="006C2B2C">
        <w:rPr>
          <w:color w:val="000000" w:themeColor="text1"/>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9</w:t>
      </w:r>
      <w:r w:rsidR="006C2B2C">
        <w:rPr>
          <w:color w:val="000000" w:themeColor="text1"/>
        </w:rPr>
        <w:fldChar w:fldCharType="end"/>
      </w:r>
      <w:r w:rsidRPr="00002F5A">
        <w:rPr>
          <w:color w:val="000000" w:themeColor="text1"/>
          <w:lang w:eastAsia="zh-TW"/>
        </w:rPr>
        <w:t xml:space="preserve">, which presents future changes in ensemble median high runoff (i.e., </w:t>
      </w:r>
      <w:r>
        <w:rPr>
          <w:color w:val="000000" w:themeColor="text1"/>
          <w:lang w:eastAsia="zh-TW"/>
        </w:rPr>
        <w:t>95</w:t>
      </w:r>
      <w:r w:rsidR="00FA458A" w:rsidRPr="00FA458A">
        <w:rPr>
          <w:color w:val="000000" w:themeColor="text1"/>
          <w:lang w:eastAsia="zh-TW"/>
        </w:rPr>
        <w:t>th</w:t>
      </w:r>
      <w:r w:rsidR="000B2A68">
        <w:rPr>
          <w:color w:val="000000" w:themeColor="text1"/>
          <w:lang w:eastAsia="zh-TW"/>
        </w:rPr>
        <w:t xml:space="preserve"> </w:t>
      </w:r>
      <w:r w:rsidRPr="00002F5A">
        <w:rPr>
          <w:color w:val="000000" w:themeColor="text1"/>
          <w:lang w:eastAsia="zh-TW"/>
        </w:rPr>
        <w:t>percentile of daily runoff) and median low runoff (i.e.,</w:t>
      </w:r>
      <w:r>
        <w:rPr>
          <w:color w:val="000000" w:themeColor="text1"/>
          <w:lang w:eastAsia="zh-TW"/>
        </w:rPr>
        <w:t xml:space="preserve"> 5</w:t>
      </w:r>
      <w:r w:rsidR="00FA458A" w:rsidRPr="00FA458A">
        <w:rPr>
          <w:color w:val="000000" w:themeColor="text1"/>
          <w:lang w:eastAsia="zh-TW"/>
        </w:rPr>
        <w:t>th</w:t>
      </w:r>
      <w:r w:rsidR="000B2A68">
        <w:rPr>
          <w:color w:val="000000" w:themeColor="text1"/>
          <w:lang w:eastAsia="zh-TW"/>
        </w:rPr>
        <w:t xml:space="preserve"> </w:t>
      </w:r>
      <w:r w:rsidRPr="00002F5A">
        <w:rPr>
          <w:color w:val="000000" w:themeColor="text1"/>
          <w:lang w:eastAsia="zh-TW"/>
        </w:rPr>
        <w:t xml:space="preserve">percentile </w:t>
      </w:r>
      <w:r>
        <w:rPr>
          <w:color w:val="000000" w:themeColor="text1"/>
          <w:lang w:eastAsia="zh-TW"/>
        </w:rPr>
        <w:t xml:space="preserve">of 7-day average </w:t>
      </w:r>
      <w:r w:rsidRPr="00002F5A">
        <w:rPr>
          <w:color w:val="000000" w:themeColor="text1"/>
          <w:lang w:eastAsia="zh-TW"/>
        </w:rPr>
        <w:t xml:space="preserve">runoff) </w:t>
      </w:r>
      <w:r>
        <w:rPr>
          <w:color w:val="000000" w:themeColor="text1"/>
          <w:lang w:eastAsia="zh-TW"/>
        </w:rPr>
        <w:t>in</w:t>
      </w:r>
      <w:r w:rsidRPr="00002F5A">
        <w:rPr>
          <w:color w:val="000000" w:themeColor="text1"/>
          <w:lang w:eastAsia="zh-TW"/>
        </w:rPr>
        <w:t xml:space="preserve"> both future projection periods. High </w:t>
      </w:r>
      <w:r>
        <w:rPr>
          <w:color w:val="000000" w:themeColor="text1"/>
          <w:lang w:eastAsia="zh-TW"/>
        </w:rPr>
        <w:t>r</w:t>
      </w:r>
      <w:r w:rsidRPr="00002F5A">
        <w:rPr>
          <w:color w:val="000000" w:themeColor="text1"/>
          <w:lang w:eastAsia="zh-TW"/>
        </w:rPr>
        <w:t>unoff is generally projected to increase in both future period</w:t>
      </w:r>
      <w:r>
        <w:rPr>
          <w:color w:val="000000" w:themeColor="text1"/>
          <w:lang w:eastAsia="zh-TW"/>
        </w:rPr>
        <w:t>s</w:t>
      </w:r>
      <w:r w:rsidRPr="00002F5A">
        <w:rPr>
          <w:color w:val="000000" w:themeColor="text1"/>
          <w:lang w:eastAsia="zh-TW"/>
        </w:rPr>
        <w:t xml:space="preserve"> across all BPA </w:t>
      </w:r>
      <w:r>
        <w:rPr>
          <w:color w:val="000000" w:themeColor="text1"/>
          <w:lang w:eastAsia="zh-TW"/>
        </w:rPr>
        <w:t xml:space="preserve">areas </w:t>
      </w:r>
      <w:r w:rsidRPr="00002F5A">
        <w:rPr>
          <w:color w:val="000000" w:themeColor="text1"/>
          <w:lang w:eastAsia="zh-TW"/>
        </w:rPr>
        <w:t xml:space="preserve">except </w:t>
      </w:r>
      <w:r>
        <w:rPr>
          <w:color w:val="000000" w:themeColor="text1"/>
          <w:lang w:eastAsia="zh-TW"/>
        </w:rPr>
        <w:t xml:space="preserve">for </w:t>
      </w:r>
      <w:r w:rsidRPr="00002F5A">
        <w:rPr>
          <w:color w:val="000000" w:themeColor="text1"/>
          <w:lang w:eastAsia="zh-TW"/>
        </w:rPr>
        <w:t>BPA</w:t>
      </w:r>
      <w:r>
        <w:rPr>
          <w:color w:val="000000" w:themeColor="text1"/>
          <w:lang w:eastAsia="zh-TW"/>
        </w:rPr>
        <w:t>-</w:t>
      </w:r>
      <w:r w:rsidRPr="00002F5A">
        <w:rPr>
          <w:color w:val="000000" w:themeColor="text1"/>
          <w:lang w:eastAsia="zh-TW"/>
        </w:rPr>
        <w:t xml:space="preserve">1, </w:t>
      </w:r>
      <w:r>
        <w:rPr>
          <w:color w:val="000000" w:themeColor="text1"/>
          <w:lang w:eastAsia="zh-TW"/>
        </w:rPr>
        <w:t>where</w:t>
      </w:r>
      <w:r w:rsidRPr="00002F5A">
        <w:rPr>
          <w:color w:val="000000" w:themeColor="text1"/>
          <w:lang w:eastAsia="zh-TW"/>
        </w:rPr>
        <w:t xml:space="preserve"> a decrease in high runoff </w:t>
      </w:r>
      <w:r>
        <w:rPr>
          <w:color w:val="000000" w:themeColor="text1"/>
          <w:lang w:eastAsia="zh-TW"/>
        </w:rPr>
        <w:t xml:space="preserve">is projected </w:t>
      </w:r>
      <w:r w:rsidRPr="00002F5A">
        <w:rPr>
          <w:color w:val="000000" w:themeColor="text1"/>
          <w:lang w:eastAsia="zh-TW"/>
        </w:rPr>
        <w:t xml:space="preserve">in </w:t>
      </w:r>
      <w:r>
        <w:rPr>
          <w:color w:val="000000" w:themeColor="text1"/>
          <w:lang w:eastAsia="zh-TW"/>
        </w:rPr>
        <w:t>the mid-term future period</w:t>
      </w:r>
      <w:r w:rsidRPr="00002F5A">
        <w:rPr>
          <w:color w:val="000000" w:themeColor="text1"/>
          <w:lang w:eastAsia="zh-TW"/>
        </w:rPr>
        <w:t xml:space="preserve">. The low runoff is projected to increase in general across all BPA </w:t>
      </w:r>
      <w:r>
        <w:rPr>
          <w:color w:val="000000" w:themeColor="text1"/>
          <w:lang w:eastAsia="zh-TW"/>
        </w:rPr>
        <w:t xml:space="preserve">areas during </w:t>
      </w:r>
      <w:r w:rsidRPr="00002F5A">
        <w:rPr>
          <w:color w:val="000000" w:themeColor="text1"/>
          <w:lang w:eastAsia="zh-TW"/>
        </w:rPr>
        <w:t>both future period</w:t>
      </w:r>
      <w:r>
        <w:rPr>
          <w:color w:val="000000" w:themeColor="text1"/>
          <w:lang w:eastAsia="zh-TW"/>
        </w:rPr>
        <w:t>s</w:t>
      </w:r>
      <w:r w:rsidRPr="00002F5A">
        <w:rPr>
          <w:color w:val="000000" w:themeColor="text1"/>
          <w:lang w:eastAsia="zh-TW"/>
        </w:rPr>
        <w:t>.</w:t>
      </w:r>
      <w:r>
        <w:rPr>
          <w:color w:val="000000" w:themeColor="text1"/>
          <w:lang w:eastAsia="zh-TW"/>
        </w:rPr>
        <w:t xml:space="preserve"> </w:t>
      </w:r>
      <w:r w:rsidRPr="00002F5A">
        <w:rPr>
          <w:color w:val="000000" w:themeColor="text1"/>
          <w:lang w:eastAsia="zh-TW"/>
        </w:rPr>
        <w:t>These results suggest</w:t>
      </w:r>
      <w:r>
        <w:rPr>
          <w:color w:val="000000" w:themeColor="text1"/>
          <w:lang w:eastAsia="zh-TW"/>
        </w:rPr>
        <w:t xml:space="preserve"> an increasing likelihood of more </w:t>
      </w:r>
      <w:r w:rsidRPr="00002F5A">
        <w:rPr>
          <w:color w:val="000000" w:themeColor="text1"/>
          <w:lang w:eastAsia="zh-TW"/>
        </w:rPr>
        <w:t>frequent flood events</w:t>
      </w:r>
      <w:r>
        <w:rPr>
          <w:color w:val="000000" w:themeColor="text1"/>
          <w:lang w:eastAsia="zh-TW"/>
        </w:rPr>
        <w:t xml:space="preserve">, </w:t>
      </w:r>
      <w:r w:rsidRPr="00002F5A">
        <w:rPr>
          <w:rFonts w:eastAsiaTheme="minorEastAsia" w:hint="eastAsia"/>
          <w:color w:val="000000" w:themeColor="text1"/>
          <w:lang w:eastAsia="zh-TW"/>
        </w:rPr>
        <w:t>which</w:t>
      </w:r>
      <w:r w:rsidRPr="00002F5A">
        <w:rPr>
          <w:color w:val="000000" w:themeColor="text1"/>
          <w:lang w:eastAsia="zh-TW"/>
        </w:rPr>
        <w:t xml:space="preserve"> may increase the difficulty of water management in future climate condition</w:t>
      </w:r>
      <w:r>
        <w:rPr>
          <w:color w:val="000000" w:themeColor="text1"/>
          <w:lang w:eastAsia="zh-TW"/>
        </w:rPr>
        <w:t xml:space="preserve">s. The findings from other climate assessments also suggested increased </w:t>
      </w:r>
      <w:r w:rsidR="0018130C">
        <w:rPr>
          <w:color w:val="000000" w:themeColor="text1"/>
          <w:lang w:eastAsia="zh-TW"/>
        </w:rPr>
        <w:t xml:space="preserve">flood risks in the region </w:t>
      </w:r>
      <w:r w:rsidR="0018130C" w:rsidRPr="006318BC">
        <w:rPr>
          <w:color w:val="000000" w:themeColor="text1"/>
          <w:lang w:eastAsia="zh-TW"/>
        </w:rPr>
        <w:t xml:space="preserve">(Salathé </w:t>
      </w:r>
      <w:r w:rsidR="0018130C">
        <w:rPr>
          <w:color w:val="000000" w:themeColor="text1"/>
          <w:lang w:eastAsia="zh-TW"/>
        </w:rPr>
        <w:t xml:space="preserve">Jr. </w:t>
      </w:r>
      <w:r w:rsidR="0018130C" w:rsidRPr="006318BC">
        <w:rPr>
          <w:color w:val="000000" w:themeColor="text1"/>
          <w:lang w:eastAsia="zh-TW"/>
        </w:rPr>
        <w:t xml:space="preserve">et al., 2014; Tohver et al., 2014; </w:t>
      </w:r>
      <w:r w:rsidR="0018130C" w:rsidRPr="00F04910">
        <w:rPr>
          <w:color w:val="000000" w:themeColor="text1"/>
          <w:lang w:eastAsia="zh-TW"/>
        </w:rPr>
        <w:t>Chegwidden</w:t>
      </w:r>
      <w:r w:rsidR="0018130C">
        <w:rPr>
          <w:color w:val="000000" w:themeColor="text1"/>
          <w:lang w:eastAsia="zh-TW"/>
        </w:rPr>
        <w:t xml:space="preserve"> et al., 2020; </w:t>
      </w:r>
      <w:r w:rsidR="0018130C" w:rsidRPr="006318BC">
        <w:rPr>
          <w:color w:val="000000" w:themeColor="text1"/>
          <w:lang w:eastAsia="zh-TW"/>
        </w:rPr>
        <w:t>Wrzesien and Pavelsky, 2020)</w:t>
      </w:r>
      <w:r w:rsidR="0018130C">
        <w:rPr>
          <w:color w:val="000000" w:themeColor="text1"/>
          <w:lang w:eastAsia="zh-TW"/>
        </w:rPr>
        <w:t>.</w:t>
      </w:r>
    </w:p>
    <w:p w14:paraId="45B2B729" w14:textId="77777777" w:rsidR="009868FB" w:rsidRDefault="009868FB" w:rsidP="009868FB">
      <w:pPr>
        <w:pStyle w:val="FIGUREposition"/>
        <w:rPr>
          <w:lang w:eastAsia="zh-TW"/>
        </w:rPr>
      </w:pPr>
      <w:r>
        <w:rPr>
          <w:noProof/>
          <w:lang w:eastAsia="zh-TW"/>
        </w:rPr>
        <w:lastRenderedPageBreak/>
        <w:drawing>
          <wp:inline distT="0" distB="0" distL="0" distR="0" wp14:anchorId="739510F8" wp14:editId="38B8F700">
            <wp:extent cx="5718810" cy="57188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99"/>
                    <a:stretch>
                      <a:fillRect/>
                    </a:stretch>
                  </pic:blipFill>
                  <pic:spPr bwMode="auto">
                    <a:xfrm>
                      <a:off x="0" y="0"/>
                      <a:ext cx="5718810" cy="5718810"/>
                    </a:xfrm>
                    <a:prstGeom prst="rect">
                      <a:avLst/>
                    </a:prstGeom>
                    <a:noFill/>
                    <a:ln>
                      <a:noFill/>
                    </a:ln>
                  </pic:spPr>
                </pic:pic>
              </a:graphicData>
            </a:graphic>
          </wp:inline>
        </w:drawing>
      </w:r>
    </w:p>
    <w:p w14:paraId="74296859" w14:textId="1629C9CB" w:rsidR="009868FB" w:rsidRDefault="009868FB" w:rsidP="009868FB">
      <w:pPr>
        <w:pStyle w:val="FigureCaption"/>
        <w:rPr>
          <w:lang w:eastAsia="zh-TW"/>
        </w:rPr>
      </w:pPr>
      <w:bookmarkStart w:id="292" w:name="_Ref83537083"/>
      <w:bookmarkStart w:id="293" w:name="_Toc113380897"/>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9</w:t>
      </w:r>
      <w:r w:rsidRPr="00F61532">
        <w:rPr>
          <w:lang w:eastAsia="zh-TW"/>
        </w:rPr>
        <w:fldChar w:fldCharType="end"/>
      </w:r>
      <w:bookmarkEnd w:id="292"/>
      <w:r w:rsidRPr="00F61532">
        <w:rPr>
          <w:lang w:eastAsia="zh-TW"/>
        </w:rPr>
        <w:t xml:space="preserve">. Projected change of </w:t>
      </w:r>
      <w:r>
        <w:rPr>
          <w:lang w:eastAsia="zh-TW"/>
        </w:rPr>
        <w:t xml:space="preserve">high and low runoff </w:t>
      </w:r>
      <w:r w:rsidRPr="00F61532">
        <w:rPr>
          <w:lang w:eastAsia="zh-TW"/>
        </w:rPr>
        <w:t xml:space="preserve">in </w:t>
      </w:r>
      <w:r>
        <w:rPr>
          <w:lang w:eastAsia="zh-TW"/>
        </w:rPr>
        <w:t>the BPA region.</w:t>
      </w:r>
      <w:bookmarkEnd w:id="293"/>
    </w:p>
    <w:p w14:paraId="3CDACD8A" w14:textId="2E7EA445" w:rsidR="00F83F1F" w:rsidRDefault="00F83F1F" w:rsidP="00F83F1F">
      <w:pPr>
        <w:pStyle w:val="BodyText"/>
      </w:pPr>
      <w:bookmarkStart w:id="294" w:name="_Hlk76012164"/>
      <w:r>
        <w:rPr>
          <w:color w:val="000000" w:themeColor="text1"/>
          <w:lang w:eastAsia="zh-TW"/>
        </w:rPr>
        <w:t xml:space="preserve">To evaluate the impacts of </w:t>
      </w:r>
      <w:r>
        <w:t>modeling</w:t>
      </w:r>
      <w:r w:rsidRPr="00B81A63">
        <w:t xml:space="preserve"> choices (</w:t>
      </w:r>
      <w:r>
        <w:t>six</w:t>
      </w:r>
      <w:r w:rsidRPr="00B81A63">
        <w:t xml:space="preserve"> </w:t>
      </w:r>
      <w:r>
        <w:t>CMs</w:t>
      </w:r>
      <w:r w:rsidRPr="00B81A63">
        <w:t xml:space="preserve">, </w:t>
      </w:r>
      <w:r>
        <w:t>two</w:t>
      </w:r>
      <w:r w:rsidRPr="00B81A63">
        <w:t xml:space="preserve"> </w:t>
      </w:r>
      <w:r>
        <w:t>DSs</w:t>
      </w:r>
      <w:r w:rsidRPr="00B81A63">
        <w:t xml:space="preserve">, </w:t>
      </w:r>
      <w:r>
        <w:t>two</w:t>
      </w:r>
      <w:r w:rsidRPr="00B81A63">
        <w:t xml:space="preserve"> </w:t>
      </w:r>
      <w:r>
        <w:t>MetFs</w:t>
      </w:r>
      <w:r w:rsidRPr="00B81A63">
        <w:t xml:space="preserve">, </w:t>
      </w:r>
      <w:r>
        <w:t>and two</w:t>
      </w:r>
      <w:r w:rsidRPr="00B81A63">
        <w:t xml:space="preserve"> </w:t>
      </w:r>
      <w:r>
        <w:t>HMs</w:t>
      </w:r>
      <w:r w:rsidRPr="00B81A63">
        <w:t xml:space="preserve">) </w:t>
      </w:r>
      <w:r>
        <w:t xml:space="preserve">on the projection of future runoff in </w:t>
      </w:r>
      <w:r w:rsidRPr="006268D6">
        <w:t xml:space="preserve">each </w:t>
      </w:r>
      <w:r>
        <w:t>BPA</w:t>
      </w:r>
      <w:r w:rsidRPr="006268D6">
        <w:t xml:space="preserve"> area, </w:t>
      </w:r>
      <w:r>
        <w:t xml:space="preserve">an </w:t>
      </w:r>
      <w:r w:rsidRPr="006268D6">
        <w:t xml:space="preserve">ANOVA </w:t>
      </w:r>
      <w:r>
        <w:t xml:space="preserve">was conducted and is illustrated </w:t>
      </w:r>
      <w:r w:rsidRPr="006268D6">
        <w:t xml:space="preserve">in </w:t>
      </w:r>
      <w:r>
        <w:fldChar w:fldCharType="begin"/>
      </w:r>
      <w:r>
        <w:instrText xml:space="preserve"> REF _Ref72837888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10</w:t>
      </w:r>
      <w:r>
        <w:fldChar w:fldCharType="end"/>
      </w:r>
      <w:r w:rsidRPr="006268D6">
        <w:t>. The box</w:t>
      </w:r>
      <w:r>
        <w:t xml:space="preserve"> </w:t>
      </w:r>
      <w:r w:rsidRPr="006268D6">
        <w:t>plots show the magnitude of change (future minus baseline)</w:t>
      </w:r>
      <w:r>
        <w:t xml:space="preserve"> </w:t>
      </w:r>
      <w:r w:rsidRPr="006268D6">
        <w:t xml:space="preserve">in median annual runoff </w:t>
      </w:r>
      <w:r>
        <w:t>across</w:t>
      </w:r>
      <w:r w:rsidRPr="006268D6">
        <w:t xml:space="preserve"> 48 ensemble</w:t>
      </w:r>
      <w:r>
        <w:t xml:space="preserve"> member</w:t>
      </w:r>
      <w:r w:rsidRPr="006268D6">
        <w:t xml:space="preserve">s, grouped by each of the four </w:t>
      </w:r>
      <w:r>
        <w:t xml:space="preserve">modeling choices. The box plots provide a quantitative way to evaluate the range of possible outcomes in runoff response based on different modeling choices. ANOVA results </w:t>
      </w:r>
      <w:r w:rsidRPr="00B81A63">
        <w:t xml:space="preserve">indicate that </w:t>
      </w:r>
      <w:r w:rsidR="00EB13D4">
        <w:t xml:space="preserve">the </w:t>
      </w:r>
      <w:r>
        <w:t xml:space="preserve">CM is </w:t>
      </w:r>
      <w:r w:rsidRPr="00B81A63">
        <w:t xml:space="preserve">generally the </w:t>
      </w:r>
      <w:r w:rsidR="00C753AB">
        <w:t xml:space="preserve">most </w:t>
      </w:r>
      <w:r w:rsidRPr="00B81A63">
        <w:t xml:space="preserve">dominant contributor to the </w:t>
      </w:r>
      <w:r>
        <w:t>total variance of future runoff projections</w:t>
      </w:r>
      <w:r w:rsidRPr="00B81A63">
        <w:t xml:space="preserve">. The contribution of </w:t>
      </w:r>
      <w:r w:rsidR="00EB13D4">
        <w:t xml:space="preserve">the </w:t>
      </w:r>
      <w:r>
        <w:t xml:space="preserve">CM </w:t>
      </w:r>
      <w:r w:rsidRPr="00B81A63">
        <w:t>toward total variance is greater than 50%</w:t>
      </w:r>
      <w:r>
        <w:t xml:space="preserve"> for all BPA areas</w:t>
      </w:r>
      <w:r w:rsidRPr="00B81A63">
        <w:t>.</w:t>
      </w:r>
      <w:r>
        <w:t xml:space="preserve"> For</w:t>
      </w:r>
      <w:r w:rsidRPr="00B81A63">
        <w:t xml:space="preserve"> </w:t>
      </w:r>
      <w:r>
        <w:t>BPA-</w:t>
      </w:r>
      <w:r w:rsidRPr="00B81A63">
        <w:t xml:space="preserve">3 and </w:t>
      </w:r>
      <w:r>
        <w:t>BPA-</w:t>
      </w:r>
      <w:r w:rsidRPr="00B81A63">
        <w:t xml:space="preserve">4, </w:t>
      </w:r>
      <w:r w:rsidR="00EB13D4">
        <w:t xml:space="preserve">the </w:t>
      </w:r>
      <w:r>
        <w:t xml:space="preserve">HM is the </w:t>
      </w:r>
      <w:r w:rsidRPr="00B81A63">
        <w:t>second most dominant factor</w:t>
      </w:r>
      <w:r>
        <w:t>,</w:t>
      </w:r>
      <w:r w:rsidRPr="00B81A63">
        <w:t xml:space="preserve"> </w:t>
      </w:r>
      <w:r>
        <w:t xml:space="preserve">contributing around 42% of total variance for BPA-3 and 28% for BPA-4, indicating that annual </w:t>
      </w:r>
      <w:r w:rsidRPr="00B81A63">
        <w:t xml:space="preserve">runoff response under future conditions </w:t>
      </w:r>
      <w:r>
        <w:t xml:space="preserve">is </w:t>
      </w:r>
      <w:r w:rsidRPr="00B81A63">
        <w:t xml:space="preserve">also sensitive to </w:t>
      </w:r>
      <w:r>
        <w:t xml:space="preserve">the choice </w:t>
      </w:r>
      <w:r w:rsidRPr="00B81A63">
        <w:t xml:space="preserve">of </w:t>
      </w:r>
      <w:r>
        <w:t>HM</w:t>
      </w:r>
      <w:r w:rsidRPr="00B81A63">
        <w:t>.</w:t>
      </w:r>
      <w:r>
        <w:t xml:space="preserve"> For BPA-1, the combination of </w:t>
      </w:r>
      <w:r w:rsidR="00C753AB">
        <w:t xml:space="preserve">the </w:t>
      </w:r>
      <w:r>
        <w:t>CM and DS is the second most dominant factor. At the seasonal scale (</w:t>
      </w:r>
      <w:r>
        <w:rPr>
          <w:color w:val="000000" w:themeColor="text1"/>
        </w:rPr>
        <w:fldChar w:fldCharType="begin"/>
      </w:r>
      <w:r>
        <w:instrText xml:space="preserve"> REF _Ref81739142 \n \h </w:instrText>
      </w:r>
      <w:r>
        <w:rPr>
          <w:color w:val="000000" w:themeColor="text1"/>
        </w:rPr>
      </w:r>
      <w:r>
        <w:rPr>
          <w:color w:val="000000" w:themeColor="text1"/>
        </w:rPr>
        <w:fldChar w:fldCharType="separate"/>
      </w:r>
      <w:r w:rsidR="00EE0BF5">
        <w:t>APPENDIX E</w:t>
      </w:r>
      <w:r>
        <w:rPr>
          <w:color w:val="000000" w:themeColor="text1"/>
        </w:rPr>
        <w:fldChar w:fldCharType="end"/>
      </w:r>
      <w:r>
        <w:t xml:space="preserve">), the ANOVA indicates that factors other than </w:t>
      </w:r>
      <w:r w:rsidR="00EB13D4">
        <w:t xml:space="preserve">the </w:t>
      </w:r>
      <w:r>
        <w:t xml:space="preserve">CM may have stronger impacts than at the annual scale. For instance, although </w:t>
      </w:r>
      <w:r w:rsidR="00EB13D4">
        <w:t xml:space="preserve">the </w:t>
      </w:r>
      <w:r>
        <w:t>CM is still a strong</w:t>
      </w:r>
      <w:r w:rsidRPr="00754545">
        <w:t xml:space="preserve"> contributor to the </w:t>
      </w:r>
      <w:r>
        <w:t xml:space="preserve">total variance (in the range of 39% to 76% during winter and 20.8% to </w:t>
      </w:r>
      <w:r>
        <w:lastRenderedPageBreak/>
        <w:t xml:space="preserve">72.7% during spring), </w:t>
      </w:r>
      <w:r w:rsidRPr="00754545">
        <w:t xml:space="preserve">the contribution from </w:t>
      </w:r>
      <w:r>
        <w:t xml:space="preserve">other modeling choices gains more influence on the spread of runoff projections. For instance, </w:t>
      </w:r>
      <w:r w:rsidR="00EB13D4">
        <w:t xml:space="preserve">the </w:t>
      </w:r>
      <w:r>
        <w:t xml:space="preserve">HM is the </w:t>
      </w:r>
      <w:r w:rsidR="00C753AB">
        <w:t xml:space="preserve">most </w:t>
      </w:r>
      <w:r>
        <w:t xml:space="preserve">dominant contributor in BPA-4 during spring, and </w:t>
      </w:r>
      <w:r w:rsidR="00EB13D4">
        <w:t xml:space="preserve">the </w:t>
      </w:r>
      <w:r>
        <w:t xml:space="preserve">MetF is the </w:t>
      </w:r>
      <w:r w:rsidR="00C753AB">
        <w:t xml:space="preserve">most </w:t>
      </w:r>
      <w:r>
        <w:t xml:space="preserve">dominant contributor in BPA-1 during winter. During summer, factors other than </w:t>
      </w:r>
      <w:r w:rsidR="00EB13D4">
        <w:t xml:space="preserve">the </w:t>
      </w:r>
      <w:r>
        <w:t xml:space="preserve">CM have stronger influences on runoff projections, and </w:t>
      </w:r>
      <w:r w:rsidR="00EB13D4">
        <w:t xml:space="preserve">the </w:t>
      </w:r>
      <w:r>
        <w:t>CM variance contribution decreases to 11% to 39%.</w:t>
      </w:r>
    </w:p>
    <w:p w14:paraId="1618ABD0" w14:textId="77777777" w:rsidR="009868FB" w:rsidRDefault="009868FB" w:rsidP="009868FB">
      <w:pPr>
        <w:pStyle w:val="FIGUREposition"/>
      </w:pPr>
      <w:r>
        <w:rPr>
          <w:noProof/>
        </w:rPr>
        <w:drawing>
          <wp:inline distT="0" distB="0" distL="0" distR="0" wp14:anchorId="24C65400" wp14:editId="679150E0">
            <wp:extent cx="5486400" cy="5217067"/>
            <wp:effectExtent l="0" t="0" r="0"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t="4909"/>
                    <a:stretch/>
                  </pic:blipFill>
                  <pic:spPr bwMode="auto">
                    <a:xfrm>
                      <a:off x="0" y="0"/>
                      <a:ext cx="5486400" cy="5217067"/>
                    </a:xfrm>
                    <a:prstGeom prst="rect">
                      <a:avLst/>
                    </a:prstGeom>
                    <a:noFill/>
                    <a:ln>
                      <a:noFill/>
                    </a:ln>
                    <a:extLst>
                      <a:ext uri="{53640926-AAD7-44D8-BBD7-CCE9431645EC}">
                        <a14:shadowObscured xmlns:a14="http://schemas.microsoft.com/office/drawing/2010/main"/>
                      </a:ext>
                    </a:extLst>
                  </pic:spPr>
                </pic:pic>
              </a:graphicData>
            </a:graphic>
          </wp:inline>
        </w:drawing>
      </w:r>
    </w:p>
    <w:p w14:paraId="4B84127E" w14:textId="2B615550" w:rsidR="009868FB" w:rsidRDefault="009868FB" w:rsidP="009868FB">
      <w:pPr>
        <w:pStyle w:val="FigureCaption"/>
        <w:rPr>
          <w:b w:val="0"/>
        </w:rPr>
      </w:pPr>
      <w:bookmarkStart w:id="295" w:name="_Ref72837888"/>
      <w:bookmarkStart w:id="296" w:name="_Toc113380898"/>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10</w:t>
      </w:r>
      <w:r w:rsidRPr="00F61532">
        <w:rPr>
          <w:lang w:eastAsia="zh-TW"/>
        </w:rPr>
        <w:fldChar w:fldCharType="end"/>
      </w:r>
      <w:bookmarkEnd w:id="295"/>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runoff </w:t>
      </w:r>
      <w:r w:rsidRPr="00F61532">
        <w:rPr>
          <w:lang w:eastAsia="zh-TW"/>
        </w:rPr>
        <w:t xml:space="preserve">in </w:t>
      </w:r>
      <w:r>
        <w:rPr>
          <w:lang w:eastAsia="zh-TW"/>
        </w:rPr>
        <w:t>the BPA region.</w:t>
      </w:r>
      <w:bookmarkEnd w:id="296"/>
    </w:p>
    <w:p w14:paraId="386CA9EB" w14:textId="2A368899" w:rsidR="006F68C8" w:rsidRDefault="006F68C8" w:rsidP="00093CC9">
      <w:pPr>
        <w:pStyle w:val="BodyText"/>
        <w:rPr>
          <w:lang w:eastAsia="zh-CN"/>
        </w:rPr>
      </w:pPr>
      <w:r>
        <w:t>T</w:t>
      </w:r>
      <w:r w:rsidRPr="002E2E19">
        <w:t xml:space="preserve">he </w:t>
      </w:r>
      <w:r>
        <w:t>LEM</w:t>
      </w:r>
      <w:r w:rsidR="009D58A6">
        <w:t>-</w:t>
      </w:r>
      <w:r>
        <w:t xml:space="preserve">simulated reservoir </w:t>
      </w:r>
      <w:r w:rsidRPr="002E2E19">
        <w:t xml:space="preserve">evaporation </w:t>
      </w:r>
      <w:r>
        <w:t xml:space="preserve">ensemble from federal hydropower reservoirs </w:t>
      </w:r>
      <w:r w:rsidRPr="002E2E19">
        <w:t xml:space="preserve">in the </w:t>
      </w:r>
      <w:r>
        <w:t>BPA</w:t>
      </w:r>
      <w:r w:rsidRPr="002E2E19">
        <w:t xml:space="preserve"> region </w:t>
      </w:r>
      <w:r>
        <w:t>is</w:t>
      </w:r>
      <w:r w:rsidRPr="002E2E19">
        <w:t xml:space="preserve"> illustrated in </w:t>
      </w:r>
      <w:r>
        <w:fldChar w:fldCharType="begin"/>
      </w:r>
      <w:r>
        <w:instrText xml:space="preserve"> REF _Ref72837947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11</w:t>
      </w:r>
      <w:r>
        <w:fldChar w:fldCharType="end"/>
      </w:r>
      <w:r>
        <w:t>.</w:t>
      </w:r>
      <w:r w:rsidRPr="002E2E19">
        <w:t xml:space="preserve"> </w:t>
      </w:r>
      <w:r>
        <w:t>The</w:t>
      </w:r>
      <w:r w:rsidRPr="002E2E19">
        <w:t xml:space="preserve"> </w:t>
      </w:r>
      <w:r>
        <w:rPr>
          <w:lang w:eastAsia="zh-CN"/>
        </w:rPr>
        <w:t>blue</w:t>
      </w:r>
      <w:r w:rsidRPr="002E2E19">
        <w:t xml:space="preserve"> lines </w:t>
      </w:r>
      <w:r>
        <w:t xml:space="preserve">show annual reservoir </w:t>
      </w:r>
      <w:r w:rsidRPr="002E2E19">
        <w:t>evaporation</w:t>
      </w:r>
      <w:r>
        <w:t xml:space="preserve"> loss</w:t>
      </w:r>
      <w:r w:rsidRPr="002E2E19">
        <w:t xml:space="preserve"> </w:t>
      </w:r>
      <w:bookmarkStart w:id="297" w:name="_Hlk76012709"/>
      <w:r>
        <w:t>(in units of million acre-f</w:t>
      </w:r>
      <w:r w:rsidR="00357E5F">
        <w:t>ee</w:t>
      </w:r>
      <w:r>
        <w:t xml:space="preserve">t) </w:t>
      </w:r>
      <w:bookmarkEnd w:id="297"/>
      <w:r>
        <w:t>from 24 projections</w:t>
      </w:r>
      <w:r w:rsidDel="00B72B69">
        <w:t xml:space="preserve"> </w:t>
      </w:r>
      <w:r>
        <w:t>that were either bias-corrected or trained by Daymet</w:t>
      </w:r>
      <w:r w:rsidR="00357E5F">
        <w:t>,</w:t>
      </w:r>
      <w:r>
        <w:t xml:space="preserve"> and 24 projections</w:t>
      </w:r>
      <w:r w:rsidDel="00B72B69">
        <w:t xml:space="preserve"> </w:t>
      </w:r>
      <w:r>
        <w:t>that were either bias-corrected or trained by Livneh.</w:t>
      </w:r>
      <w:r w:rsidRPr="002E2E19">
        <w:t xml:space="preserve"> </w:t>
      </w:r>
      <w:r>
        <w:t>The dark blue</w:t>
      </w:r>
      <w:r w:rsidRPr="002E2E19">
        <w:t xml:space="preserve"> </w:t>
      </w:r>
      <w:r>
        <w:t xml:space="preserve">and dark green </w:t>
      </w:r>
      <w:r w:rsidRPr="002E2E19">
        <w:t>line</w:t>
      </w:r>
      <w:r w:rsidR="00357E5F">
        <w:t>s</w:t>
      </w:r>
      <w:r w:rsidRPr="002E2E19">
        <w:t xml:space="preserve"> represen</w:t>
      </w:r>
      <w:r>
        <w:t>t</w:t>
      </w:r>
      <w:r w:rsidRPr="002E2E19">
        <w:t xml:space="preserve"> </w:t>
      </w:r>
      <w:r>
        <w:rPr>
          <w:rFonts w:hint="eastAsia"/>
          <w:lang w:eastAsia="zh-CN"/>
        </w:rPr>
        <w:t>the</w:t>
      </w:r>
      <w:r>
        <w:rPr>
          <w:lang w:eastAsia="zh-CN"/>
        </w:rPr>
        <w:t xml:space="preserve"> </w:t>
      </w:r>
      <w:r>
        <w:t xml:space="preserve">control simulations driven by 1980–2019 Daymet and 1980–2013 Livneh, respectively. </w:t>
      </w:r>
      <w:r>
        <w:rPr>
          <w:rFonts w:hint="eastAsia"/>
          <w:lang w:eastAsia="zh-CN"/>
        </w:rPr>
        <w:t>The</w:t>
      </w:r>
      <w:r>
        <w:rPr>
          <w:lang w:eastAsia="zh-CN"/>
        </w:rPr>
        <w:t xml:space="preserve"> right panel shows the probability density distributions of annual evaporation loss in both baseline (1980–2019) and future (2020–2059) periods.</w:t>
      </w:r>
    </w:p>
    <w:bookmarkEnd w:id="294"/>
    <w:p w14:paraId="0222F504" w14:textId="77777777" w:rsidR="00717E9C" w:rsidRDefault="00717E9C" w:rsidP="00093CC9">
      <w:pPr>
        <w:pStyle w:val="FIGUREposition"/>
      </w:pPr>
      <w:r>
        <w:rPr>
          <w:noProof/>
        </w:rPr>
        <w:lastRenderedPageBreak/>
        <w:drawing>
          <wp:inline distT="0" distB="0" distL="0" distR="0" wp14:anchorId="3218D8AF" wp14:editId="3E3A3684">
            <wp:extent cx="5486393" cy="1828797"/>
            <wp:effectExtent l="0" t="0" r="635" b="63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pic:cNvPicPr>
                      <a:picLocks noChangeAspect="1" noChangeArrowheads="1"/>
                    </pic:cNvPicPr>
                  </pic:nvPicPr>
                  <pic:blipFill>
                    <a:blip r:embed="rId101"/>
                    <a:stretch>
                      <a:fillRect/>
                    </a:stretch>
                  </pic:blipFill>
                  <pic:spPr bwMode="auto">
                    <a:xfrm>
                      <a:off x="0" y="0"/>
                      <a:ext cx="5486393" cy="1828797"/>
                    </a:xfrm>
                    <a:prstGeom prst="rect">
                      <a:avLst/>
                    </a:prstGeom>
                    <a:noFill/>
                    <a:ln>
                      <a:noFill/>
                    </a:ln>
                  </pic:spPr>
                </pic:pic>
              </a:graphicData>
            </a:graphic>
          </wp:inline>
        </w:drawing>
      </w:r>
    </w:p>
    <w:p w14:paraId="121E5E6B" w14:textId="41DC9CF0" w:rsidR="00717E9C" w:rsidRDefault="00717E9C" w:rsidP="00093CC9">
      <w:pPr>
        <w:pStyle w:val="FigureCaption"/>
        <w:rPr>
          <w:b w:val="0"/>
        </w:rPr>
      </w:pPr>
      <w:bookmarkStart w:id="298" w:name="_Ref72837947"/>
      <w:bookmarkStart w:id="299" w:name="_Toc113380899"/>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11</w:t>
      </w:r>
      <w:r w:rsidRPr="00F61532">
        <w:rPr>
          <w:lang w:eastAsia="zh-TW"/>
        </w:rPr>
        <w:fldChar w:fldCharType="end"/>
      </w:r>
      <w:bookmarkEnd w:id="298"/>
      <w:r w:rsidRPr="00F61532">
        <w:rPr>
          <w:lang w:eastAsia="zh-TW"/>
        </w:rPr>
        <w:t xml:space="preserve">. Projected annual </w:t>
      </w:r>
      <w:r>
        <w:rPr>
          <w:lang w:eastAsia="zh-TW"/>
        </w:rPr>
        <w:t xml:space="preserve">total reservoir evaporation </w:t>
      </w:r>
      <w:r w:rsidRPr="00F61532">
        <w:rPr>
          <w:lang w:eastAsia="zh-TW"/>
        </w:rPr>
        <w:t xml:space="preserve">in </w:t>
      </w:r>
      <w:r>
        <w:rPr>
          <w:lang w:eastAsia="zh-TW"/>
        </w:rPr>
        <w:t>the BPA region.</w:t>
      </w:r>
      <w:bookmarkEnd w:id="299"/>
    </w:p>
    <w:p w14:paraId="236F5788" w14:textId="44C79333" w:rsidR="00F83F1F" w:rsidRDefault="00F83F1F" w:rsidP="00246A15">
      <w:pPr>
        <w:pStyle w:val="BodyText"/>
      </w:pPr>
      <w:bookmarkStart w:id="300" w:name="_Hlk76014457"/>
      <w:r w:rsidRPr="00FB4622">
        <w:t>The results are clustered in</w:t>
      </w:r>
      <w:r>
        <w:t>to</w:t>
      </w:r>
      <w:r w:rsidRPr="00FB4622">
        <w:t xml:space="preserve"> two groups</w:t>
      </w:r>
      <w:r>
        <w:t>—</w:t>
      </w:r>
      <w:r w:rsidRPr="00FB4622">
        <w:t>one with higher values</w:t>
      </w:r>
      <w:r>
        <w:t xml:space="preserve"> for </w:t>
      </w:r>
      <w:r w:rsidRPr="00FB4622">
        <w:t xml:space="preserve">the 24 members </w:t>
      </w:r>
      <w:r>
        <w:t xml:space="preserve">that are associated with </w:t>
      </w:r>
      <w:r w:rsidRPr="00FB4622">
        <w:t>Daymet</w:t>
      </w:r>
      <w:r>
        <w:t>,</w:t>
      </w:r>
      <w:r w:rsidRPr="00FB4622">
        <w:t xml:space="preserve"> and </w:t>
      </w:r>
      <w:r>
        <w:t>the other</w:t>
      </w:r>
      <w:r w:rsidRPr="00FB4622">
        <w:t xml:space="preserve"> with lower values</w:t>
      </w:r>
      <w:r>
        <w:t xml:space="preserve"> for </w:t>
      </w:r>
      <w:r w:rsidRPr="00FB4622">
        <w:t xml:space="preserve">the 24 members </w:t>
      </w:r>
      <w:r>
        <w:t xml:space="preserve">that are associated with </w:t>
      </w:r>
      <w:r w:rsidRPr="00FB4622">
        <w:t xml:space="preserve">Livneh. </w:t>
      </w:r>
      <w:r>
        <w:t>Overall, t</w:t>
      </w:r>
      <w:r w:rsidRPr="00FB4622">
        <w:t>he Daymet</w:t>
      </w:r>
      <w:r w:rsidR="005606E5">
        <w:t xml:space="preserve"> data set </w:t>
      </w:r>
      <w:r>
        <w:t xml:space="preserve">suggests </w:t>
      </w:r>
      <w:r w:rsidRPr="00FB4622">
        <w:t>a higher evaporation rate than the Livneh</w:t>
      </w:r>
      <w:r w:rsidR="005606E5">
        <w:t xml:space="preserve"> data set </w:t>
      </w:r>
      <w:r>
        <w:t>in the BPA region</w:t>
      </w:r>
      <w:r w:rsidRPr="00FB4622">
        <w:t xml:space="preserve">. </w:t>
      </w:r>
      <w:r>
        <w:t>The f</w:t>
      </w:r>
      <w:r w:rsidRPr="00FB4622">
        <w:t xml:space="preserve">our key meteorological variables </w:t>
      </w:r>
      <w:r>
        <w:t xml:space="preserve">that </w:t>
      </w:r>
      <w:r w:rsidRPr="00FB4622">
        <w:t>directly affect the evaporation rate</w:t>
      </w:r>
      <w:r>
        <w:t xml:space="preserve"> are</w:t>
      </w:r>
      <w:r w:rsidRPr="00FB4622">
        <w:t xml:space="preserve"> downward radiation, temperature, wind speed, and vapor pressure deficit. Among these, the wind speed differs the most between the two</w:t>
      </w:r>
      <w:r w:rsidR="00D64187">
        <w:t xml:space="preserve"> data sets,</w:t>
      </w:r>
      <w:r w:rsidRPr="00FB4622">
        <w:t xml:space="preserve"> and </w:t>
      </w:r>
      <w:r>
        <w:t>this difference</w:t>
      </w:r>
      <w:r w:rsidRPr="00FB4622">
        <w:t xml:space="preserve"> has the </w:t>
      </w:r>
      <w:r>
        <w:t>largest</w:t>
      </w:r>
      <w:r w:rsidRPr="00FB4622">
        <w:t xml:space="preserve"> impact on the </w:t>
      </w:r>
      <w:r>
        <w:t xml:space="preserve">projected </w:t>
      </w:r>
      <w:r w:rsidRPr="00FB4622">
        <w:t>evaporation rates</w:t>
      </w:r>
      <w:r>
        <w:t xml:space="preserve"> in the BPA region</w:t>
      </w:r>
      <w:r w:rsidRPr="00FB4622">
        <w:t xml:space="preserve">. The </w:t>
      </w:r>
      <w:r>
        <w:t xml:space="preserve">ensemble </w:t>
      </w:r>
      <w:r w:rsidRPr="00FB4622">
        <w:t xml:space="preserve">mean </w:t>
      </w:r>
      <w:r>
        <w:t xml:space="preserve">of the </w:t>
      </w:r>
      <w:r w:rsidRPr="00FB4622">
        <w:t xml:space="preserve">wind speed </w:t>
      </w:r>
      <w:r>
        <w:t xml:space="preserve">that was </w:t>
      </w:r>
      <w:r w:rsidRPr="00FB4622">
        <w:t xml:space="preserve">bias-corrected </w:t>
      </w:r>
      <w:r>
        <w:t>by</w:t>
      </w:r>
      <w:r w:rsidRPr="00FB4622">
        <w:t xml:space="preserve"> </w:t>
      </w:r>
      <w:r>
        <w:t xml:space="preserve">NARR used in </w:t>
      </w:r>
      <w:r w:rsidRPr="00FB4622">
        <w:t>Daymet is about 1</w:t>
      </w:r>
      <w:r>
        <w:t xml:space="preserve"> </w:t>
      </w:r>
      <w:r w:rsidRPr="00FB4622">
        <w:t xml:space="preserve">m/s higher than </w:t>
      </w:r>
      <w:r>
        <w:t>that which was bias-corrected by</w:t>
      </w:r>
      <w:r w:rsidRPr="00FB4622">
        <w:t xml:space="preserve"> </w:t>
      </w:r>
      <w:r>
        <w:t xml:space="preserve">NCEP1 used in </w:t>
      </w:r>
      <w:r w:rsidRPr="00FB4622">
        <w:t>Livneh</w:t>
      </w:r>
      <w:r>
        <w:t>. This difference</w:t>
      </w:r>
      <w:r w:rsidRPr="00FB4622">
        <w:t xml:space="preserve"> </w:t>
      </w:r>
      <w:r>
        <w:t>alone may result in</w:t>
      </w:r>
      <w:r w:rsidRPr="00FB4622">
        <w:t xml:space="preserve"> </w:t>
      </w:r>
      <w:r>
        <w:t xml:space="preserve">a </w:t>
      </w:r>
      <w:r w:rsidRPr="00FB4622">
        <w:t>near</w:t>
      </w:r>
      <w:r>
        <w:t>ly</w:t>
      </w:r>
      <w:r w:rsidRPr="00FB4622">
        <w:t xml:space="preserve"> 0.2</w:t>
      </w:r>
      <w:r>
        <w:t xml:space="preserve"> </w:t>
      </w:r>
      <w:r w:rsidRPr="00FB4622">
        <w:t>mm/d</w:t>
      </w:r>
      <w:r>
        <w:t>ay</w:t>
      </w:r>
      <w:r w:rsidRPr="00FB4622">
        <w:t xml:space="preserve"> </w:t>
      </w:r>
      <w:r>
        <w:t xml:space="preserve">difference in </w:t>
      </w:r>
      <w:r w:rsidRPr="00FB4622">
        <w:t xml:space="preserve">evaporation rate. </w:t>
      </w:r>
      <w:r>
        <w:t xml:space="preserve">Comparisons with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t xml:space="preserve"> wind speed measurements </w:t>
      </w:r>
      <w:r w:rsidR="00202AA6" w:rsidRPr="00202AA6">
        <w:t xml:space="preserve">at Lake Mead and Lake Mohave </w:t>
      </w:r>
      <w:r>
        <w:t xml:space="preserve">(not shown) suggest that </w:t>
      </w:r>
      <w:r w:rsidRPr="00FB4622">
        <w:t xml:space="preserve">the error of </w:t>
      </w:r>
      <w:r>
        <w:t xml:space="preserve">NARR wind speed used in </w:t>
      </w:r>
      <w:r w:rsidRPr="00FB4622">
        <w:t xml:space="preserve">Daymet is relatively small, </w:t>
      </w:r>
      <w:r>
        <w:t>whereas</w:t>
      </w:r>
      <w:r w:rsidRPr="00FB4622">
        <w:t xml:space="preserve"> </w:t>
      </w:r>
      <w:r>
        <w:t>the NCEP1 wind speed used in</w:t>
      </w:r>
      <w:r w:rsidRPr="00FB4622">
        <w:t xml:space="preserve"> Livneh underestimates </w:t>
      </w:r>
      <w:r>
        <w:t>more considerably (Moreo, 2015)</w:t>
      </w:r>
      <w:r w:rsidRPr="00FB4622">
        <w:t>.</w:t>
      </w:r>
      <w:r>
        <w:t xml:space="preserve"> Thus, the Daymet-based evaporation rate projections are more reliable. T</w:t>
      </w:r>
      <w:r w:rsidRPr="00FB4622">
        <w:t xml:space="preserve">he reservoir </w:t>
      </w:r>
      <w:r>
        <w:t xml:space="preserve">evaporation loss also depends on the </w:t>
      </w:r>
      <w:r w:rsidRPr="00FB4622">
        <w:t>projected reservoir area</w:t>
      </w:r>
      <w:r>
        <w:t>,</w:t>
      </w:r>
      <w:r w:rsidRPr="00FB4622">
        <w:t xml:space="preserve"> </w:t>
      </w:r>
      <w:r>
        <w:t>which is inferred from runoff simulated by either VIC or PRMS. T</w:t>
      </w:r>
      <w:r w:rsidRPr="00FB4622">
        <w:t>he</w:t>
      </w:r>
      <w:r>
        <w:t xml:space="preserve"> projected runoff between Daymet and Livneh is not significantly different because</w:t>
      </w:r>
      <w:r w:rsidRPr="00F8632C">
        <w:t xml:space="preserve"> the </w:t>
      </w:r>
      <w:r>
        <w:t>HMs were calibrated separately by both MetFs</w:t>
      </w:r>
      <w:r w:rsidRPr="003F04A1">
        <w:t xml:space="preserve"> against the same USGS WaterWatch</w:t>
      </w:r>
      <w:r w:rsidR="005606E5">
        <w:t xml:space="preserve"> data set </w:t>
      </w:r>
      <w:r w:rsidRPr="003F04A1">
        <w:t xml:space="preserve">(Section </w:t>
      </w:r>
      <w:r>
        <w:fldChar w:fldCharType="begin"/>
      </w:r>
      <w:r>
        <w:instrText xml:space="preserve"> REF _Ref81828856 \n \h </w:instrText>
      </w:r>
      <w:r>
        <w:fldChar w:fldCharType="separate"/>
      </w:r>
      <w:r w:rsidR="00EE0BF5">
        <w:t>2.5.3</w:t>
      </w:r>
      <w:r>
        <w:fldChar w:fldCharType="end"/>
      </w:r>
      <w:r w:rsidRPr="003F04A1">
        <w:t>) to</w:t>
      </w:r>
      <w:r>
        <w:t xml:space="preserve"> minimize the impacts of different meteorological forcings on hydrologic projections</w:t>
      </w:r>
      <w:r w:rsidRPr="00F8632C">
        <w:t xml:space="preserve">. </w:t>
      </w:r>
      <w:r>
        <w:t>In addition, t</w:t>
      </w:r>
      <w:r w:rsidRPr="00F8632C">
        <w:t xml:space="preserve">he </w:t>
      </w:r>
      <w:r>
        <w:t xml:space="preserve">primary </w:t>
      </w:r>
      <w:r w:rsidRPr="00F8632C">
        <w:t xml:space="preserve">reservoir types in </w:t>
      </w:r>
      <w:r>
        <w:t xml:space="preserve">the </w:t>
      </w:r>
      <w:r w:rsidRPr="00F8632C">
        <w:t xml:space="preserve">BPA region are </w:t>
      </w:r>
      <w:r w:rsidR="00110A4A" w:rsidRPr="00F8632C">
        <w:t>Type</w:t>
      </w:r>
      <w:r w:rsidR="00110A4A">
        <w:t xml:space="preserve"> </w:t>
      </w:r>
      <w:r w:rsidRPr="00F8632C">
        <w:t xml:space="preserve">1 and </w:t>
      </w:r>
      <w:r w:rsidR="00110A4A" w:rsidRPr="00F8632C">
        <w:t>Type</w:t>
      </w:r>
      <w:r w:rsidR="00110A4A">
        <w:t> </w:t>
      </w:r>
      <w:r w:rsidRPr="00F8632C">
        <w:t>2 (</w:t>
      </w:r>
      <w:r>
        <w:t>S</w:t>
      </w:r>
      <w:r w:rsidRPr="00F8632C">
        <w:t xml:space="preserve">ection </w:t>
      </w:r>
      <w:r>
        <w:fldChar w:fldCharType="begin"/>
      </w:r>
      <w:r>
        <w:instrText xml:space="preserve"> REF _Ref81828868 \n \h </w:instrText>
      </w:r>
      <w:r>
        <w:fldChar w:fldCharType="separate"/>
      </w:r>
      <w:r w:rsidR="00EE0BF5">
        <w:t>2.7.1</w:t>
      </w:r>
      <w:r>
        <w:fldChar w:fldCharType="end"/>
      </w:r>
      <w:r w:rsidRPr="00F8632C">
        <w:t xml:space="preserve">), </w:t>
      </w:r>
      <w:r>
        <w:t>whose</w:t>
      </w:r>
      <w:r w:rsidRPr="00F8632C">
        <w:t xml:space="preserve"> area </w:t>
      </w:r>
      <w:r>
        <w:t>variations are less sensitive to runoff changes</w:t>
      </w:r>
      <w:r w:rsidRPr="00FB4622">
        <w:t>.</w:t>
      </w:r>
      <w:r w:rsidR="00656FD5" w:rsidRPr="00656FD5">
        <w:t xml:space="preserve"> </w:t>
      </w:r>
      <w:r w:rsidR="00656FD5">
        <w:t xml:space="preserve">For </w:t>
      </w:r>
      <w:r w:rsidR="00656FD5" w:rsidRPr="00145E9E">
        <w:t xml:space="preserve">the </w:t>
      </w:r>
      <w:r w:rsidR="00656FD5">
        <w:t xml:space="preserve">increase of </w:t>
      </w:r>
      <w:r w:rsidR="00656FD5" w:rsidRPr="00145E9E">
        <w:t xml:space="preserve">reservoir evaporation loss, only 3% were </w:t>
      </w:r>
      <w:r w:rsidR="00656FD5" w:rsidRPr="00BE5553">
        <w:t>attributed to</w:t>
      </w:r>
      <w:r w:rsidR="00656FD5" w:rsidRPr="00145E9E">
        <w:t xml:space="preserve"> </w:t>
      </w:r>
      <w:r w:rsidR="00656FD5">
        <w:t xml:space="preserve">changes in </w:t>
      </w:r>
      <w:r w:rsidR="00656FD5" w:rsidRPr="00145E9E">
        <w:t xml:space="preserve">reservoir area, </w:t>
      </w:r>
      <w:r w:rsidR="008B77E4">
        <w:t xml:space="preserve">and </w:t>
      </w:r>
      <w:r w:rsidR="00656FD5" w:rsidRPr="00145E9E">
        <w:t xml:space="preserve">97% were affected by </w:t>
      </w:r>
      <w:r w:rsidR="00656FD5">
        <w:t xml:space="preserve">changes in </w:t>
      </w:r>
      <w:r w:rsidR="00656FD5" w:rsidRPr="00145E9E">
        <w:t>evaporation rate.</w:t>
      </w:r>
    </w:p>
    <w:p w14:paraId="79F66B95" w14:textId="5744E936" w:rsidR="00DC4862" w:rsidRDefault="0083719B" w:rsidP="00246A15">
      <w:pPr>
        <w:pStyle w:val="BodyText"/>
      </w:pPr>
      <w:r>
        <w:t>Nevertheless</w:t>
      </w:r>
      <w:r w:rsidR="003F70C9">
        <w:t xml:space="preserve">, both </w:t>
      </w:r>
      <w:r w:rsidR="003F70C9" w:rsidRPr="003E65AF">
        <w:t xml:space="preserve">reservoir evaporation </w:t>
      </w:r>
      <w:r w:rsidR="003F70C9">
        <w:t xml:space="preserve">groups </w:t>
      </w:r>
      <w:r w:rsidR="003F70C9" w:rsidRPr="003E65AF">
        <w:t xml:space="preserve">show </w:t>
      </w:r>
      <w:r w:rsidR="003F70C9">
        <w:t>the same</w:t>
      </w:r>
      <w:r w:rsidR="003F70C9" w:rsidRPr="003E65AF">
        <w:t xml:space="preserve"> </w:t>
      </w:r>
      <w:r w:rsidR="003F70C9">
        <w:t xml:space="preserve">increasing </w:t>
      </w:r>
      <w:r w:rsidR="003F70C9" w:rsidRPr="003E65AF">
        <w:t>trend</w:t>
      </w:r>
      <w:r w:rsidR="003F70C9">
        <w:t xml:space="preserve"> (as </w:t>
      </w:r>
      <w:r w:rsidR="00082C75">
        <w:t xml:space="preserve">indicated </w:t>
      </w:r>
      <w:r w:rsidR="003F70C9">
        <w:t xml:space="preserve">by the </w:t>
      </w:r>
      <w:r w:rsidR="003F70C9" w:rsidRPr="006056F7">
        <w:rPr>
          <w:lang w:eastAsia="zh-CN"/>
        </w:rPr>
        <w:t xml:space="preserve">two-sample Kolmogorov-Smirnov test performed at </w:t>
      </w:r>
      <w:r w:rsidR="00F61C24">
        <w:rPr>
          <w:lang w:eastAsia="zh-CN"/>
        </w:rPr>
        <w:t xml:space="preserve">the </w:t>
      </w:r>
      <w:r w:rsidR="003F70C9" w:rsidRPr="006056F7">
        <w:rPr>
          <w:lang w:eastAsia="zh-CN"/>
        </w:rPr>
        <w:t>5% significance</w:t>
      </w:r>
      <w:r w:rsidR="003F70C9">
        <w:rPr>
          <w:lang w:eastAsia="zh-CN"/>
        </w:rPr>
        <w:t xml:space="preserve"> level). </w:t>
      </w:r>
      <w:r w:rsidR="003F70C9" w:rsidRPr="003E65AF">
        <w:t>In general, the projected future evaporation volume will increase by about 0.05 MAF from 1980 to 20</w:t>
      </w:r>
      <w:r w:rsidR="003F70C9">
        <w:t>59</w:t>
      </w:r>
      <w:r w:rsidR="003F70C9" w:rsidRPr="003E65AF">
        <w:t>, with an average</w:t>
      </w:r>
      <w:r w:rsidR="003F70C9">
        <w:t xml:space="preserve"> </w:t>
      </w:r>
      <w:r w:rsidR="003F70C9" w:rsidRPr="003E65AF">
        <w:t xml:space="preserve">growth of nearly 5% over the </w:t>
      </w:r>
      <w:r w:rsidR="003F70C9">
        <w:t>entire</w:t>
      </w:r>
      <w:r w:rsidR="003F70C9" w:rsidRPr="003E65AF">
        <w:t xml:space="preserve"> period. </w:t>
      </w:r>
      <w:r w:rsidR="00421776">
        <w:t xml:space="preserve">In </w:t>
      </w:r>
      <w:r w:rsidR="003F70C9">
        <w:t xml:space="preserve">the BPA region, </w:t>
      </w:r>
      <w:r w:rsidR="003F70C9" w:rsidRPr="003E65AF">
        <w:t>the main reason for the vast evaporation loss in the future is the increase</w:t>
      </w:r>
      <w:r w:rsidR="003F70C9">
        <w:t>d</w:t>
      </w:r>
      <w:r w:rsidR="003F70C9" w:rsidRPr="003E65AF">
        <w:t xml:space="preserve"> evaporation rate</w:t>
      </w:r>
      <w:r>
        <w:t>;</w:t>
      </w:r>
      <w:r w:rsidR="003F70C9">
        <w:t xml:space="preserve"> the </w:t>
      </w:r>
      <w:r w:rsidR="003F70C9" w:rsidRPr="003E65AF">
        <w:t xml:space="preserve">projected reservoir area in </w:t>
      </w:r>
      <w:r w:rsidR="003F70C9">
        <w:t>this</w:t>
      </w:r>
      <w:r w:rsidR="003F70C9" w:rsidRPr="003E65AF">
        <w:t xml:space="preserve"> region w</w:t>
      </w:r>
      <w:r w:rsidR="003F70C9">
        <w:t>ill</w:t>
      </w:r>
      <w:r w:rsidR="003F70C9" w:rsidRPr="003E65AF">
        <w:t xml:space="preserve"> not </w:t>
      </w:r>
      <w:r w:rsidR="003F70C9">
        <w:t>change</w:t>
      </w:r>
      <w:r w:rsidR="003F70C9" w:rsidRPr="003E65AF">
        <w:t xml:space="preserve"> much in the </w:t>
      </w:r>
      <w:r w:rsidR="00E96098" w:rsidRPr="003E65AF">
        <w:t>future.</w:t>
      </w:r>
      <w:r w:rsidR="00E96098">
        <w:t xml:space="preserve"> However, such projected loss</w:t>
      </w:r>
      <w:r w:rsidR="00746870">
        <w:t>es</w:t>
      </w:r>
      <w:r w:rsidR="00E96098">
        <w:t xml:space="preserve"> </w:t>
      </w:r>
      <w:r w:rsidR="00746870">
        <w:t xml:space="preserve">are </w:t>
      </w:r>
      <w:r w:rsidR="00DA4538">
        <w:t xml:space="preserve">much smaller </w:t>
      </w:r>
      <w:r w:rsidR="00E96098">
        <w:t xml:space="preserve">when compared </w:t>
      </w:r>
      <w:r w:rsidR="009F5B6E">
        <w:t xml:space="preserve">with </w:t>
      </w:r>
      <w:r w:rsidR="00DA4538">
        <w:t xml:space="preserve">the total </w:t>
      </w:r>
      <w:r w:rsidR="00E96098">
        <w:t xml:space="preserve">annual runoff </w:t>
      </w:r>
      <w:r w:rsidR="00A35465">
        <w:t>in the BPA region</w:t>
      </w:r>
      <w:r w:rsidR="009F5B6E">
        <w:t>—</w:t>
      </w:r>
      <w:r w:rsidR="00E96098">
        <w:t>runoff that is likely to increase over time.</w:t>
      </w:r>
    </w:p>
    <w:p w14:paraId="6B72540C" w14:textId="2C6EC59B" w:rsidR="00E96098" w:rsidRDefault="00E96098" w:rsidP="00246A15">
      <w:pPr>
        <w:pStyle w:val="BodyText"/>
      </w:pPr>
      <w:bookmarkStart w:id="301" w:name="_Hlk80020903"/>
      <w:bookmarkEnd w:id="300"/>
      <w:r w:rsidRPr="003E65AF">
        <w:t xml:space="preserve">The annual and seasonal changes of </w:t>
      </w:r>
      <w:r w:rsidR="009E016A">
        <w:t xml:space="preserve">monthly </w:t>
      </w:r>
      <w:r w:rsidRPr="003E65AF">
        <w:t xml:space="preserve">reservoir evaporation </w:t>
      </w:r>
      <w:r>
        <w:t>loss</w:t>
      </w:r>
      <w:r w:rsidRPr="003E65AF">
        <w:t xml:space="preserve"> </w:t>
      </w:r>
      <w:r>
        <w:t>(in units of thousand acre-f</w:t>
      </w:r>
      <w:r w:rsidR="006A498C">
        <w:t>ee</w:t>
      </w:r>
      <w:r>
        <w:t>t</w:t>
      </w:r>
      <w:r w:rsidR="009E016A">
        <w:t xml:space="preserve"> per month</w:t>
      </w:r>
      <w:r>
        <w:t xml:space="preserve">) </w:t>
      </w:r>
      <w:r w:rsidRPr="003E65AF">
        <w:t xml:space="preserve">in the BPA region </w:t>
      </w:r>
      <w:r>
        <w:t>are depicted</w:t>
      </w:r>
      <w:r w:rsidRPr="003E65AF">
        <w:t xml:space="preserve"> in </w:t>
      </w:r>
      <w:r w:rsidR="00967527">
        <w:fldChar w:fldCharType="begin"/>
      </w:r>
      <w:r w:rsidR="00967527">
        <w:instrText xml:space="preserve"> REF _Ref72837996 \h </w:instrText>
      </w:r>
      <w:r w:rsidR="00967527">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12</w:t>
      </w:r>
      <w:r w:rsidR="00967527">
        <w:fldChar w:fldCharType="end"/>
      </w:r>
      <w:r w:rsidRPr="003E65AF">
        <w:t>.</w:t>
      </w:r>
      <w:r>
        <w:t xml:space="preserve"> In</w:t>
      </w:r>
      <w:r w:rsidRPr="003E65AF">
        <w:t xml:space="preserve">creasing reservoir evaporation is persistent in both </w:t>
      </w:r>
      <w:r>
        <w:t xml:space="preserve">the </w:t>
      </w:r>
      <w:r w:rsidRPr="003E65AF">
        <w:t>near-</w:t>
      </w:r>
      <w:r>
        <w:t xml:space="preserve">term </w:t>
      </w:r>
      <w:r w:rsidRPr="003E65AF">
        <w:t xml:space="preserve">(2020–2039) and </w:t>
      </w:r>
      <w:r>
        <w:t>mid-term</w:t>
      </w:r>
      <w:r w:rsidRPr="003E65AF">
        <w:t xml:space="preserve"> (2040–2059) future periods</w:t>
      </w:r>
      <w:r>
        <w:t xml:space="preserve"> </w:t>
      </w:r>
      <w:r w:rsidRPr="00AD27A0">
        <w:t>with respect to the baseline period (1980</w:t>
      </w:r>
      <w:r>
        <w:t>–</w:t>
      </w:r>
      <w:r w:rsidRPr="00AD27A0">
        <w:t>2019)</w:t>
      </w:r>
      <w:r w:rsidRPr="003E65AF">
        <w:t xml:space="preserve">. </w:t>
      </w:r>
      <w:r>
        <w:t xml:space="preserve">More specifically, the ensemble median of annual evaporation loss is projected to increase </w:t>
      </w:r>
      <w:r w:rsidR="009F5B6E">
        <w:t xml:space="preserve">by </w:t>
      </w:r>
      <w:r w:rsidR="009E016A">
        <w:t>2.7</w:t>
      </w:r>
      <w:r>
        <w:t xml:space="preserve"> KAF</w:t>
      </w:r>
      <w:r w:rsidR="009E016A">
        <w:t>/month</w:t>
      </w:r>
      <w:r>
        <w:t xml:space="preserve"> in the near-term and </w:t>
      </w:r>
      <w:r w:rsidR="009E016A">
        <w:t>5</w:t>
      </w:r>
      <w:r>
        <w:t xml:space="preserve"> KAF</w:t>
      </w:r>
      <w:r w:rsidR="009E016A">
        <w:t>/month</w:t>
      </w:r>
      <w:r>
        <w:t xml:space="preserve"> in the mid-term future periods. At the seasonal scale, evaporation losses in all four seasons are projected to increase in both near-term and mid-term future periods. T</w:t>
      </w:r>
      <w:r w:rsidRPr="003E65AF">
        <w:t xml:space="preserve">he </w:t>
      </w:r>
      <w:r>
        <w:t xml:space="preserve">ensemble median of winter and spring reservoir </w:t>
      </w:r>
      <w:r w:rsidRPr="003E65AF">
        <w:t xml:space="preserve">evaporation </w:t>
      </w:r>
      <w:r>
        <w:t xml:space="preserve">loss is projected to increase by about </w:t>
      </w:r>
      <w:r w:rsidR="009E016A">
        <w:t>1</w:t>
      </w:r>
      <w:r>
        <w:t xml:space="preserve"> KAF</w:t>
      </w:r>
      <w:r w:rsidR="009E016A">
        <w:t>/month</w:t>
      </w:r>
      <w:r w:rsidRPr="003E65AF">
        <w:t xml:space="preserve"> </w:t>
      </w:r>
      <w:r>
        <w:t xml:space="preserve">in the near-term future period, and around </w:t>
      </w:r>
      <w:r w:rsidR="009E016A">
        <w:t>3</w:t>
      </w:r>
      <w:r>
        <w:t xml:space="preserve"> KAF</w:t>
      </w:r>
      <w:r w:rsidR="009E016A">
        <w:t>/month</w:t>
      </w:r>
      <w:r>
        <w:t xml:space="preserve"> in the mid-term </w:t>
      </w:r>
      <w:r>
        <w:lastRenderedPageBreak/>
        <w:t xml:space="preserve">future period. Both changes are </w:t>
      </w:r>
      <w:r w:rsidRPr="003E65AF">
        <w:t>relatively low</w:t>
      </w:r>
      <w:r>
        <w:t>,</w:t>
      </w:r>
      <w:r w:rsidRPr="003E65AF">
        <w:t xml:space="preserve"> with </w:t>
      </w:r>
      <w:r>
        <w:t>small</w:t>
      </w:r>
      <w:r w:rsidRPr="003E65AF">
        <w:t xml:space="preserve"> ensemble variability. </w:t>
      </w:r>
      <w:r>
        <w:t xml:space="preserve">The ensemble median of summer and fall reservoir evaporation loss is estimated to increase more </w:t>
      </w:r>
      <w:r w:rsidR="00AD016F" w:rsidRPr="24734F88">
        <w:rPr>
          <w:lang w:eastAsia="zh-CN"/>
        </w:rPr>
        <w:t>substantially</w:t>
      </w:r>
      <w:r w:rsidR="00AD016F">
        <w:rPr>
          <w:lang w:eastAsia="zh-CN"/>
        </w:rPr>
        <w:t xml:space="preserve"> </w:t>
      </w:r>
      <w:r w:rsidR="009F5B6E">
        <w:t xml:space="preserve">by </w:t>
      </w:r>
      <w:r w:rsidR="009E016A">
        <w:t>5</w:t>
      </w:r>
      <w:r w:rsidR="009F5B6E">
        <w:t xml:space="preserve"> KAF</w:t>
      </w:r>
      <w:r w:rsidR="009E016A">
        <w:t>/month</w:t>
      </w:r>
      <w:r>
        <w:t xml:space="preserve"> </w:t>
      </w:r>
      <w:r w:rsidR="009F5B6E">
        <w:t xml:space="preserve">in the near-term </w:t>
      </w:r>
      <w:r>
        <w:t xml:space="preserve">and </w:t>
      </w:r>
      <w:r w:rsidR="009E016A">
        <w:t>6</w:t>
      </w:r>
      <w:r>
        <w:t>–</w:t>
      </w:r>
      <w:r w:rsidR="009E016A">
        <w:t>7</w:t>
      </w:r>
      <w:r>
        <w:t xml:space="preserve"> KAF</w:t>
      </w:r>
      <w:r w:rsidR="009E016A">
        <w:t>/month</w:t>
      </w:r>
      <w:r>
        <w:t xml:space="preserve"> in the mid-term future periods. This </w:t>
      </w:r>
      <w:r w:rsidR="009F5B6E">
        <w:t xml:space="preserve">increase </w:t>
      </w:r>
      <w:r>
        <w:t xml:space="preserve">is </w:t>
      </w:r>
      <w:r w:rsidRPr="003165CD">
        <w:t xml:space="preserve">likely </w:t>
      </w:r>
      <w:r w:rsidR="009F5B6E">
        <w:t>caused by</w:t>
      </w:r>
      <w:r w:rsidRPr="003165CD">
        <w:t xml:space="preserve"> a more </w:t>
      </w:r>
      <w:r w:rsidR="00AD016F" w:rsidRPr="24734F88">
        <w:rPr>
          <w:lang w:eastAsia="zh-CN"/>
        </w:rPr>
        <w:t>substantial</w:t>
      </w:r>
      <w:r w:rsidR="00AD016F">
        <w:rPr>
          <w:lang w:eastAsia="zh-CN"/>
        </w:rPr>
        <w:t xml:space="preserve"> </w:t>
      </w:r>
      <w:r w:rsidRPr="003165CD">
        <w:t>temperature increase in both seasons.</w:t>
      </w:r>
      <w:r>
        <w:t xml:space="preserve"> In addition, sensitivity tests suggest that for the same amount of temperature increase, evaporation rate during the warm seasons (summer and fall) will increase more than during the cold seasons (winter and spring)</w:t>
      </w:r>
      <w:r w:rsidRPr="003E65AF">
        <w:t>.</w:t>
      </w:r>
      <w:r>
        <w:t xml:space="preserve"> </w:t>
      </w:r>
      <w:r w:rsidR="006A498C">
        <w:t>However</w:t>
      </w:r>
      <w:r>
        <w:t xml:space="preserve">, these losses are orders of magnitude smaller than the large </w:t>
      </w:r>
      <w:r w:rsidR="002E2A0E">
        <w:t xml:space="preserve">total </w:t>
      </w:r>
      <w:r>
        <w:t xml:space="preserve">runoff </w:t>
      </w:r>
      <w:r w:rsidR="002E2A0E">
        <w:t xml:space="preserve">volume </w:t>
      </w:r>
      <w:r>
        <w:t>in the BPA</w:t>
      </w:r>
      <w:r w:rsidR="002E2A0E">
        <w:t xml:space="preserve"> region</w:t>
      </w:r>
      <w:r>
        <w:t>.</w:t>
      </w:r>
    </w:p>
    <w:bookmarkEnd w:id="301"/>
    <w:p w14:paraId="11422545" w14:textId="77777777" w:rsidR="00E96098" w:rsidRDefault="00E96098" w:rsidP="00246A15">
      <w:pPr>
        <w:pStyle w:val="FIGUREposition"/>
      </w:pPr>
      <w:r>
        <w:rPr>
          <w:noProof/>
        </w:rPr>
        <w:drawing>
          <wp:inline distT="0" distB="0" distL="0" distR="0" wp14:anchorId="45E79A0D" wp14:editId="74A6C524">
            <wp:extent cx="2743200" cy="18288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a:picLocks noChangeAspect="1" noChangeArrowheads="1"/>
                    </pic:cNvPicPr>
                  </pic:nvPicPr>
                  <pic:blipFill>
                    <a:blip r:embed="rId102"/>
                    <a:stretch>
                      <a:fillRect/>
                    </a:stretch>
                  </pic:blipFill>
                  <pic:spPr bwMode="auto">
                    <a:xfrm>
                      <a:off x="0" y="0"/>
                      <a:ext cx="2743200" cy="1828800"/>
                    </a:xfrm>
                    <a:prstGeom prst="rect">
                      <a:avLst/>
                    </a:prstGeom>
                    <a:noFill/>
                    <a:ln>
                      <a:noFill/>
                    </a:ln>
                  </pic:spPr>
                </pic:pic>
              </a:graphicData>
            </a:graphic>
          </wp:inline>
        </w:drawing>
      </w:r>
    </w:p>
    <w:p w14:paraId="319C7879" w14:textId="4541D876" w:rsidR="00E96098" w:rsidRDefault="00E96098" w:rsidP="00E96098">
      <w:pPr>
        <w:pStyle w:val="FigureCaption"/>
        <w:rPr>
          <w:lang w:eastAsia="zh-TW"/>
        </w:rPr>
      </w:pPr>
      <w:bookmarkStart w:id="302" w:name="_Ref72837996"/>
      <w:bookmarkStart w:id="303" w:name="_Toc113380900"/>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12</w:t>
      </w:r>
      <w:r w:rsidRPr="00F61532">
        <w:rPr>
          <w:lang w:eastAsia="zh-TW"/>
        </w:rPr>
        <w:fldChar w:fldCharType="end"/>
      </w:r>
      <w:bookmarkEnd w:id="302"/>
      <w:r w:rsidRPr="00F61532">
        <w:rPr>
          <w:lang w:eastAsia="zh-TW"/>
        </w:rPr>
        <w:t xml:space="preserve">. Projected change of annual and seasonal </w:t>
      </w:r>
      <w:r>
        <w:rPr>
          <w:lang w:eastAsia="zh-TW"/>
        </w:rPr>
        <w:t xml:space="preserve">total reservoir evaporation </w:t>
      </w:r>
      <w:r w:rsidRPr="00F61532">
        <w:rPr>
          <w:lang w:eastAsia="zh-TW"/>
        </w:rPr>
        <w:t xml:space="preserve">in </w:t>
      </w:r>
      <w:r>
        <w:rPr>
          <w:lang w:eastAsia="zh-TW"/>
        </w:rPr>
        <w:t>the BPA region.</w:t>
      </w:r>
      <w:bookmarkEnd w:id="303"/>
    </w:p>
    <w:p w14:paraId="0B55367F" w14:textId="2348EA1A" w:rsidR="00E96098" w:rsidRDefault="00E96098" w:rsidP="00E96098">
      <w:pPr>
        <w:pStyle w:val="BodyText"/>
      </w:pPr>
      <w:r>
        <w:rPr>
          <w:rFonts w:eastAsia="PMingLiU"/>
          <w:lang w:eastAsia="zh-TW"/>
        </w:rPr>
        <w:t xml:space="preserve">The source of variance in the projected annual </w:t>
      </w:r>
      <w:r w:rsidRPr="00434DEB">
        <w:t xml:space="preserve">reservoir evaporation loss </w:t>
      </w:r>
      <w:r>
        <w:t xml:space="preserve">from </w:t>
      </w:r>
      <w:r w:rsidRPr="00434DEB">
        <w:t xml:space="preserve">federal </w:t>
      </w:r>
      <w:r>
        <w:t xml:space="preserve">hydropower </w:t>
      </w:r>
      <w:r w:rsidRPr="00434DEB">
        <w:t>reservoir</w:t>
      </w:r>
      <w:r>
        <w:t>s</w:t>
      </w:r>
      <w:r w:rsidRPr="00434DEB">
        <w:t xml:space="preserve"> </w:t>
      </w:r>
      <w:r>
        <w:t xml:space="preserve">in the BPA region </w:t>
      </w:r>
      <w:r>
        <w:rPr>
          <w:rFonts w:eastAsia="PMingLiU"/>
          <w:lang w:eastAsia="zh-TW"/>
        </w:rPr>
        <w:t xml:space="preserve">is shown in </w:t>
      </w:r>
      <w:r>
        <w:fldChar w:fldCharType="begin"/>
      </w:r>
      <w:r>
        <w:instrText xml:space="preserve"> REF _Ref74124114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13</w:t>
      </w:r>
      <w:r>
        <w:fldChar w:fldCharType="end"/>
      </w:r>
      <w:r w:rsidRPr="00434DEB">
        <w:t xml:space="preserve">. </w:t>
      </w:r>
      <w:r w:rsidRPr="006268D6">
        <w:t>The box</w:t>
      </w:r>
      <w:r w:rsidR="005610E7">
        <w:t xml:space="preserve"> </w:t>
      </w:r>
      <w:r w:rsidRPr="006268D6">
        <w:t>plots show the magnitude of change (future minus baseline)</w:t>
      </w:r>
      <w:r>
        <w:t xml:space="preserve"> </w:t>
      </w:r>
      <w:r w:rsidRPr="006268D6">
        <w:t xml:space="preserve">in median annual </w:t>
      </w:r>
      <w:r w:rsidRPr="00434DEB">
        <w:t xml:space="preserve">reservoir </w:t>
      </w:r>
      <w:r>
        <w:t>evaporation loss</w:t>
      </w:r>
      <w:r w:rsidRPr="006268D6">
        <w:t xml:space="preserve"> </w:t>
      </w:r>
      <w:r>
        <w:t>across</w:t>
      </w:r>
      <w:r w:rsidRPr="006268D6">
        <w:t xml:space="preserve"> 48 ensemble</w:t>
      </w:r>
      <w:r>
        <w:t xml:space="preserve"> member</w:t>
      </w:r>
      <w:r w:rsidRPr="006268D6">
        <w:t xml:space="preserve">s, grouped by each of the four </w:t>
      </w:r>
      <w:r>
        <w:t>modeling choices</w:t>
      </w:r>
      <w:r w:rsidRPr="00434DEB">
        <w:t xml:space="preserve"> (CM, DS, MetF, and HM). The bottom panel shows the portion of variance from the ANOVA for each modeling choice</w:t>
      </w:r>
      <w:r w:rsidRPr="00814C0B">
        <w:t>.</w:t>
      </w:r>
    </w:p>
    <w:p w14:paraId="58EF7775" w14:textId="77777777" w:rsidR="009868FB" w:rsidRDefault="009868FB" w:rsidP="009868FB">
      <w:pPr>
        <w:pStyle w:val="FIGUREposition"/>
      </w:pPr>
      <w:r>
        <w:rPr>
          <w:noProof/>
        </w:rPr>
        <w:drawing>
          <wp:inline distT="0" distB="0" distL="0" distR="0" wp14:anchorId="606C60AE" wp14:editId="38C5E8A0">
            <wp:extent cx="3657600" cy="3366655"/>
            <wp:effectExtent l="0" t="0" r="0" b="571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pic:cNvPicPr>
                      <a:picLocks noChangeAspect="1" noChangeArrowheads="1"/>
                    </pic:cNvPicPr>
                  </pic:nvPicPr>
                  <pic:blipFill rotWithShape="1">
                    <a:blip r:embed="rId103"/>
                    <a:srcRect t="7955"/>
                    <a:stretch/>
                  </pic:blipFill>
                  <pic:spPr bwMode="auto">
                    <a:xfrm>
                      <a:off x="0" y="0"/>
                      <a:ext cx="3657600" cy="3366655"/>
                    </a:xfrm>
                    <a:prstGeom prst="rect">
                      <a:avLst/>
                    </a:prstGeom>
                    <a:noFill/>
                    <a:ln>
                      <a:noFill/>
                    </a:ln>
                    <a:extLst>
                      <a:ext uri="{53640926-AAD7-44D8-BBD7-CCE9431645EC}">
                        <a14:shadowObscured xmlns:a14="http://schemas.microsoft.com/office/drawing/2010/main"/>
                      </a:ext>
                    </a:extLst>
                  </pic:spPr>
                </pic:pic>
              </a:graphicData>
            </a:graphic>
          </wp:inline>
        </w:drawing>
      </w:r>
    </w:p>
    <w:p w14:paraId="75C6A31C" w14:textId="003AC89C" w:rsidR="009868FB" w:rsidRDefault="009868FB" w:rsidP="009868FB">
      <w:pPr>
        <w:pStyle w:val="FigureCaption"/>
        <w:rPr>
          <w:lang w:eastAsia="zh-TW"/>
        </w:rPr>
      </w:pPr>
      <w:bookmarkStart w:id="304" w:name="_Ref74124114"/>
      <w:bookmarkStart w:id="305" w:name="_Toc113380901"/>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13</w:t>
      </w:r>
      <w:r w:rsidRPr="00F61532">
        <w:rPr>
          <w:lang w:eastAsia="zh-TW"/>
        </w:rPr>
        <w:fldChar w:fldCharType="end"/>
      </w:r>
      <w:bookmarkEnd w:id="304"/>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reservoir evaporation </w:t>
      </w:r>
      <w:r w:rsidRPr="00F61532">
        <w:rPr>
          <w:lang w:eastAsia="zh-TW"/>
        </w:rPr>
        <w:t xml:space="preserve">in </w:t>
      </w:r>
      <w:r>
        <w:rPr>
          <w:lang w:eastAsia="zh-TW"/>
        </w:rPr>
        <w:t>the BPA region.</w:t>
      </w:r>
      <w:bookmarkEnd w:id="305"/>
    </w:p>
    <w:p w14:paraId="023B32A5" w14:textId="609D0F1A" w:rsidR="00575E55" w:rsidRDefault="00575E55" w:rsidP="00E96098">
      <w:pPr>
        <w:pStyle w:val="BodyText"/>
      </w:pPr>
      <w:r w:rsidRPr="00814C0B">
        <w:lastRenderedPageBreak/>
        <w:t xml:space="preserve">ANOVA results indicate that </w:t>
      </w:r>
      <w:r w:rsidR="00C753AB">
        <w:t xml:space="preserve">the </w:t>
      </w:r>
      <w:r w:rsidRPr="00814C0B">
        <w:t xml:space="preserve">CM is generally the </w:t>
      </w:r>
      <w:r w:rsidR="00C753AB">
        <w:t xml:space="preserve">most </w:t>
      </w:r>
      <w:r w:rsidRPr="00814C0B">
        <w:t>dominant contributor to the total variance of future evaporation projections, contributing around 73%</w:t>
      </w:r>
      <w:r>
        <w:t xml:space="preserve"> of total variance</w:t>
      </w:r>
      <w:r w:rsidRPr="00814C0B">
        <w:t xml:space="preserve">. The most </w:t>
      </w:r>
      <w:r w:rsidR="006B55A8" w:rsidRPr="24734F88">
        <w:rPr>
          <w:lang w:eastAsia="zh-CN"/>
        </w:rPr>
        <w:t>substantial</w:t>
      </w:r>
      <w:r w:rsidR="006B55A8">
        <w:rPr>
          <w:lang w:eastAsia="zh-CN"/>
        </w:rPr>
        <w:t xml:space="preserve"> </w:t>
      </w:r>
      <w:r w:rsidRPr="00814C0B">
        <w:t xml:space="preserve">increase is projected by ACCESS-CM2 </w:t>
      </w:r>
      <w:r>
        <w:t>(</w:t>
      </w:r>
      <w:r w:rsidRPr="00814C0B">
        <w:t>0.065 MAF</w:t>
      </w:r>
      <w:r>
        <w:t>)</w:t>
      </w:r>
      <w:r w:rsidRPr="00814C0B">
        <w:t xml:space="preserve">, </w:t>
      </w:r>
      <w:r>
        <w:t>and</w:t>
      </w:r>
      <w:r w:rsidRPr="00814C0B">
        <w:t xml:space="preserve"> the </w:t>
      </w:r>
      <w:r>
        <w:t>smallest is</w:t>
      </w:r>
      <w:r w:rsidRPr="00814C0B">
        <w:t xml:space="preserve"> by MPI-ESM1 </w:t>
      </w:r>
      <w:r>
        <w:t>(</w:t>
      </w:r>
      <w:r w:rsidRPr="00814C0B">
        <w:t>0.033 MAF</w:t>
      </w:r>
      <w:r>
        <w:t>)</w:t>
      </w:r>
      <w:r w:rsidRPr="00814C0B">
        <w:t xml:space="preserve">. </w:t>
      </w:r>
      <w:r>
        <w:t>As t</w:t>
      </w:r>
      <w:r w:rsidRPr="00814C0B">
        <w:t>he second</w:t>
      </w:r>
      <w:r>
        <w:t xml:space="preserve"> </w:t>
      </w:r>
      <w:r w:rsidRPr="00814C0B">
        <w:t xml:space="preserve">dominant </w:t>
      </w:r>
      <w:r>
        <w:t xml:space="preserve">contributor, </w:t>
      </w:r>
      <w:r w:rsidR="00C753AB">
        <w:t xml:space="preserve">the </w:t>
      </w:r>
      <w:r>
        <w:t xml:space="preserve">DS </w:t>
      </w:r>
      <w:r w:rsidRPr="00814C0B">
        <w:t>only contributes around 11% of the total variance, and DBCCA projects a</w:t>
      </w:r>
      <w:r>
        <w:t xml:space="preserve"> more</w:t>
      </w:r>
      <w:r w:rsidRPr="00814C0B">
        <w:t xml:space="preserve"> </w:t>
      </w:r>
      <w:r w:rsidR="00E27CB0" w:rsidRPr="24734F88">
        <w:rPr>
          <w:lang w:eastAsia="zh-CN"/>
        </w:rPr>
        <w:t>substantial</w:t>
      </w:r>
      <w:r w:rsidR="00E27CB0">
        <w:rPr>
          <w:lang w:eastAsia="zh-CN"/>
        </w:rPr>
        <w:t xml:space="preserve"> </w:t>
      </w:r>
      <w:r w:rsidRPr="00814C0B">
        <w:t>increase</w:t>
      </w:r>
      <w:r>
        <w:t xml:space="preserve"> compared with RegCM</w:t>
      </w:r>
      <w:r w:rsidRPr="00814C0B">
        <w:t xml:space="preserve">. </w:t>
      </w:r>
      <w:r>
        <w:t>The</w:t>
      </w:r>
      <w:r w:rsidRPr="00814C0B">
        <w:t xml:space="preserve"> contribution</w:t>
      </w:r>
      <w:r>
        <w:t xml:space="preserve"> of </w:t>
      </w:r>
      <w:r w:rsidR="00C753AB">
        <w:t xml:space="preserve">the </w:t>
      </w:r>
      <w:r>
        <w:t>MetF</w:t>
      </w:r>
      <w:r w:rsidRPr="00814C0B">
        <w:t xml:space="preserve"> is only about 3% of the total variance.</w:t>
      </w:r>
      <w:r>
        <w:t xml:space="preserve"> At the seasonal scale (</w:t>
      </w:r>
      <w:r>
        <w:fldChar w:fldCharType="begin"/>
      </w:r>
      <w:r>
        <w:instrText xml:space="preserve"> REF _Ref81738890 \n \h </w:instrText>
      </w:r>
      <w:r>
        <w:fldChar w:fldCharType="separate"/>
      </w:r>
      <w:r w:rsidR="00EE0BF5">
        <w:t>APPENDIX F</w:t>
      </w:r>
      <w:r>
        <w:fldChar w:fldCharType="end"/>
      </w:r>
      <w:r>
        <w:t xml:space="preserve">), </w:t>
      </w:r>
      <w:r w:rsidRPr="002155AA">
        <w:t xml:space="preserve">the ANOVA indicates that </w:t>
      </w:r>
      <w:r>
        <w:t xml:space="preserve">certain </w:t>
      </w:r>
      <w:r w:rsidRPr="002155AA">
        <w:t xml:space="preserve">factors may have more substantial impacts than </w:t>
      </w:r>
      <w:r>
        <w:t>at</w:t>
      </w:r>
      <w:r w:rsidRPr="002155AA">
        <w:t xml:space="preserve"> the annual scale. For instance, </w:t>
      </w:r>
      <w:r w:rsidR="00C753AB">
        <w:t xml:space="preserve">the </w:t>
      </w:r>
      <w:r w:rsidRPr="002155AA">
        <w:t xml:space="preserve">CM is still the </w:t>
      </w:r>
      <w:r w:rsidR="005367C2">
        <w:t xml:space="preserve">most dominant </w:t>
      </w:r>
      <w:r w:rsidRPr="002155AA">
        <w:t xml:space="preserve">contributor </w:t>
      </w:r>
      <w:r>
        <w:t xml:space="preserve">for the variance </w:t>
      </w:r>
      <w:r w:rsidRPr="002155AA">
        <w:t xml:space="preserve">in </w:t>
      </w:r>
      <w:r>
        <w:t>all four</w:t>
      </w:r>
      <w:r w:rsidRPr="002155AA">
        <w:t xml:space="preserve"> seasons.</w:t>
      </w:r>
      <w:r>
        <w:t xml:space="preserve"> In </w:t>
      </w:r>
      <w:r w:rsidR="00C753AB">
        <w:t xml:space="preserve">the </w:t>
      </w:r>
      <w:r>
        <w:t>fall, i</w:t>
      </w:r>
      <w:r w:rsidRPr="002155AA">
        <w:t>t can explain near</w:t>
      </w:r>
      <w:r>
        <w:t>ly</w:t>
      </w:r>
      <w:r w:rsidRPr="002155AA">
        <w:t xml:space="preserve"> 90% of </w:t>
      </w:r>
      <w:r>
        <w:t>the total</w:t>
      </w:r>
      <w:r w:rsidRPr="002155AA">
        <w:t xml:space="preserve"> variance, </w:t>
      </w:r>
      <w:r>
        <w:t>with</w:t>
      </w:r>
      <w:r w:rsidRPr="002155AA">
        <w:t xml:space="preserve"> the primary </w:t>
      </w:r>
      <w:r>
        <w:t>variance</w:t>
      </w:r>
      <w:r w:rsidRPr="002155AA">
        <w:t xml:space="preserve"> </w:t>
      </w:r>
      <w:r>
        <w:t xml:space="preserve">coming </w:t>
      </w:r>
      <w:r w:rsidRPr="002155AA">
        <w:t xml:space="preserve">from ACCESS-CM2 and MPI-ESM1. In comparison, </w:t>
      </w:r>
      <w:r>
        <w:t xml:space="preserve">in </w:t>
      </w:r>
      <w:r w:rsidR="00C753AB">
        <w:t xml:space="preserve">the </w:t>
      </w:r>
      <w:r>
        <w:t xml:space="preserve">summer, </w:t>
      </w:r>
      <w:r w:rsidRPr="002155AA">
        <w:t xml:space="preserve">the CM can only explain </w:t>
      </w:r>
      <w:r>
        <w:t>about</w:t>
      </w:r>
      <w:r w:rsidRPr="002155AA">
        <w:t xml:space="preserve"> 40% of </w:t>
      </w:r>
      <w:r>
        <w:t xml:space="preserve">the total </w:t>
      </w:r>
      <w:r w:rsidRPr="002155AA">
        <w:t xml:space="preserve">variance. </w:t>
      </w:r>
      <w:r w:rsidR="00C753AB">
        <w:t xml:space="preserve">The </w:t>
      </w:r>
      <w:r>
        <w:t>DS i</w:t>
      </w:r>
      <w:r w:rsidRPr="002155AA">
        <w:t xml:space="preserve">s the second </w:t>
      </w:r>
      <w:r>
        <w:t>most dominant</w:t>
      </w:r>
      <w:r w:rsidRPr="002155AA">
        <w:t xml:space="preserve"> contributor, </w:t>
      </w:r>
      <w:r>
        <w:t xml:space="preserve">representing </w:t>
      </w:r>
      <w:r w:rsidRPr="002155AA">
        <w:t>5</w:t>
      </w:r>
      <w:r>
        <w:t>%–</w:t>
      </w:r>
      <w:r w:rsidRPr="002155AA">
        <w:t xml:space="preserve">40% </w:t>
      </w:r>
      <w:r>
        <w:t>of the variance across</w:t>
      </w:r>
      <w:r w:rsidRPr="002155AA">
        <w:t xml:space="preserve"> seasons. </w:t>
      </w:r>
      <w:r>
        <w:t xml:space="preserve">In </w:t>
      </w:r>
      <w:r w:rsidR="00C753AB">
        <w:t xml:space="preserve">the </w:t>
      </w:r>
      <w:r>
        <w:t xml:space="preserve">summer, </w:t>
      </w:r>
      <w:r w:rsidR="00C753AB">
        <w:t xml:space="preserve">the </w:t>
      </w:r>
      <w:r>
        <w:t>DS</w:t>
      </w:r>
      <w:r w:rsidRPr="002155AA">
        <w:t xml:space="preserve"> explain</w:t>
      </w:r>
      <w:r>
        <w:t>s</w:t>
      </w:r>
      <w:r w:rsidRPr="002155AA">
        <w:t xml:space="preserve"> </w:t>
      </w:r>
      <w:r>
        <w:t>about</w:t>
      </w:r>
      <w:r w:rsidRPr="002155AA">
        <w:t xml:space="preserve"> 40% of </w:t>
      </w:r>
      <w:r>
        <w:t>the</w:t>
      </w:r>
      <w:r w:rsidRPr="002155AA">
        <w:t xml:space="preserve"> </w:t>
      </w:r>
      <w:r>
        <w:t xml:space="preserve">total </w:t>
      </w:r>
      <w:r w:rsidRPr="002155AA">
        <w:t xml:space="preserve">variance </w:t>
      </w:r>
      <w:r>
        <w:t>because of the large</w:t>
      </w:r>
      <w:r w:rsidRPr="002155AA">
        <w:t xml:space="preserve"> difference of projected evaporation change between BDCCA and RegCM. </w:t>
      </w:r>
      <w:r>
        <w:t>Finally</w:t>
      </w:r>
      <w:r w:rsidRPr="002155AA">
        <w:t xml:space="preserve">, </w:t>
      </w:r>
      <w:r w:rsidR="00C753AB">
        <w:t xml:space="preserve">the </w:t>
      </w:r>
      <w:r w:rsidRPr="002155AA">
        <w:t xml:space="preserve">MetF only contributes up to 4% of the total variance </w:t>
      </w:r>
      <w:r>
        <w:t xml:space="preserve">across </w:t>
      </w:r>
      <w:r w:rsidRPr="002155AA">
        <w:t xml:space="preserve">four seasons, </w:t>
      </w:r>
      <w:r>
        <w:t xml:space="preserve">and </w:t>
      </w:r>
      <w:r w:rsidRPr="002155AA">
        <w:t xml:space="preserve">the other factors have </w:t>
      </w:r>
      <w:r>
        <w:t xml:space="preserve">a </w:t>
      </w:r>
      <w:r w:rsidRPr="002155AA">
        <w:t xml:space="preserve">negligible </w:t>
      </w:r>
      <w:r w:rsidRPr="00164D32">
        <w:t>influence.</w:t>
      </w:r>
      <w:r>
        <w:t xml:space="preserve"> Although the choice of MetFs (i.e., Daymet or Livneh) may significantly influence the projected value of reservoir evaporation loss (</w:t>
      </w:r>
      <w:r>
        <w:fldChar w:fldCharType="begin"/>
      </w:r>
      <w:r>
        <w:instrText xml:space="preserve"> REF _Ref72837947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11</w:t>
      </w:r>
      <w:r>
        <w:fldChar w:fldCharType="end"/>
      </w:r>
      <w:r>
        <w:t>), the difference is systematic and largely reduced when examining the change from baseline to future periods. This shows that even with large model/data bias, the relative change is still considered reliable and used in many hydroclimate impact assessment studies.</w:t>
      </w:r>
    </w:p>
    <w:p w14:paraId="3B45D02F" w14:textId="7FAC6F6D" w:rsidR="006A3A0F" w:rsidRPr="00DE36AC" w:rsidRDefault="006A3A0F" w:rsidP="00AD0C1C">
      <w:pPr>
        <w:pStyle w:val="Heading2"/>
      </w:pPr>
      <w:bookmarkStart w:id="306" w:name="_Ref425756125"/>
      <w:bookmarkStart w:id="307" w:name="_Toc113380804"/>
      <w:r w:rsidRPr="00DE36AC">
        <w:t xml:space="preserve">Climate Effects on Federal Hydropower in </w:t>
      </w:r>
      <w:r w:rsidR="00E0058B">
        <w:t xml:space="preserve">the </w:t>
      </w:r>
      <w:bookmarkEnd w:id="306"/>
      <w:r w:rsidR="001100CF">
        <w:t>BPA</w:t>
      </w:r>
      <w:r w:rsidR="00E0058B">
        <w:t xml:space="preserve"> Region</w:t>
      </w:r>
      <w:bookmarkEnd w:id="307"/>
    </w:p>
    <w:p w14:paraId="2A1AC140" w14:textId="77777777" w:rsidR="006A3A0F" w:rsidRPr="00DE36AC" w:rsidRDefault="006A3A0F" w:rsidP="00DE36AC">
      <w:pPr>
        <w:pStyle w:val="Heading3"/>
      </w:pPr>
      <w:bookmarkStart w:id="308" w:name="_Ref425756212"/>
      <w:bookmarkStart w:id="309" w:name="_Toc113380805"/>
      <w:r w:rsidRPr="00DE36AC">
        <w:t>Projection</w:t>
      </w:r>
      <w:r w:rsidR="00510B4A">
        <w:t>s</w:t>
      </w:r>
      <w:r w:rsidRPr="00DE36AC">
        <w:t xml:space="preserve"> of Hydropower Generation</w:t>
      </w:r>
      <w:bookmarkEnd w:id="308"/>
      <w:bookmarkEnd w:id="309"/>
    </w:p>
    <w:p w14:paraId="3F5C2780" w14:textId="702F668E" w:rsidR="007C206D" w:rsidRDefault="007C206D" w:rsidP="007C206D">
      <w:pPr>
        <w:pStyle w:val="BodyText"/>
      </w:pPr>
      <w:r w:rsidRPr="00882352">
        <w:rPr>
          <w:rFonts w:eastAsia="PMingLiU"/>
          <w:lang w:eastAsia="zh-TW"/>
        </w:rPr>
        <w:t xml:space="preserve">Using the </w:t>
      </w:r>
      <w:r>
        <w:rPr>
          <w:rFonts w:eastAsia="PMingLiU"/>
          <w:lang w:eastAsia="zh-TW"/>
        </w:rPr>
        <w:t>two hydropower models</w:t>
      </w:r>
      <w:r w:rsidRPr="00882352">
        <w:rPr>
          <w:rFonts w:eastAsia="PMingLiU"/>
          <w:lang w:eastAsia="zh-TW"/>
        </w:rPr>
        <w:t xml:space="preserve"> described in Section</w:t>
      </w:r>
      <w:r>
        <w:rPr>
          <w:rFonts w:eastAsia="PMingLiU"/>
          <w:lang w:eastAsia="zh-TW"/>
        </w:rPr>
        <w:t xml:space="preserve"> </w:t>
      </w:r>
      <w:r>
        <w:rPr>
          <w:rFonts w:eastAsia="PMingLiU"/>
          <w:lang w:eastAsia="zh-TW"/>
        </w:rPr>
        <w:fldChar w:fldCharType="begin"/>
      </w:r>
      <w:r>
        <w:rPr>
          <w:rFonts w:eastAsia="PMingLiU"/>
          <w:lang w:eastAsia="zh-TW"/>
        </w:rPr>
        <w:instrText xml:space="preserve"> REF _Ref425755954 \r \h </w:instrText>
      </w:r>
      <w:r>
        <w:rPr>
          <w:rFonts w:eastAsia="PMingLiU"/>
          <w:lang w:eastAsia="zh-TW"/>
        </w:rPr>
      </w:r>
      <w:r>
        <w:rPr>
          <w:rFonts w:eastAsia="PMingLiU"/>
          <w:lang w:eastAsia="zh-TW"/>
        </w:rPr>
        <w:fldChar w:fldCharType="separate"/>
      </w:r>
      <w:r w:rsidR="00EE0BF5">
        <w:rPr>
          <w:rFonts w:eastAsia="PMingLiU"/>
          <w:lang w:eastAsia="zh-TW"/>
        </w:rPr>
        <w:t>2.6</w:t>
      </w:r>
      <w:r>
        <w:rPr>
          <w:rFonts w:eastAsia="PMingLiU"/>
          <w:lang w:eastAsia="zh-TW"/>
        </w:rPr>
        <w:fldChar w:fldCharType="end"/>
      </w:r>
      <w:r w:rsidRPr="00882352">
        <w:rPr>
          <w:rFonts w:eastAsia="PMingLiU"/>
          <w:lang w:eastAsia="zh-TW"/>
        </w:rPr>
        <w:t xml:space="preserve">, </w:t>
      </w:r>
      <w:r>
        <w:rPr>
          <w:rFonts w:eastAsia="PMingLiU"/>
          <w:lang w:eastAsia="zh-TW"/>
        </w:rPr>
        <w:t xml:space="preserve">the </w:t>
      </w:r>
      <w:r w:rsidRPr="00882352">
        <w:rPr>
          <w:rFonts w:eastAsia="PMingLiU"/>
          <w:lang w:eastAsia="zh-TW"/>
        </w:rPr>
        <w:t>projection</w:t>
      </w:r>
      <w:r w:rsidR="00085C3B">
        <w:rPr>
          <w:rFonts w:eastAsia="PMingLiU"/>
          <w:lang w:eastAsia="zh-TW"/>
        </w:rPr>
        <w:t>s</w:t>
      </w:r>
      <w:r w:rsidRPr="00882352">
        <w:rPr>
          <w:rFonts w:eastAsia="PMingLiU"/>
          <w:lang w:eastAsia="zh-TW"/>
        </w:rPr>
        <w:t xml:space="preserve"> of monthly generation </w:t>
      </w:r>
      <w:r>
        <w:rPr>
          <w:rFonts w:eastAsia="PMingLiU"/>
          <w:lang w:eastAsia="zh-TW"/>
        </w:rPr>
        <w:t>in the BPA region</w:t>
      </w:r>
      <w:r w:rsidRPr="00882352">
        <w:rPr>
          <w:rFonts w:eastAsia="PMingLiU"/>
          <w:lang w:eastAsia="zh-TW"/>
        </w:rPr>
        <w:t xml:space="preserve"> are calculated for each of the </w:t>
      </w:r>
      <w:r>
        <w:rPr>
          <w:rFonts w:eastAsia="PMingLiU"/>
          <w:lang w:eastAsia="zh-TW"/>
        </w:rPr>
        <w:t>96</w:t>
      </w:r>
      <w:r w:rsidRPr="00882352">
        <w:rPr>
          <w:rFonts w:eastAsia="PMingLiU"/>
          <w:lang w:eastAsia="zh-TW"/>
        </w:rPr>
        <w:t xml:space="preserve"> </w:t>
      </w:r>
      <w:r>
        <w:rPr>
          <w:rFonts w:eastAsia="PMingLiU"/>
          <w:lang w:eastAsia="zh-TW"/>
        </w:rPr>
        <w:t xml:space="preserve">unique combinations of </w:t>
      </w:r>
      <w:r w:rsidR="00AB4D9A">
        <w:rPr>
          <w:rFonts w:eastAsia="PMingLiU"/>
          <w:lang w:eastAsia="zh-TW"/>
        </w:rPr>
        <w:t>CM</w:t>
      </w:r>
      <w:r>
        <w:rPr>
          <w:rFonts w:eastAsia="PMingLiU"/>
          <w:lang w:eastAsia="zh-TW"/>
        </w:rPr>
        <w:t xml:space="preserve">s, </w:t>
      </w:r>
      <w:r w:rsidR="001E1DC5">
        <w:rPr>
          <w:rFonts w:eastAsia="PMingLiU"/>
          <w:lang w:eastAsia="zh-TW"/>
        </w:rPr>
        <w:t>DS</w:t>
      </w:r>
      <w:r>
        <w:rPr>
          <w:rFonts w:eastAsia="PMingLiU"/>
          <w:lang w:eastAsia="zh-TW"/>
        </w:rPr>
        <w:t xml:space="preserve">s, </w:t>
      </w:r>
      <w:r w:rsidR="00410CA5">
        <w:t>MetFs</w:t>
      </w:r>
      <w:r>
        <w:rPr>
          <w:rFonts w:eastAsia="PMingLiU"/>
          <w:lang w:eastAsia="zh-TW"/>
        </w:rPr>
        <w:t xml:space="preserve">, and </w:t>
      </w:r>
      <w:r w:rsidR="00533D84">
        <w:rPr>
          <w:rFonts w:eastAsia="PMingLiU"/>
          <w:lang w:eastAsia="zh-TW"/>
        </w:rPr>
        <w:t xml:space="preserve">HMs </w:t>
      </w:r>
      <w:r>
        <w:rPr>
          <w:rFonts w:eastAsia="PMingLiU"/>
          <w:lang w:eastAsia="zh-TW"/>
        </w:rPr>
        <w:t xml:space="preserve">and </w:t>
      </w:r>
      <w:r w:rsidR="00533D84">
        <w:rPr>
          <w:rFonts w:eastAsia="PMingLiU"/>
          <w:lang w:eastAsia="zh-TW"/>
        </w:rPr>
        <w:t>PM</w:t>
      </w:r>
      <w:r>
        <w:rPr>
          <w:rFonts w:eastAsia="PMingLiU"/>
          <w:lang w:eastAsia="zh-TW"/>
        </w:rPr>
        <w:t>s</w:t>
      </w:r>
      <w:r w:rsidRPr="00882352">
        <w:rPr>
          <w:rFonts w:eastAsia="PMingLiU"/>
          <w:lang w:eastAsia="zh-TW"/>
        </w:rPr>
        <w:t xml:space="preserve">. </w:t>
      </w:r>
      <w:r w:rsidRPr="00CC508E">
        <w:t xml:space="preserve">Projections based on </w:t>
      </w:r>
      <w:r w:rsidR="005E23BA">
        <w:t>multimodel</w:t>
      </w:r>
      <w:r w:rsidRPr="00CC508E">
        <w:t xml:space="preserve"> ensemble</w:t>
      </w:r>
      <w:r>
        <w:t>s</w:t>
      </w:r>
      <w:r w:rsidRPr="00CC508E">
        <w:t xml:space="preserve"> are </w:t>
      </w:r>
      <w:r>
        <w:t>summarized in terms of</w:t>
      </w:r>
      <w:r w:rsidRPr="00CC508E">
        <w:t xml:space="preserve"> annual</w:t>
      </w:r>
      <w:r>
        <w:t xml:space="preserve"> and </w:t>
      </w:r>
      <w:r w:rsidRPr="00CC508E">
        <w:t xml:space="preserve">seasonal changes for </w:t>
      </w:r>
      <w:r>
        <w:t xml:space="preserve">the </w:t>
      </w:r>
      <w:r w:rsidRPr="00CC508E">
        <w:t>near-term (20</w:t>
      </w:r>
      <w:r>
        <w:t>20</w:t>
      </w:r>
      <w:r w:rsidRPr="00CC508E">
        <w:t>–203</w:t>
      </w:r>
      <w:r>
        <w:t>9</w:t>
      </w:r>
      <w:r w:rsidRPr="00CC508E">
        <w:t xml:space="preserve">) and </w:t>
      </w:r>
      <w:r>
        <w:t>mid-term</w:t>
      </w:r>
      <w:r w:rsidRPr="00CC508E">
        <w:t xml:space="preserve"> (20</w:t>
      </w:r>
      <w:r>
        <w:t>40</w:t>
      </w:r>
      <w:r w:rsidRPr="00CC508E">
        <w:t>–205</w:t>
      </w:r>
      <w:r>
        <w:t>9</w:t>
      </w:r>
      <w:r w:rsidRPr="00CC508E">
        <w:t>)</w:t>
      </w:r>
      <w:r>
        <w:t xml:space="preserve"> future </w:t>
      </w:r>
      <w:r w:rsidRPr="00CC508E">
        <w:t>period</w:t>
      </w:r>
      <w:r>
        <w:t>s</w:t>
      </w:r>
      <w:r w:rsidRPr="00CC508E">
        <w:t xml:space="preserve"> </w:t>
      </w:r>
      <w:r>
        <w:t xml:space="preserve">compared </w:t>
      </w:r>
      <w:r w:rsidR="00DA5123">
        <w:t xml:space="preserve">with </w:t>
      </w:r>
      <w:r w:rsidRPr="00CC508E">
        <w:t>the baseline period (</w:t>
      </w:r>
      <w:r>
        <w:t>1980</w:t>
      </w:r>
      <w:r w:rsidRPr="00CC508E">
        <w:t>–</w:t>
      </w:r>
      <w:r>
        <w:t>2019</w:t>
      </w:r>
      <w:r w:rsidRPr="00CC508E">
        <w:t>).</w:t>
      </w:r>
    </w:p>
    <w:p w14:paraId="11AC749E" w14:textId="7BE1AEDA" w:rsidR="00294F5B" w:rsidRDefault="00294F5B" w:rsidP="00294F5B">
      <w:pPr>
        <w:pStyle w:val="BodyText"/>
        <w:rPr>
          <w:rFonts w:eastAsia="PMingLiU"/>
          <w:lang w:eastAsia="zh-TW"/>
        </w:rPr>
      </w:pPr>
      <w:r w:rsidRPr="4AA7083E">
        <w:rPr>
          <w:rFonts w:eastAsia="PMingLiU"/>
          <w:lang w:eastAsia="zh-TW"/>
        </w:rPr>
        <w:t xml:space="preserve">The interannual variability of annual hydropower generation for the baseline and future periods </w:t>
      </w:r>
      <w:r>
        <w:rPr>
          <w:rFonts w:eastAsia="PMingLiU"/>
          <w:lang w:eastAsia="zh-TW"/>
        </w:rPr>
        <w:t xml:space="preserve">is </w:t>
      </w:r>
      <w:r w:rsidRPr="4AA7083E">
        <w:rPr>
          <w:rFonts w:eastAsia="PMingLiU"/>
          <w:lang w:eastAsia="zh-TW"/>
        </w:rPr>
        <w:t>shown in</w:t>
      </w:r>
      <w:r>
        <w:t xml:space="preserve"> </w:t>
      </w:r>
      <w:r>
        <w:fldChar w:fldCharType="begin"/>
      </w:r>
      <w:r>
        <w:instrText xml:space="preserve"> REF _Ref72838101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14</w:t>
      </w:r>
      <w:r>
        <w:fldChar w:fldCharType="end"/>
      </w:r>
      <w:r w:rsidRPr="4AA7083E">
        <w:rPr>
          <w:rFonts w:eastAsia="PMingLiU"/>
          <w:lang w:eastAsia="zh-TW"/>
        </w:rPr>
        <w:t xml:space="preserve">. The gray lines </w:t>
      </w:r>
      <w:r>
        <w:t>show the annual total generation for all 96 members of the ensemble hydropower projections</w:t>
      </w:r>
      <w:r w:rsidRPr="4AA7083E">
        <w:rPr>
          <w:rFonts w:eastAsia="PMingLiU"/>
          <w:lang w:eastAsia="zh-TW"/>
        </w:rPr>
        <w:t xml:space="preserve">, the black line represents the </w:t>
      </w:r>
      <w:r>
        <w:rPr>
          <w:rFonts w:eastAsia="PMingLiU"/>
          <w:lang w:eastAsia="zh-TW"/>
        </w:rPr>
        <w:t>ensemble</w:t>
      </w:r>
      <w:r w:rsidRPr="4AA7083E">
        <w:rPr>
          <w:rFonts w:eastAsia="PMingLiU"/>
          <w:lang w:eastAsia="zh-TW"/>
        </w:rPr>
        <w:t xml:space="preserve"> median, and the blue line shows the 1980–2019 historic observation from EIA and PMAs. The corresponding probability distributions </w:t>
      </w:r>
      <w:r>
        <w:rPr>
          <w:rFonts w:eastAsia="PMingLiU"/>
          <w:lang w:eastAsia="zh-TW"/>
        </w:rPr>
        <w:t xml:space="preserve">of annual generation </w:t>
      </w:r>
      <w:r w:rsidRPr="4AA7083E">
        <w:rPr>
          <w:rFonts w:eastAsia="PMingLiU"/>
          <w:lang w:eastAsia="zh-TW"/>
        </w:rPr>
        <w:t xml:space="preserve">in the baseline and future periods are compared in the right panel. A two-sample Kolmogorov-Smirnov test </w:t>
      </w:r>
      <w:r>
        <w:t>at the 5% significance level</w:t>
      </w:r>
      <w:r w:rsidRPr="4AA7083E">
        <w:rPr>
          <w:rFonts w:eastAsia="PMingLiU"/>
          <w:lang w:eastAsia="zh-TW"/>
        </w:rPr>
        <w:t xml:space="preserve"> </w:t>
      </w:r>
      <w:r>
        <w:t>was</w:t>
      </w:r>
      <w:r w:rsidRPr="4AA7083E">
        <w:rPr>
          <w:rFonts w:eastAsia="PMingLiU"/>
          <w:lang w:eastAsia="zh-TW"/>
        </w:rPr>
        <w:t xml:space="preserve"> used to determine </w:t>
      </w:r>
      <w:r>
        <w:rPr>
          <w:rFonts w:eastAsia="PMingLiU"/>
          <w:lang w:eastAsia="zh-TW"/>
        </w:rPr>
        <w:t xml:space="preserve">whether </w:t>
      </w:r>
      <w:r w:rsidRPr="4AA7083E">
        <w:rPr>
          <w:rFonts w:eastAsia="PMingLiU"/>
          <w:lang w:eastAsia="zh-TW"/>
        </w:rPr>
        <w:t>the difference between baseline and future periods is statistically significant.</w:t>
      </w:r>
    </w:p>
    <w:p w14:paraId="7758F9CF" w14:textId="07755248" w:rsidR="00705787" w:rsidRPr="00DA5123" w:rsidRDefault="00705787" w:rsidP="00705787">
      <w:pPr>
        <w:pStyle w:val="BodyText"/>
        <w:rPr>
          <w:rFonts w:eastAsia="PMingLiU"/>
          <w:lang w:eastAsia="zh-TW"/>
        </w:rPr>
      </w:pPr>
      <w:r>
        <w:rPr>
          <w:rFonts w:eastAsia="PMingLiU"/>
          <w:lang w:eastAsia="zh-TW"/>
        </w:rPr>
        <w:t>The comparison (</w:t>
      </w:r>
      <w:r>
        <w:rPr>
          <w:lang w:eastAsia="zh-TW"/>
        </w:rPr>
        <w:fldChar w:fldCharType="begin"/>
      </w:r>
      <w:r>
        <w:rPr>
          <w:rFonts w:eastAsia="PMingLiU"/>
          <w:lang w:eastAsia="zh-TW"/>
        </w:rPr>
        <w:instrText xml:space="preserve"> REF _Ref72838101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14</w:t>
      </w:r>
      <w:r>
        <w:rPr>
          <w:lang w:eastAsia="zh-TW"/>
        </w:rPr>
        <w:fldChar w:fldCharType="end"/>
      </w:r>
      <w:r>
        <w:rPr>
          <w:rFonts w:eastAsia="PMingLiU"/>
          <w:lang w:eastAsia="zh-TW"/>
        </w:rPr>
        <w:t>, left column) suggests that the range of simulated and observed annual hydropower variability is generally consistent across all BPA areas. However, the shapes of probability distributions revealed that significant changes in interannual variability will occur in some BPA areas. Specifically, in BPA-2, BPA-3, and BPA-4, the future generation shows narrower distributions with sharper peaks (</w:t>
      </w:r>
      <w:r>
        <w:rPr>
          <w:lang w:eastAsia="zh-TW"/>
        </w:rPr>
        <w:fldChar w:fldCharType="begin"/>
      </w:r>
      <w:r>
        <w:rPr>
          <w:rFonts w:eastAsia="PMingLiU"/>
          <w:lang w:eastAsia="zh-TW"/>
        </w:rPr>
        <w:instrText xml:space="preserve"> REF _Ref72838101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14</w:t>
      </w:r>
      <w:r>
        <w:rPr>
          <w:lang w:eastAsia="zh-TW"/>
        </w:rPr>
        <w:fldChar w:fldCharType="end"/>
      </w:r>
      <w:r>
        <w:t>, right column</w:t>
      </w:r>
      <w:r>
        <w:rPr>
          <w:rFonts w:eastAsia="PMingLiU"/>
          <w:lang w:eastAsia="zh-TW"/>
        </w:rPr>
        <w:t>). For BPA-1, no noticeable difference was observed in the probability distributions between baseline and future periods.</w:t>
      </w:r>
    </w:p>
    <w:p w14:paraId="0FF2F977" w14:textId="6BB5FAFC" w:rsidR="00705787" w:rsidRDefault="00705787" w:rsidP="00294F5B">
      <w:pPr>
        <w:pStyle w:val="BodyText"/>
        <w:rPr>
          <w:rFonts w:eastAsia="PMingLiU"/>
          <w:lang w:eastAsia="zh-TW"/>
        </w:rPr>
      </w:pPr>
      <w:r w:rsidRPr="3ADD3F87">
        <w:rPr>
          <w:rFonts w:eastAsia="PMingLiU"/>
          <w:lang w:eastAsia="zh-TW"/>
        </w:rPr>
        <w:t>The annual and seasonal change in hydropower generation is further summarized in</w:t>
      </w:r>
      <w:r>
        <w:t xml:space="preserve"> </w:t>
      </w:r>
      <w:r>
        <w:fldChar w:fldCharType="begin"/>
      </w:r>
      <w:r>
        <w:instrText xml:space="preserve"> REF _Ref72838144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fldChar w:fldCharType="end"/>
      </w:r>
      <w:r w:rsidRPr="3ADD3F87">
        <w:rPr>
          <w:rFonts w:eastAsia="PMingLiU"/>
          <w:lang w:eastAsia="zh-TW"/>
        </w:rPr>
        <w:t xml:space="preserve">. The change in </w:t>
      </w:r>
      <w:r>
        <w:fldChar w:fldCharType="begin"/>
      </w:r>
      <w:r w:rsidRPr="3ADD3F87">
        <w:rPr>
          <w:rFonts w:eastAsia="PMingLiU"/>
          <w:lang w:eastAsia="zh-TW"/>
        </w:rPr>
        <w:instrText xml:space="preserve"> REF _Ref72838144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fldChar w:fldCharType="end"/>
      </w:r>
      <w:r>
        <w:t xml:space="preserve"> </w:t>
      </w:r>
      <w:r w:rsidRPr="3ADD3F87">
        <w:rPr>
          <w:rFonts w:eastAsia="PMingLiU"/>
          <w:lang w:eastAsia="zh-TW"/>
        </w:rPr>
        <w:t xml:space="preserve">is defined as the percentage difference of future periods (2020–2039 and 2040–2059) compared </w:t>
      </w:r>
      <w:r>
        <w:t>with</w:t>
      </w:r>
      <w:r w:rsidRPr="3ADD3F87">
        <w:rPr>
          <w:rFonts w:eastAsia="PMingLiU"/>
          <w:lang w:eastAsia="zh-TW"/>
        </w:rPr>
        <w:t xml:space="preserve"> the baseline period</w:t>
      </w:r>
      <w:r>
        <w:rPr>
          <w:rFonts w:eastAsia="PMingLiU"/>
          <w:lang w:eastAsia="zh-TW"/>
        </w:rPr>
        <w:t xml:space="preserve"> (</w:t>
      </w:r>
      <w:r w:rsidRPr="3ADD3F87">
        <w:rPr>
          <w:rFonts w:eastAsia="PMingLiU"/>
          <w:lang w:eastAsia="zh-TW"/>
        </w:rPr>
        <w:t>1980–2019</w:t>
      </w:r>
      <w:r>
        <w:rPr>
          <w:rFonts w:eastAsia="PMingLiU"/>
          <w:lang w:eastAsia="zh-TW"/>
        </w:rPr>
        <w:t>)</w:t>
      </w:r>
      <w:r w:rsidRPr="3ADD3F87">
        <w:rPr>
          <w:rFonts w:eastAsia="PMingLiU"/>
          <w:lang w:eastAsia="zh-TW"/>
        </w:rPr>
        <w:t xml:space="preserve">. Each box plot shows the spread across 96 </w:t>
      </w:r>
      <w:r>
        <w:rPr>
          <w:rFonts w:eastAsia="PMingLiU"/>
          <w:lang w:eastAsia="zh-TW"/>
        </w:rPr>
        <w:t>multimodel combinations;</w:t>
      </w:r>
      <w:r w:rsidRPr="3ADD3F87">
        <w:rPr>
          <w:rFonts w:eastAsia="PMingLiU"/>
          <w:lang w:eastAsia="zh-TW"/>
        </w:rPr>
        <w:t xml:space="preserve"> the central mark </w:t>
      </w:r>
      <w:r>
        <w:rPr>
          <w:rFonts w:eastAsia="PMingLiU"/>
          <w:lang w:eastAsia="zh-TW"/>
        </w:rPr>
        <w:t xml:space="preserve">indicates </w:t>
      </w:r>
      <w:r w:rsidRPr="3ADD3F87">
        <w:rPr>
          <w:rFonts w:eastAsia="PMingLiU"/>
          <w:lang w:eastAsia="zh-TW"/>
        </w:rPr>
        <w:t xml:space="preserve">the </w:t>
      </w:r>
      <w:r>
        <w:rPr>
          <w:rFonts w:eastAsia="PMingLiU"/>
          <w:lang w:eastAsia="zh-TW"/>
        </w:rPr>
        <w:t>multimodel</w:t>
      </w:r>
      <w:r w:rsidRPr="3ADD3F87">
        <w:rPr>
          <w:rFonts w:eastAsia="PMingLiU"/>
          <w:lang w:eastAsia="zh-TW"/>
        </w:rPr>
        <w:t xml:space="preserve"> median, </w:t>
      </w:r>
      <w:r>
        <w:rPr>
          <w:rFonts w:eastAsia="PMingLiU"/>
          <w:lang w:eastAsia="zh-TW"/>
        </w:rPr>
        <w:t xml:space="preserve">and </w:t>
      </w:r>
      <w:r w:rsidRPr="3ADD3F87">
        <w:rPr>
          <w:rFonts w:eastAsia="PMingLiU"/>
          <w:lang w:eastAsia="zh-TW"/>
        </w:rPr>
        <w:t xml:space="preserve">the edges of box </w:t>
      </w:r>
      <w:r>
        <w:rPr>
          <w:rFonts w:eastAsia="PMingLiU"/>
          <w:lang w:eastAsia="zh-TW"/>
        </w:rPr>
        <w:t xml:space="preserve">indicate </w:t>
      </w:r>
      <w:r w:rsidRPr="3ADD3F87">
        <w:rPr>
          <w:rFonts w:eastAsia="PMingLiU"/>
          <w:lang w:eastAsia="zh-TW"/>
        </w:rPr>
        <w:t xml:space="preserve">the </w:t>
      </w:r>
      <w:r>
        <w:rPr>
          <w:rFonts w:eastAsia="PMingLiU"/>
          <w:lang w:eastAsia="zh-TW"/>
        </w:rPr>
        <w:t>25</w:t>
      </w:r>
      <w:r w:rsidRPr="00FA458A">
        <w:rPr>
          <w:rFonts w:eastAsia="PMingLiU"/>
          <w:lang w:eastAsia="zh-TW"/>
        </w:rPr>
        <w:t>th</w:t>
      </w:r>
      <w:r>
        <w:rPr>
          <w:rFonts w:eastAsia="PMingLiU"/>
          <w:lang w:eastAsia="zh-TW"/>
        </w:rPr>
        <w:t xml:space="preserve"> </w:t>
      </w:r>
      <w:r w:rsidRPr="3ADD3F87">
        <w:rPr>
          <w:rFonts w:eastAsia="PMingLiU"/>
          <w:lang w:eastAsia="zh-TW"/>
        </w:rPr>
        <w:t xml:space="preserve">and </w:t>
      </w:r>
      <w:r>
        <w:rPr>
          <w:rFonts w:eastAsia="PMingLiU"/>
          <w:lang w:eastAsia="zh-TW"/>
        </w:rPr>
        <w:t>75</w:t>
      </w:r>
      <w:r w:rsidRPr="00FA458A">
        <w:rPr>
          <w:rFonts w:eastAsia="PMingLiU"/>
          <w:lang w:eastAsia="zh-TW"/>
        </w:rPr>
        <w:t>th</w:t>
      </w:r>
      <w:r w:rsidRPr="3ADD3F87">
        <w:rPr>
          <w:rFonts w:eastAsia="PMingLiU"/>
          <w:lang w:eastAsia="zh-TW"/>
        </w:rPr>
        <w:t xml:space="preserve"> percentiles. The maximum whisker length is 1.5 times </w:t>
      </w:r>
      <w:r>
        <w:rPr>
          <w:rFonts w:eastAsia="PMingLiU"/>
          <w:lang w:eastAsia="zh-TW"/>
        </w:rPr>
        <w:t xml:space="preserve">the </w:t>
      </w:r>
      <w:r w:rsidRPr="3ADD3F87">
        <w:rPr>
          <w:rFonts w:eastAsia="PMingLiU"/>
          <w:lang w:eastAsia="zh-TW"/>
        </w:rPr>
        <w:t>box height (</w:t>
      </w:r>
      <w:r>
        <w:rPr>
          <w:rFonts w:eastAsia="PMingLiU"/>
          <w:lang w:eastAsia="zh-TW"/>
        </w:rPr>
        <w:t>25</w:t>
      </w:r>
      <w:r w:rsidRPr="00FA458A">
        <w:rPr>
          <w:rFonts w:eastAsia="PMingLiU"/>
          <w:lang w:eastAsia="zh-TW"/>
        </w:rPr>
        <w:t>th</w:t>
      </w:r>
      <w:r w:rsidRPr="3ADD3F87">
        <w:rPr>
          <w:rFonts w:eastAsia="PMingLiU"/>
          <w:lang w:eastAsia="zh-TW"/>
        </w:rPr>
        <w:t xml:space="preserve"> to </w:t>
      </w:r>
      <w:r>
        <w:rPr>
          <w:rFonts w:eastAsia="PMingLiU"/>
          <w:lang w:eastAsia="zh-TW"/>
        </w:rPr>
        <w:t>75</w:t>
      </w:r>
      <w:r w:rsidRPr="00FA458A">
        <w:rPr>
          <w:rFonts w:eastAsia="PMingLiU"/>
          <w:lang w:eastAsia="zh-TW"/>
        </w:rPr>
        <w:t>th</w:t>
      </w:r>
      <w:r>
        <w:rPr>
          <w:rFonts w:eastAsia="PMingLiU"/>
          <w:lang w:eastAsia="zh-TW"/>
        </w:rPr>
        <w:t xml:space="preserve"> </w:t>
      </w:r>
      <w:r w:rsidRPr="3ADD3F87">
        <w:rPr>
          <w:rFonts w:eastAsia="PMingLiU"/>
          <w:lang w:eastAsia="zh-TW"/>
        </w:rPr>
        <w:t xml:space="preserve">percentiles). Ensemble members outside of the maximum whisker length are considered </w:t>
      </w:r>
      <w:r>
        <w:rPr>
          <w:rFonts w:eastAsia="PMingLiU"/>
          <w:lang w:eastAsia="zh-TW"/>
        </w:rPr>
        <w:t>statistical outliers (but should not be excluded in the context of climate change)</w:t>
      </w:r>
      <w:r w:rsidRPr="3ADD3F87">
        <w:rPr>
          <w:rFonts w:eastAsia="PMingLiU"/>
          <w:lang w:eastAsia="zh-TW"/>
        </w:rPr>
        <w:t>.</w:t>
      </w:r>
    </w:p>
    <w:p w14:paraId="19B1F83B" w14:textId="77777777" w:rsidR="009868FB" w:rsidRDefault="009868FB" w:rsidP="009868FB">
      <w:pPr>
        <w:pStyle w:val="FIGUREposition"/>
        <w:rPr>
          <w:rFonts w:eastAsia="PMingLiU"/>
          <w:lang w:eastAsia="zh-TW"/>
        </w:rPr>
      </w:pPr>
      <w:r>
        <w:rPr>
          <w:noProof/>
        </w:rPr>
        <w:lastRenderedPageBreak/>
        <w:drawing>
          <wp:inline distT="0" distB="0" distL="0" distR="0" wp14:anchorId="774F2F76" wp14:editId="33DCB34F">
            <wp:extent cx="5486396" cy="1828798"/>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04"/>
                    <a:stretch>
                      <a:fillRect/>
                    </a:stretch>
                  </pic:blipFill>
                  <pic:spPr bwMode="auto">
                    <a:xfrm>
                      <a:off x="0" y="0"/>
                      <a:ext cx="5486396" cy="1828798"/>
                    </a:xfrm>
                    <a:prstGeom prst="rect">
                      <a:avLst/>
                    </a:prstGeom>
                    <a:noFill/>
                    <a:ln>
                      <a:noFill/>
                    </a:ln>
                  </pic:spPr>
                </pic:pic>
              </a:graphicData>
            </a:graphic>
          </wp:inline>
        </w:drawing>
      </w:r>
    </w:p>
    <w:p w14:paraId="5B8CB3D7" w14:textId="77777777" w:rsidR="009868FB" w:rsidRDefault="009868FB" w:rsidP="009868FB">
      <w:pPr>
        <w:pStyle w:val="FIGUREposition"/>
        <w:rPr>
          <w:rFonts w:eastAsia="PMingLiU"/>
          <w:lang w:eastAsia="zh-TW"/>
        </w:rPr>
      </w:pPr>
      <w:r>
        <w:rPr>
          <w:noProof/>
        </w:rPr>
        <w:drawing>
          <wp:inline distT="0" distB="0" distL="0" distR="0" wp14:anchorId="34D7B7D7" wp14:editId="52B47A49">
            <wp:extent cx="5486396" cy="1828798"/>
            <wp:effectExtent l="0" t="0" r="63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05"/>
                    <a:stretch>
                      <a:fillRect/>
                    </a:stretch>
                  </pic:blipFill>
                  <pic:spPr bwMode="auto">
                    <a:xfrm>
                      <a:off x="0" y="0"/>
                      <a:ext cx="5486396" cy="1828798"/>
                    </a:xfrm>
                    <a:prstGeom prst="rect">
                      <a:avLst/>
                    </a:prstGeom>
                    <a:noFill/>
                    <a:ln>
                      <a:noFill/>
                    </a:ln>
                  </pic:spPr>
                </pic:pic>
              </a:graphicData>
            </a:graphic>
          </wp:inline>
        </w:drawing>
      </w:r>
    </w:p>
    <w:p w14:paraId="3FDC3917" w14:textId="77777777" w:rsidR="009868FB" w:rsidRDefault="009868FB" w:rsidP="009868FB">
      <w:pPr>
        <w:pStyle w:val="FIGUREposition"/>
        <w:rPr>
          <w:rFonts w:eastAsia="PMingLiU"/>
          <w:lang w:eastAsia="zh-TW"/>
        </w:rPr>
      </w:pPr>
      <w:r>
        <w:rPr>
          <w:noProof/>
        </w:rPr>
        <w:drawing>
          <wp:inline distT="0" distB="0" distL="0" distR="0" wp14:anchorId="70C431C9" wp14:editId="31B6E21C">
            <wp:extent cx="5486396" cy="1828798"/>
            <wp:effectExtent l="0" t="0" r="63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06"/>
                    <a:stretch>
                      <a:fillRect/>
                    </a:stretch>
                  </pic:blipFill>
                  <pic:spPr bwMode="auto">
                    <a:xfrm>
                      <a:off x="0" y="0"/>
                      <a:ext cx="5486396" cy="1828798"/>
                    </a:xfrm>
                    <a:prstGeom prst="rect">
                      <a:avLst/>
                    </a:prstGeom>
                    <a:noFill/>
                    <a:ln>
                      <a:noFill/>
                    </a:ln>
                  </pic:spPr>
                </pic:pic>
              </a:graphicData>
            </a:graphic>
          </wp:inline>
        </w:drawing>
      </w:r>
    </w:p>
    <w:p w14:paraId="7E86F61A" w14:textId="77777777" w:rsidR="009868FB" w:rsidRDefault="009868FB" w:rsidP="009868FB">
      <w:pPr>
        <w:pStyle w:val="FIGUREposition"/>
        <w:rPr>
          <w:rFonts w:eastAsia="PMingLiU"/>
          <w:lang w:eastAsia="zh-TW"/>
        </w:rPr>
      </w:pPr>
      <w:r>
        <w:rPr>
          <w:noProof/>
        </w:rPr>
        <w:drawing>
          <wp:inline distT="0" distB="0" distL="0" distR="0" wp14:anchorId="500D09D6" wp14:editId="1F3F4364">
            <wp:extent cx="5486396" cy="1828798"/>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07"/>
                    <a:stretch>
                      <a:fillRect/>
                    </a:stretch>
                  </pic:blipFill>
                  <pic:spPr bwMode="auto">
                    <a:xfrm>
                      <a:off x="0" y="0"/>
                      <a:ext cx="5486396" cy="1828798"/>
                    </a:xfrm>
                    <a:prstGeom prst="rect">
                      <a:avLst/>
                    </a:prstGeom>
                    <a:noFill/>
                    <a:ln>
                      <a:noFill/>
                    </a:ln>
                  </pic:spPr>
                </pic:pic>
              </a:graphicData>
            </a:graphic>
          </wp:inline>
        </w:drawing>
      </w:r>
    </w:p>
    <w:p w14:paraId="1A9C3FFB" w14:textId="64176504" w:rsidR="009868FB" w:rsidRDefault="009868FB" w:rsidP="009868FB">
      <w:pPr>
        <w:pStyle w:val="FigureCaption"/>
        <w:rPr>
          <w:b w:val="0"/>
        </w:rPr>
      </w:pPr>
      <w:bookmarkStart w:id="310" w:name="_Ref72838101"/>
      <w:bookmarkStart w:id="311" w:name="_Toc113380902"/>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14</w:t>
      </w:r>
      <w:r w:rsidRPr="00F61532">
        <w:rPr>
          <w:lang w:eastAsia="zh-TW"/>
        </w:rPr>
        <w:fldChar w:fldCharType="end"/>
      </w:r>
      <w:bookmarkEnd w:id="310"/>
      <w:r w:rsidRPr="00F61532">
        <w:rPr>
          <w:lang w:eastAsia="zh-TW"/>
        </w:rPr>
        <w:t xml:space="preserve">. Projected annual </w:t>
      </w:r>
      <w:r>
        <w:rPr>
          <w:lang w:eastAsia="zh-TW"/>
        </w:rPr>
        <w:t xml:space="preserve">total generation </w:t>
      </w:r>
      <w:r w:rsidRPr="00F61532">
        <w:rPr>
          <w:lang w:eastAsia="zh-TW"/>
        </w:rPr>
        <w:t xml:space="preserve">in </w:t>
      </w:r>
      <w:r>
        <w:rPr>
          <w:lang w:eastAsia="zh-TW"/>
        </w:rPr>
        <w:t>the BPA region.</w:t>
      </w:r>
      <w:bookmarkEnd w:id="311"/>
    </w:p>
    <w:p w14:paraId="7E3FECC5" w14:textId="77777777" w:rsidR="00246A15" w:rsidRDefault="0080656F" w:rsidP="00246A15">
      <w:pPr>
        <w:pStyle w:val="FIGUREposition"/>
        <w:rPr>
          <w:rFonts w:eastAsia="PMingLiU"/>
          <w:lang w:eastAsia="zh-TW"/>
        </w:rPr>
      </w:pPr>
      <w:r>
        <w:rPr>
          <w:noProof/>
        </w:rPr>
        <w:lastRenderedPageBreak/>
        <w:drawing>
          <wp:inline distT="0" distB="0" distL="0" distR="0" wp14:anchorId="7780DCC4" wp14:editId="25A241D1">
            <wp:extent cx="2743200" cy="18288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108"/>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5CC3B715" wp14:editId="5B537765">
            <wp:extent cx="2743200" cy="1828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pic:cNvPicPr>
                      <a:picLocks noChangeAspect="1" noChangeArrowheads="1"/>
                    </pic:cNvPicPr>
                  </pic:nvPicPr>
                  <pic:blipFill>
                    <a:blip r:embed="rId109"/>
                    <a:stretch>
                      <a:fillRect/>
                    </a:stretch>
                  </pic:blipFill>
                  <pic:spPr bwMode="auto">
                    <a:xfrm>
                      <a:off x="0" y="0"/>
                      <a:ext cx="2743200" cy="1828800"/>
                    </a:xfrm>
                    <a:prstGeom prst="rect">
                      <a:avLst/>
                    </a:prstGeom>
                    <a:noFill/>
                    <a:ln>
                      <a:noFill/>
                    </a:ln>
                  </pic:spPr>
                </pic:pic>
              </a:graphicData>
            </a:graphic>
          </wp:inline>
        </w:drawing>
      </w:r>
    </w:p>
    <w:p w14:paraId="4613AFC9" w14:textId="3C2BFAC3" w:rsidR="0080656F" w:rsidRDefault="0080656F" w:rsidP="00246A15">
      <w:pPr>
        <w:pStyle w:val="FIGUREposition"/>
        <w:rPr>
          <w:rFonts w:eastAsia="PMingLiU"/>
          <w:lang w:eastAsia="zh-TW"/>
        </w:rPr>
      </w:pPr>
      <w:r>
        <w:rPr>
          <w:noProof/>
        </w:rPr>
        <w:drawing>
          <wp:inline distT="0" distB="0" distL="0" distR="0" wp14:anchorId="2C184492" wp14:editId="3A0B5793">
            <wp:extent cx="2743200" cy="18288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a:picLocks noChangeAspect="1" noChangeArrowheads="1"/>
                    </pic:cNvPicPr>
                  </pic:nvPicPr>
                  <pic:blipFill>
                    <a:blip r:embed="rId110"/>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02B87A1" wp14:editId="00FF148B">
            <wp:extent cx="2743200" cy="18288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noChangeArrowheads="1"/>
                    </pic:cNvPicPr>
                  </pic:nvPicPr>
                  <pic:blipFill>
                    <a:blip r:embed="rId111"/>
                    <a:stretch>
                      <a:fillRect/>
                    </a:stretch>
                  </pic:blipFill>
                  <pic:spPr bwMode="auto">
                    <a:xfrm>
                      <a:off x="0" y="0"/>
                      <a:ext cx="2743200" cy="1828800"/>
                    </a:xfrm>
                    <a:prstGeom prst="rect">
                      <a:avLst/>
                    </a:prstGeom>
                    <a:noFill/>
                    <a:ln>
                      <a:noFill/>
                    </a:ln>
                  </pic:spPr>
                </pic:pic>
              </a:graphicData>
            </a:graphic>
          </wp:inline>
        </w:drawing>
      </w:r>
    </w:p>
    <w:p w14:paraId="7C4B802B" w14:textId="1B2D23E3" w:rsidR="0080656F" w:rsidRPr="00F61532" w:rsidRDefault="0080656F" w:rsidP="0080656F">
      <w:pPr>
        <w:pStyle w:val="FigureCaption"/>
        <w:rPr>
          <w:b w:val="0"/>
        </w:rPr>
      </w:pPr>
      <w:bookmarkStart w:id="312" w:name="_Ref72838144"/>
      <w:bookmarkStart w:id="313" w:name="_Toc113380903"/>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15</w:t>
      </w:r>
      <w:r w:rsidRPr="00F61532">
        <w:rPr>
          <w:lang w:eastAsia="zh-TW"/>
        </w:rPr>
        <w:fldChar w:fldCharType="end"/>
      </w:r>
      <w:bookmarkEnd w:id="312"/>
      <w:r w:rsidRPr="00F61532">
        <w:rPr>
          <w:lang w:eastAsia="zh-TW"/>
        </w:rPr>
        <w:t xml:space="preserve">. Projected change of annual and seasonal </w:t>
      </w:r>
      <w:r>
        <w:rPr>
          <w:lang w:eastAsia="zh-TW"/>
        </w:rPr>
        <w:t xml:space="preserve">total </w:t>
      </w:r>
      <w:r w:rsidR="00767464">
        <w:rPr>
          <w:lang w:eastAsia="zh-TW"/>
        </w:rPr>
        <w:t xml:space="preserve">generation </w:t>
      </w:r>
      <w:r w:rsidRPr="00F61532">
        <w:rPr>
          <w:lang w:eastAsia="zh-TW"/>
        </w:rPr>
        <w:t xml:space="preserve">in </w:t>
      </w:r>
      <w:r>
        <w:rPr>
          <w:lang w:eastAsia="zh-TW"/>
        </w:rPr>
        <w:t>the BPA region.</w:t>
      </w:r>
      <w:bookmarkEnd w:id="313"/>
    </w:p>
    <w:p w14:paraId="3C5193D0" w14:textId="02BAA274" w:rsidR="00C03B49" w:rsidRDefault="005463F8" w:rsidP="00C03B49">
      <w:pPr>
        <w:pStyle w:val="BodyText"/>
        <w:rPr>
          <w:rFonts w:eastAsia="PMingLiU"/>
          <w:lang w:eastAsia="zh-TW"/>
        </w:rPr>
      </w:pPr>
      <w:r>
        <w:rPr>
          <w:rFonts w:eastAsia="PMingLiU"/>
          <w:lang w:eastAsia="zh-TW"/>
        </w:rPr>
        <w:t>A s</w:t>
      </w:r>
      <w:r w:rsidR="00C03B49">
        <w:rPr>
          <w:rFonts w:eastAsia="PMingLiU"/>
          <w:lang w:eastAsia="zh-TW"/>
        </w:rPr>
        <w:t>mall increase in annual hydropower generation is projected across the four BPA study areas throughout the simulation period (</w:t>
      </w:r>
      <w:r w:rsidR="00C03B49">
        <w:rPr>
          <w:rFonts w:eastAsia="PMingLiU"/>
          <w:lang w:eastAsia="zh-TW"/>
        </w:rPr>
        <w:fldChar w:fldCharType="begin"/>
      </w:r>
      <w:r w:rsidR="00C03B49">
        <w:rPr>
          <w:rFonts w:eastAsia="PMingLiU"/>
          <w:lang w:eastAsia="zh-TW"/>
        </w:rPr>
        <w:instrText xml:space="preserve"> REF _Ref72838144 \h </w:instrText>
      </w:r>
      <w:r w:rsidR="00C03B49">
        <w:rPr>
          <w:rFonts w:eastAsia="PMingLiU"/>
          <w:lang w:eastAsia="zh-TW"/>
        </w:rPr>
      </w:r>
      <w:r w:rsidR="00C03B49">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rsidR="00C03B49">
        <w:rPr>
          <w:rFonts w:eastAsia="PMingLiU"/>
          <w:lang w:eastAsia="zh-TW"/>
        </w:rPr>
        <w:fldChar w:fldCharType="end"/>
      </w:r>
      <w:r w:rsidR="00C03B49">
        <w:rPr>
          <w:rFonts w:eastAsia="PMingLiU"/>
          <w:lang w:eastAsia="zh-TW"/>
        </w:rPr>
        <w:t xml:space="preserve">). This increase of annual hydropower generation is consistent with the increase of precipitation and runoff at the annual scale. However, increases in annual flows do not translate to a one-for-one increase in generation as the annual runoff is reshaped, and some of the larger flow increases are likely to result in more bypass spill in the relatively storage-limited BPA area. More specifically, the annual hydropower generation in the near-term (2020–2039) future period is projected to increase from 2% in BPA-3 to 5% in BPA-1 in terms of </w:t>
      </w:r>
      <w:r w:rsidR="005E23BA">
        <w:rPr>
          <w:rFonts w:eastAsia="PMingLiU"/>
          <w:lang w:eastAsia="zh-TW"/>
        </w:rPr>
        <w:t>multimodel</w:t>
      </w:r>
      <w:r w:rsidR="00C03B49">
        <w:rPr>
          <w:rFonts w:eastAsia="PMingLiU"/>
          <w:lang w:eastAsia="zh-TW"/>
        </w:rPr>
        <w:t xml:space="preserve"> median. Similarly, the annual hydropower generation in the mid-term (2040–2059) future period is projected to either slow or continue its increase</w:t>
      </w:r>
      <w:r>
        <w:rPr>
          <w:rFonts w:eastAsia="PMingLiU"/>
          <w:lang w:eastAsia="zh-TW"/>
        </w:rPr>
        <w:t>,</w:t>
      </w:r>
      <w:r w:rsidR="00C03B49">
        <w:rPr>
          <w:rFonts w:eastAsia="PMingLiU"/>
          <w:lang w:eastAsia="zh-TW"/>
        </w:rPr>
        <w:t xml:space="preserve"> down to </w:t>
      </w:r>
      <w:r>
        <w:rPr>
          <w:rFonts w:eastAsia="PMingLiU"/>
          <w:lang w:eastAsia="zh-TW"/>
        </w:rPr>
        <w:t xml:space="preserve">a </w:t>
      </w:r>
      <w:r w:rsidR="00C03B49">
        <w:rPr>
          <w:rFonts w:eastAsia="PMingLiU"/>
          <w:lang w:eastAsia="zh-TW"/>
        </w:rPr>
        <w:t xml:space="preserve">1% increase in BPA-1 and up to </w:t>
      </w:r>
      <w:r>
        <w:rPr>
          <w:rFonts w:eastAsia="PMingLiU"/>
          <w:lang w:eastAsia="zh-TW"/>
        </w:rPr>
        <w:t xml:space="preserve">a </w:t>
      </w:r>
      <w:r w:rsidR="00C03B49">
        <w:rPr>
          <w:rFonts w:eastAsia="PMingLiU"/>
          <w:lang w:eastAsia="zh-TW"/>
        </w:rPr>
        <w:t xml:space="preserve">6% increase in BPA-2, also in terms of </w:t>
      </w:r>
      <w:r w:rsidR="005E23BA">
        <w:rPr>
          <w:rFonts w:eastAsia="PMingLiU"/>
          <w:lang w:eastAsia="zh-TW"/>
        </w:rPr>
        <w:t>multimodel</w:t>
      </w:r>
      <w:r w:rsidR="00C03B49">
        <w:rPr>
          <w:rFonts w:eastAsia="PMingLiU"/>
          <w:lang w:eastAsia="zh-TW"/>
        </w:rPr>
        <w:t xml:space="preserve"> median.</w:t>
      </w:r>
    </w:p>
    <w:p w14:paraId="7D3F5B20" w14:textId="0F9CBDAD" w:rsidR="009D5743" w:rsidRDefault="009D5743" w:rsidP="009D5743">
      <w:pPr>
        <w:pStyle w:val="BodyText"/>
        <w:rPr>
          <w:rFonts w:eastAsia="PMingLiU"/>
          <w:lang w:eastAsia="zh-TW"/>
        </w:rPr>
      </w:pPr>
      <w:r>
        <w:rPr>
          <w:rFonts w:eastAsia="PMingLiU"/>
          <w:lang w:eastAsia="zh-TW"/>
        </w:rPr>
        <w:t>Seasonal relative changes tend to be more substantial than annual changes, with more pronounced increase</w:t>
      </w:r>
      <w:r w:rsidR="005463F8">
        <w:rPr>
          <w:rFonts w:eastAsia="PMingLiU"/>
          <w:lang w:eastAsia="zh-TW"/>
        </w:rPr>
        <w:t>s</w:t>
      </w:r>
      <w:r>
        <w:rPr>
          <w:rFonts w:eastAsia="PMingLiU"/>
          <w:lang w:eastAsia="zh-TW"/>
        </w:rPr>
        <w:t xml:space="preserve"> typically in winter and spring, and maintained or reduced generation in summer and fall. In the near-term future, projections indicate an increase in winter generation ranging between 5</w:t>
      </w:r>
      <w:r w:rsidR="005463F8">
        <w:rPr>
          <w:rFonts w:eastAsia="PMingLiU"/>
          <w:lang w:eastAsia="zh-TW"/>
        </w:rPr>
        <w:t xml:space="preserve">% and </w:t>
      </w:r>
      <w:r>
        <w:rPr>
          <w:rFonts w:eastAsia="PMingLiU"/>
          <w:lang w:eastAsia="zh-TW"/>
        </w:rPr>
        <w:t>11%</w:t>
      </w:r>
      <w:r w:rsidR="005463F8">
        <w:rPr>
          <w:rFonts w:eastAsia="PMingLiU"/>
          <w:lang w:eastAsia="zh-TW"/>
        </w:rPr>
        <w:t>,</w:t>
      </w:r>
      <w:r>
        <w:rPr>
          <w:rFonts w:eastAsia="PMingLiU"/>
          <w:lang w:eastAsia="zh-TW"/>
        </w:rPr>
        <w:t xml:space="preserve"> and the increase jumps to 5</w:t>
      </w:r>
      <w:r w:rsidR="005463F8">
        <w:rPr>
          <w:rFonts w:eastAsia="PMingLiU"/>
          <w:lang w:eastAsia="zh-TW"/>
        </w:rPr>
        <w:t>%</w:t>
      </w:r>
      <w:r>
        <w:rPr>
          <w:rFonts w:eastAsia="PMingLiU"/>
          <w:lang w:eastAsia="zh-TW"/>
        </w:rPr>
        <w:t xml:space="preserve">–20% in the mid-term future </w:t>
      </w:r>
      <w:r w:rsidR="005463F8">
        <w:rPr>
          <w:rFonts w:eastAsia="PMingLiU"/>
          <w:lang w:eastAsia="zh-TW"/>
        </w:rPr>
        <w:t xml:space="preserve">period </w:t>
      </w:r>
      <w:r>
        <w:rPr>
          <w:rFonts w:eastAsia="PMingLiU"/>
          <w:lang w:eastAsia="zh-TW"/>
        </w:rPr>
        <w:t>(</w:t>
      </w:r>
      <w:r>
        <w:fldChar w:fldCharType="begin"/>
      </w:r>
      <w:r>
        <w:rPr>
          <w:rFonts w:eastAsia="PMingLiU"/>
          <w:lang w:eastAsia="zh-TW"/>
        </w:rPr>
        <w:instrText xml:space="preserve"> REF _Ref72838144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fldChar w:fldCharType="end"/>
      </w:r>
      <w:r>
        <w:rPr>
          <w:rFonts w:eastAsia="PMingLiU"/>
          <w:lang w:eastAsia="zh-TW"/>
        </w:rPr>
        <w:t xml:space="preserve">). The </w:t>
      </w:r>
      <w:r w:rsidR="0089546A" w:rsidRPr="24734F88">
        <w:rPr>
          <w:lang w:eastAsia="zh-CN"/>
        </w:rPr>
        <w:t>substantial</w:t>
      </w:r>
      <w:r w:rsidR="0089546A">
        <w:rPr>
          <w:lang w:eastAsia="zh-CN"/>
        </w:rPr>
        <w:t xml:space="preserve"> </w:t>
      </w:r>
      <w:r>
        <w:rPr>
          <w:rFonts w:eastAsia="PMingLiU"/>
          <w:lang w:eastAsia="zh-TW"/>
        </w:rPr>
        <w:t>increase in generation is projected to continue in the spring (5</w:t>
      </w:r>
      <w:r w:rsidR="005463F8">
        <w:rPr>
          <w:rFonts w:eastAsia="PMingLiU"/>
          <w:lang w:eastAsia="zh-TW"/>
        </w:rPr>
        <w:t>%</w:t>
      </w:r>
      <w:r>
        <w:rPr>
          <w:rFonts w:eastAsia="PMingLiU"/>
          <w:lang w:eastAsia="zh-TW"/>
        </w:rPr>
        <w:t>–9% in the near-term and 4</w:t>
      </w:r>
      <w:r w:rsidR="005463F8">
        <w:rPr>
          <w:rFonts w:eastAsia="PMingLiU"/>
          <w:lang w:eastAsia="zh-TW"/>
        </w:rPr>
        <w:t>%</w:t>
      </w:r>
      <w:r>
        <w:rPr>
          <w:rFonts w:eastAsia="PMingLiU"/>
          <w:lang w:eastAsia="zh-TW"/>
        </w:rPr>
        <w:t xml:space="preserve">–16% in the mid-term future periods). </w:t>
      </w:r>
      <w:r w:rsidR="005463F8">
        <w:rPr>
          <w:rFonts w:eastAsia="PMingLiU"/>
          <w:lang w:eastAsia="zh-TW"/>
        </w:rPr>
        <w:t xml:space="preserve">Although </w:t>
      </w:r>
      <w:r>
        <w:rPr>
          <w:rFonts w:eastAsia="PMingLiU"/>
          <w:lang w:eastAsia="zh-TW"/>
        </w:rPr>
        <w:t xml:space="preserve">not much </w:t>
      </w:r>
      <w:r w:rsidR="005463F8">
        <w:rPr>
          <w:rFonts w:eastAsia="PMingLiU"/>
          <w:lang w:eastAsia="zh-TW"/>
        </w:rPr>
        <w:t xml:space="preserve">change is </w:t>
      </w:r>
      <w:r>
        <w:rPr>
          <w:rFonts w:eastAsia="PMingLiU"/>
          <w:lang w:eastAsia="zh-TW"/>
        </w:rPr>
        <w:t>projected in summer hydropower generation in the near-term future period,</w:t>
      </w:r>
      <w:r w:rsidRPr="00F26FC1">
        <w:rPr>
          <w:rFonts w:eastAsia="PMingLiU"/>
          <w:lang w:eastAsia="zh-TW"/>
        </w:rPr>
        <w:t xml:space="preserve"> </w:t>
      </w:r>
      <w:r>
        <w:rPr>
          <w:rFonts w:eastAsia="PMingLiU"/>
          <w:lang w:eastAsia="zh-TW"/>
        </w:rPr>
        <w:t xml:space="preserve">a </w:t>
      </w:r>
      <w:r w:rsidR="0089546A" w:rsidRPr="24734F88">
        <w:rPr>
          <w:lang w:eastAsia="zh-CN"/>
        </w:rPr>
        <w:t>substantial</w:t>
      </w:r>
      <w:r w:rsidR="0089546A">
        <w:rPr>
          <w:lang w:eastAsia="zh-CN"/>
        </w:rPr>
        <w:t xml:space="preserve"> </w:t>
      </w:r>
      <w:r>
        <w:rPr>
          <w:rFonts w:eastAsia="PMingLiU"/>
          <w:lang w:eastAsia="zh-TW"/>
        </w:rPr>
        <w:t>reduction of summer hydropower generation is projected in BPA</w:t>
      </w:r>
      <w:r w:rsidR="002A0F15">
        <w:rPr>
          <w:rFonts w:eastAsia="PMingLiU"/>
          <w:lang w:eastAsia="zh-TW"/>
        </w:rPr>
        <w:t>-</w:t>
      </w:r>
      <w:r>
        <w:rPr>
          <w:rFonts w:eastAsia="PMingLiU"/>
          <w:lang w:eastAsia="zh-TW"/>
        </w:rPr>
        <w:t>1–3 (6</w:t>
      </w:r>
      <w:r w:rsidR="005463F8">
        <w:rPr>
          <w:rFonts w:eastAsia="PMingLiU"/>
          <w:lang w:eastAsia="zh-TW"/>
        </w:rPr>
        <w:t>%</w:t>
      </w:r>
      <w:r>
        <w:rPr>
          <w:rFonts w:eastAsia="PMingLiU"/>
          <w:lang w:eastAsia="zh-TW"/>
        </w:rPr>
        <w:t>–9%) in the mid-term future period. BPA-4 is an exception</w:t>
      </w:r>
      <w:r w:rsidR="00022CDD">
        <w:rPr>
          <w:rFonts w:eastAsia="PMingLiU"/>
          <w:lang w:eastAsia="zh-TW"/>
        </w:rPr>
        <w:t>;</w:t>
      </w:r>
      <w:r>
        <w:rPr>
          <w:rFonts w:eastAsia="PMingLiU"/>
          <w:lang w:eastAsia="zh-TW"/>
        </w:rPr>
        <w:t xml:space="preserve"> </w:t>
      </w:r>
      <w:r w:rsidR="00022CDD">
        <w:rPr>
          <w:rFonts w:eastAsia="PMingLiU"/>
          <w:lang w:eastAsia="zh-TW"/>
        </w:rPr>
        <w:t xml:space="preserve">there, </w:t>
      </w:r>
      <w:r>
        <w:rPr>
          <w:rFonts w:eastAsia="PMingLiU"/>
          <w:lang w:eastAsia="zh-TW"/>
        </w:rPr>
        <w:t>summer generation is maintained in both near-term and mid-term future periods. Watersheds in BPA-4 are mainly controlled by rainfall and are less impacted by the change of snow hydrology (Section</w:t>
      </w:r>
      <w:r w:rsidR="00581C65">
        <w:rPr>
          <w:rFonts w:eastAsia="PMingLiU"/>
          <w:lang w:eastAsia="zh-TW"/>
        </w:rPr>
        <w:t xml:space="preserve"> </w:t>
      </w:r>
      <w:r w:rsidR="00581C65">
        <w:rPr>
          <w:rFonts w:eastAsia="PMingLiU"/>
          <w:lang w:eastAsia="zh-TW"/>
        </w:rPr>
        <w:fldChar w:fldCharType="begin"/>
      </w:r>
      <w:r w:rsidR="00581C65">
        <w:rPr>
          <w:rFonts w:eastAsia="PMingLiU"/>
          <w:lang w:eastAsia="zh-TW"/>
        </w:rPr>
        <w:instrText xml:space="preserve"> REF _Ref81829212 \n \h </w:instrText>
      </w:r>
      <w:r w:rsidR="00581C65">
        <w:rPr>
          <w:rFonts w:eastAsia="PMingLiU"/>
          <w:lang w:eastAsia="zh-TW"/>
        </w:rPr>
      </w:r>
      <w:r w:rsidR="00581C65">
        <w:rPr>
          <w:rFonts w:eastAsia="PMingLiU"/>
          <w:lang w:eastAsia="zh-TW"/>
        </w:rPr>
        <w:fldChar w:fldCharType="separate"/>
      </w:r>
      <w:r w:rsidR="00EE0BF5">
        <w:rPr>
          <w:rFonts w:eastAsia="PMingLiU"/>
          <w:lang w:eastAsia="zh-TW"/>
        </w:rPr>
        <w:t>3.2.2</w:t>
      </w:r>
      <w:r w:rsidR="00581C65">
        <w:rPr>
          <w:rFonts w:eastAsia="PMingLiU"/>
          <w:lang w:eastAsia="zh-TW"/>
        </w:rPr>
        <w:fldChar w:fldCharType="end"/>
      </w:r>
      <w:r>
        <w:rPr>
          <w:rFonts w:eastAsia="PMingLiU"/>
          <w:lang w:eastAsia="zh-TW"/>
        </w:rPr>
        <w:t>). Fall generation is projected to remain stable in the near-term and mid-term future periods with a large ensemble spread. The exception is BPA-1 in the mid-term future period</w:t>
      </w:r>
      <w:r w:rsidR="00022CDD">
        <w:rPr>
          <w:rFonts w:eastAsia="PMingLiU"/>
          <w:lang w:eastAsia="zh-TW"/>
        </w:rPr>
        <w:t>,</w:t>
      </w:r>
      <w:r>
        <w:rPr>
          <w:rFonts w:eastAsia="PMingLiU"/>
          <w:lang w:eastAsia="zh-TW"/>
        </w:rPr>
        <w:t xml:space="preserve"> where fall generation is projected to decrease by 8% associated with a stronger seasonal pattern overall.</w:t>
      </w:r>
    </w:p>
    <w:p w14:paraId="54801786" w14:textId="75DA369F" w:rsidR="00C03B49" w:rsidRDefault="00C03B49" w:rsidP="00C03B49">
      <w:pPr>
        <w:pStyle w:val="BodyText"/>
        <w:rPr>
          <w:rFonts w:eastAsia="PMingLiU"/>
          <w:lang w:eastAsia="zh-TW"/>
        </w:rPr>
      </w:pPr>
      <w:r>
        <w:rPr>
          <w:rFonts w:eastAsia="PMingLiU"/>
          <w:lang w:eastAsia="zh-TW"/>
        </w:rPr>
        <w:lastRenderedPageBreak/>
        <w:t>By comparing the projected annual and seasonal change between runoff (</w:t>
      </w:r>
      <w:r w:rsidR="006C2B2C">
        <w:rPr>
          <w:rFonts w:eastAsia="PMingLiU"/>
          <w:b/>
          <w:bCs/>
          <w:lang w:eastAsia="zh-TW"/>
        </w:rPr>
        <w:fldChar w:fldCharType="begin"/>
      </w:r>
      <w:r w:rsidR="006C2B2C">
        <w:rPr>
          <w:rFonts w:eastAsia="PMingLiU"/>
          <w:lang w:eastAsia="zh-TW"/>
        </w:rPr>
        <w:instrText xml:space="preserve"> REF _Ref83536995 \h </w:instrText>
      </w:r>
      <w:r w:rsidR="006C2B2C">
        <w:rPr>
          <w:rFonts w:eastAsia="PMingLiU"/>
          <w:b/>
          <w:bCs/>
          <w:lang w:eastAsia="zh-TW"/>
        </w:rPr>
      </w:r>
      <w:r w:rsidR="006C2B2C">
        <w:rPr>
          <w:rFonts w:eastAsia="PMingLiU"/>
          <w:b/>
          <w:bCs/>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7</w:t>
      </w:r>
      <w:r w:rsidR="006C2B2C">
        <w:rPr>
          <w:rFonts w:eastAsia="PMingLiU"/>
          <w:b/>
          <w:bCs/>
          <w:lang w:eastAsia="zh-TW"/>
        </w:rPr>
        <w:fldChar w:fldCharType="end"/>
      </w:r>
      <w:r>
        <w:rPr>
          <w:rFonts w:eastAsia="PMingLiU"/>
          <w:lang w:eastAsia="zh-TW"/>
        </w:rPr>
        <w:t>) and generation (</w:t>
      </w:r>
      <w:r>
        <w:fldChar w:fldCharType="begin"/>
      </w:r>
      <w:r>
        <w:rPr>
          <w:rFonts w:eastAsia="PMingLiU"/>
          <w:lang w:eastAsia="zh-TW"/>
        </w:rPr>
        <w:instrText xml:space="preserve"> REF _Ref72838144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fldChar w:fldCharType="end"/>
      </w:r>
      <w:r>
        <w:rPr>
          <w:rFonts w:eastAsia="PMingLiU"/>
          <w:lang w:eastAsia="zh-TW"/>
        </w:rPr>
        <w:t xml:space="preserve">), the effect of reservoir storage can be observed. In all BPA areas, the projected annual and seasonal hydropower generation change is milder than the projected runoff change, indicating </w:t>
      </w:r>
      <w:r w:rsidR="00694FEF">
        <w:rPr>
          <w:rFonts w:eastAsia="PMingLiU"/>
          <w:lang w:eastAsia="zh-TW"/>
        </w:rPr>
        <w:t xml:space="preserve">that </w:t>
      </w:r>
      <w:r>
        <w:rPr>
          <w:rFonts w:eastAsia="PMingLiU"/>
          <w:lang w:eastAsia="zh-TW"/>
        </w:rPr>
        <w:t>reservoirs absorbed part of the runoff monthly variability while constrain</w:t>
      </w:r>
      <w:r w:rsidR="00694FEF">
        <w:rPr>
          <w:rFonts w:eastAsia="PMingLiU"/>
          <w:lang w:eastAsia="zh-TW"/>
        </w:rPr>
        <w:t>ing</w:t>
      </w:r>
      <w:r>
        <w:rPr>
          <w:rFonts w:eastAsia="PMingLiU"/>
          <w:lang w:eastAsia="zh-TW"/>
        </w:rPr>
        <w:t xml:space="preserve"> the annual maximum generation. </w:t>
      </w:r>
      <w:r w:rsidRPr="001C2B8E">
        <w:rPr>
          <w:rFonts w:eastAsia="PMingLiU"/>
          <w:lang w:eastAsia="zh-TW"/>
        </w:rPr>
        <w:t xml:space="preserve">In the case of </w:t>
      </w:r>
      <w:r w:rsidR="00694FEF">
        <w:rPr>
          <w:rFonts w:eastAsia="PMingLiU"/>
          <w:lang w:eastAsia="zh-TW"/>
        </w:rPr>
        <w:t xml:space="preserve">the </w:t>
      </w:r>
      <w:r w:rsidRPr="001C2B8E">
        <w:rPr>
          <w:rFonts w:eastAsia="PMingLiU"/>
          <w:lang w:eastAsia="zh-TW"/>
        </w:rPr>
        <w:t>BPA-1 and BPA-3 mid</w:t>
      </w:r>
      <w:r>
        <w:rPr>
          <w:rFonts w:eastAsia="PMingLiU"/>
          <w:lang w:eastAsia="zh-TW"/>
        </w:rPr>
        <w:t>-</w:t>
      </w:r>
      <w:r w:rsidRPr="001C2B8E">
        <w:rPr>
          <w:rFonts w:eastAsia="PMingLiU"/>
          <w:lang w:eastAsia="zh-TW"/>
        </w:rPr>
        <w:t xml:space="preserve">term future </w:t>
      </w:r>
      <w:r>
        <w:rPr>
          <w:rFonts w:eastAsia="PMingLiU"/>
          <w:lang w:eastAsia="zh-TW"/>
        </w:rPr>
        <w:t>period</w:t>
      </w:r>
      <w:r w:rsidRPr="001C2B8E">
        <w:rPr>
          <w:rFonts w:eastAsia="PMingLiU"/>
          <w:lang w:eastAsia="zh-TW"/>
        </w:rPr>
        <w:t xml:space="preserve">, the largest runoff </w:t>
      </w:r>
      <w:r>
        <w:rPr>
          <w:rFonts w:eastAsia="PMingLiU"/>
          <w:lang w:eastAsia="zh-TW"/>
        </w:rPr>
        <w:t xml:space="preserve">change </w:t>
      </w:r>
      <w:r w:rsidRPr="001C2B8E">
        <w:rPr>
          <w:rFonts w:eastAsia="PMingLiU"/>
          <w:lang w:eastAsia="zh-TW"/>
        </w:rPr>
        <w:t xml:space="preserve">occurs in winter, </w:t>
      </w:r>
      <w:r w:rsidR="00694FEF">
        <w:rPr>
          <w:rFonts w:eastAsia="PMingLiU"/>
          <w:lang w:eastAsia="zh-TW"/>
        </w:rPr>
        <w:t>whereas</w:t>
      </w:r>
      <w:r w:rsidR="00694FEF" w:rsidRPr="001C2B8E">
        <w:rPr>
          <w:rFonts w:eastAsia="PMingLiU"/>
          <w:lang w:eastAsia="zh-TW"/>
        </w:rPr>
        <w:t xml:space="preserve"> </w:t>
      </w:r>
      <w:r w:rsidRPr="001C2B8E">
        <w:rPr>
          <w:rFonts w:eastAsia="PMingLiU"/>
          <w:lang w:eastAsia="zh-TW"/>
        </w:rPr>
        <w:t>the largest hydropower generation change occurs in the spring.</w:t>
      </w:r>
    </w:p>
    <w:p w14:paraId="5458DA3B" w14:textId="407E1C24" w:rsidR="00DC4862" w:rsidRDefault="00DC4862" w:rsidP="00DC4862">
      <w:pPr>
        <w:pStyle w:val="BodyText"/>
        <w:rPr>
          <w:rFonts w:eastAsia="PMingLiU"/>
          <w:lang w:eastAsia="zh-TW"/>
        </w:rPr>
      </w:pPr>
      <w:r>
        <w:rPr>
          <w:rFonts w:eastAsia="PMingLiU"/>
          <w:lang w:eastAsia="zh-TW"/>
        </w:rPr>
        <w:t xml:space="preserve">The source of variance in the projected annual hydropower generation change between the baseline and future periods </w:t>
      </w:r>
      <w:r w:rsidR="00694FEF">
        <w:rPr>
          <w:rFonts w:eastAsia="PMingLiU"/>
          <w:lang w:eastAsia="zh-TW"/>
        </w:rPr>
        <w:t xml:space="preserve">is </w:t>
      </w:r>
      <w:r>
        <w:rPr>
          <w:rFonts w:eastAsia="PMingLiU"/>
          <w:lang w:eastAsia="zh-TW"/>
        </w:rPr>
        <w:t xml:space="preserve">shown in </w:t>
      </w:r>
      <w:r>
        <w:rPr>
          <w:lang w:eastAsia="zh-TW"/>
        </w:rPr>
        <w:fldChar w:fldCharType="begin"/>
      </w:r>
      <w:r>
        <w:rPr>
          <w:rFonts w:eastAsia="PMingLiU"/>
          <w:lang w:eastAsia="zh-TW"/>
        </w:rPr>
        <w:instrText xml:space="preserve"> REF _Ref72838168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16</w:t>
      </w:r>
      <w:r>
        <w:rPr>
          <w:lang w:eastAsia="zh-TW"/>
        </w:rPr>
        <w:fldChar w:fldCharType="end"/>
      </w:r>
      <w:r>
        <w:rPr>
          <w:rFonts w:eastAsia="PMingLiU"/>
          <w:lang w:eastAsia="zh-TW"/>
        </w:rPr>
        <w:t>. The box</w:t>
      </w:r>
      <w:r w:rsidR="005610E7">
        <w:rPr>
          <w:rFonts w:eastAsia="PMingLiU"/>
          <w:lang w:eastAsia="zh-TW"/>
        </w:rPr>
        <w:t xml:space="preserve"> </w:t>
      </w:r>
      <w:r>
        <w:rPr>
          <w:rFonts w:eastAsia="PMingLiU"/>
          <w:lang w:eastAsia="zh-TW"/>
        </w:rPr>
        <w:t xml:space="preserve">plots in the top panels show the </w:t>
      </w:r>
      <w:r>
        <w:t>magnitude of change (future minus baseline) in annual hydropower generation across 96 ensemble members</w:t>
      </w:r>
      <w:r w:rsidRPr="3ADD3F87">
        <w:rPr>
          <w:rFonts w:eastAsia="PMingLiU"/>
          <w:lang w:eastAsia="zh-TW"/>
        </w:rPr>
        <w:t xml:space="preserve"> </w:t>
      </w:r>
      <w:r>
        <w:rPr>
          <w:rFonts w:eastAsia="PMingLiU"/>
          <w:lang w:eastAsia="zh-TW"/>
        </w:rPr>
        <w:t xml:space="preserve">when grouped by the five modeling </w:t>
      </w:r>
      <w:r w:rsidRPr="3ADD3F87">
        <w:rPr>
          <w:rFonts w:eastAsia="PMingLiU"/>
          <w:lang w:eastAsia="zh-TW"/>
        </w:rPr>
        <w:t xml:space="preserve">choices </w:t>
      </w:r>
      <w:r>
        <w:rPr>
          <w:rFonts w:eastAsia="PMingLiU"/>
          <w:lang w:eastAsia="zh-TW"/>
        </w:rPr>
        <w:t>(</w:t>
      </w:r>
      <w:r w:rsidRPr="3ADD3F87">
        <w:rPr>
          <w:rFonts w:eastAsia="PMingLiU"/>
          <w:lang w:eastAsia="zh-TW"/>
        </w:rPr>
        <w:t>CM</w:t>
      </w:r>
      <w:r>
        <w:rPr>
          <w:rFonts w:eastAsia="PMingLiU"/>
          <w:lang w:eastAsia="zh-TW"/>
        </w:rPr>
        <w:t xml:space="preserve">, </w:t>
      </w:r>
      <w:r w:rsidRPr="3ADD3F87">
        <w:rPr>
          <w:rFonts w:eastAsia="PMingLiU"/>
          <w:lang w:eastAsia="zh-TW"/>
        </w:rPr>
        <w:t>DS</w:t>
      </w:r>
      <w:r>
        <w:rPr>
          <w:rFonts w:eastAsia="PMingLiU"/>
          <w:lang w:eastAsia="zh-TW"/>
        </w:rPr>
        <w:t xml:space="preserve">, </w:t>
      </w:r>
      <w:r w:rsidRPr="3ADD3F87">
        <w:rPr>
          <w:rFonts w:eastAsia="PMingLiU"/>
          <w:lang w:eastAsia="zh-TW"/>
        </w:rPr>
        <w:t>MetF</w:t>
      </w:r>
      <w:r>
        <w:rPr>
          <w:rFonts w:eastAsia="PMingLiU"/>
          <w:lang w:eastAsia="zh-TW"/>
        </w:rPr>
        <w:t>,</w:t>
      </w:r>
      <w:r w:rsidR="007C48E5" w:rsidDel="007C48E5">
        <w:rPr>
          <w:rFonts w:eastAsia="PMingLiU"/>
          <w:lang w:eastAsia="zh-TW"/>
        </w:rPr>
        <w:t xml:space="preserve"> </w:t>
      </w:r>
      <w:r w:rsidRPr="3ADD3F87">
        <w:rPr>
          <w:rFonts w:eastAsia="PMingLiU"/>
          <w:lang w:eastAsia="zh-TW"/>
        </w:rPr>
        <w:t>HM</w:t>
      </w:r>
      <w:r>
        <w:rPr>
          <w:rFonts w:eastAsia="PMingLiU"/>
          <w:lang w:eastAsia="zh-TW"/>
        </w:rPr>
        <w:t xml:space="preserve">, and </w:t>
      </w:r>
      <w:r w:rsidRPr="3ADD3F87">
        <w:rPr>
          <w:rFonts w:eastAsia="PMingLiU"/>
          <w:lang w:eastAsia="zh-TW"/>
        </w:rPr>
        <w:t>PM</w:t>
      </w:r>
      <w:r>
        <w:rPr>
          <w:rFonts w:eastAsia="PMingLiU"/>
          <w:lang w:eastAsia="zh-TW"/>
        </w:rPr>
        <w:t xml:space="preserve">). The bottom panel shows the fraction of variance </w:t>
      </w:r>
      <w:r w:rsidRPr="3ADD3F87">
        <w:rPr>
          <w:rFonts w:eastAsia="PMingLiU"/>
          <w:lang w:eastAsia="zh-TW"/>
        </w:rPr>
        <w:t xml:space="preserve">from the </w:t>
      </w:r>
      <w:r>
        <w:rPr>
          <w:rFonts w:eastAsia="PMingLiU"/>
          <w:lang w:eastAsia="zh-TW"/>
        </w:rPr>
        <w:t xml:space="preserve">ANOVA </w:t>
      </w:r>
      <w:r w:rsidRPr="3ADD3F87">
        <w:rPr>
          <w:rFonts w:eastAsia="PMingLiU"/>
          <w:lang w:eastAsia="zh-TW"/>
        </w:rPr>
        <w:t>for each modeling choice</w:t>
      </w:r>
      <w:r>
        <w:rPr>
          <w:rFonts w:eastAsia="PMingLiU"/>
          <w:lang w:eastAsia="zh-TW"/>
        </w:rPr>
        <w:t>.</w:t>
      </w:r>
    </w:p>
    <w:p w14:paraId="57E33B69" w14:textId="77777777" w:rsidR="009868FB" w:rsidRDefault="009868FB" w:rsidP="009868FB">
      <w:pPr>
        <w:pStyle w:val="FIGUREposition"/>
        <w:rPr>
          <w:rFonts w:eastAsia="PMingLiU"/>
          <w:lang w:eastAsia="zh-TW"/>
        </w:rPr>
      </w:pPr>
      <w:r>
        <w:rPr>
          <w:noProof/>
        </w:rPr>
        <w:drawing>
          <wp:inline distT="0" distB="0" distL="0" distR="0" wp14:anchorId="7D4EB655" wp14:editId="4FB5E6C5">
            <wp:extent cx="5513832" cy="5248656"/>
            <wp:effectExtent l="0" t="0" r="0" b="952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2">
                      <a:extLst>
                        <a:ext uri="{28A0092B-C50C-407E-A947-70E740481C1C}">
                          <a14:useLocalDpi xmlns:a14="http://schemas.microsoft.com/office/drawing/2010/main" val="0"/>
                        </a:ext>
                      </a:extLst>
                    </a:blip>
                    <a:srcRect t="4727"/>
                    <a:stretch/>
                  </pic:blipFill>
                  <pic:spPr bwMode="auto">
                    <a:xfrm>
                      <a:off x="0" y="0"/>
                      <a:ext cx="5513832" cy="5248656"/>
                    </a:xfrm>
                    <a:prstGeom prst="rect">
                      <a:avLst/>
                    </a:prstGeom>
                    <a:noFill/>
                    <a:ln>
                      <a:noFill/>
                    </a:ln>
                    <a:extLst>
                      <a:ext uri="{53640926-AAD7-44D8-BBD7-CCE9431645EC}">
                        <a14:shadowObscured xmlns:a14="http://schemas.microsoft.com/office/drawing/2010/main"/>
                      </a:ext>
                    </a:extLst>
                  </pic:spPr>
                </pic:pic>
              </a:graphicData>
            </a:graphic>
          </wp:inline>
        </w:drawing>
      </w:r>
    </w:p>
    <w:p w14:paraId="436B0FEC" w14:textId="4404BAC3" w:rsidR="009868FB" w:rsidRDefault="009868FB" w:rsidP="009868FB">
      <w:pPr>
        <w:pStyle w:val="FigureCaption"/>
      </w:pPr>
      <w:bookmarkStart w:id="314" w:name="_Ref72838168"/>
      <w:bookmarkStart w:id="315" w:name="_Toc11338090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16</w:t>
      </w:r>
      <w:r w:rsidRPr="00F61532">
        <w:rPr>
          <w:lang w:eastAsia="zh-TW"/>
        </w:rPr>
        <w:fldChar w:fldCharType="end"/>
      </w:r>
      <w:bookmarkEnd w:id="314"/>
      <w:r w:rsidRPr="00F61532">
        <w:rPr>
          <w:lang w:eastAsia="zh-TW"/>
        </w:rPr>
        <w:t xml:space="preserve">. </w:t>
      </w:r>
      <w:r>
        <w:t>ANOVA of annual total generation in the BPA region.</w:t>
      </w:r>
      <w:bookmarkEnd w:id="315"/>
    </w:p>
    <w:p w14:paraId="7AC26E2C" w14:textId="23B9EAB9" w:rsidR="00575E55" w:rsidRDefault="00575E55" w:rsidP="00575E55">
      <w:pPr>
        <w:pStyle w:val="BodyText"/>
        <w:rPr>
          <w:rFonts w:eastAsia="PMingLiU"/>
          <w:lang w:eastAsia="zh-TW"/>
        </w:rPr>
      </w:pPr>
      <w:r>
        <w:rPr>
          <w:rFonts w:eastAsia="PMingLiU"/>
          <w:lang w:eastAsia="zh-TW"/>
        </w:rPr>
        <w:t xml:space="preserve">The diversity in individual factors and their combinations were further evaluated to understand their contributions to the spread of hydropower generation projections. Consistent with future streamflow projections, the results suggest that </w:t>
      </w:r>
      <w:r w:rsidR="00C753AB">
        <w:rPr>
          <w:rFonts w:eastAsia="PMingLiU"/>
          <w:lang w:eastAsia="zh-TW"/>
        </w:rPr>
        <w:t xml:space="preserve">the </w:t>
      </w:r>
      <w:r>
        <w:rPr>
          <w:rFonts w:eastAsia="PMingLiU"/>
          <w:lang w:eastAsia="zh-TW"/>
        </w:rPr>
        <w:t xml:space="preserve">CM is the </w:t>
      </w:r>
      <w:r>
        <w:t>most dominant</w:t>
      </w:r>
      <w:r w:rsidDel="00F65034">
        <w:rPr>
          <w:rFonts w:eastAsia="PMingLiU"/>
          <w:lang w:eastAsia="zh-TW"/>
        </w:rPr>
        <w:t xml:space="preserve"> </w:t>
      </w:r>
      <w:r>
        <w:rPr>
          <w:rFonts w:eastAsia="PMingLiU"/>
          <w:lang w:eastAsia="zh-TW"/>
        </w:rPr>
        <w:t xml:space="preserve">contributor of annual hydropower </w:t>
      </w:r>
      <w:r>
        <w:rPr>
          <w:rFonts w:eastAsia="PMingLiU"/>
          <w:lang w:eastAsia="zh-TW"/>
        </w:rPr>
        <w:lastRenderedPageBreak/>
        <w:t xml:space="preserve">generation </w:t>
      </w:r>
      <w:r w:rsidRPr="004A0118">
        <w:rPr>
          <w:rFonts w:eastAsia="PMingLiU"/>
          <w:lang w:eastAsia="zh-TW"/>
        </w:rPr>
        <w:t xml:space="preserve">variance </w:t>
      </w:r>
      <w:r>
        <w:rPr>
          <w:rFonts w:eastAsia="PMingLiU"/>
          <w:lang w:eastAsia="zh-TW"/>
        </w:rPr>
        <w:t xml:space="preserve">in BPA-1, BPA-2, and BPA-4 (35%–79%). The second most dominant contributors are </w:t>
      </w:r>
      <w:r w:rsidR="00C753AB">
        <w:rPr>
          <w:rFonts w:eastAsia="PMingLiU"/>
          <w:lang w:eastAsia="zh-TW"/>
        </w:rPr>
        <w:t xml:space="preserve">the </w:t>
      </w:r>
      <w:r>
        <w:rPr>
          <w:rFonts w:eastAsia="PMingLiU"/>
          <w:lang w:eastAsia="zh-TW"/>
        </w:rPr>
        <w:t xml:space="preserve">HM in BPA-1 (12%) and BPA-4 (20%) and </w:t>
      </w:r>
      <w:r w:rsidR="00C753AB">
        <w:rPr>
          <w:rFonts w:eastAsia="PMingLiU"/>
          <w:lang w:eastAsia="zh-TW"/>
        </w:rPr>
        <w:t xml:space="preserve">the </w:t>
      </w:r>
      <w:r>
        <w:rPr>
          <w:rFonts w:eastAsia="PMingLiU"/>
          <w:lang w:eastAsia="zh-TW"/>
        </w:rPr>
        <w:t xml:space="preserve">PM in BPA-2 (12%). The BPA-3 area stands out with </w:t>
      </w:r>
      <w:r w:rsidR="00C753AB">
        <w:rPr>
          <w:rFonts w:eastAsia="PMingLiU"/>
          <w:lang w:eastAsia="zh-TW"/>
        </w:rPr>
        <w:t xml:space="preserve">the </w:t>
      </w:r>
      <w:r>
        <w:rPr>
          <w:rFonts w:eastAsia="PMingLiU"/>
          <w:lang w:eastAsia="zh-TW"/>
        </w:rPr>
        <w:t xml:space="preserve">PM being a more dominant contributor (35%) than </w:t>
      </w:r>
      <w:r w:rsidR="00C753AB">
        <w:rPr>
          <w:rFonts w:eastAsia="PMingLiU"/>
          <w:lang w:eastAsia="zh-TW"/>
        </w:rPr>
        <w:t xml:space="preserve">the </w:t>
      </w:r>
      <w:r>
        <w:rPr>
          <w:rFonts w:eastAsia="PMingLiU"/>
          <w:lang w:eastAsia="zh-TW"/>
        </w:rPr>
        <w:t xml:space="preserve">CM (27%). The combination of </w:t>
      </w:r>
      <w:r w:rsidR="00C753AB">
        <w:rPr>
          <w:rFonts w:eastAsia="PMingLiU"/>
          <w:lang w:eastAsia="zh-TW"/>
        </w:rPr>
        <w:t xml:space="preserve">the </w:t>
      </w:r>
      <w:r>
        <w:rPr>
          <w:rFonts w:eastAsia="PMingLiU"/>
          <w:lang w:eastAsia="zh-TW"/>
        </w:rPr>
        <w:t xml:space="preserve">CM and DS is also a </w:t>
      </w:r>
      <w:r w:rsidR="0089546A" w:rsidRPr="24734F88">
        <w:rPr>
          <w:lang w:eastAsia="zh-CN"/>
        </w:rPr>
        <w:t>substantial</w:t>
      </w:r>
      <w:r w:rsidR="0089546A">
        <w:rPr>
          <w:lang w:eastAsia="zh-CN"/>
        </w:rPr>
        <w:t xml:space="preserve"> </w:t>
      </w:r>
      <w:r>
        <w:rPr>
          <w:rFonts w:eastAsia="PMingLiU"/>
          <w:lang w:eastAsia="zh-TW"/>
        </w:rPr>
        <w:t xml:space="preserve">variance contributor in BPA-1 (20%). In all BPA study areas, </w:t>
      </w:r>
      <w:r w:rsidR="00C753AB">
        <w:rPr>
          <w:rFonts w:eastAsia="PMingLiU"/>
          <w:lang w:eastAsia="zh-TW"/>
        </w:rPr>
        <w:t xml:space="preserve">the </w:t>
      </w:r>
      <w:r>
        <w:rPr>
          <w:rFonts w:eastAsia="PMingLiU"/>
          <w:lang w:eastAsia="zh-TW"/>
        </w:rPr>
        <w:t xml:space="preserve">DS or MetF alone are not </w:t>
      </w:r>
      <w:r w:rsidR="0089546A">
        <w:rPr>
          <w:rFonts w:eastAsia="PMingLiU"/>
          <w:lang w:eastAsia="zh-TW"/>
        </w:rPr>
        <w:t>substantial</w:t>
      </w:r>
      <w:r>
        <w:rPr>
          <w:rFonts w:eastAsia="PMingLiU"/>
          <w:lang w:eastAsia="zh-TW"/>
        </w:rPr>
        <w:t xml:space="preserve"> variance contributors. As shown in </w:t>
      </w:r>
      <w:r>
        <w:rPr>
          <w:lang w:eastAsia="zh-TW"/>
        </w:rPr>
        <w:fldChar w:fldCharType="begin"/>
      </w:r>
      <w:r>
        <w:rPr>
          <w:rFonts w:eastAsia="PMingLiU"/>
          <w:lang w:eastAsia="zh-TW"/>
        </w:rPr>
        <w:instrText xml:space="preserve"> REF _Ref72838168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16</w:t>
      </w:r>
      <w:r>
        <w:rPr>
          <w:lang w:eastAsia="zh-TW"/>
        </w:rPr>
        <w:fldChar w:fldCharType="end"/>
      </w:r>
      <w:r>
        <w:rPr>
          <w:rFonts w:eastAsia="PMingLiU"/>
          <w:lang w:eastAsia="zh-TW"/>
        </w:rPr>
        <w:t xml:space="preserve">, when grouped by CM, the median change of projected annual hydropower generation is mostly positive across all CMs in all BPA study areas, although the median and spread vary </w:t>
      </w:r>
      <w:r w:rsidR="0089546A">
        <w:rPr>
          <w:rFonts w:eastAsia="PMingLiU"/>
          <w:lang w:eastAsia="zh-TW"/>
        </w:rPr>
        <w:t>substantial</w:t>
      </w:r>
      <w:r>
        <w:rPr>
          <w:rFonts w:eastAsia="PMingLiU"/>
          <w:lang w:eastAsia="zh-TW"/>
        </w:rPr>
        <w:t>ly across different CMs. NorESM2-MM consistently projects the highest median change of hydropower generation across all areas, which is consistent with its projected changes of precipitation and runoff. When grouped by PM, both PMs project</w:t>
      </w:r>
      <w:r w:rsidR="00FB7A82">
        <w:rPr>
          <w:rFonts w:eastAsia="PMingLiU"/>
          <w:lang w:eastAsia="zh-TW"/>
        </w:rPr>
        <w:t>ed</w:t>
      </w:r>
      <w:r>
        <w:rPr>
          <w:rFonts w:eastAsia="PMingLiU"/>
          <w:lang w:eastAsia="zh-TW"/>
        </w:rPr>
        <w:t xml:space="preserve"> similar generation increase in the future, </w:t>
      </w:r>
      <w:r w:rsidR="00FB7A82">
        <w:rPr>
          <w:rFonts w:eastAsia="PMingLiU"/>
          <w:lang w:eastAsia="zh-TW"/>
        </w:rPr>
        <w:t xml:space="preserve">and </w:t>
      </w:r>
      <w:r>
        <w:rPr>
          <w:rFonts w:eastAsia="PMingLiU"/>
          <w:lang w:eastAsia="zh-TW"/>
        </w:rPr>
        <w:t xml:space="preserve">WRES generally </w:t>
      </w:r>
      <w:r w:rsidR="00FB7A82">
        <w:rPr>
          <w:rFonts w:eastAsia="PMingLiU"/>
          <w:lang w:eastAsia="zh-TW"/>
        </w:rPr>
        <w:t xml:space="preserve">projected </w:t>
      </w:r>
      <w:r>
        <w:rPr>
          <w:rFonts w:eastAsia="PMingLiU"/>
          <w:lang w:eastAsia="zh-TW"/>
        </w:rPr>
        <w:t xml:space="preserve">greater changes and less variance than WMP. </w:t>
      </w:r>
      <w:r w:rsidRPr="00DB0DE7">
        <w:rPr>
          <w:rFonts w:eastAsia="PMingLiU"/>
          <w:lang w:eastAsia="zh-TW"/>
        </w:rPr>
        <w:t xml:space="preserve">These differences between WRES and WMP in BPA-1 and BPA-4 are likely associated to the different representations </w:t>
      </w:r>
      <w:r>
        <w:rPr>
          <w:rFonts w:eastAsia="PMingLiU"/>
          <w:lang w:eastAsia="zh-TW"/>
        </w:rPr>
        <w:t xml:space="preserve">of </w:t>
      </w:r>
      <w:r w:rsidRPr="00DB0DE7">
        <w:rPr>
          <w:rFonts w:eastAsia="PMingLiU"/>
          <w:lang w:eastAsia="zh-TW"/>
        </w:rPr>
        <w:t xml:space="preserve">water management and </w:t>
      </w:r>
      <w:r>
        <w:rPr>
          <w:rFonts w:eastAsia="PMingLiU"/>
          <w:lang w:eastAsia="zh-TW"/>
        </w:rPr>
        <w:t>stream</w:t>
      </w:r>
      <w:r w:rsidRPr="00DB0DE7">
        <w:rPr>
          <w:rFonts w:eastAsia="PMingLiU"/>
          <w:lang w:eastAsia="zh-TW"/>
        </w:rPr>
        <w:t>flow regulations in most headwater reservoirs.</w:t>
      </w:r>
    </w:p>
    <w:p w14:paraId="10097C0F" w14:textId="60F19AB5" w:rsidR="00575E55" w:rsidRDefault="00575E55" w:rsidP="00575E55">
      <w:pPr>
        <w:pStyle w:val="BodyText"/>
        <w:rPr>
          <w:rFonts w:eastAsia="PMingLiU"/>
          <w:lang w:eastAsia="zh-TW"/>
        </w:rPr>
      </w:pPr>
      <w:r>
        <w:rPr>
          <w:rFonts w:eastAsia="PMingLiU"/>
          <w:lang w:eastAsia="zh-TW"/>
        </w:rPr>
        <w:t>At the seasonal scale (</w:t>
      </w:r>
      <w:r>
        <w:rPr>
          <w:rFonts w:eastAsia="PMingLiU"/>
          <w:lang w:eastAsia="zh-TW"/>
        </w:rPr>
        <w:fldChar w:fldCharType="begin"/>
      </w:r>
      <w:r>
        <w:rPr>
          <w:rFonts w:eastAsia="PMingLiU"/>
          <w:lang w:eastAsia="zh-TW"/>
        </w:rPr>
        <w:instrText xml:space="preserve"> REF _Ref81738613 \n \h </w:instrText>
      </w:r>
      <w:r>
        <w:rPr>
          <w:rFonts w:eastAsia="PMingLiU"/>
          <w:lang w:eastAsia="zh-TW"/>
        </w:rPr>
      </w:r>
      <w:r>
        <w:rPr>
          <w:rFonts w:eastAsia="PMingLiU"/>
          <w:lang w:eastAsia="zh-TW"/>
        </w:rPr>
        <w:fldChar w:fldCharType="separate"/>
      </w:r>
      <w:r w:rsidR="00EE0BF5">
        <w:rPr>
          <w:rFonts w:eastAsia="PMingLiU"/>
          <w:lang w:eastAsia="zh-TW"/>
        </w:rPr>
        <w:t>APPENDIX G</w:t>
      </w:r>
      <w:r>
        <w:rPr>
          <w:rFonts w:eastAsia="PMingLiU"/>
          <w:lang w:eastAsia="zh-TW"/>
        </w:rPr>
        <w:fldChar w:fldCharType="end"/>
      </w:r>
      <w:r>
        <w:rPr>
          <w:rFonts w:eastAsia="PMingLiU"/>
          <w:lang w:eastAsia="zh-TW"/>
        </w:rPr>
        <w:t xml:space="preserve">), </w:t>
      </w:r>
      <w:r w:rsidR="00C753AB">
        <w:rPr>
          <w:rFonts w:eastAsia="PMingLiU"/>
          <w:lang w:eastAsia="zh-TW"/>
        </w:rPr>
        <w:t xml:space="preserve">the </w:t>
      </w:r>
      <w:r>
        <w:rPr>
          <w:rFonts w:eastAsia="PMingLiU"/>
          <w:lang w:eastAsia="zh-TW"/>
        </w:rPr>
        <w:t xml:space="preserve">CM remains </w:t>
      </w:r>
      <w:r w:rsidRPr="004A0118">
        <w:rPr>
          <w:rFonts w:eastAsia="PMingLiU"/>
          <w:lang w:eastAsia="zh-TW"/>
        </w:rPr>
        <w:t xml:space="preserve">the </w:t>
      </w:r>
      <w:r w:rsidR="00C753AB">
        <w:rPr>
          <w:rFonts w:eastAsia="PMingLiU"/>
          <w:lang w:eastAsia="zh-TW"/>
        </w:rPr>
        <w:t xml:space="preserve">most </w:t>
      </w:r>
      <w:r w:rsidRPr="004A0118">
        <w:rPr>
          <w:rFonts w:eastAsia="PMingLiU"/>
          <w:lang w:eastAsia="zh-TW"/>
        </w:rPr>
        <w:t>dominant contributor to variance</w:t>
      </w:r>
      <w:r>
        <w:rPr>
          <w:rFonts w:eastAsia="PMingLiU"/>
          <w:lang w:eastAsia="zh-TW"/>
        </w:rPr>
        <w:t>,</w:t>
      </w:r>
      <w:r w:rsidRPr="004A0118">
        <w:rPr>
          <w:rFonts w:eastAsia="PMingLiU"/>
          <w:lang w:eastAsia="zh-TW"/>
        </w:rPr>
        <w:t xml:space="preserve"> </w:t>
      </w:r>
      <w:r>
        <w:rPr>
          <w:rFonts w:eastAsia="PMingLiU"/>
          <w:lang w:eastAsia="zh-TW"/>
        </w:rPr>
        <w:t xml:space="preserve">except for in the summer. In the summer, </w:t>
      </w:r>
      <w:r w:rsidR="00C753AB">
        <w:rPr>
          <w:rFonts w:eastAsia="PMingLiU"/>
          <w:lang w:eastAsia="zh-TW"/>
        </w:rPr>
        <w:t xml:space="preserve">the </w:t>
      </w:r>
      <w:r>
        <w:rPr>
          <w:rFonts w:eastAsia="PMingLiU"/>
          <w:lang w:eastAsia="zh-TW"/>
        </w:rPr>
        <w:t xml:space="preserve">PM is the </w:t>
      </w:r>
      <w:r w:rsidR="005367C2">
        <w:rPr>
          <w:rFonts w:eastAsia="PMingLiU"/>
          <w:lang w:eastAsia="zh-TW"/>
        </w:rPr>
        <w:t xml:space="preserve">most </w:t>
      </w:r>
      <w:r>
        <w:rPr>
          <w:rFonts w:eastAsia="PMingLiU"/>
          <w:lang w:eastAsia="zh-TW"/>
        </w:rPr>
        <w:t xml:space="preserve">dominant variance contributor in BPA-1 (38%), and </w:t>
      </w:r>
      <w:r w:rsidR="00C753AB">
        <w:rPr>
          <w:rFonts w:eastAsia="PMingLiU"/>
          <w:lang w:eastAsia="zh-TW"/>
        </w:rPr>
        <w:t xml:space="preserve">the </w:t>
      </w:r>
      <w:r>
        <w:rPr>
          <w:rFonts w:eastAsia="PMingLiU"/>
          <w:lang w:eastAsia="zh-TW"/>
        </w:rPr>
        <w:t xml:space="preserve">HM is the </w:t>
      </w:r>
      <w:r w:rsidR="005367C2">
        <w:rPr>
          <w:rFonts w:eastAsia="PMingLiU"/>
          <w:lang w:eastAsia="zh-TW"/>
        </w:rPr>
        <w:t xml:space="preserve">most </w:t>
      </w:r>
      <w:r>
        <w:rPr>
          <w:rFonts w:eastAsia="PMingLiU"/>
          <w:lang w:eastAsia="zh-TW"/>
        </w:rPr>
        <w:t xml:space="preserve">dominant variance contributor in BPA-2 (34%) and BPA-4 (40%). </w:t>
      </w:r>
      <w:r w:rsidR="00C753AB">
        <w:rPr>
          <w:rFonts w:eastAsia="PMingLiU"/>
          <w:lang w:eastAsia="zh-TW"/>
        </w:rPr>
        <w:t xml:space="preserve">The </w:t>
      </w:r>
      <w:r>
        <w:rPr>
          <w:rFonts w:eastAsia="PMingLiU"/>
          <w:lang w:eastAsia="zh-TW"/>
        </w:rPr>
        <w:t xml:space="preserve">HM </w:t>
      </w:r>
      <w:r w:rsidRPr="004A0118">
        <w:rPr>
          <w:rFonts w:eastAsia="PMingLiU"/>
          <w:lang w:eastAsia="zh-TW"/>
        </w:rPr>
        <w:t xml:space="preserve">also </w:t>
      </w:r>
      <w:r>
        <w:rPr>
          <w:rFonts w:eastAsia="PMingLiU"/>
          <w:lang w:eastAsia="zh-TW"/>
        </w:rPr>
        <w:t>has</w:t>
      </w:r>
      <w:r w:rsidRPr="004A0118">
        <w:rPr>
          <w:rFonts w:eastAsia="PMingLiU"/>
          <w:lang w:eastAsia="zh-TW"/>
        </w:rPr>
        <w:t xml:space="preserve"> strong impacts </w:t>
      </w:r>
      <w:r>
        <w:rPr>
          <w:rFonts w:eastAsia="PMingLiU"/>
          <w:lang w:eastAsia="zh-TW"/>
        </w:rPr>
        <w:t>on variance in the fall (19% for BPA-1, 39% for BPA-2, and 27% for BPA-3).</w:t>
      </w:r>
    </w:p>
    <w:p w14:paraId="6D42B4E6" w14:textId="12C5E956" w:rsidR="00575E55" w:rsidRDefault="00575E55" w:rsidP="00575E55">
      <w:pPr>
        <w:pStyle w:val="BodyText"/>
        <w:rPr>
          <w:rFonts w:eastAsia="PMingLiU"/>
          <w:lang w:eastAsia="zh-TW"/>
        </w:rPr>
      </w:pPr>
      <w:r w:rsidRPr="4AA7083E">
        <w:rPr>
          <w:rFonts w:eastAsia="PMingLiU"/>
          <w:lang w:eastAsia="zh-TW"/>
        </w:rPr>
        <w:t xml:space="preserve">In summary, for federal hydropower in the BPA region, the most important climate change impact includes a small increase in annual generation (4% increase in the near-term and 3% increase in the mid-term future periods) and a </w:t>
      </w:r>
      <w:r w:rsidR="0089546A">
        <w:rPr>
          <w:rFonts w:eastAsia="PMingLiU"/>
          <w:lang w:eastAsia="zh-TW"/>
        </w:rPr>
        <w:t>substantial</w:t>
      </w:r>
      <w:r w:rsidRPr="4AA7083E">
        <w:rPr>
          <w:rFonts w:eastAsia="PMingLiU"/>
          <w:lang w:eastAsia="zh-TW"/>
        </w:rPr>
        <w:t xml:space="preserve"> seasonal change in generation (e.g., up to 11% decrease in BPA-1 summer </w:t>
      </w:r>
      <w:r>
        <w:rPr>
          <w:rFonts w:eastAsia="PMingLiU"/>
          <w:lang w:eastAsia="zh-TW"/>
        </w:rPr>
        <w:t xml:space="preserve">generation </w:t>
      </w:r>
      <w:r w:rsidRPr="4AA7083E">
        <w:rPr>
          <w:rFonts w:eastAsia="PMingLiU"/>
          <w:lang w:eastAsia="zh-TW"/>
        </w:rPr>
        <w:t xml:space="preserve">and 8% </w:t>
      </w:r>
      <w:r>
        <w:rPr>
          <w:rFonts w:eastAsia="PMingLiU"/>
          <w:lang w:eastAsia="zh-TW"/>
        </w:rPr>
        <w:t xml:space="preserve">decrease in BPA-1 </w:t>
      </w:r>
      <w:r w:rsidRPr="4AA7083E">
        <w:rPr>
          <w:rFonts w:eastAsia="PMingLiU"/>
          <w:lang w:eastAsia="zh-TW"/>
        </w:rPr>
        <w:t xml:space="preserve">fall generation in the mid-term future period). The hydropower generation has a smaller response to climate change relative to increases in runoff, indicating that much of the flow increases may bypass turbines via spill, or that reservoir storage systems may be able to absorb part of the runoff variability. In terms of the sources of uncertainty, the choice of </w:t>
      </w:r>
      <w:r>
        <w:rPr>
          <w:rFonts w:eastAsia="PMingLiU"/>
          <w:lang w:eastAsia="zh-TW"/>
        </w:rPr>
        <w:t>CM</w:t>
      </w:r>
      <w:r w:rsidRPr="4AA7083E">
        <w:rPr>
          <w:rFonts w:eastAsia="PMingLiU"/>
          <w:lang w:eastAsia="zh-TW"/>
        </w:rPr>
        <w:t xml:space="preserve"> is overall the most dominant contributor to variance in the projection of hydropower generation. The choice of </w:t>
      </w:r>
      <w:r>
        <w:rPr>
          <w:rFonts w:eastAsia="PMingLiU"/>
          <w:lang w:eastAsia="zh-TW"/>
        </w:rPr>
        <w:t>HM</w:t>
      </w:r>
      <w:r w:rsidRPr="4AA7083E">
        <w:rPr>
          <w:rFonts w:eastAsia="PMingLiU"/>
          <w:lang w:eastAsia="zh-TW"/>
        </w:rPr>
        <w:t xml:space="preserve">s </w:t>
      </w:r>
      <w:r w:rsidR="00284049">
        <w:rPr>
          <w:rFonts w:eastAsia="PMingLiU"/>
          <w:lang w:eastAsia="zh-TW"/>
        </w:rPr>
        <w:t xml:space="preserve">and PMs </w:t>
      </w:r>
      <w:r w:rsidRPr="4AA7083E">
        <w:rPr>
          <w:rFonts w:eastAsia="PMingLiU"/>
          <w:lang w:eastAsia="zh-TW"/>
        </w:rPr>
        <w:t>also have strong impacts but vary by area and season.</w:t>
      </w:r>
    </w:p>
    <w:p w14:paraId="1AB54D57" w14:textId="082CF7BE" w:rsidR="006A3A0F" w:rsidRPr="00DE36AC" w:rsidRDefault="006A3A0F" w:rsidP="00DE36AC">
      <w:pPr>
        <w:pStyle w:val="Heading3"/>
      </w:pPr>
      <w:bookmarkStart w:id="316" w:name="_Ref425756233"/>
      <w:bookmarkStart w:id="317" w:name="_Ref81318794"/>
      <w:bookmarkStart w:id="318" w:name="_Ref81829317"/>
      <w:bookmarkStart w:id="319" w:name="_Toc113380806"/>
      <w:r w:rsidRPr="00DE36AC">
        <w:t xml:space="preserve">Climate Change Impacts on </w:t>
      </w:r>
      <w:r w:rsidR="006538C7">
        <w:t xml:space="preserve">Energy Demand and </w:t>
      </w:r>
      <w:r w:rsidRPr="00DE36AC">
        <w:t>Federal Power Marketing</w:t>
      </w:r>
      <w:bookmarkEnd w:id="316"/>
      <w:bookmarkEnd w:id="317"/>
      <w:bookmarkEnd w:id="318"/>
      <w:bookmarkEnd w:id="319"/>
    </w:p>
    <w:p w14:paraId="2C5317DB" w14:textId="49E07971" w:rsidR="00B22F49" w:rsidRDefault="00B22F49" w:rsidP="00E46689">
      <w:pPr>
        <w:pStyle w:val="BodyText"/>
      </w:pPr>
      <w:r>
        <w:t>This section summarizes the results from the statistical analysis exploring the effects of projected temperature trends on the total retail load served by BPA</w:t>
      </w:r>
      <w:r w:rsidR="00805545">
        <w:t>’</w:t>
      </w:r>
      <w:r>
        <w:t>s preference customers. As described in Section</w:t>
      </w:r>
      <w:r w:rsidR="008B77E4">
        <w:t> </w:t>
      </w:r>
      <w:r w:rsidR="00D04E1F">
        <w:fldChar w:fldCharType="begin"/>
      </w:r>
      <w:r w:rsidR="00D04E1F">
        <w:instrText xml:space="preserve"> REF _Ref95321389 \n \h </w:instrText>
      </w:r>
      <w:r w:rsidR="00D04E1F">
        <w:fldChar w:fldCharType="separate"/>
      </w:r>
      <w:r w:rsidR="00EE0BF5">
        <w:t>3.1.2</w:t>
      </w:r>
      <w:r w:rsidR="00D04E1F">
        <w:fldChar w:fldCharType="end"/>
      </w:r>
      <w:r>
        <w:t xml:space="preserve">, </w:t>
      </w:r>
      <w:r w:rsidR="000D2A05">
        <w:t>BPA markets the output from 31 federal hydropower plants through long-term contracts with preference customers, such as cooperatives, municipalities, and public utility districts. Since BPA has an obligation to serve the net load requirements of those preference customers that purchase their load following product, information on projected changes in the annual volume or seasonality of the load served by preference customers—driven by climate or other factors—is valuable for this PMA.</w:t>
      </w:r>
    </w:p>
    <w:p w14:paraId="0906D32A" w14:textId="1465D53B" w:rsidR="0089741A" w:rsidRDefault="00AB0C7F" w:rsidP="00E46689">
      <w:pPr>
        <w:pStyle w:val="BodyText"/>
      </w:pPr>
      <w:r>
        <w:fldChar w:fldCharType="begin"/>
      </w:r>
      <w:r>
        <w:instrText xml:space="preserve"> REF _Ref72850823 \h </w:instrText>
      </w:r>
      <w:r>
        <w:fldChar w:fldCharType="separate"/>
      </w:r>
      <w:r w:rsidR="00EE0BF5" w:rsidRPr="004C5793">
        <w:rPr>
          <w:rFonts w:eastAsia="PMingLiU"/>
          <w:lang w:bidi="en-US"/>
        </w:rPr>
        <w:t xml:space="preserve">Table </w:t>
      </w:r>
      <w:r w:rsidR="00EE0BF5">
        <w:rPr>
          <w:rFonts w:eastAsia="PMingLiU"/>
          <w:noProof/>
          <w:lang w:bidi="en-US"/>
        </w:rPr>
        <w:t>3</w:t>
      </w:r>
      <w:r w:rsidR="00EE0BF5">
        <w:rPr>
          <w:rFonts w:eastAsia="PMingLiU"/>
          <w:lang w:bidi="en-US"/>
        </w:rPr>
        <w:t>.</w:t>
      </w:r>
      <w:r w:rsidR="00EE0BF5">
        <w:rPr>
          <w:rFonts w:eastAsia="PMingLiU"/>
          <w:noProof/>
          <w:lang w:bidi="en-US"/>
        </w:rPr>
        <w:t>3</w:t>
      </w:r>
      <w:r>
        <w:fldChar w:fldCharType="end"/>
      </w:r>
      <w:r>
        <w:t xml:space="preserve"> displays, for each season, the estimated coefficients describing the relationship between monthly total retail load (2006</w:t>
      </w:r>
      <w:r>
        <w:rPr>
          <w:rFonts w:cstheme="minorHAnsi"/>
        </w:rPr>
        <w:t>–</w:t>
      </w:r>
      <w:r>
        <w:t>2019) and degree days for 91 BPA preference customers.</w:t>
      </w:r>
      <w:r>
        <w:rPr>
          <w:rStyle w:val="FootnoteReference"/>
        </w:rPr>
        <w:footnoteReference w:id="19"/>
      </w:r>
      <w:r>
        <w:t xml:space="preserve"> The full regression output is included in </w:t>
      </w:r>
      <w:r>
        <w:rPr>
          <w:lang w:eastAsia="zh-TW"/>
        </w:rPr>
        <w:fldChar w:fldCharType="begin"/>
      </w:r>
      <w:r>
        <w:rPr>
          <w:lang w:eastAsia="zh-TW"/>
        </w:rPr>
        <w:instrText xml:space="preserve"> REF _Ref81737985 \n \h </w:instrText>
      </w:r>
      <w:r>
        <w:rPr>
          <w:lang w:eastAsia="zh-TW"/>
        </w:rPr>
      </w:r>
      <w:r>
        <w:rPr>
          <w:lang w:eastAsia="zh-TW"/>
        </w:rPr>
        <w:fldChar w:fldCharType="separate"/>
      </w:r>
      <w:r w:rsidR="00EE0BF5">
        <w:rPr>
          <w:lang w:eastAsia="zh-TW"/>
        </w:rPr>
        <w:t>APPENDIX H</w:t>
      </w:r>
      <w:r>
        <w:rPr>
          <w:lang w:eastAsia="zh-TW"/>
        </w:rPr>
        <w:fldChar w:fldCharType="end"/>
      </w:r>
      <w:r w:rsidRPr="00332C2D">
        <w:t>.</w:t>
      </w:r>
      <w:r>
        <w:t xml:space="preserve"> Because the load equation was estimated using a logarithmic transformation of both the dependent and independent variables, the estimated coefficients should be interpreted as elasticities. Monthly HDDs is the variable used to assess the effect of cold temperatures on load. A 1% increase in HDDs during the winter months results in a 0.36%–0.37% increase in monthly total retail load. During the other seasons, the effect of HDDs on load is much smaller. The equation includes three terms to assess the effect of warm temperatures on load: monthly CDDs, monthly CDDs interacted with the estimated air </w:t>
      </w:r>
      <w:r w:rsidR="00A06AC6">
        <w:t>conditioning</w:t>
      </w:r>
      <w:r>
        <w:t xml:space="preserve"> (AC) penetration in the preference </w:t>
      </w:r>
      <w:r>
        <w:lastRenderedPageBreak/>
        <w:t>customer</w:t>
      </w:r>
      <w:r w:rsidR="00805545">
        <w:t>’</w:t>
      </w:r>
      <w:r>
        <w:t>s service territory, and annual CDDs interacted with a dummy variable that takes the value 1 if the preference customer has a large peak in load during the summer months and zero otherwise.</w:t>
      </w:r>
      <w:r>
        <w:rPr>
          <w:rStyle w:val="FootnoteReference"/>
        </w:rPr>
        <w:footnoteReference w:id="20"/>
      </w:r>
      <w:r>
        <w:t xml:space="preserve"> The summer peak customers are a proxy for customers with large irrigation loads; only 14 of the 91 preference customers included in the regression analysis fall into this group. The estimated coefficients on monthly CDDs and their interaction with air conditioning saturation are largest in the summer, which is also the only statistically significant season. The estimated coefficient on the interaction term between CDDs and large irrigation loads has similar magnitudes (~0.07) for the spring and fall seasons and is larger in those seasons than in summer (~0.04). The total retail load served by BPA preference customers is most sensitive to temperature in the winter and summer. The elasticity with respect to HDDs is larger than the elasticity with respect to CDDs even when interactions with AC penetration and large irrigation loads are considered. However, the elasticity with respect to degree days is the percentage change in load in response to a 1% increase in degree days and, given average HDDs and CDDs in the BPA region during the period used for this regression analysis (2006–2019), a 1% increase in HDDs is much larger in absolute value than a 1% increase in CDDs.</w:t>
      </w:r>
      <w:r>
        <w:rPr>
          <w:rStyle w:val="FootnoteReference"/>
        </w:rPr>
        <w:footnoteReference w:id="21"/>
      </w:r>
    </w:p>
    <w:p w14:paraId="519D2AA8" w14:textId="65634DDF" w:rsidR="00D5200C" w:rsidRPr="00C8348F" w:rsidRDefault="00D5200C" w:rsidP="00D5200C">
      <w:pPr>
        <w:pStyle w:val="TableCaption"/>
        <w:rPr>
          <w:b w:val="0"/>
          <w:bCs/>
          <w:szCs w:val="20"/>
        </w:rPr>
      </w:pPr>
      <w:bookmarkStart w:id="320" w:name="_Ref72850823"/>
      <w:bookmarkStart w:id="321" w:name="_Toc113380978"/>
      <w:r w:rsidRPr="004C5793">
        <w:rPr>
          <w:rFonts w:eastAsia="PMingLiU"/>
          <w:lang w:bidi="en-US"/>
        </w:rPr>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3</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3</w:t>
      </w:r>
      <w:r w:rsidRPr="004C5793">
        <w:rPr>
          <w:rFonts w:eastAsia="PMingLiU"/>
          <w:lang w:bidi="en-US"/>
        </w:rPr>
        <w:fldChar w:fldCharType="end"/>
      </w:r>
      <w:bookmarkEnd w:id="320"/>
      <w:r w:rsidRPr="004C5793">
        <w:rPr>
          <w:rFonts w:eastAsia="PMingLiU"/>
          <w:lang w:bidi="en-US"/>
        </w:rPr>
        <w:t>.</w:t>
      </w:r>
      <w:r w:rsidRPr="004C5793">
        <w:rPr>
          <w:rFonts w:eastAsia="PMingLiU"/>
          <w:b w:val="0"/>
          <w:lang w:bidi="en-US"/>
        </w:rPr>
        <w:t xml:space="preserve"> </w:t>
      </w:r>
      <w:r w:rsidRPr="00436515">
        <w:rPr>
          <w:rFonts w:eastAsia="PMingLiU"/>
          <w:lang w:eastAsia="zh-TW" w:bidi="en-US"/>
        </w:rPr>
        <w:t>Estimated responsiveness of the total retail load of BPA preference customers to degree days</w:t>
      </w:r>
      <w:bookmarkEnd w:id="321"/>
    </w:p>
    <w:tbl>
      <w:tblPr>
        <w:tblStyle w:val="PlainTable2"/>
        <w:tblW w:w="0" w:type="auto"/>
        <w:jc w:val="center"/>
        <w:tblLayout w:type="fixed"/>
        <w:tblCellMar>
          <w:top w:w="29" w:type="dxa"/>
          <w:left w:w="58" w:type="dxa"/>
          <w:bottom w:w="29" w:type="dxa"/>
          <w:right w:w="58" w:type="dxa"/>
        </w:tblCellMar>
        <w:tblLook w:val="04A0" w:firstRow="1" w:lastRow="0" w:firstColumn="1" w:lastColumn="0" w:noHBand="0" w:noVBand="1"/>
      </w:tblPr>
      <w:tblGrid>
        <w:gridCol w:w="1257"/>
        <w:gridCol w:w="1416"/>
        <w:gridCol w:w="2000"/>
        <w:gridCol w:w="1168"/>
        <w:gridCol w:w="1168"/>
        <w:gridCol w:w="1168"/>
        <w:gridCol w:w="1168"/>
      </w:tblGrid>
      <w:tr w:rsidR="00D5200C" w:rsidRPr="00246A15" w14:paraId="77ED6158" w14:textId="77777777" w:rsidTr="00AC2FF6">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12" w:space="0" w:color="auto"/>
              <w:bottom w:val="single" w:sz="12" w:space="0" w:color="auto"/>
            </w:tcBorders>
            <w:vAlign w:val="center"/>
          </w:tcPr>
          <w:p w14:paraId="157A5277" w14:textId="77777777" w:rsidR="00D5200C" w:rsidRPr="00246A15" w:rsidRDefault="00D5200C" w:rsidP="00AC2FF6">
            <w:pPr>
              <w:spacing w:before="0" w:after="0" w:line="240" w:lineRule="auto"/>
              <w:ind w:firstLine="0"/>
              <w:jc w:val="center"/>
              <w:rPr>
                <w:sz w:val="20"/>
                <w:szCs w:val="20"/>
              </w:rPr>
            </w:pPr>
            <w:r w:rsidRPr="00246A15">
              <w:rPr>
                <w:sz w:val="20"/>
                <w:szCs w:val="20"/>
              </w:rPr>
              <w:t>Marketing region</w:t>
            </w:r>
          </w:p>
        </w:tc>
        <w:tc>
          <w:tcPr>
            <w:tcW w:w="1416" w:type="dxa"/>
            <w:tcBorders>
              <w:top w:val="single" w:sz="12" w:space="0" w:color="auto"/>
              <w:bottom w:val="single" w:sz="12" w:space="0" w:color="auto"/>
            </w:tcBorders>
            <w:vAlign w:val="center"/>
          </w:tcPr>
          <w:p w14:paraId="10BA5422"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Meteorological observation</w:t>
            </w:r>
          </w:p>
        </w:tc>
        <w:tc>
          <w:tcPr>
            <w:tcW w:w="2000" w:type="dxa"/>
            <w:tcBorders>
              <w:top w:val="single" w:sz="12" w:space="0" w:color="auto"/>
              <w:bottom w:val="single" w:sz="12" w:space="0" w:color="auto"/>
            </w:tcBorders>
            <w:vAlign w:val="center"/>
          </w:tcPr>
          <w:p w14:paraId="573A58F8"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Variable</w:t>
            </w:r>
          </w:p>
        </w:tc>
        <w:tc>
          <w:tcPr>
            <w:tcW w:w="1168" w:type="dxa"/>
            <w:tcBorders>
              <w:top w:val="single" w:sz="12" w:space="0" w:color="auto"/>
              <w:bottom w:val="single" w:sz="12" w:space="0" w:color="auto"/>
            </w:tcBorders>
            <w:vAlign w:val="center"/>
          </w:tcPr>
          <w:p w14:paraId="7473F9E8"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DJF</w:t>
            </w:r>
          </w:p>
          <w:p w14:paraId="204734FD"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(winter)</w:t>
            </w:r>
          </w:p>
        </w:tc>
        <w:tc>
          <w:tcPr>
            <w:tcW w:w="1168" w:type="dxa"/>
            <w:tcBorders>
              <w:top w:val="single" w:sz="12" w:space="0" w:color="auto"/>
              <w:bottom w:val="single" w:sz="12" w:space="0" w:color="auto"/>
            </w:tcBorders>
            <w:vAlign w:val="center"/>
          </w:tcPr>
          <w:p w14:paraId="66C8A38D"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MAM</w:t>
            </w:r>
          </w:p>
          <w:p w14:paraId="3A3749AA"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(spring)</w:t>
            </w:r>
          </w:p>
        </w:tc>
        <w:tc>
          <w:tcPr>
            <w:tcW w:w="1168" w:type="dxa"/>
            <w:tcBorders>
              <w:top w:val="single" w:sz="12" w:space="0" w:color="auto"/>
              <w:bottom w:val="single" w:sz="12" w:space="0" w:color="auto"/>
            </w:tcBorders>
            <w:vAlign w:val="center"/>
          </w:tcPr>
          <w:p w14:paraId="7611D8BE"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JJA</w:t>
            </w:r>
          </w:p>
          <w:p w14:paraId="25B4F6FF"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(summer)</w:t>
            </w:r>
          </w:p>
        </w:tc>
        <w:tc>
          <w:tcPr>
            <w:tcW w:w="1168" w:type="dxa"/>
            <w:tcBorders>
              <w:top w:val="single" w:sz="12" w:space="0" w:color="auto"/>
              <w:bottom w:val="single" w:sz="12" w:space="0" w:color="auto"/>
            </w:tcBorders>
            <w:vAlign w:val="center"/>
          </w:tcPr>
          <w:p w14:paraId="2A7465C9"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SON</w:t>
            </w:r>
          </w:p>
          <w:p w14:paraId="4E719EFE" w14:textId="77777777" w:rsidR="00D5200C" w:rsidRPr="00246A15" w:rsidRDefault="00D5200C" w:rsidP="00AC2FF6">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246A15">
              <w:rPr>
                <w:sz w:val="20"/>
                <w:szCs w:val="20"/>
              </w:rPr>
              <w:t>(fall)</w:t>
            </w:r>
          </w:p>
        </w:tc>
      </w:tr>
      <w:tr w:rsidR="00D5200C" w:rsidRPr="00246A15" w14:paraId="2674B456" w14:textId="77777777" w:rsidTr="00AC2FF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12" w:space="0" w:color="auto"/>
            </w:tcBorders>
            <w:vAlign w:val="center"/>
          </w:tcPr>
          <w:p w14:paraId="68BC5C76"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tcBorders>
              <w:top w:val="single" w:sz="12" w:space="0" w:color="auto"/>
            </w:tcBorders>
            <w:vAlign w:val="center"/>
          </w:tcPr>
          <w:p w14:paraId="1D33FF80"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 xml:space="preserve">Daymet </w:t>
            </w:r>
          </w:p>
        </w:tc>
        <w:tc>
          <w:tcPr>
            <w:tcW w:w="2000" w:type="dxa"/>
            <w:tcBorders>
              <w:top w:val="single" w:sz="12" w:space="0" w:color="auto"/>
            </w:tcBorders>
            <w:vAlign w:val="center"/>
          </w:tcPr>
          <w:p w14:paraId="6EDD82CD"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HDD</w:t>
            </w:r>
          </w:p>
        </w:tc>
        <w:tc>
          <w:tcPr>
            <w:tcW w:w="1168" w:type="dxa"/>
            <w:tcBorders>
              <w:top w:val="single" w:sz="12" w:space="0" w:color="auto"/>
            </w:tcBorders>
            <w:vAlign w:val="center"/>
          </w:tcPr>
          <w:p w14:paraId="42EFE03E"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0.3641</w:t>
            </w:r>
          </w:p>
          <w:p w14:paraId="077A886A"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(0.014)</w:t>
            </w:r>
          </w:p>
        </w:tc>
        <w:tc>
          <w:tcPr>
            <w:tcW w:w="1168" w:type="dxa"/>
            <w:tcBorders>
              <w:top w:val="single" w:sz="12" w:space="0" w:color="auto"/>
            </w:tcBorders>
            <w:vAlign w:val="center"/>
          </w:tcPr>
          <w:p w14:paraId="02CFEE7A"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0.0538</w:t>
            </w:r>
          </w:p>
          <w:p w14:paraId="7DFC78FC"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(0.0169)</w:t>
            </w:r>
          </w:p>
        </w:tc>
        <w:tc>
          <w:tcPr>
            <w:tcW w:w="1168" w:type="dxa"/>
            <w:tcBorders>
              <w:top w:val="single" w:sz="12" w:space="0" w:color="auto"/>
            </w:tcBorders>
            <w:vAlign w:val="center"/>
          </w:tcPr>
          <w:p w14:paraId="59BA645E" w14:textId="31567B3D" w:rsidR="00D5200C" w:rsidRPr="00246A15" w:rsidRDefault="00C117DF"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w:t>
            </w:r>
            <w:r w:rsidR="00D5200C" w:rsidRPr="00246A15">
              <w:rPr>
                <w:b/>
                <w:bCs/>
                <w:sz w:val="20"/>
                <w:szCs w:val="20"/>
              </w:rPr>
              <w:t>0.0027</w:t>
            </w:r>
          </w:p>
          <w:p w14:paraId="5EA94EA0"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(0.0011)</w:t>
            </w:r>
          </w:p>
        </w:tc>
        <w:tc>
          <w:tcPr>
            <w:tcW w:w="1168" w:type="dxa"/>
            <w:tcBorders>
              <w:top w:val="single" w:sz="12" w:space="0" w:color="auto"/>
            </w:tcBorders>
            <w:vAlign w:val="center"/>
          </w:tcPr>
          <w:p w14:paraId="203A4038"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0.0072</w:t>
            </w:r>
          </w:p>
          <w:p w14:paraId="75BE73FD"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(0.005)</w:t>
            </w:r>
          </w:p>
        </w:tc>
      </w:tr>
      <w:tr w:rsidR="00D5200C" w:rsidRPr="00246A15" w14:paraId="7AC68552" w14:textId="77777777" w:rsidTr="00AC2FF6">
        <w:trPr>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4" w:space="0" w:color="7F7F7F" w:themeColor="text1" w:themeTint="80"/>
              <w:bottom w:val="single" w:sz="4" w:space="0" w:color="7F7F7F" w:themeColor="text1" w:themeTint="80"/>
            </w:tcBorders>
            <w:vAlign w:val="center"/>
          </w:tcPr>
          <w:p w14:paraId="663711CB"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tcBorders>
              <w:top w:val="single" w:sz="4" w:space="0" w:color="7F7F7F" w:themeColor="text1" w:themeTint="80"/>
              <w:bottom w:val="single" w:sz="4" w:space="0" w:color="7F7F7F" w:themeColor="text1" w:themeTint="80"/>
            </w:tcBorders>
            <w:vAlign w:val="center"/>
          </w:tcPr>
          <w:p w14:paraId="69B28EAE"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Livneh</w:t>
            </w:r>
          </w:p>
        </w:tc>
        <w:tc>
          <w:tcPr>
            <w:tcW w:w="2000" w:type="dxa"/>
            <w:tcBorders>
              <w:top w:val="single" w:sz="4" w:space="0" w:color="7F7F7F" w:themeColor="text1" w:themeTint="80"/>
              <w:bottom w:val="single" w:sz="4" w:space="0" w:color="7F7F7F" w:themeColor="text1" w:themeTint="80"/>
            </w:tcBorders>
            <w:vAlign w:val="center"/>
          </w:tcPr>
          <w:p w14:paraId="0218A5AC"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HDD</w:t>
            </w:r>
          </w:p>
        </w:tc>
        <w:tc>
          <w:tcPr>
            <w:tcW w:w="1168" w:type="dxa"/>
            <w:tcBorders>
              <w:top w:val="single" w:sz="4" w:space="0" w:color="7F7F7F" w:themeColor="text1" w:themeTint="80"/>
              <w:bottom w:val="single" w:sz="4" w:space="0" w:color="7F7F7F" w:themeColor="text1" w:themeTint="80"/>
            </w:tcBorders>
            <w:vAlign w:val="center"/>
          </w:tcPr>
          <w:p w14:paraId="06985FA6"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0.3701</w:t>
            </w:r>
          </w:p>
          <w:p w14:paraId="1E9A2492"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(0.015)</w:t>
            </w:r>
          </w:p>
        </w:tc>
        <w:tc>
          <w:tcPr>
            <w:tcW w:w="1168" w:type="dxa"/>
            <w:tcBorders>
              <w:top w:val="single" w:sz="4" w:space="0" w:color="7F7F7F" w:themeColor="text1" w:themeTint="80"/>
              <w:bottom w:val="single" w:sz="4" w:space="0" w:color="7F7F7F" w:themeColor="text1" w:themeTint="80"/>
            </w:tcBorders>
            <w:vAlign w:val="center"/>
          </w:tcPr>
          <w:p w14:paraId="1A79C787"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0.0414</w:t>
            </w:r>
          </w:p>
          <w:p w14:paraId="4CE8501C"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(0.0179)</w:t>
            </w:r>
          </w:p>
        </w:tc>
        <w:tc>
          <w:tcPr>
            <w:tcW w:w="1168" w:type="dxa"/>
            <w:tcBorders>
              <w:top w:val="single" w:sz="4" w:space="0" w:color="7F7F7F" w:themeColor="text1" w:themeTint="80"/>
              <w:bottom w:val="single" w:sz="4" w:space="0" w:color="7F7F7F" w:themeColor="text1" w:themeTint="80"/>
            </w:tcBorders>
            <w:vAlign w:val="center"/>
          </w:tcPr>
          <w:p w14:paraId="07561E00" w14:textId="4908E280" w:rsidR="00D5200C" w:rsidRPr="00246A15" w:rsidRDefault="00C117DF"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w:t>
            </w:r>
            <w:r w:rsidR="00D5200C" w:rsidRPr="00246A15">
              <w:rPr>
                <w:b/>
                <w:bCs/>
                <w:sz w:val="20"/>
                <w:szCs w:val="20"/>
              </w:rPr>
              <w:t>0.0031</w:t>
            </w:r>
          </w:p>
          <w:p w14:paraId="0DC99D4D"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(0.0009)</w:t>
            </w:r>
          </w:p>
        </w:tc>
        <w:tc>
          <w:tcPr>
            <w:tcW w:w="1168" w:type="dxa"/>
            <w:tcBorders>
              <w:top w:val="single" w:sz="4" w:space="0" w:color="7F7F7F" w:themeColor="text1" w:themeTint="80"/>
              <w:bottom w:val="single" w:sz="4" w:space="0" w:color="7F7F7F" w:themeColor="text1" w:themeTint="80"/>
            </w:tcBorders>
            <w:vAlign w:val="center"/>
          </w:tcPr>
          <w:p w14:paraId="0AA44866"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0.0187</w:t>
            </w:r>
          </w:p>
          <w:p w14:paraId="5B7A3816"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(0.0078)</w:t>
            </w:r>
          </w:p>
        </w:tc>
      </w:tr>
      <w:tr w:rsidR="00D5200C" w:rsidRPr="00246A15" w14:paraId="7C02DECF" w14:textId="77777777" w:rsidTr="00AC2FF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2CF5991F"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vAlign w:val="center"/>
          </w:tcPr>
          <w:p w14:paraId="64FFF754"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Daymet</w:t>
            </w:r>
          </w:p>
        </w:tc>
        <w:tc>
          <w:tcPr>
            <w:tcW w:w="2000" w:type="dxa"/>
            <w:vAlign w:val="center"/>
          </w:tcPr>
          <w:p w14:paraId="4AC02CC7"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CDD</w:t>
            </w:r>
          </w:p>
        </w:tc>
        <w:tc>
          <w:tcPr>
            <w:tcW w:w="1168" w:type="dxa"/>
            <w:vAlign w:val="center"/>
          </w:tcPr>
          <w:p w14:paraId="4982B146" w14:textId="77777777" w:rsidR="00D5200C" w:rsidRPr="00246A15" w:rsidRDefault="00D5200C" w:rsidP="00AC2FF6">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68" w:type="dxa"/>
            <w:vAlign w:val="center"/>
          </w:tcPr>
          <w:p w14:paraId="35D7A23F"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0.0038</w:t>
            </w:r>
          </w:p>
          <w:p w14:paraId="2C78203B"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(0.0081)</w:t>
            </w:r>
          </w:p>
        </w:tc>
        <w:tc>
          <w:tcPr>
            <w:tcW w:w="1168" w:type="dxa"/>
            <w:vAlign w:val="center"/>
          </w:tcPr>
          <w:p w14:paraId="17794D01"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0.0497</w:t>
            </w:r>
          </w:p>
          <w:p w14:paraId="238BE37A"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(0.0064)</w:t>
            </w:r>
          </w:p>
        </w:tc>
        <w:tc>
          <w:tcPr>
            <w:tcW w:w="1168" w:type="dxa"/>
            <w:vAlign w:val="center"/>
          </w:tcPr>
          <w:p w14:paraId="48A27711" w14:textId="687DCC9A" w:rsidR="00D5200C" w:rsidRPr="00246A15" w:rsidRDefault="00C117DF"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D5200C" w:rsidRPr="00246A15">
              <w:rPr>
                <w:sz w:val="20"/>
                <w:szCs w:val="20"/>
              </w:rPr>
              <w:t>0.0023</w:t>
            </w:r>
          </w:p>
          <w:p w14:paraId="1BBEA66A"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(0.007)</w:t>
            </w:r>
          </w:p>
        </w:tc>
      </w:tr>
      <w:tr w:rsidR="00D5200C" w:rsidRPr="00246A15" w14:paraId="7DED5C6E" w14:textId="77777777" w:rsidTr="00AC2FF6">
        <w:trPr>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4" w:space="0" w:color="7F7F7F" w:themeColor="text1" w:themeTint="80"/>
              <w:bottom w:val="single" w:sz="4" w:space="0" w:color="7F7F7F" w:themeColor="text1" w:themeTint="80"/>
            </w:tcBorders>
            <w:vAlign w:val="center"/>
          </w:tcPr>
          <w:p w14:paraId="152AB525"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tcBorders>
              <w:top w:val="single" w:sz="4" w:space="0" w:color="7F7F7F" w:themeColor="text1" w:themeTint="80"/>
              <w:bottom w:val="single" w:sz="4" w:space="0" w:color="7F7F7F" w:themeColor="text1" w:themeTint="80"/>
            </w:tcBorders>
            <w:vAlign w:val="center"/>
          </w:tcPr>
          <w:p w14:paraId="22740F5B"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Livneh</w:t>
            </w:r>
          </w:p>
        </w:tc>
        <w:tc>
          <w:tcPr>
            <w:tcW w:w="2000" w:type="dxa"/>
            <w:tcBorders>
              <w:top w:val="single" w:sz="4" w:space="0" w:color="7F7F7F" w:themeColor="text1" w:themeTint="80"/>
              <w:bottom w:val="single" w:sz="4" w:space="0" w:color="7F7F7F" w:themeColor="text1" w:themeTint="80"/>
            </w:tcBorders>
            <w:vAlign w:val="center"/>
          </w:tcPr>
          <w:p w14:paraId="597DD167"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CDD</w:t>
            </w:r>
          </w:p>
        </w:tc>
        <w:tc>
          <w:tcPr>
            <w:tcW w:w="1168" w:type="dxa"/>
            <w:tcBorders>
              <w:top w:val="single" w:sz="4" w:space="0" w:color="7F7F7F" w:themeColor="text1" w:themeTint="80"/>
              <w:bottom w:val="single" w:sz="4" w:space="0" w:color="7F7F7F" w:themeColor="text1" w:themeTint="80"/>
            </w:tcBorders>
            <w:vAlign w:val="center"/>
          </w:tcPr>
          <w:p w14:paraId="4AD730DD" w14:textId="77777777" w:rsidR="00D5200C" w:rsidRPr="00246A15" w:rsidRDefault="00D5200C" w:rsidP="00AC2FF6">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68" w:type="dxa"/>
            <w:tcBorders>
              <w:top w:val="single" w:sz="4" w:space="0" w:color="7F7F7F" w:themeColor="text1" w:themeTint="80"/>
              <w:bottom w:val="single" w:sz="4" w:space="0" w:color="7F7F7F" w:themeColor="text1" w:themeTint="80"/>
            </w:tcBorders>
            <w:vAlign w:val="center"/>
          </w:tcPr>
          <w:p w14:paraId="3C7A5CF6"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0.0019</w:t>
            </w:r>
          </w:p>
          <w:p w14:paraId="3D4D1891"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(0.0087)</w:t>
            </w:r>
          </w:p>
        </w:tc>
        <w:tc>
          <w:tcPr>
            <w:tcW w:w="1168" w:type="dxa"/>
            <w:tcBorders>
              <w:top w:val="single" w:sz="4" w:space="0" w:color="7F7F7F" w:themeColor="text1" w:themeTint="80"/>
              <w:bottom w:val="single" w:sz="4" w:space="0" w:color="7F7F7F" w:themeColor="text1" w:themeTint="80"/>
            </w:tcBorders>
            <w:vAlign w:val="center"/>
          </w:tcPr>
          <w:p w14:paraId="51B44C4A"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0.0443</w:t>
            </w:r>
          </w:p>
          <w:p w14:paraId="0CDF9604"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(0.0064)</w:t>
            </w:r>
          </w:p>
        </w:tc>
        <w:tc>
          <w:tcPr>
            <w:tcW w:w="1168" w:type="dxa"/>
            <w:tcBorders>
              <w:top w:val="single" w:sz="4" w:space="0" w:color="7F7F7F" w:themeColor="text1" w:themeTint="80"/>
              <w:bottom w:val="single" w:sz="4" w:space="0" w:color="7F7F7F" w:themeColor="text1" w:themeTint="80"/>
            </w:tcBorders>
            <w:vAlign w:val="center"/>
          </w:tcPr>
          <w:p w14:paraId="788AD6D7" w14:textId="7B0395FC" w:rsidR="00D5200C" w:rsidRPr="00246A15" w:rsidRDefault="00C117DF"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00D5200C" w:rsidRPr="00246A15">
              <w:rPr>
                <w:sz w:val="20"/>
                <w:szCs w:val="20"/>
              </w:rPr>
              <w:t>0.0004</w:t>
            </w:r>
          </w:p>
          <w:p w14:paraId="0160E993"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(0.0074)</w:t>
            </w:r>
          </w:p>
        </w:tc>
      </w:tr>
      <w:tr w:rsidR="00D5200C" w:rsidRPr="00246A15" w14:paraId="1C0AA088" w14:textId="77777777" w:rsidTr="00AC2FF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15FFD25D"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vAlign w:val="center"/>
          </w:tcPr>
          <w:p w14:paraId="1235F61B"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Daymet</w:t>
            </w:r>
          </w:p>
        </w:tc>
        <w:tc>
          <w:tcPr>
            <w:tcW w:w="2000" w:type="dxa"/>
            <w:vAlign w:val="center"/>
          </w:tcPr>
          <w:p w14:paraId="3B2F25C0"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 xml:space="preserve">CDD </w:t>
            </w:r>
            <w:r w:rsidRPr="00246A15">
              <w:rPr>
                <w:rFonts w:eastAsia="Times New Roman"/>
                <w:b/>
                <w:bCs/>
                <w:color w:val="000000"/>
                <w:sz w:val="20"/>
                <w:szCs w:val="20"/>
                <w:lang w:bidi="ar-SA"/>
              </w:rPr>
              <w:t>×</w:t>
            </w:r>
            <w:r w:rsidRPr="00246A15">
              <w:rPr>
                <w:sz w:val="20"/>
                <w:szCs w:val="20"/>
              </w:rPr>
              <w:t xml:space="preserve"> estimated AC penetration</w:t>
            </w:r>
          </w:p>
        </w:tc>
        <w:tc>
          <w:tcPr>
            <w:tcW w:w="1168" w:type="dxa"/>
            <w:vAlign w:val="center"/>
          </w:tcPr>
          <w:p w14:paraId="1AC81C95" w14:textId="77777777" w:rsidR="00D5200C" w:rsidRPr="00246A15" w:rsidRDefault="00D5200C" w:rsidP="00AC2FF6">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68" w:type="dxa"/>
            <w:vAlign w:val="center"/>
          </w:tcPr>
          <w:p w14:paraId="09FD2DD7"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0.0104</w:t>
            </w:r>
          </w:p>
          <w:p w14:paraId="50D43CF0"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(0.0065)</w:t>
            </w:r>
          </w:p>
        </w:tc>
        <w:tc>
          <w:tcPr>
            <w:tcW w:w="1168" w:type="dxa"/>
            <w:vAlign w:val="center"/>
          </w:tcPr>
          <w:p w14:paraId="7932A6FD"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0.0396</w:t>
            </w:r>
          </w:p>
          <w:p w14:paraId="273D3604"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(0.0053)</w:t>
            </w:r>
          </w:p>
        </w:tc>
        <w:tc>
          <w:tcPr>
            <w:tcW w:w="1168" w:type="dxa"/>
            <w:vAlign w:val="center"/>
          </w:tcPr>
          <w:p w14:paraId="724E05E6"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0.0072</w:t>
            </w:r>
          </w:p>
          <w:p w14:paraId="36454F94"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(0.0058)</w:t>
            </w:r>
          </w:p>
        </w:tc>
      </w:tr>
      <w:tr w:rsidR="00D5200C" w:rsidRPr="00246A15" w14:paraId="09397B11" w14:textId="77777777" w:rsidTr="00AC2FF6">
        <w:trPr>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4" w:space="0" w:color="7F7F7F" w:themeColor="text1" w:themeTint="80"/>
              <w:bottom w:val="single" w:sz="4" w:space="0" w:color="7F7F7F" w:themeColor="text1" w:themeTint="80"/>
            </w:tcBorders>
            <w:vAlign w:val="center"/>
          </w:tcPr>
          <w:p w14:paraId="5EBD4AFC"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tcBorders>
              <w:top w:val="single" w:sz="4" w:space="0" w:color="7F7F7F" w:themeColor="text1" w:themeTint="80"/>
              <w:bottom w:val="single" w:sz="4" w:space="0" w:color="7F7F7F" w:themeColor="text1" w:themeTint="80"/>
            </w:tcBorders>
            <w:vAlign w:val="center"/>
          </w:tcPr>
          <w:p w14:paraId="1EF28DA0"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Livneh</w:t>
            </w:r>
          </w:p>
        </w:tc>
        <w:tc>
          <w:tcPr>
            <w:tcW w:w="2000" w:type="dxa"/>
            <w:tcBorders>
              <w:top w:val="single" w:sz="4" w:space="0" w:color="7F7F7F" w:themeColor="text1" w:themeTint="80"/>
              <w:bottom w:val="single" w:sz="4" w:space="0" w:color="7F7F7F" w:themeColor="text1" w:themeTint="80"/>
            </w:tcBorders>
            <w:vAlign w:val="center"/>
          </w:tcPr>
          <w:p w14:paraId="5A2FF210"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 xml:space="preserve">CDD </w:t>
            </w:r>
            <w:r w:rsidRPr="00246A15">
              <w:rPr>
                <w:rFonts w:eastAsia="Times New Roman"/>
                <w:b/>
                <w:bCs/>
                <w:color w:val="000000"/>
                <w:sz w:val="20"/>
                <w:szCs w:val="20"/>
                <w:lang w:bidi="ar-SA"/>
              </w:rPr>
              <w:t>×</w:t>
            </w:r>
            <w:r w:rsidRPr="00246A15">
              <w:rPr>
                <w:sz w:val="20"/>
                <w:szCs w:val="20"/>
              </w:rPr>
              <w:t xml:space="preserve"> estimated AC penetration</w:t>
            </w:r>
          </w:p>
        </w:tc>
        <w:tc>
          <w:tcPr>
            <w:tcW w:w="1168" w:type="dxa"/>
            <w:tcBorders>
              <w:top w:val="single" w:sz="4" w:space="0" w:color="7F7F7F" w:themeColor="text1" w:themeTint="80"/>
              <w:bottom w:val="single" w:sz="4" w:space="0" w:color="7F7F7F" w:themeColor="text1" w:themeTint="80"/>
            </w:tcBorders>
            <w:vAlign w:val="center"/>
          </w:tcPr>
          <w:p w14:paraId="7C663FD4" w14:textId="77777777" w:rsidR="00D5200C" w:rsidRPr="00246A15" w:rsidRDefault="00D5200C" w:rsidP="00AC2FF6">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68" w:type="dxa"/>
            <w:tcBorders>
              <w:top w:val="single" w:sz="4" w:space="0" w:color="7F7F7F" w:themeColor="text1" w:themeTint="80"/>
              <w:bottom w:val="single" w:sz="4" w:space="0" w:color="7F7F7F" w:themeColor="text1" w:themeTint="80"/>
            </w:tcBorders>
            <w:vAlign w:val="center"/>
          </w:tcPr>
          <w:p w14:paraId="79AB970E"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0.0099</w:t>
            </w:r>
          </w:p>
          <w:p w14:paraId="46CEFBC8"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(0.0067)</w:t>
            </w:r>
          </w:p>
        </w:tc>
        <w:tc>
          <w:tcPr>
            <w:tcW w:w="1168" w:type="dxa"/>
            <w:tcBorders>
              <w:top w:val="single" w:sz="4" w:space="0" w:color="7F7F7F" w:themeColor="text1" w:themeTint="80"/>
              <w:bottom w:val="single" w:sz="4" w:space="0" w:color="7F7F7F" w:themeColor="text1" w:themeTint="80"/>
            </w:tcBorders>
            <w:vAlign w:val="center"/>
          </w:tcPr>
          <w:p w14:paraId="0D9DFFB3"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0.0359</w:t>
            </w:r>
          </w:p>
          <w:p w14:paraId="016739EB"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(0.0053)</w:t>
            </w:r>
          </w:p>
        </w:tc>
        <w:tc>
          <w:tcPr>
            <w:tcW w:w="1168" w:type="dxa"/>
            <w:tcBorders>
              <w:top w:val="single" w:sz="4" w:space="0" w:color="7F7F7F" w:themeColor="text1" w:themeTint="80"/>
              <w:bottom w:val="single" w:sz="4" w:space="0" w:color="7F7F7F" w:themeColor="text1" w:themeTint="80"/>
            </w:tcBorders>
            <w:vAlign w:val="center"/>
          </w:tcPr>
          <w:p w14:paraId="70258F36"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0.0071</w:t>
            </w:r>
          </w:p>
          <w:p w14:paraId="6BF3F637"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(0.0061)</w:t>
            </w:r>
          </w:p>
        </w:tc>
      </w:tr>
      <w:tr w:rsidR="00D5200C" w:rsidRPr="00246A15" w14:paraId="6D636890" w14:textId="77777777" w:rsidTr="00AC2FF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7D3301FB"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vAlign w:val="center"/>
          </w:tcPr>
          <w:p w14:paraId="28DFECFA"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Daymet</w:t>
            </w:r>
          </w:p>
        </w:tc>
        <w:tc>
          <w:tcPr>
            <w:tcW w:w="2000" w:type="dxa"/>
            <w:vAlign w:val="center"/>
          </w:tcPr>
          <w:p w14:paraId="3192F0CA" w14:textId="77777777" w:rsidR="00D5200C" w:rsidRPr="00246A15" w:rsidRDefault="00D5200C" w:rsidP="00AC2FF6">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 xml:space="preserve">CDD </w:t>
            </w:r>
            <w:r w:rsidRPr="00246A15">
              <w:rPr>
                <w:rFonts w:eastAsia="Times New Roman"/>
                <w:b/>
                <w:bCs/>
                <w:color w:val="000000"/>
                <w:sz w:val="20"/>
                <w:szCs w:val="20"/>
                <w:lang w:bidi="ar-SA"/>
              </w:rPr>
              <w:t>×</w:t>
            </w:r>
            <w:r w:rsidRPr="00246A15">
              <w:rPr>
                <w:sz w:val="20"/>
                <w:szCs w:val="20"/>
              </w:rPr>
              <w:t xml:space="preserve"> irrigation</w:t>
            </w:r>
          </w:p>
        </w:tc>
        <w:tc>
          <w:tcPr>
            <w:tcW w:w="1168" w:type="dxa"/>
            <w:vAlign w:val="center"/>
          </w:tcPr>
          <w:p w14:paraId="6D2C312C" w14:textId="77777777" w:rsidR="00D5200C" w:rsidRPr="00246A15" w:rsidRDefault="00D5200C" w:rsidP="00AC2FF6">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68" w:type="dxa"/>
            <w:vAlign w:val="center"/>
          </w:tcPr>
          <w:p w14:paraId="5367633D"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0.072</w:t>
            </w:r>
          </w:p>
          <w:p w14:paraId="4056F78C" w14:textId="77777777" w:rsidR="00D5200C" w:rsidRPr="00246A15" w:rsidRDefault="00D5200C" w:rsidP="00C117DF">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(0.0137)</w:t>
            </w:r>
          </w:p>
        </w:tc>
        <w:tc>
          <w:tcPr>
            <w:tcW w:w="1168" w:type="dxa"/>
            <w:vAlign w:val="center"/>
          </w:tcPr>
          <w:p w14:paraId="63638E46"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0.039</w:t>
            </w:r>
          </w:p>
          <w:p w14:paraId="7D55FA27"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(0.0053)</w:t>
            </w:r>
          </w:p>
        </w:tc>
        <w:tc>
          <w:tcPr>
            <w:tcW w:w="1168" w:type="dxa"/>
            <w:vAlign w:val="center"/>
          </w:tcPr>
          <w:p w14:paraId="666AAB7E"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246A15">
              <w:rPr>
                <w:b/>
                <w:bCs/>
                <w:sz w:val="20"/>
                <w:szCs w:val="20"/>
              </w:rPr>
              <w:t>0.0659</w:t>
            </w:r>
          </w:p>
          <w:p w14:paraId="2541EE65" w14:textId="77777777" w:rsidR="00D5200C" w:rsidRPr="00246A15" w:rsidRDefault="00D5200C" w:rsidP="00C117DF">
            <w:pPr>
              <w:tabs>
                <w:tab w:val="decimal" w:pos="4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246A15">
              <w:rPr>
                <w:sz w:val="20"/>
                <w:szCs w:val="20"/>
              </w:rPr>
              <w:t>(0.0135)</w:t>
            </w:r>
          </w:p>
        </w:tc>
      </w:tr>
      <w:tr w:rsidR="00D5200C" w:rsidRPr="00246A15" w14:paraId="37221DA8" w14:textId="77777777" w:rsidTr="00AC2FF6">
        <w:trPr>
          <w:cantSplit/>
          <w:jc w:val="center"/>
        </w:trPr>
        <w:tc>
          <w:tcPr>
            <w:cnfStyle w:val="001000000000" w:firstRow="0" w:lastRow="0" w:firstColumn="1" w:lastColumn="0" w:oddVBand="0" w:evenVBand="0" w:oddHBand="0" w:evenHBand="0" w:firstRowFirstColumn="0" w:firstRowLastColumn="0" w:lastRowFirstColumn="0" w:lastRowLastColumn="0"/>
            <w:tcW w:w="1257" w:type="dxa"/>
            <w:tcBorders>
              <w:top w:val="single" w:sz="4" w:space="0" w:color="7F7F7F" w:themeColor="text1" w:themeTint="80"/>
              <w:bottom w:val="single" w:sz="12" w:space="0" w:color="auto"/>
            </w:tcBorders>
            <w:vAlign w:val="center"/>
          </w:tcPr>
          <w:p w14:paraId="19AF4E48" w14:textId="77777777" w:rsidR="00D5200C" w:rsidRPr="00246A15" w:rsidRDefault="00D5200C" w:rsidP="00AC2FF6">
            <w:pPr>
              <w:spacing w:before="0" w:after="0" w:line="240" w:lineRule="auto"/>
              <w:ind w:firstLine="0"/>
              <w:rPr>
                <w:b w:val="0"/>
                <w:bCs w:val="0"/>
                <w:sz w:val="20"/>
                <w:szCs w:val="20"/>
              </w:rPr>
            </w:pPr>
            <w:r w:rsidRPr="00246A15">
              <w:rPr>
                <w:b w:val="0"/>
                <w:bCs w:val="0"/>
                <w:sz w:val="20"/>
                <w:szCs w:val="20"/>
              </w:rPr>
              <w:t>BPA</w:t>
            </w:r>
          </w:p>
        </w:tc>
        <w:tc>
          <w:tcPr>
            <w:tcW w:w="1416" w:type="dxa"/>
            <w:tcBorders>
              <w:top w:val="single" w:sz="4" w:space="0" w:color="7F7F7F" w:themeColor="text1" w:themeTint="80"/>
              <w:bottom w:val="single" w:sz="12" w:space="0" w:color="auto"/>
            </w:tcBorders>
            <w:vAlign w:val="center"/>
          </w:tcPr>
          <w:p w14:paraId="755ADE45"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Livneh</w:t>
            </w:r>
          </w:p>
        </w:tc>
        <w:tc>
          <w:tcPr>
            <w:tcW w:w="2000" w:type="dxa"/>
            <w:tcBorders>
              <w:top w:val="single" w:sz="4" w:space="0" w:color="7F7F7F" w:themeColor="text1" w:themeTint="80"/>
              <w:bottom w:val="single" w:sz="12" w:space="0" w:color="auto"/>
            </w:tcBorders>
            <w:vAlign w:val="center"/>
          </w:tcPr>
          <w:p w14:paraId="3A0DED29" w14:textId="77777777" w:rsidR="00D5200C" w:rsidRPr="00246A15" w:rsidRDefault="00D5200C" w:rsidP="00AC2FF6">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 xml:space="preserve">CDD </w:t>
            </w:r>
            <w:r w:rsidRPr="00246A15">
              <w:rPr>
                <w:rFonts w:eastAsia="Times New Roman"/>
                <w:b/>
                <w:bCs/>
                <w:color w:val="000000"/>
                <w:sz w:val="20"/>
                <w:szCs w:val="20"/>
                <w:lang w:bidi="ar-SA"/>
              </w:rPr>
              <w:t>×</w:t>
            </w:r>
            <w:r w:rsidRPr="00246A15">
              <w:rPr>
                <w:sz w:val="20"/>
                <w:szCs w:val="20"/>
              </w:rPr>
              <w:t xml:space="preserve"> irrigation</w:t>
            </w:r>
          </w:p>
        </w:tc>
        <w:tc>
          <w:tcPr>
            <w:tcW w:w="1168" w:type="dxa"/>
            <w:tcBorders>
              <w:top w:val="single" w:sz="4" w:space="0" w:color="7F7F7F" w:themeColor="text1" w:themeTint="80"/>
              <w:bottom w:val="single" w:sz="12" w:space="0" w:color="auto"/>
            </w:tcBorders>
            <w:vAlign w:val="center"/>
          </w:tcPr>
          <w:p w14:paraId="43500D8B" w14:textId="77777777" w:rsidR="00D5200C" w:rsidRPr="00246A15" w:rsidRDefault="00D5200C" w:rsidP="00AC2FF6">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68" w:type="dxa"/>
            <w:tcBorders>
              <w:top w:val="single" w:sz="4" w:space="0" w:color="7F7F7F" w:themeColor="text1" w:themeTint="80"/>
              <w:bottom w:val="single" w:sz="12" w:space="0" w:color="auto"/>
            </w:tcBorders>
            <w:vAlign w:val="center"/>
          </w:tcPr>
          <w:p w14:paraId="71246A8E"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0.068</w:t>
            </w:r>
          </w:p>
          <w:p w14:paraId="1D18BA5B" w14:textId="77777777" w:rsidR="00D5200C" w:rsidRPr="00246A15" w:rsidRDefault="00D5200C" w:rsidP="00C117DF">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(0.013)</w:t>
            </w:r>
          </w:p>
        </w:tc>
        <w:tc>
          <w:tcPr>
            <w:tcW w:w="1168" w:type="dxa"/>
            <w:tcBorders>
              <w:top w:val="single" w:sz="4" w:space="0" w:color="7F7F7F" w:themeColor="text1" w:themeTint="80"/>
              <w:bottom w:val="single" w:sz="12" w:space="0" w:color="auto"/>
            </w:tcBorders>
            <w:vAlign w:val="center"/>
          </w:tcPr>
          <w:p w14:paraId="58B1F6C5"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0.0378</w:t>
            </w:r>
          </w:p>
          <w:p w14:paraId="3E54C8DF"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(0.0051)</w:t>
            </w:r>
          </w:p>
        </w:tc>
        <w:tc>
          <w:tcPr>
            <w:tcW w:w="1168" w:type="dxa"/>
            <w:tcBorders>
              <w:top w:val="single" w:sz="4" w:space="0" w:color="7F7F7F" w:themeColor="text1" w:themeTint="80"/>
              <w:bottom w:val="single" w:sz="12" w:space="0" w:color="auto"/>
            </w:tcBorders>
            <w:vAlign w:val="center"/>
          </w:tcPr>
          <w:p w14:paraId="55AADCAA"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246A15">
              <w:rPr>
                <w:b/>
                <w:bCs/>
                <w:sz w:val="20"/>
                <w:szCs w:val="20"/>
              </w:rPr>
              <w:t>0.0675</w:t>
            </w:r>
          </w:p>
          <w:p w14:paraId="16E054CE" w14:textId="77777777" w:rsidR="00D5200C" w:rsidRPr="00246A15" w:rsidRDefault="00D5200C" w:rsidP="00C117DF">
            <w:pPr>
              <w:tabs>
                <w:tab w:val="decimal" w:pos="4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246A15">
              <w:rPr>
                <w:sz w:val="20"/>
                <w:szCs w:val="20"/>
              </w:rPr>
              <w:t>(0.0137)</w:t>
            </w:r>
          </w:p>
        </w:tc>
      </w:tr>
    </w:tbl>
    <w:p w14:paraId="32D88010" w14:textId="77777777" w:rsidR="00D5200C" w:rsidRPr="000B333D" w:rsidRDefault="00D5200C" w:rsidP="00D5200C">
      <w:pPr>
        <w:spacing w:before="120" w:line="240" w:lineRule="auto"/>
        <w:ind w:firstLine="0"/>
        <w:rPr>
          <w:sz w:val="18"/>
          <w:szCs w:val="18"/>
        </w:rPr>
      </w:pPr>
      <w:r w:rsidRPr="000B333D">
        <w:rPr>
          <w:sz w:val="18"/>
          <w:szCs w:val="18"/>
        </w:rPr>
        <w:t>Notes: Numbers in parenthes</w:t>
      </w:r>
      <w:r>
        <w:rPr>
          <w:sz w:val="18"/>
          <w:szCs w:val="18"/>
        </w:rPr>
        <w:t>e</w:t>
      </w:r>
      <w:r w:rsidRPr="000B333D">
        <w:rPr>
          <w:sz w:val="18"/>
          <w:szCs w:val="18"/>
        </w:rPr>
        <w:t xml:space="preserve">s are standard errors. Bolded values indicate that the estimated elasticity is statistically significant at </w:t>
      </w:r>
      <w:r>
        <w:rPr>
          <w:sz w:val="18"/>
          <w:szCs w:val="18"/>
        </w:rPr>
        <w:t xml:space="preserve">a </w:t>
      </w:r>
      <w:r w:rsidRPr="000B333D">
        <w:rPr>
          <w:sz w:val="18"/>
          <w:szCs w:val="18"/>
        </w:rPr>
        <w:t>10% level. The number of CDDs for winter was always zero</w:t>
      </w:r>
      <w:r>
        <w:rPr>
          <w:sz w:val="18"/>
          <w:szCs w:val="18"/>
        </w:rPr>
        <w:t>,</w:t>
      </w:r>
      <w:r w:rsidRPr="000B333D">
        <w:rPr>
          <w:sz w:val="18"/>
          <w:szCs w:val="18"/>
        </w:rPr>
        <w:t xml:space="preserve"> resulting in </w:t>
      </w:r>
      <w:r>
        <w:rPr>
          <w:sz w:val="18"/>
          <w:szCs w:val="18"/>
        </w:rPr>
        <w:t xml:space="preserve">dropping </w:t>
      </w:r>
      <w:r w:rsidRPr="000B333D">
        <w:rPr>
          <w:sz w:val="18"/>
          <w:szCs w:val="18"/>
        </w:rPr>
        <w:t>that variable from the equation for that season.</w:t>
      </w:r>
    </w:p>
    <w:p w14:paraId="118337BC" w14:textId="20133310" w:rsidR="008B483D" w:rsidRDefault="008B483D" w:rsidP="00246A15">
      <w:pPr>
        <w:pStyle w:val="BodyText"/>
      </w:pPr>
      <w:r>
        <w:t>The estimated coefficients for the three CDD-related variables need to be combined to calculate a total CDD elasticity value that accounts for load responses through both more intense use of the exiting AC stock and increases in the AC stock. The total CDD elasticity also varies by customer type between customers with large irrigation loads and the rest.</w:t>
      </w:r>
    </w:p>
    <w:p w14:paraId="71FDD500" w14:textId="77777777" w:rsidR="008B483D" w:rsidRDefault="008B483D" w:rsidP="008B483D">
      <w:pPr>
        <w:spacing w:before="0" w:line="240" w:lineRule="auto"/>
        <w:ind w:left="720" w:firstLine="0"/>
      </w:pPr>
      <w:r>
        <w:ptab w:relativeTo="margin" w:alignment="center" w:leader="none"/>
      </w:r>
      <m:oMath>
        <m:sSub>
          <m:sSubPr>
            <m:ctrlPr>
              <w:rPr>
                <w:rFonts w:ascii="Cambria Math" w:hAnsi="Cambria Math"/>
                <w:i/>
              </w:rPr>
            </m:ctrlPr>
          </m:sSubPr>
          <m:e>
            <m:r>
              <w:rPr>
                <w:rFonts w:ascii="Cambria Math" w:hAnsi="Cambria Math"/>
              </w:rPr>
              <m:t>TotalElast</m:t>
            </m:r>
          </m:e>
          <m:sub>
            <m:r>
              <w:rPr>
                <w:rFonts w:ascii="Cambria Math" w:hAnsi="Cambria Math"/>
              </w:rPr>
              <m:t>TRL,CDD</m:t>
            </m:r>
          </m:sub>
        </m:sSub>
        <m:d>
          <m:dPr>
            <m:begChr m:val="["/>
            <m:endChr m:val="]"/>
            <m:ctrlPr>
              <w:rPr>
                <w:rFonts w:ascii="Cambria Math" w:hAnsi="Cambria Math"/>
                <w:i/>
              </w:rPr>
            </m:ctrlPr>
          </m:dPr>
          <m:e>
            <m:r>
              <w:rPr>
                <w:rFonts w:ascii="Cambria Math" w:hAnsi="Cambria Math"/>
              </w:rPr>
              <m:t>Irrig=0</m:t>
            </m:r>
          </m:e>
        </m:d>
        <m:r>
          <w:rPr>
            <w:rFonts w:ascii="Cambria Math" w:hAnsi="Cambria Math"/>
          </w:rPr>
          <m:t xml:space="preserve">= </m:t>
        </m:r>
        <m:sSub>
          <m:sSubPr>
            <m:ctrlPr>
              <w:rPr>
                <w:rFonts w:ascii="Cambria Math" w:hAnsi="Cambria Math"/>
                <w:i/>
              </w:rPr>
            </m:ctrlPr>
          </m:sSubPr>
          <m:e>
            <m:r>
              <w:rPr>
                <w:rFonts w:ascii="Cambria Math" w:hAnsi="Cambria Math"/>
              </w:rPr>
              <m:t>Elast</m:t>
            </m:r>
          </m:e>
          <m:sub>
            <m:r>
              <w:rPr>
                <w:rFonts w:ascii="Cambria Math" w:hAnsi="Cambria Math"/>
              </w:rPr>
              <m:t>TRL,CDD</m:t>
            </m:r>
          </m:sub>
        </m:sSub>
        <m:r>
          <w:rPr>
            <w:rFonts w:ascii="Cambria Math" w:hAnsi="Cambria Math"/>
          </w:rPr>
          <m:t xml:space="preserve">+ </m:t>
        </m:r>
        <m:sSub>
          <m:sSubPr>
            <m:ctrlPr>
              <w:rPr>
                <w:rFonts w:ascii="Cambria Math" w:hAnsi="Cambria Math"/>
                <w:i/>
              </w:rPr>
            </m:ctrlPr>
          </m:sSubPr>
          <m:e>
            <m:r>
              <w:rPr>
                <w:rFonts w:ascii="Cambria Math" w:hAnsi="Cambria Math"/>
              </w:rPr>
              <m:t>Elast</m:t>
            </m:r>
          </m:e>
          <m:sub>
            <m:r>
              <w:rPr>
                <w:rFonts w:ascii="Cambria Math" w:hAnsi="Cambria Math"/>
              </w:rPr>
              <m:t>TRL,CDD-AC</m:t>
            </m:r>
          </m:sub>
        </m:sSub>
        <m:r>
          <w:rPr>
            <w:rFonts w:ascii="Cambria Math" w:hAnsi="Cambria Math"/>
          </w:rPr>
          <m:t>*</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i/>
                  </w:rPr>
                </m:ctrlPr>
              </m:dPr>
              <m:e>
                <m:r>
                  <w:rPr>
                    <w:rFonts w:ascii="Cambria Math" w:hAnsi="Cambria Math"/>
                  </w:rPr>
                  <m:t>ACsat</m:t>
                </m:r>
              </m:e>
            </m:d>
          </m:e>
        </m:func>
      </m:oMath>
      <w:r>
        <w:ptab w:relativeTo="margin" w:alignment="right" w:leader="none"/>
      </w:r>
      <w:r>
        <w:t>(3.1)</w:t>
      </w:r>
    </w:p>
    <w:p w14:paraId="31E15990" w14:textId="77777777" w:rsidR="008B483D" w:rsidRPr="00CE6D4A" w:rsidRDefault="008043C8" w:rsidP="008B483D">
      <w:pPr>
        <w:tabs>
          <w:tab w:val="left" w:pos="8910"/>
        </w:tabs>
        <w:spacing w:before="0" w:line="240" w:lineRule="auto"/>
        <w:ind w:firstLine="0"/>
      </w:pPr>
      <m:oMath>
        <m:sSub>
          <m:sSubPr>
            <m:ctrlPr>
              <w:rPr>
                <w:rFonts w:ascii="Cambria Math" w:hAnsi="Cambria Math"/>
                <w:i/>
              </w:rPr>
            </m:ctrlPr>
          </m:sSubPr>
          <m:e>
            <m:r>
              <w:rPr>
                <w:rFonts w:ascii="Cambria Math" w:hAnsi="Cambria Math"/>
              </w:rPr>
              <m:t>TotalElast</m:t>
            </m:r>
          </m:e>
          <m:sub>
            <m:r>
              <w:rPr>
                <w:rFonts w:ascii="Cambria Math" w:hAnsi="Cambria Math"/>
              </w:rPr>
              <m:t>TRL,CDD</m:t>
            </m:r>
          </m:sub>
        </m:sSub>
        <m:d>
          <m:dPr>
            <m:begChr m:val="["/>
            <m:endChr m:val="]"/>
            <m:ctrlPr>
              <w:rPr>
                <w:rFonts w:ascii="Cambria Math" w:hAnsi="Cambria Math"/>
                <w:i/>
              </w:rPr>
            </m:ctrlPr>
          </m:dPr>
          <m:e>
            <m:r>
              <w:rPr>
                <w:rFonts w:ascii="Cambria Math" w:hAnsi="Cambria Math"/>
              </w:rPr>
              <m:t>Irrig=1</m:t>
            </m:r>
          </m:e>
        </m:d>
        <m:r>
          <w:rPr>
            <w:rFonts w:ascii="Cambria Math" w:hAnsi="Cambria Math"/>
          </w:rPr>
          <m:t xml:space="preserve">= </m:t>
        </m:r>
        <m:sSub>
          <m:sSubPr>
            <m:ctrlPr>
              <w:rPr>
                <w:rFonts w:ascii="Cambria Math" w:hAnsi="Cambria Math"/>
                <w:i/>
              </w:rPr>
            </m:ctrlPr>
          </m:sSubPr>
          <m:e>
            <m:r>
              <w:rPr>
                <w:rFonts w:ascii="Cambria Math" w:hAnsi="Cambria Math"/>
              </w:rPr>
              <m:t>Elast</m:t>
            </m:r>
          </m:e>
          <m:sub>
            <m:r>
              <w:rPr>
                <w:rFonts w:ascii="Cambria Math" w:hAnsi="Cambria Math"/>
              </w:rPr>
              <m:t>TRL,CDD</m:t>
            </m:r>
          </m:sub>
        </m:sSub>
        <m:r>
          <w:rPr>
            <w:rFonts w:ascii="Cambria Math" w:hAnsi="Cambria Math"/>
          </w:rPr>
          <m:t xml:space="preserve">+ </m:t>
        </m:r>
        <m:sSub>
          <m:sSubPr>
            <m:ctrlPr>
              <w:rPr>
                <w:rFonts w:ascii="Cambria Math" w:hAnsi="Cambria Math"/>
                <w:i/>
              </w:rPr>
            </m:ctrlPr>
          </m:sSubPr>
          <m:e>
            <m:r>
              <w:rPr>
                <w:rFonts w:ascii="Cambria Math" w:hAnsi="Cambria Math"/>
              </w:rPr>
              <m:t>Elast</m:t>
            </m:r>
          </m:e>
          <m:sub>
            <m:r>
              <w:rPr>
                <w:rFonts w:ascii="Cambria Math" w:hAnsi="Cambria Math"/>
              </w:rPr>
              <m:t>TRL,CDD-AC</m:t>
            </m:r>
          </m:sub>
        </m:sSub>
        <m:r>
          <w:rPr>
            <w:rFonts w:ascii="Cambria Math" w:hAnsi="Cambria Math"/>
          </w:rPr>
          <m:t>*</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i/>
                  </w:rPr>
                </m:ctrlPr>
              </m:dPr>
              <m:e>
                <m:r>
                  <w:rPr>
                    <w:rFonts w:ascii="Cambria Math" w:hAnsi="Cambria Math"/>
                  </w:rPr>
                  <m:t>ACsat</m:t>
                </m:r>
              </m:e>
            </m:d>
          </m:e>
        </m:func>
        <m:r>
          <w:rPr>
            <w:rFonts w:ascii="Cambria Math" w:hAnsi="Cambria Math"/>
          </w:rPr>
          <m:t>+</m:t>
        </m:r>
        <m:sSub>
          <m:sSubPr>
            <m:ctrlPr>
              <w:rPr>
                <w:rFonts w:ascii="Cambria Math" w:hAnsi="Cambria Math"/>
                <w:i/>
              </w:rPr>
            </m:ctrlPr>
          </m:sSubPr>
          <m:e>
            <m:r>
              <w:rPr>
                <w:rFonts w:ascii="Cambria Math" w:hAnsi="Cambria Math"/>
              </w:rPr>
              <m:t>Elast</m:t>
            </m:r>
          </m:e>
          <m:sub>
            <m:r>
              <w:rPr>
                <w:rFonts w:ascii="Cambria Math" w:hAnsi="Cambria Math"/>
              </w:rPr>
              <m:t>TRL,Irr</m:t>
            </m:r>
          </m:sub>
        </m:sSub>
      </m:oMath>
      <w:r w:rsidR="008B483D">
        <w:ptab w:relativeTo="margin" w:alignment="right" w:leader="none"/>
      </w:r>
      <w:r w:rsidR="008B483D">
        <w:t>(3.2)</w:t>
      </w:r>
    </w:p>
    <w:p w14:paraId="2D35A6D5" w14:textId="275C3BA1" w:rsidR="008B483D" w:rsidRDefault="008B483D" w:rsidP="00246A15">
      <w:pPr>
        <w:pStyle w:val="BodyText"/>
      </w:pPr>
      <w:r>
        <w:lastRenderedPageBreak/>
        <w:t xml:space="preserve">The estimated elasticities were combined with respect to degree days with the projected changed in degree days derived from climate model simulations to produce an estimate of the temperature-driven changes in load for BPA preference customers. </w:t>
      </w:r>
      <w:r>
        <w:fldChar w:fldCharType="begin"/>
      </w:r>
      <w:r>
        <w:instrText xml:space="preserve"> REF _Ref72850922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17</w:t>
      </w:r>
      <w:r>
        <w:fldChar w:fldCharType="end"/>
      </w:r>
      <w:r>
        <w:t xml:space="preserve"> and </w:t>
      </w:r>
      <w:r>
        <w:fldChar w:fldCharType="begin"/>
      </w:r>
      <w:r>
        <w:instrText xml:space="preserve"> REF _Ref72850929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18</w:t>
      </w:r>
      <w:r>
        <w:fldChar w:fldCharType="end"/>
      </w:r>
      <w:r>
        <w:t xml:space="preserve"> show the projected degree days from 24 simulations (the six CMIP-6 models described in Section 2.3 combined with two MetFs and two DSs), as well as the ensemble median projection.</w:t>
      </w:r>
    </w:p>
    <w:p w14:paraId="0D598F1D" w14:textId="77777777" w:rsidR="009868FB" w:rsidRDefault="009868FB" w:rsidP="009868FB">
      <w:pPr>
        <w:pStyle w:val="FIGUREposition"/>
        <w:rPr>
          <w:rFonts w:eastAsia="PMingLiU"/>
          <w:lang w:eastAsia="zh-TW"/>
        </w:rPr>
      </w:pPr>
      <w:r>
        <w:rPr>
          <w:noProof/>
        </w:rPr>
        <w:drawing>
          <wp:inline distT="0" distB="0" distL="0" distR="0" wp14:anchorId="5A7863BA" wp14:editId="5796BD5F">
            <wp:extent cx="5486400" cy="18288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pic:cNvPicPr>
                      <a:picLocks noChangeAspect="1" noChangeArrowheads="1"/>
                    </pic:cNvPicPr>
                  </pic:nvPicPr>
                  <pic:blipFill>
                    <a:blip r:embed="rId113"/>
                    <a:stretch>
                      <a:fillRect/>
                    </a:stretch>
                  </pic:blipFill>
                  <pic:spPr bwMode="auto">
                    <a:xfrm>
                      <a:off x="0" y="0"/>
                      <a:ext cx="5486400" cy="1828800"/>
                    </a:xfrm>
                    <a:prstGeom prst="rect">
                      <a:avLst/>
                    </a:prstGeom>
                    <a:noFill/>
                    <a:ln>
                      <a:noFill/>
                    </a:ln>
                  </pic:spPr>
                </pic:pic>
              </a:graphicData>
            </a:graphic>
          </wp:inline>
        </w:drawing>
      </w:r>
    </w:p>
    <w:p w14:paraId="3FD400E2" w14:textId="097E8E1C" w:rsidR="009868FB" w:rsidRDefault="009868FB" w:rsidP="009868FB">
      <w:pPr>
        <w:pStyle w:val="FigureCaption"/>
        <w:rPr>
          <w:b w:val="0"/>
        </w:rPr>
      </w:pPr>
      <w:bookmarkStart w:id="322" w:name="_Ref72850922"/>
      <w:bookmarkStart w:id="323" w:name="_Toc113380905"/>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17</w:t>
      </w:r>
      <w:r w:rsidRPr="00F61532">
        <w:rPr>
          <w:lang w:eastAsia="zh-TW"/>
        </w:rPr>
        <w:fldChar w:fldCharType="end"/>
      </w:r>
      <w:bookmarkEnd w:id="322"/>
      <w:r w:rsidRPr="00F61532">
        <w:rPr>
          <w:lang w:eastAsia="zh-TW"/>
        </w:rPr>
        <w:t xml:space="preserve">. Projected annual </w:t>
      </w:r>
      <w:r>
        <w:rPr>
          <w:lang w:eastAsia="zh-TW"/>
        </w:rPr>
        <w:t xml:space="preserve">HDDs </w:t>
      </w:r>
      <w:r w:rsidRPr="00F61532">
        <w:rPr>
          <w:lang w:eastAsia="zh-TW"/>
        </w:rPr>
        <w:t xml:space="preserve">in </w:t>
      </w:r>
      <w:r>
        <w:rPr>
          <w:lang w:eastAsia="zh-TW"/>
        </w:rPr>
        <w:t>the BPA region.</w:t>
      </w:r>
      <w:bookmarkEnd w:id="323"/>
    </w:p>
    <w:p w14:paraId="4332C487" w14:textId="77777777" w:rsidR="009868FB" w:rsidRDefault="009868FB" w:rsidP="009868FB">
      <w:pPr>
        <w:pStyle w:val="FIGUREposition"/>
        <w:rPr>
          <w:rFonts w:eastAsia="PMingLiU"/>
          <w:lang w:eastAsia="zh-TW"/>
        </w:rPr>
      </w:pPr>
      <w:r>
        <w:rPr>
          <w:noProof/>
        </w:rPr>
        <w:drawing>
          <wp:inline distT="0" distB="0" distL="0" distR="0" wp14:anchorId="4CEBC771" wp14:editId="0C4F2367">
            <wp:extent cx="5486400" cy="1828799"/>
            <wp:effectExtent l="0" t="0" r="0" b="63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pic:cNvPicPr>
                      <a:picLocks noChangeAspect="1" noChangeArrowheads="1"/>
                    </pic:cNvPicPr>
                  </pic:nvPicPr>
                  <pic:blipFill>
                    <a:blip r:embed="rId114"/>
                    <a:stretch>
                      <a:fillRect/>
                    </a:stretch>
                  </pic:blipFill>
                  <pic:spPr bwMode="auto">
                    <a:xfrm>
                      <a:off x="0" y="0"/>
                      <a:ext cx="5486400" cy="1828799"/>
                    </a:xfrm>
                    <a:prstGeom prst="rect">
                      <a:avLst/>
                    </a:prstGeom>
                    <a:noFill/>
                    <a:ln>
                      <a:noFill/>
                    </a:ln>
                  </pic:spPr>
                </pic:pic>
              </a:graphicData>
            </a:graphic>
          </wp:inline>
        </w:drawing>
      </w:r>
    </w:p>
    <w:p w14:paraId="0DAA5480" w14:textId="022BB459" w:rsidR="009868FB" w:rsidRDefault="009868FB" w:rsidP="009868FB">
      <w:pPr>
        <w:pStyle w:val="FigureCaption"/>
        <w:rPr>
          <w:b w:val="0"/>
        </w:rPr>
      </w:pPr>
      <w:bookmarkStart w:id="324" w:name="_Ref72850929"/>
      <w:bookmarkStart w:id="325" w:name="_Toc11338090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18</w:t>
      </w:r>
      <w:r w:rsidRPr="00F61532">
        <w:rPr>
          <w:lang w:eastAsia="zh-TW"/>
        </w:rPr>
        <w:fldChar w:fldCharType="end"/>
      </w:r>
      <w:bookmarkEnd w:id="324"/>
      <w:r w:rsidRPr="00F61532">
        <w:rPr>
          <w:lang w:eastAsia="zh-TW"/>
        </w:rPr>
        <w:t xml:space="preserve">. Projected annual </w:t>
      </w:r>
      <w:r>
        <w:rPr>
          <w:lang w:eastAsia="zh-TW"/>
        </w:rPr>
        <w:t xml:space="preserve">CDDs </w:t>
      </w:r>
      <w:r w:rsidRPr="00F61532">
        <w:rPr>
          <w:lang w:eastAsia="zh-TW"/>
        </w:rPr>
        <w:t xml:space="preserve">in </w:t>
      </w:r>
      <w:r>
        <w:rPr>
          <w:lang w:eastAsia="zh-TW"/>
        </w:rPr>
        <w:t>the BPA region.</w:t>
      </w:r>
      <w:bookmarkEnd w:id="325"/>
    </w:p>
    <w:p w14:paraId="64F7CD13" w14:textId="5511B709" w:rsidR="008B483D" w:rsidRDefault="008B483D" w:rsidP="00246A15">
      <w:pPr>
        <w:pStyle w:val="BodyText"/>
      </w:pPr>
      <w:r>
        <w:t xml:space="preserve">During the baseline period, the </w:t>
      </w:r>
      <w:r w:rsidR="008B77E4">
        <w:t xml:space="preserve">average annual values of the </w:t>
      </w:r>
      <w:r>
        <w:t>ensemble median</w:t>
      </w:r>
      <w:r w:rsidR="008B77E4">
        <w:t>s</w:t>
      </w:r>
      <w:r>
        <w:t xml:space="preserve"> in the territory served by BPA preference customers were 4,176 </w:t>
      </w:r>
      <w:r w:rsidR="00C76327">
        <w:t xml:space="preserve">HDDs </w:t>
      </w:r>
      <w:r>
        <w:t>and 296</w:t>
      </w:r>
      <w:r w:rsidR="00C76327">
        <w:t xml:space="preserve"> CDDs</w:t>
      </w:r>
      <w:r>
        <w:t>. For 2020</w:t>
      </w:r>
      <w:r>
        <w:rPr>
          <w:rFonts w:cstheme="minorHAnsi"/>
        </w:rPr>
        <w:t>–</w:t>
      </w:r>
      <w:r>
        <w:t xml:space="preserve">2059, the average </w:t>
      </w:r>
      <w:r w:rsidR="00C76327">
        <w:t xml:space="preserve">annual </w:t>
      </w:r>
      <w:r>
        <w:t xml:space="preserve">values of the ensemble medians in </w:t>
      </w:r>
      <w:r>
        <w:fldChar w:fldCharType="begin"/>
      </w:r>
      <w:r>
        <w:instrText xml:space="preserve"> REF _Ref72850922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17</w:t>
      </w:r>
      <w:r>
        <w:fldChar w:fldCharType="end"/>
      </w:r>
      <w:r>
        <w:t xml:space="preserve"> and </w:t>
      </w:r>
      <w:r>
        <w:fldChar w:fldCharType="begin"/>
      </w:r>
      <w:r>
        <w:instrText xml:space="preserve"> REF _Ref72850929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18</w:t>
      </w:r>
      <w:r>
        <w:fldChar w:fldCharType="end"/>
      </w:r>
      <w:r>
        <w:t xml:space="preserve"> </w:t>
      </w:r>
      <w:r w:rsidR="00C76327">
        <w:t xml:space="preserve">were </w:t>
      </w:r>
      <w:r>
        <w:t xml:space="preserve">3,483 for HDDs and 562 for CDDs. This represents a 17% decrease in HDDs and a 90% increase in CDDs. For the projected annual CDDs, the range noticeably widened during the </w:t>
      </w:r>
      <w:r w:rsidR="005606E5">
        <w:t xml:space="preserve">past </w:t>
      </w:r>
      <w:r>
        <w:t xml:space="preserve">decade, which is indicative of less consensus in the temperature projections from the various CMIP6 models. </w:t>
      </w:r>
      <w:r>
        <w:fldChar w:fldCharType="begin"/>
      </w:r>
      <w:r>
        <w:instrText xml:space="preserve"> REF _Ref72851040 \h </w:instrText>
      </w:r>
      <w:r>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19</w:t>
      </w:r>
      <w:r>
        <w:fldChar w:fldCharType="end"/>
      </w:r>
      <w:r>
        <w:t xml:space="preserve"> shows the projected changes in load for preference customers with no large irrigation loads to meet as a result of the degree day trends previously discussed.</w:t>
      </w:r>
    </w:p>
    <w:p w14:paraId="39BA85A1" w14:textId="77777777" w:rsidR="00705787" w:rsidRDefault="00705787" w:rsidP="00705787">
      <w:pPr>
        <w:pStyle w:val="BodyText"/>
      </w:pPr>
      <w:r>
        <w:t>HDDs only have a sizable effect on commercial and residential load during the winter months. The decreases in load driven by higher temperatures during the winter months range from 0.9% to 5.9% in the near-term (2020</w:t>
      </w:r>
      <w:r>
        <w:rPr>
          <w:rFonts w:cstheme="minorHAnsi"/>
        </w:rPr>
        <w:t>–</w:t>
      </w:r>
      <w:r>
        <w:t>2039) and from 3.4% to 7.7% in the mid-term (2040</w:t>
      </w:r>
      <w:r>
        <w:rPr>
          <w:rFonts w:cstheme="minorHAnsi"/>
        </w:rPr>
        <w:t>–2059) future periods. The median projected winter load decrease is 2.4% in the nearer future period and 5.7% for the two subsequent decades.</w:t>
      </w:r>
    </w:p>
    <w:p w14:paraId="6CE8CAD7" w14:textId="77777777" w:rsidR="00705787" w:rsidRDefault="00705787" w:rsidP="00246A15">
      <w:pPr>
        <w:pStyle w:val="BodyText"/>
      </w:pPr>
    </w:p>
    <w:p w14:paraId="27278F0E" w14:textId="77777777" w:rsidR="009868FB" w:rsidRDefault="009868FB" w:rsidP="009868FB">
      <w:pPr>
        <w:pStyle w:val="FIGUREposition"/>
      </w:pPr>
      <w:r>
        <w:rPr>
          <w:noProof/>
        </w:rPr>
        <w:lastRenderedPageBreak/>
        <w:drawing>
          <wp:inline distT="0" distB="0" distL="0" distR="0" wp14:anchorId="7723098C" wp14:editId="163249A8">
            <wp:extent cx="5943600" cy="2743200"/>
            <wp:effectExtent l="0" t="0" r="0" b="0"/>
            <wp:docPr id="46" name="Picture 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10;&#10;Description automatically generated"/>
                    <pic:cNvPicPr/>
                  </pic:nvPicPr>
                  <pic:blipFill>
                    <a:blip r:embed="rId115"/>
                    <a:stretch>
                      <a:fillRect/>
                    </a:stretch>
                  </pic:blipFill>
                  <pic:spPr>
                    <a:xfrm>
                      <a:off x="0" y="0"/>
                      <a:ext cx="5943600" cy="2743200"/>
                    </a:xfrm>
                    <a:prstGeom prst="rect">
                      <a:avLst/>
                    </a:prstGeom>
                  </pic:spPr>
                </pic:pic>
              </a:graphicData>
            </a:graphic>
          </wp:inline>
        </w:drawing>
      </w:r>
    </w:p>
    <w:p w14:paraId="33A7CB7A" w14:textId="0D24333F" w:rsidR="009868FB" w:rsidRPr="00E77776" w:rsidRDefault="009868FB" w:rsidP="009868FB">
      <w:pPr>
        <w:pStyle w:val="FigureCaption"/>
        <w:rPr>
          <w:b w:val="0"/>
          <w:bCs/>
          <w:vanish/>
          <w:szCs w:val="20"/>
          <w:specVanish/>
        </w:rPr>
      </w:pPr>
      <w:bookmarkStart w:id="326" w:name="_Ref72851040"/>
      <w:bookmarkStart w:id="327" w:name="_Toc113380907"/>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3</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19</w:t>
      </w:r>
      <w:r w:rsidRPr="00F61532">
        <w:rPr>
          <w:lang w:eastAsia="zh-TW"/>
        </w:rPr>
        <w:fldChar w:fldCharType="end"/>
      </w:r>
      <w:bookmarkEnd w:id="326"/>
      <w:r w:rsidRPr="00F61532">
        <w:rPr>
          <w:lang w:eastAsia="zh-TW"/>
        </w:rPr>
        <w:t xml:space="preserve">. </w:t>
      </w:r>
      <w:r w:rsidRPr="005A5BC1">
        <w:rPr>
          <w:lang w:eastAsia="zh-TW"/>
        </w:rPr>
        <w:t xml:space="preserve">Estimated changes in seasonal load relative to </w:t>
      </w:r>
      <w:r w:rsidR="002709A6">
        <w:rPr>
          <w:lang w:eastAsia="zh-TW"/>
        </w:rPr>
        <w:t xml:space="preserve">the </w:t>
      </w:r>
      <w:r w:rsidRPr="005A5BC1">
        <w:rPr>
          <w:lang w:eastAsia="zh-TW"/>
        </w:rPr>
        <w:t xml:space="preserve">baseline period due to projected changes in degree days for BPA </w:t>
      </w:r>
      <w:r>
        <w:rPr>
          <w:lang w:eastAsia="zh-TW"/>
        </w:rPr>
        <w:t xml:space="preserve">preference </w:t>
      </w:r>
      <w:r w:rsidRPr="005A5BC1">
        <w:rPr>
          <w:lang w:eastAsia="zh-TW"/>
        </w:rPr>
        <w:t>customers with no large irrigation loads</w:t>
      </w:r>
      <w:r>
        <w:rPr>
          <w:lang w:eastAsia="zh-TW"/>
        </w:rPr>
        <w:t>.</w:t>
      </w:r>
      <w:bookmarkEnd w:id="327"/>
      <w:r>
        <w:rPr>
          <w:lang w:eastAsia="zh-TW"/>
        </w:rPr>
        <w:t xml:space="preserve"> </w:t>
      </w:r>
    </w:p>
    <w:p w14:paraId="4735D46C" w14:textId="77777777" w:rsidR="009868FB" w:rsidRPr="00FB708B" w:rsidRDefault="009868FB" w:rsidP="009868FB">
      <w:pPr>
        <w:pStyle w:val="FigureCaptionSeparator"/>
      </w:pPr>
      <w:r w:rsidRPr="004B7C77">
        <w:rPr>
          <w:szCs w:val="20"/>
        </w:rPr>
        <w:t>No load elasticity with respect to CDDs was estimated for winter because there were no CDDs during that season in the historical period.</w:t>
      </w:r>
    </w:p>
    <w:p w14:paraId="77CC21AD" w14:textId="4E166D25" w:rsidR="00C45D3F" w:rsidRDefault="00C45D3F" w:rsidP="00246A15">
      <w:pPr>
        <w:pStyle w:val="BodyText"/>
        <w:rPr>
          <w:rFonts w:cstheme="minorHAnsi"/>
        </w:rPr>
      </w:pPr>
      <w:r>
        <w:rPr>
          <w:rFonts w:cstheme="minorHAnsi"/>
        </w:rPr>
        <w:t>For most BPA preference customers, CDDs only lead to increases in load in the summer.</w:t>
      </w:r>
      <w:r>
        <w:rPr>
          <w:rStyle w:val="FootnoteReference"/>
          <w:rFonts w:cstheme="minorHAnsi"/>
        </w:rPr>
        <w:footnoteReference w:id="22"/>
      </w:r>
      <w:r>
        <w:rPr>
          <w:rFonts w:cstheme="minorHAnsi"/>
        </w:rPr>
        <w:t xml:space="preserve"> </w:t>
      </w:r>
      <w:r>
        <w:t>The median percentage change increase in summer load is 1.3% in the 2020</w:t>
      </w:r>
      <w:r>
        <w:rPr>
          <w:rFonts w:cstheme="minorHAnsi"/>
        </w:rPr>
        <w:t>–</w:t>
      </w:r>
      <w:r>
        <w:t xml:space="preserve">2039 </w:t>
      </w:r>
      <w:r w:rsidR="003A22F7">
        <w:t xml:space="preserve">period </w:t>
      </w:r>
      <w:r>
        <w:t xml:space="preserve">and </w:t>
      </w:r>
      <w:r w:rsidR="003A22F7">
        <w:t xml:space="preserve">3.6% in the </w:t>
      </w:r>
      <w:r>
        <w:t>2040</w:t>
      </w:r>
      <w:r>
        <w:rPr>
          <w:rFonts w:cstheme="minorHAnsi"/>
        </w:rPr>
        <w:t>–</w:t>
      </w:r>
      <w:r>
        <w:t xml:space="preserve">2059 period. The larger increase in </w:t>
      </w:r>
      <w:r w:rsidR="003A22F7">
        <w:t xml:space="preserve">the </w:t>
      </w:r>
      <w:r>
        <w:t xml:space="preserve">mid-century is </w:t>
      </w:r>
      <w:r w:rsidR="003A22F7">
        <w:t xml:space="preserve">caused by </w:t>
      </w:r>
      <w:r>
        <w:t xml:space="preserve">a combination of a larger increase in CDDs relative to the baseline period </w:t>
      </w:r>
      <w:r>
        <w:rPr>
          <w:rFonts w:cstheme="minorHAnsi"/>
        </w:rPr>
        <w:t>and projected increases in AC saturation.</w:t>
      </w:r>
    </w:p>
    <w:p w14:paraId="6D34D0DF" w14:textId="7F8F89A4" w:rsidR="00C45D3F" w:rsidRDefault="00C45D3F" w:rsidP="00246A15">
      <w:pPr>
        <w:pStyle w:val="BodyText"/>
      </w:pPr>
      <w:r>
        <w:rPr>
          <w:rFonts w:cstheme="minorHAnsi"/>
        </w:rPr>
        <w:t xml:space="preserve">For the group of 14 customers with large irrigation loads, projected temperature trends for </w:t>
      </w:r>
      <w:r>
        <w:t>2020</w:t>
      </w:r>
      <w:r>
        <w:rPr>
          <w:rFonts w:cstheme="minorHAnsi"/>
        </w:rPr>
        <w:t>–</w:t>
      </w:r>
      <w:r>
        <w:t xml:space="preserve">2039 </w:t>
      </w:r>
      <w:r>
        <w:rPr>
          <w:rFonts w:cstheme="minorHAnsi"/>
        </w:rPr>
        <w:t>lead to median load increase</w:t>
      </w:r>
      <w:r w:rsidR="001D70C8">
        <w:rPr>
          <w:rFonts w:cstheme="minorHAnsi"/>
        </w:rPr>
        <w:t>s</w:t>
      </w:r>
      <w:r>
        <w:rPr>
          <w:rFonts w:cstheme="minorHAnsi"/>
        </w:rPr>
        <w:t xml:space="preserve"> of 3% in spring, 3% in summer, </w:t>
      </w:r>
      <w:r w:rsidR="001D70C8">
        <w:rPr>
          <w:rFonts w:cstheme="minorHAnsi"/>
        </w:rPr>
        <w:t xml:space="preserve">and </w:t>
      </w:r>
      <w:r>
        <w:rPr>
          <w:rFonts w:cstheme="minorHAnsi"/>
        </w:rPr>
        <w:t xml:space="preserve">4.9% in fall, and a decrease </w:t>
      </w:r>
      <w:r w:rsidR="001D70C8">
        <w:rPr>
          <w:rFonts w:cstheme="minorHAnsi"/>
        </w:rPr>
        <w:t xml:space="preserve">of </w:t>
      </w:r>
      <w:r>
        <w:rPr>
          <w:rFonts w:cstheme="minorHAnsi"/>
        </w:rPr>
        <w:t xml:space="preserve">2% in winter. For </w:t>
      </w:r>
      <w:r>
        <w:t>2040</w:t>
      </w:r>
      <w:r>
        <w:rPr>
          <w:rFonts w:cstheme="minorHAnsi"/>
        </w:rPr>
        <w:t>–</w:t>
      </w:r>
      <w:r>
        <w:t>2059, the projected median changes lead to load increase</w:t>
      </w:r>
      <w:r w:rsidR="001D70C8">
        <w:t>s</w:t>
      </w:r>
      <w:r>
        <w:t xml:space="preserve"> of 13% in spring, 7.6% in summer, </w:t>
      </w:r>
      <w:r w:rsidR="001D70C8">
        <w:t xml:space="preserve">and </w:t>
      </w:r>
      <w:r>
        <w:t>15% in fall, and a decrease of 5.7% in winter. Comparing the seasonal irrigation load changes estimated for the near</w:t>
      </w:r>
      <w:r w:rsidR="001D70C8">
        <w:t>-term</w:t>
      </w:r>
      <w:r>
        <w:t xml:space="preserve"> and mid-term future periods indicates an increasing temperature-driven trend in irrigation load in all seasons except winter.</w:t>
      </w:r>
    </w:p>
    <w:p w14:paraId="1E3DF1ED" w14:textId="11285213" w:rsidR="00C45D3F" w:rsidRPr="00135F70" w:rsidRDefault="000D1DB1" w:rsidP="00246A15">
      <w:pPr>
        <w:pStyle w:val="BodyText"/>
        <w:rPr>
          <w:rFonts w:cstheme="minorHAnsi"/>
        </w:rPr>
      </w:pPr>
      <w:r>
        <w:t>The temperature-driven load changes discussed indicate a decrease in load during the winter and an increase during the summer. This was shown by weighting the median changes in load for the two customer types and the four seasons discussed in the previous two paragraphs by their fraction of total load in recent years (2017</w:t>
      </w:r>
      <w:r>
        <w:rPr>
          <w:rFonts w:cstheme="minorHAnsi"/>
        </w:rPr>
        <w:t>–</w:t>
      </w:r>
      <w:r>
        <w:t>2019). The projected median change in annual load for BPA preference customers is very small and negative (a 0.40% decrease in 2020</w:t>
      </w:r>
      <w:r>
        <w:rPr>
          <w:rFonts w:cstheme="minorHAnsi"/>
        </w:rPr>
        <w:t>–</w:t>
      </w:r>
      <w:r>
        <w:t>2039 and a 0.38% decrease in 2040</w:t>
      </w:r>
      <w:r>
        <w:rPr>
          <w:rFonts w:cstheme="minorHAnsi"/>
        </w:rPr>
        <w:t>–</w:t>
      </w:r>
      <w:r>
        <w:t>2059).</w:t>
      </w:r>
      <w:r>
        <w:rPr>
          <w:rStyle w:val="FootnoteReference"/>
        </w:rPr>
        <w:footnoteReference w:id="23"/>
      </w:r>
      <w:r>
        <w:t xml:space="preserve"> However, temperature is only one of many factors influencing load size. Temperature would also need to be considered in combination with other drivers (e.g., population and electrification trends) for load forecasting and resource planning. For po</w:t>
      </w:r>
      <w:r w:rsidRPr="005676E5">
        <w:t>pulation, Zoraghein and O</w:t>
      </w:r>
      <w:r w:rsidR="00805545">
        <w:t>’</w:t>
      </w:r>
      <w:r w:rsidRPr="005676E5">
        <w:t>Neill (2020) produce</w:t>
      </w:r>
      <w:r w:rsidR="00C76327">
        <w:t>d</w:t>
      </w:r>
      <w:r w:rsidRPr="005676E5">
        <w:t xml:space="preserve"> state-l</w:t>
      </w:r>
      <w:r>
        <w:t xml:space="preserve">evel estimates for 2050 and 2100 consistent with three different SSPs. In the SSP5 pathway, which is the one consistent with the climate projections in this analysis, the projected population growth in the three-state region where most BPA customers are located (Washington, Oregon, and Idaho) is a 67% increase from 2010 to 2050 and an additional 59% increase in the second half of the century. Therefore, </w:t>
      </w:r>
      <w:r>
        <w:lastRenderedPageBreak/>
        <w:t>population is a potential strong driver for load in the BPA region, especially when compounded with growth in AC penetration.</w:t>
      </w:r>
    </w:p>
    <w:p w14:paraId="4976CEC3" w14:textId="40F0BBE9" w:rsidR="00C45D3F" w:rsidRDefault="00C45D3F" w:rsidP="00246A15">
      <w:pPr>
        <w:pStyle w:val="BodyText"/>
      </w:pPr>
      <w:r>
        <w:t xml:space="preserve">As discussed in Section </w:t>
      </w:r>
      <w:r>
        <w:fldChar w:fldCharType="begin"/>
      </w:r>
      <w:r>
        <w:instrText xml:space="preserve"> REF _Ref425756212 \r \h </w:instrText>
      </w:r>
      <w:r w:rsidR="00246A15">
        <w:instrText xml:space="preserve"> \* MERGEFORMAT </w:instrText>
      </w:r>
      <w:r>
        <w:fldChar w:fldCharType="separate"/>
      </w:r>
      <w:r w:rsidR="00EE0BF5">
        <w:t>3.3.1</w:t>
      </w:r>
      <w:r>
        <w:fldChar w:fldCharType="end"/>
      </w:r>
      <w:r>
        <w:t xml:space="preserve">, </w:t>
      </w:r>
      <w:r w:rsidR="000D1DB1">
        <w:t>hydropower generation in the BPA region is expected to increase at the annual time scale. The increase is concentrated in the winter and spring, whereas summer generation is projected to decrease in most of the FCRPS facilities from 2040</w:t>
      </w:r>
      <w:r w:rsidR="000D1DB1">
        <w:rPr>
          <w:rFonts w:cstheme="minorHAnsi"/>
        </w:rPr>
        <w:t>–</w:t>
      </w:r>
      <w:r w:rsidR="000D1DB1">
        <w:t>2059 (</w:t>
      </w:r>
      <w:r w:rsidR="00C10DF4">
        <w:fldChar w:fldCharType="begin"/>
      </w:r>
      <w:r w:rsidR="00C10DF4">
        <w:instrText xml:space="preserve"> REF _Ref72838144 \h </w:instrText>
      </w:r>
      <w:r w:rsidR="00C10DF4">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15</w:t>
      </w:r>
      <w:r w:rsidR="00C10DF4">
        <w:fldChar w:fldCharType="end"/>
      </w:r>
      <w:r w:rsidR="000D1DB1">
        <w:t xml:space="preserve">). Thus, the seasonal changes in generation availability do not correlate positively with the expected changes in the seasonal shape of preference customer demand in the region (increased summer load as shown in </w:t>
      </w:r>
      <w:r w:rsidR="00C10DF4">
        <w:fldChar w:fldCharType="begin"/>
      </w:r>
      <w:r w:rsidR="00C10DF4">
        <w:instrText xml:space="preserve"> REF _Ref72851040 \h </w:instrText>
      </w:r>
      <w:r w:rsidR="00C10DF4">
        <w:fldChar w:fldCharType="separate"/>
      </w:r>
      <w:r w:rsidR="00EE0BF5">
        <w:rPr>
          <w:lang w:eastAsia="zh-TW"/>
        </w:rPr>
        <w:t>Figure</w:t>
      </w:r>
      <w:r w:rsidR="00EE0BF5" w:rsidRPr="00F61532">
        <w:rPr>
          <w:lang w:eastAsia="zh-TW"/>
        </w:rPr>
        <w:t xml:space="preserve"> </w:t>
      </w:r>
      <w:r w:rsidR="00EE0BF5">
        <w:rPr>
          <w:noProof/>
          <w:lang w:eastAsia="zh-TW"/>
        </w:rPr>
        <w:t>3</w:t>
      </w:r>
      <w:r w:rsidR="00EE0BF5" w:rsidRPr="00F61532">
        <w:rPr>
          <w:lang w:eastAsia="zh-TW"/>
        </w:rPr>
        <w:t>.</w:t>
      </w:r>
      <w:r w:rsidR="00EE0BF5">
        <w:rPr>
          <w:noProof/>
          <w:lang w:eastAsia="zh-TW"/>
        </w:rPr>
        <w:t>19</w:t>
      </w:r>
      <w:r w:rsidR="00C10DF4">
        <w:fldChar w:fldCharType="end"/>
      </w:r>
      <w:r w:rsidR="000D1DB1">
        <w:t>), particularly in 2040</w:t>
      </w:r>
      <w:r w:rsidR="000D1DB1">
        <w:rPr>
          <w:rFonts w:cstheme="minorHAnsi"/>
        </w:rPr>
        <w:t>–</w:t>
      </w:r>
      <w:r w:rsidR="000D1DB1">
        <w:t>2059. The decreased correlation between hydropower generation availability and customer demand will likely result in increased replacement power purchases by the PMA during the summer months. The cost of replacement power purchases must then be passed through to the rates that BPA charges its customers. Finding ways to maximize the value of potential winter generation surpluses and minimize the needs for replacement power during the summer will be important to maintain competitive and affordable rates for BPA and ensure reliability.</w:t>
      </w:r>
    </w:p>
    <w:p w14:paraId="254AB91F" w14:textId="77777777" w:rsidR="006A3A0F" w:rsidRDefault="006A3A0F" w:rsidP="006A3A0F">
      <w:pPr>
        <w:pStyle w:val="Text"/>
        <w:spacing w:before="120"/>
      </w:pPr>
    </w:p>
    <w:p w14:paraId="3EAC9C46" w14:textId="77777777" w:rsidR="00737A01" w:rsidRDefault="00737A01">
      <w:pPr>
        <w:spacing w:before="0" w:after="200" w:line="276" w:lineRule="auto"/>
        <w:ind w:firstLine="0"/>
        <w:sectPr w:rsidR="00737A01" w:rsidSect="00CC3514">
          <w:pgSz w:w="12240" w:h="15840" w:code="1"/>
          <w:pgMar w:top="1440" w:right="1440" w:bottom="1440" w:left="1440" w:header="720" w:footer="720" w:gutter="0"/>
          <w:cols w:space="720"/>
          <w:docGrid w:linePitch="360"/>
        </w:sectPr>
      </w:pPr>
    </w:p>
    <w:p w14:paraId="0C412688" w14:textId="2718DACD" w:rsidR="00A27865" w:rsidRDefault="009F65EE" w:rsidP="00DE0A21">
      <w:pPr>
        <w:pStyle w:val="Heading1"/>
      </w:pPr>
      <w:bookmarkStart w:id="328" w:name="_Ref432168061"/>
      <w:bookmarkStart w:id="329" w:name="_Ref432423103"/>
      <w:bookmarkStart w:id="330" w:name="_Ref432433422"/>
      <w:bookmarkStart w:id="331" w:name="_Ref432925452"/>
      <w:bookmarkStart w:id="332" w:name="_Toc113380807"/>
      <w:r w:rsidRPr="00A27865">
        <w:lastRenderedPageBreak/>
        <w:t xml:space="preserve">THE </w:t>
      </w:r>
      <w:r w:rsidR="008C3834">
        <w:t>WAPA</w:t>
      </w:r>
      <w:r>
        <w:t xml:space="preserve"> </w:t>
      </w:r>
      <w:r w:rsidRPr="00A27865">
        <w:t>REGION</w:t>
      </w:r>
      <w:bookmarkEnd w:id="328"/>
      <w:bookmarkEnd w:id="329"/>
      <w:bookmarkEnd w:id="330"/>
      <w:bookmarkEnd w:id="331"/>
      <w:bookmarkEnd w:id="332"/>
    </w:p>
    <w:p w14:paraId="7DD85A11" w14:textId="36489064" w:rsidR="00A65041" w:rsidRDefault="00B81F34" w:rsidP="00A65041">
      <w:pPr>
        <w:pStyle w:val="BodyText"/>
      </w:pPr>
      <w:r>
        <w:t>Following the methodology</w:t>
      </w:r>
      <w:r w:rsidR="00A65041">
        <w:t xml:space="preserve"> described in Section </w:t>
      </w:r>
      <w:r w:rsidR="00A65041">
        <w:fldChar w:fldCharType="begin"/>
      </w:r>
      <w:r w:rsidR="00A65041">
        <w:instrText xml:space="preserve"> REF _Ref425756108 \n \h </w:instrText>
      </w:r>
      <w:r w:rsidR="00A65041">
        <w:fldChar w:fldCharType="separate"/>
      </w:r>
      <w:r w:rsidR="00EE0BF5">
        <w:t>2</w:t>
      </w:r>
      <w:r w:rsidR="00A65041">
        <w:fldChar w:fldCharType="end"/>
      </w:r>
      <w:r w:rsidR="00A65041">
        <w:t>, the results for federal hydropower plants marketed by the WAPA are summarized in this section. Descriptions of the WAPA study areas, federal hydropower system</w:t>
      </w:r>
      <w:r w:rsidR="005B19AC">
        <w:t>s</w:t>
      </w:r>
      <w:r w:rsidR="00A65041">
        <w:t xml:space="preserve">, and power marketing practices are described in Section </w:t>
      </w:r>
      <w:r w:rsidR="00A65041">
        <w:fldChar w:fldCharType="begin"/>
      </w:r>
      <w:r w:rsidR="00A65041">
        <w:instrText xml:space="preserve"> REF _Ref69807730 \r \h </w:instrText>
      </w:r>
      <w:r w:rsidR="00A65041">
        <w:fldChar w:fldCharType="separate"/>
      </w:r>
      <w:r w:rsidR="00EE0BF5">
        <w:t>4.1</w:t>
      </w:r>
      <w:r w:rsidR="00A65041">
        <w:fldChar w:fldCharType="end"/>
      </w:r>
      <w:r w:rsidR="00A65041">
        <w:t>.</w:t>
      </w:r>
      <w:r w:rsidR="00A65041" w:rsidRPr="008F7AA7">
        <w:rPr>
          <w:rFonts w:hint="eastAsia"/>
        </w:rPr>
        <w:t xml:space="preserve"> </w:t>
      </w:r>
      <w:r w:rsidR="00A65041">
        <w:t xml:space="preserve">The projected future atmospheric and hydrologic conditions in the WAPA region are discussed in </w:t>
      </w:r>
      <w:r w:rsidR="00A65041" w:rsidRPr="008F7AA7">
        <w:t xml:space="preserve">Section </w:t>
      </w:r>
      <w:r w:rsidR="00A65041">
        <w:fldChar w:fldCharType="begin"/>
      </w:r>
      <w:r w:rsidR="00A65041">
        <w:instrText xml:space="preserve"> REF _Ref69807751 \r \h </w:instrText>
      </w:r>
      <w:r w:rsidR="00A65041">
        <w:fldChar w:fldCharType="separate"/>
      </w:r>
      <w:r w:rsidR="00EE0BF5">
        <w:t>4.2</w:t>
      </w:r>
      <w:r w:rsidR="00A65041">
        <w:fldChar w:fldCharType="end"/>
      </w:r>
      <w:r w:rsidR="00A65041">
        <w:t xml:space="preserve">. </w:t>
      </w:r>
      <w:r w:rsidR="00A65041" w:rsidRPr="008F7AA7">
        <w:rPr>
          <w:rFonts w:hint="eastAsia"/>
        </w:rPr>
        <w:t xml:space="preserve">The potential </w:t>
      </w:r>
      <w:r w:rsidR="00A65041">
        <w:t xml:space="preserve">climate change </w:t>
      </w:r>
      <w:r w:rsidR="00A65041" w:rsidRPr="008F7AA7">
        <w:rPr>
          <w:rFonts w:hint="eastAsia"/>
        </w:rPr>
        <w:t xml:space="preserve">impacts on federal hydropower generation and </w:t>
      </w:r>
      <w:r w:rsidR="00A65041">
        <w:t xml:space="preserve">WAPA regional energy demands </w:t>
      </w:r>
      <w:r w:rsidR="00A65041" w:rsidRPr="008F7AA7">
        <w:rPr>
          <w:rFonts w:hint="eastAsia"/>
        </w:rPr>
        <w:t xml:space="preserve">are discussed in </w:t>
      </w:r>
      <w:r w:rsidR="00A65041" w:rsidRPr="008F7AA7">
        <w:t xml:space="preserve">Section </w:t>
      </w:r>
      <w:r w:rsidR="00A65041">
        <w:fldChar w:fldCharType="begin"/>
      </w:r>
      <w:r w:rsidR="00A65041">
        <w:instrText xml:space="preserve"> REF _Ref69807768 \r \h </w:instrText>
      </w:r>
      <w:r w:rsidR="00A65041">
        <w:fldChar w:fldCharType="separate"/>
      </w:r>
      <w:r w:rsidR="00EE0BF5">
        <w:t>4.3</w:t>
      </w:r>
      <w:r w:rsidR="00A65041">
        <w:fldChar w:fldCharType="end"/>
      </w:r>
      <w:r w:rsidR="00A65041" w:rsidRPr="008F7AA7">
        <w:t>.</w:t>
      </w:r>
    </w:p>
    <w:p w14:paraId="7453C7C2" w14:textId="4C8ADFEA" w:rsidR="00A27865" w:rsidRPr="00A27865" w:rsidRDefault="00174ED0" w:rsidP="00AD0C1C">
      <w:pPr>
        <w:pStyle w:val="Heading2"/>
      </w:pPr>
      <w:bookmarkStart w:id="333" w:name="_Toc364409021"/>
      <w:bookmarkStart w:id="334" w:name="_Toc364412930"/>
      <w:bookmarkStart w:id="335" w:name="_Ref425756287"/>
      <w:bookmarkStart w:id="336" w:name="_Ref69807730"/>
      <w:bookmarkStart w:id="337" w:name="_Toc113380808"/>
      <w:r>
        <w:t xml:space="preserve">WAPA </w:t>
      </w:r>
      <w:r w:rsidR="00A27865" w:rsidRPr="00A27865">
        <w:t>Regional Characteristics</w:t>
      </w:r>
      <w:bookmarkEnd w:id="333"/>
      <w:bookmarkEnd w:id="334"/>
      <w:bookmarkEnd w:id="335"/>
      <w:bookmarkEnd w:id="336"/>
      <w:bookmarkEnd w:id="337"/>
    </w:p>
    <w:p w14:paraId="4D235390" w14:textId="312E1957" w:rsidR="00A27865" w:rsidRPr="00A27865" w:rsidRDefault="005B19AC" w:rsidP="00A27865">
      <w:pPr>
        <w:pStyle w:val="Heading3"/>
      </w:pPr>
      <w:bookmarkStart w:id="338" w:name="_Toc113380809"/>
      <w:r w:rsidRPr="006A3A0F">
        <w:t xml:space="preserve">Federal Hydropower </w:t>
      </w:r>
      <w:r>
        <w:t xml:space="preserve">in </w:t>
      </w:r>
      <w:r w:rsidR="00B43E1A">
        <w:t xml:space="preserve">the </w:t>
      </w:r>
      <w:r>
        <w:t>WAPA</w:t>
      </w:r>
      <w:r w:rsidR="00B43E1A">
        <w:t xml:space="preserve"> Region</w:t>
      </w:r>
      <w:bookmarkEnd w:id="338"/>
    </w:p>
    <w:p w14:paraId="7F3139AB" w14:textId="79CC4350" w:rsidR="00044380" w:rsidRDefault="00C66F48" w:rsidP="00B43E1A">
      <w:pPr>
        <w:pStyle w:val="BodyText"/>
        <w:rPr>
          <w:lang w:eastAsia="zh-TW"/>
        </w:rPr>
      </w:pPr>
      <w:r>
        <w:rPr>
          <w:lang w:eastAsia="zh-TW"/>
        </w:rPr>
        <w:t>Geographically, WAPA</w:t>
      </w:r>
      <w:r w:rsidRPr="00F53AE4">
        <w:rPr>
          <w:lang w:eastAsia="zh-TW"/>
        </w:rPr>
        <w:t xml:space="preserve"> is the largest PMA</w:t>
      </w:r>
      <w:r>
        <w:rPr>
          <w:lang w:eastAsia="zh-TW"/>
        </w:rPr>
        <w:t xml:space="preserve"> and</w:t>
      </w:r>
      <w:r w:rsidRPr="00F53AE4">
        <w:rPr>
          <w:lang w:eastAsia="zh-TW"/>
        </w:rPr>
        <w:t xml:space="preserve"> cover</w:t>
      </w:r>
      <w:r>
        <w:rPr>
          <w:lang w:eastAsia="zh-TW"/>
        </w:rPr>
        <w:t>s</w:t>
      </w:r>
      <w:r w:rsidRPr="00F53AE4">
        <w:rPr>
          <w:lang w:eastAsia="zh-TW"/>
        </w:rPr>
        <w:t xml:space="preserve"> parts of 15 states from California to the Great Plains</w:t>
      </w:r>
      <w:r>
        <w:rPr>
          <w:lang w:eastAsia="zh-TW"/>
        </w:rPr>
        <w:t xml:space="preserve"> and </w:t>
      </w:r>
      <w:r w:rsidRPr="00F53AE4">
        <w:rPr>
          <w:lang w:eastAsia="zh-TW"/>
        </w:rPr>
        <w:t>the Mexican to Canadian borders</w:t>
      </w:r>
      <w:r w:rsidR="00B43E1A" w:rsidRPr="00F53AE4">
        <w:rPr>
          <w:lang w:eastAsia="zh-TW"/>
        </w:rPr>
        <w:t xml:space="preserve"> (</w:t>
      </w:r>
      <w:r w:rsidR="00B43E1A">
        <w:rPr>
          <w:szCs w:val="32"/>
        </w:rPr>
        <w:fldChar w:fldCharType="begin"/>
      </w:r>
      <w:r w:rsidR="00B43E1A">
        <w:rPr>
          <w:lang w:eastAsia="zh-TW"/>
        </w:rPr>
        <w:instrText xml:space="preserve"> REF _Ref425352762 \h </w:instrText>
      </w:r>
      <w:r w:rsidR="00B43E1A">
        <w:rPr>
          <w:szCs w:val="32"/>
        </w:rPr>
      </w:r>
      <w:r w:rsidR="00B43E1A">
        <w:rPr>
          <w:szCs w:val="32"/>
        </w:rPr>
        <w:fldChar w:fldCharType="separate"/>
      </w:r>
      <w:r w:rsidR="00EE0BF5">
        <w:rPr>
          <w:lang w:eastAsia="zh-TW"/>
        </w:rPr>
        <w:t>Figure</w:t>
      </w:r>
      <w:r w:rsidR="00EE0BF5" w:rsidRPr="006869CA">
        <w:rPr>
          <w:lang w:eastAsia="zh-TW"/>
        </w:rPr>
        <w:t xml:space="preserve"> </w:t>
      </w:r>
      <w:r w:rsidR="00EE0BF5">
        <w:rPr>
          <w:noProof/>
          <w:lang w:eastAsia="zh-TW"/>
        </w:rPr>
        <w:t>4</w:t>
      </w:r>
      <w:r w:rsidR="00EE0BF5">
        <w:rPr>
          <w:lang w:eastAsia="zh-TW"/>
        </w:rPr>
        <w:t>.</w:t>
      </w:r>
      <w:r w:rsidR="00EE0BF5">
        <w:rPr>
          <w:noProof/>
          <w:lang w:eastAsia="zh-TW"/>
        </w:rPr>
        <w:t>1</w:t>
      </w:r>
      <w:r w:rsidR="00B43E1A">
        <w:rPr>
          <w:szCs w:val="32"/>
        </w:rPr>
        <w:fldChar w:fldCharType="end"/>
      </w:r>
      <w:r w:rsidR="00B43E1A" w:rsidRPr="00F53AE4">
        <w:rPr>
          <w:lang w:eastAsia="zh-TW"/>
        </w:rPr>
        <w:t xml:space="preserve">). There are 55 federal hydropower </w:t>
      </w:r>
      <w:r w:rsidR="00B43E1A">
        <w:rPr>
          <w:lang w:eastAsia="zh-TW"/>
        </w:rPr>
        <w:t xml:space="preserve">plants in the </w:t>
      </w:r>
      <w:r w:rsidR="00324B48">
        <w:rPr>
          <w:lang w:eastAsia="zh-TW"/>
        </w:rPr>
        <w:t>WAPA</w:t>
      </w:r>
      <w:r w:rsidR="00B43E1A">
        <w:rPr>
          <w:lang w:eastAsia="zh-TW"/>
        </w:rPr>
        <w:t xml:space="preserve"> region,</w:t>
      </w:r>
      <w:r w:rsidR="00B43E1A" w:rsidRPr="00F53AE4">
        <w:rPr>
          <w:lang w:eastAsia="zh-TW"/>
        </w:rPr>
        <w:t xml:space="preserve"> with a total of 10,</w:t>
      </w:r>
      <w:r w:rsidR="00324B48">
        <w:rPr>
          <w:lang w:eastAsia="zh-TW"/>
        </w:rPr>
        <w:t>200</w:t>
      </w:r>
      <w:r w:rsidR="00B43E1A" w:rsidRPr="00F53AE4">
        <w:rPr>
          <w:lang w:eastAsia="zh-TW"/>
        </w:rPr>
        <w:t xml:space="preserve"> MW </w:t>
      </w:r>
      <w:r w:rsidR="00324B48">
        <w:rPr>
          <w:lang w:eastAsia="zh-TW"/>
        </w:rPr>
        <w:t xml:space="preserve">capacity </w:t>
      </w:r>
      <w:r w:rsidR="00B43E1A" w:rsidRPr="00F53AE4">
        <w:rPr>
          <w:lang w:eastAsia="zh-TW"/>
        </w:rPr>
        <w:t xml:space="preserve">and </w:t>
      </w:r>
      <w:r w:rsidR="00324B48">
        <w:rPr>
          <w:lang w:eastAsia="zh-TW"/>
        </w:rPr>
        <w:t xml:space="preserve">28.6 </w:t>
      </w:r>
      <w:r w:rsidR="00CA4559" w:rsidRPr="00A27865">
        <w:rPr>
          <w:rFonts w:eastAsia="PMingLiU" w:hint="eastAsia"/>
          <w:lang w:eastAsia="zh-TW"/>
        </w:rPr>
        <w:t>T</w:t>
      </w:r>
      <w:r w:rsidR="00CA4559" w:rsidRPr="00F53AE4">
        <w:rPr>
          <w:lang w:eastAsia="zh-TW"/>
        </w:rPr>
        <w:t>Wh</w:t>
      </w:r>
      <w:r w:rsidR="00CA4559" w:rsidRPr="00A27865">
        <w:rPr>
          <w:rFonts w:eastAsia="PMingLiU" w:hint="eastAsia"/>
          <w:lang w:eastAsia="zh-TW"/>
        </w:rPr>
        <w:t>/year</w:t>
      </w:r>
      <w:r w:rsidR="00CA4559" w:rsidRPr="00F53AE4">
        <w:rPr>
          <w:lang w:eastAsia="zh-TW"/>
        </w:rPr>
        <w:t xml:space="preserve"> </w:t>
      </w:r>
      <w:r w:rsidR="00B43E1A" w:rsidRPr="00F53AE4">
        <w:rPr>
          <w:lang w:eastAsia="zh-TW"/>
        </w:rPr>
        <w:t>average annual generation (</w:t>
      </w:r>
      <w:r w:rsidR="008043C8">
        <w:fldChar w:fldCharType="begin"/>
      </w:r>
      <w:r w:rsidR="008043C8">
        <w:instrText>REF _Ref4211</w:instrText>
      </w:r>
      <w:r w:rsidR="008043C8">
        <w:instrText>01825  \* MERGEFORMAT</w:instrText>
      </w:r>
      <w:r w:rsidR="008043C8">
        <w:fldChar w:fldCharType="separate"/>
      </w:r>
      <w:r w:rsidR="00EE0BF5" w:rsidRPr="00EE0BF5">
        <w:rPr>
          <w:rFonts w:eastAsia="PMingLiU"/>
          <w:bCs/>
          <w:lang w:bidi="en-US"/>
        </w:rPr>
        <w:t>Table</w:t>
      </w:r>
      <w:r w:rsidR="00EE0BF5" w:rsidRPr="00485D84">
        <w:rPr>
          <w:rFonts w:eastAsia="PMingLiU"/>
          <w:lang w:bidi="en-US"/>
        </w:rPr>
        <w:t xml:space="preserve"> </w:t>
      </w:r>
      <w:r w:rsidR="00EE0BF5">
        <w:rPr>
          <w:rFonts w:eastAsia="PMingLiU"/>
          <w:noProof/>
          <w:lang w:bidi="en-US"/>
        </w:rPr>
        <w:t>4</w:t>
      </w:r>
      <w:r w:rsidR="00EE0BF5" w:rsidRPr="00485D84">
        <w:rPr>
          <w:rFonts w:eastAsia="PMingLiU"/>
          <w:noProof/>
          <w:lang w:bidi="en-US"/>
        </w:rPr>
        <w:t>.</w:t>
      </w:r>
      <w:r w:rsidR="00EE0BF5">
        <w:rPr>
          <w:rFonts w:eastAsia="PMingLiU"/>
          <w:noProof/>
          <w:lang w:bidi="en-US"/>
        </w:rPr>
        <w:t>1</w:t>
      </w:r>
      <w:r w:rsidR="008043C8">
        <w:rPr>
          <w:rFonts w:eastAsia="PMingLiU"/>
          <w:noProof/>
          <w:lang w:bidi="en-US"/>
        </w:rPr>
        <w:fldChar w:fldCharType="end"/>
      </w:r>
      <w:r w:rsidR="00B43E1A">
        <w:rPr>
          <w:lang w:eastAsia="zh-TW"/>
        </w:rPr>
        <w:t>)</w:t>
      </w:r>
      <w:r w:rsidR="00B43E1A" w:rsidRPr="00F53AE4">
        <w:rPr>
          <w:lang w:eastAsia="zh-TW"/>
        </w:rPr>
        <w:t>.</w:t>
      </w:r>
    </w:p>
    <w:p w14:paraId="55E479FE" w14:textId="34623205" w:rsidR="00DE4BBA" w:rsidRPr="00A27865" w:rsidRDefault="00DE4BBA" w:rsidP="00DE4BBA">
      <w:pPr>
        <w:pStyle w:val="BodyText"/>
        <w:rPr>
          <w:rFonts w:eastAsia="PMingLiU"/>
          <w:lang w:eastAsia="zh-TW"/>
        </w:rPr>
      </w:pPr>
      <w:r w:rsidRPr="0039789A">
        <w:t xml:space="preserve">Federal hydropower </w:t>
      </w:r>
      <w:r>
        <w:t>plants</w:t>
      </w:r>
      <w:r w:rsidRPr="0039789A">
        <w:t xml:space="preserve"> in the </w:t>
      </w:r>
      <w:r>
        <w:t xml:space="preserve">WAPA </w:t>
      </w:r>
      <w:r w:rsidRPr="0039789A">
        <w:t>region are owned and operated by three agencies: USACE, Reclamation, and the IBWC (</w:t>
      </w:r>
      <w:r>
        <w:rPr>
          <w:szCs w:val="32"/>
        </w:rPr>
        <w:fldChar w:fldCharType="begin"/>
      </w:r>
      <w:r>
        <w:instrText xml:space="preserve"> REF _Ref425352762 \h </w:instrText>
      </w:r>
      <w:r>
        <w:rPr>
          <w:szCs w:val="32"/>
        </w:rPr>
      </w:r>
      <w:r>
        <w:rPr>
          <w:szCs w:val="32"/>
        </w:rPr>
        <w:fldChar w:fldCharType="separate"/>
      </w:r>
      <w:r w:rsidR="00EE0BF5">
        <w:rPr>
          <w:lang w:eastAsia="zh-TW"/>
        </w:rPr>
        <w:t>Figure</w:t>
      </w:r>
      <w:r w:rsidR="00EE0BF5" w:rsidRPr="006869CA">
        <w:rPr>
          <w:lang w:eastAsia="zh-TW"/>
        </w:rPr>
        <w:t xml:space="preserve"> </w:t>
      </w:r>
      <w:r w:rsidR="00EE0BF5">
        <w:rPr>
          <w:noProof/>
          <w:lang w:eastAsia="zh-TW"/>
        </w:rPr>
        <w:t>4</w:t>
      </w:r>
      <w:r w:rsidR="00EE0BF5">
        <w:rPr>
          <w:lang w:eastAsia="zh-TW"/>
        </w:rPr>
        <w:t>.</w:t>
      </w:r>
      <w:r w:rsidR="00EE0BF5">
        <w:rPr>
          <w:noProof/>
          <w:lang w:eastAsia="zh-TW"/>
        </w:rPr>
        <w:t>1</w:t>
      </w:r>
      <w:r>
        <w:rPr>
          <w:szCs w:val="32"/>
        </w:rPr>
        <w:fldChar w:fldCharType="end"/>
      </w:r>
      <w:r w:rsidRPr="0039789A">
        <w:t xml:space="preserve">). The six USACE projects are all located in the </w:t>
      </w:r>
      <w:r>
        <w:t>u</w:t>
      </w:r>
      <w:r w:rsidRPr="0039789A">
        <w:t>pper Missouri River basin. The USACE projects are all relatively large in capacity, ranging from the 1</w:t>
      </w:r>
      <w:r>
        <w:t>32.3 </w:t>
      </w:r>
      <w:r w:rsidRPr="0039789A">
        <w:t xml:space="preserve">MW Gavins Point to the </w:t>
      </w:r>
      <w:r>
        <w:t>784</w:t>
      </w:r>
      <w:r w:rsidRPr="0039789A">
        <w:t xml:space="preserve"> MW Oahe. The two IBWC </w:t>
      </w:r>
      <w:r>
        <w:t>plants</w:t>
      </w:r>
      <w:r w:rsidRPr="0039789A">
        <w:t xml:space="preserve"> on the Rio Grande </w:t>
      </w:r>
      <w:r>
        <w:t xml:space="preserve">River </w:t>
      </w:r>
      <w:r w:rsidRPr="0039789A">
        <w:t>are part</w:t>
      </w:r>
      <w:r>
        <w:t>s</w:t>
      </w:r>
      <w:r w:rsidRPr="0039789A">
        <w:t xml:space="preserve"> of multipurpose water development projects constructed primarily for flood control and water conservation; their combined capacity is less than 97.5 MW. Reclamation owns and operates the other 47 hydropower </w:t>
      </w:r>
      <w:r>
        <w:t>plants</w:t>
      </w:r>
      <w:r w:rsidRPr="0039789A">
        <w:t xml:space="preserve"> in this region. A complete list of the projects in this region is </w:t>
      </w:r>
      <w:r>
        <w:t xml:space="preserve">provided </w:t>
      </w:r>
      <w:r w:rsidRPr="0039789A">
        <w:t xml:space="preserve">in </w:t>
      </w:r>
      <w:r>
        <w:rPr>
          <w:snapToGrid/>
        </w:rPr>
        <w:fldChar w:fldCharType="begin"/>
      </w:r>
      <w:r>
        <w:rPr>
          <w:snapToGrid/>
        </w:rPr>
        <w:instrText xml:space="preserve"> REF _Ref75948519 \n \h </w:instrText>
      </w:r>
      <w:r>
        <w:rPr>
          <w:snapToGrid/>
        </w:rPr>
      </w:r>
      <w:r>
        <w:rPr>
          <w:snapToGrid/>
        </w:rPr>
        <w:fldChar w:fldCharType="separate"/>
      </w:r>
      <w:r w:rsidR="00EE0BF5">
        <w:rPr>
          <w:snapToGrid/>
        </w:rPr>
        <w:t>APPENDIX B</w:t>
      </w:r>
      <w:r>
        <w:rPr>
          <w:snapToGrid/>
        </w:rPr>
        <w:fldChar w:fldCharType="end"/>
      </w:r>
      <w:r w:rsidRPr="0039789A">
        <w:t>.</w:t>
      </w:r>
    </w:p>
    <w:p w14:paraId="0249DB9B" w14:textId="181FAC11" w:rsidR="00BB08C0" w:rsidRPr="00485D84" w:rsidRDefault="00BB08C0" w:rsidP="00E13D49">
      <w:pPr>
        <w:pStyle w:val="TableCaption"/>
        <w:rPr>
          <w:rFonts w:eastAsia="PMingLiU"/>
          <w:lang w:bidi="en-US"/>
        </w:rPr>
      </w:pPr>
      <w:bookmarkStart w:id="339" w:name="_Ref421101825"/>
      <w:bookmarkStart w:id="340" w:name="_Toc113380979"/>
      <w:r w:rsidRPr="00485D84">
        <w:rPr>
          <w:rFonts w:eastAsia="PMingLiU"/>
          <w:lang w:bidi="en-US"/>
        </w:rPr>
        <w:t xml:space="preserve">Table </w:t>
      </w:r>
      <w:r w:rsidRPr="00485D84">
        <w:rPr>
          <w:rFonts w:eastAsia="PMingLiU"/>
          <w:lang w:bidi="en-US"/>
        </w:rPr>
        <w:fldChar w:fldCharType="begin"/>
      </w:r>
      <w:r w:rsidRPr="00485D84">
        <w:rPr>
          <w:rFonts w:eastAsia="PMingLiU"/>
          <w:lang w:bidi="en-US"/>
        </w:rPr>
        <w:instrText xml:space="preserve"> STYLEREF 1 \s </w:instrText>
      </w:r>
      <w:r w:rsidRPr="00485D84">
        <w:rPr>
          <w:rFonts w:eastAsia="PMingLiU"/>
          <w:lang w:bidi="en-US"/>
        </w:rPr>
        <w:fldChar w:fldCharType="separate"/>
      </w:r>
      <w:r w:rsidR="00EE0BF5">
        <w:rPr>
          <w:rFonts w:eastAsia="PMingLiU"/>
          <w:noProof/>
          <w:lang w:bidi="en-US"/>
        </w:rPr>
        <w:t>4</w:t>
      </w:r>
      <w:r w:rsidRPr="00485D84">
        <w:rPr>
          <w:rFonts w:eastAsia="PMingLiU"/>
          <w:lang w:bidi="en-US"/>
        </w:rPr>
        <w:fldChar w:fldCharType="end"/>
      </w:r>
      <w:r w:rsidRPr="00485D84">
        <w:rPr>
          <w:rFonts w:eastAsia="PMingLiU"/>
          <w:lang w:bidi="en-US"/>
        </w:rPr>
        <w:t>.</w:t>
      </w:r>
      <w:r w:rsidRPr="00485D84">
        <w:rPr>
          <w:rFonts w:eastAsia="PMingLiU"/>
          <w:lang w:bidi="en-US"/>
        </w:rPr>
        <w:fldChar w:fldCharType="begin"/>
      </w:r>
      <w:r w:rsidRPr="00485D84">
        <w:rPr>
          <w:rFonts w:eastAsia="PMingLiU"/>
          <w:lang w:bidi="en-US"/>
        </w:rPr>
        <w:instrText xml:space="preserve"> SEQ Table \* ARABIC \s 1 </w:instrText>
      </w:r>
      <w:r w:rsidRPr="00485D84">
        <w:rPr>
          <w:rFonts w:eastAsia="PMingLiU"/>
          <w:lang w:bidi="en-US"/>
        </w:rPr>
        <w:fldChar w:fldCharType="separate"/>
      </w:r>
      <w:r w:rsidR="00EE0BF5">
        <w:rPr>
          <w:rFonts w:eastAsia="PMingLiU"/>
          <w:noProof/>
          <w:lang w:bidi="en-US"/>
        </w:rPr>
        <w:t>1</w:t>
      </w:r>
      <w:r w:rsidRPr="00485D84">
        <w:rPr>
          <w:rFonts w:eastAsia="PMingLiU"/>
          <w:lang w:bidi="en-US"/>
        </w:rPr>
        <w:fldChar w:fldCharType="end"/>
      </w:r>
      <w:bookmarkEnd w:id="339"/>
      <w:r w:rsidRPr="00485D84">
        <w:rPr>
          <w:rFonts w:eastAsia="PMingLiU"/>
          <w:lang w:bidi="en-US"/>
        </w:rPr>
        <w:t xml:space="preserve">. Summary of federal hydropower plants in </w:t>
      </w:r>
      <w:r>
        <w:rPr>
          <w:rFonts w:eastAsia="PMingLiU"/>
          <w:lang w:bidi="en-US"/>
        </w:rPr>
        <w:t>the WAPA region</w:t>
      </w:r>
      <w:bookmarkEnd w:id="340"/>
    </w:p>
    <w:tbl>
      <w:tblPr>
        <w:tblW w:w="0" w:type="auto"/>
        <w:jc w:val="center"/>
        <w:tblBorders>
          <w:top w:val="single" w:sz="12" w:space="0" w:color="000000"/>
          <w:bottom w:val="single" w:sz="12" w:space="0" w:color="000000"/>
        </w:tblBorders>
        <w:tblLayout w:type="fixed"/>
        <w:tblCellMar>
          <w:top w:w="29" w:type="dxa"/>
          <w:left w:w="58" w:type="dxa"/>
          <w:bottom w:w="29" w:type="dxa"/>
          <w:right w:w="58" w:type="dxa"/>
        </w:tblCellMar>
        <w:tblLook w:val="00A0" w:firstRow="1" w:lastRow="0" w:firstColumn="1" w:lastColumn="0" w:noHBand="0" w:noVBand="0"/>
      </w:tblPr>
      <w:tblGrid>
        <w:gridCol w:w="1008"/>
        <w:gridCol w:w="1350"/>
        <w:gridCol w:w="900"/>
        <w:gridCol w:w="1350"/>
        <w:gridCol w:w="810"/>
        <w:gridCol w:w="720"/>
        <w:gridCol w:w="1440"/>
        <w:gridCol w:w="1710"/>
      </w:tblGrid>
      <w:tr w:rsidR="00BB08C0" w:rsidRPr="00B512D7" w14:paraId="6CE14CB0" w14:textId="77777777" w:rsidTr="00E13D49">
        <w:trPr>
          <w:jc w:val="center"/>
        </w:trPr>
        <w:tc>
          <w:tcPr>
            <w:tcW w:w="1008" w:type="dxa"/>
            <w:vMerge w:val="restart"/>
            <w:tcBorders>
              <w:top w:val="single" w:sz="12" w:space="0" w:color="auto"/>
              <w:right w:val="nil"/>
            </w:tcBorders>
            <w:vAlign w:val="center"/>
          </w:tcPr>
          <w:p w14:paraId="667A6E52" w14:textId="3A05B341" w:rsidR="00BB08C0" w:rsidRPr="00507C8F" w:rsidRDefault="00BB08C0" w:rsidP="00E13D49">
            <w:pPr>
              <w:pStyle w:val="TableHeading"/>
              <w:spacing w:before="0" w:after="0"/>
              <w:rPr>
                <w:caps/>
              </w:rPr>
            </w:pPr>
            <w:r w:rsidRPr="00507C8F">
              <w:t>Area</w:t>
            </w:r>
          </w:p>
        </w:tc>
        <w:tc>
          <w:tcPr>
            <w:tcW w:w="1350" w:type="dxa"/>
            <w:vMerge w:val="restart"/>
            <w:tcBorders>
              <w:top w:val="single" w:sz="12" w:space="0" w:color="auto"/>
              <w:left w:val="nil"/>
              <w:right w:val="nil"/>
            </w:tcBorders>
            <w:vAlign w:val="center"/>
          </w:tcPr>
          <w:p w14:paraId="01E735A8" w14:textId="77777777" w:rsidR="00BB08C0" w:rsidRPr="00A27865" w:rsidRDefault="00BB08C0" w:rsidP="00E13D49">
            <w:pPr>
              <w:pStyle w:val="TableHeading"/>
              <w:spacing w:before="0" w:after="0"/>
              <w:rPr>
                <w:rFonts w:eastAsia="PMingLiU"/>
                <w:caps/>
                <w:lang w:eastAsia="zh-TW"/>
              </w:rPr>
            </w:pPr>
            <w:r w:rsidRPr="00A27865">
              <w:rPr>
                <w:rFonts w:eastAsia="PMingLiU" w:hint="eastAsia"/>
                <w:lang w:eastAsia="zh-TW"/>
              </w:rPr>
              <w:t>Area name</w:t>
            </w:r>
          </w:p>
        </w:tc>
        <w:tc>
          <w:tcPr>
            <w:tcW w:w="3780" w:type="dxa"/>
            <w:gridSpan w:val="4"/>
            <w:tcBorders>
              <w:top w:val="single" w:sz="12" w:space="0" w:color="auto"/>
              <w:left w:val="nil"/>
              <w:bottom w:val="single" w:sz="4" w:space="0" w:color="000000"/>
              <w:right w:val="nil"/>
            </w:tcBorders>
            <w:vAlign w:val="center"/>
          </w:tcPr>
          <w:p w14:paraId="1E022DCC" w14:textId="77777777" w:rsidR="00BB08C0" w:rsidRPr="00507C8F" w:rsidRDefault="00BB08C0" w:rsidP="00E13D49">
            <w:pPr>
              <w:pStyle w:val="TableHeading"/>
              <w:spacing w:before="0" w:after="0"/>
              <w:rPr>
                <w:caps/>
                <w:lang w:val="pt-BR"/>
              </w:rPr>
            </w:pPr>
            <w:r w:rsidRPr="00507C8F">
              <w:rPr>
                <w:lang w:val="pt-BR"/>
              </w:rPr>
              <w:t>Number of plants</w:t>
            </w:r>
          </w:p>
        </w:tc>
        <w:tc>
          <w:tcPr>
            <w:tcW w:w="1440" w:type="dxa"/>
            <w:vMerge w:val="restart"/>
            <w:tcBorders>
              <w:top w:val="single" w:sz="12" w:space="0" w:color="auto"/>
              <w:left w:val="nil"/>
              <w:right w:val="nil"/>
            </w:tcBorders>
            <w:vAlign w:val="center"/>
          </w:tcPr>
          <w:p w14:paraId="54A3B4B1" w14:textId="77777777" w:rsidR="00BB08C0" w:rsidRPr="00507C8F" w:rsidRDefault="00BB08C0" w:rsidP="00E13D49">
            <w:pPr>
              <w:pStyle w:val="TableHeading"/>
              <w:spacing w:before="0" w:after="0"/>
              <w:rPr>
                <w:caps/>
                <w:lang w:val="pt-BR"/>
              </w:rPr>
            </w:pPr>
            <w:r>
              <w:rPr>
                <w:lang w:val="pt-BR"/>
              </w:rPr>
              <w:t>C</w:t>
            </w:r>
            <w:r w:rsidRPr="00507C8F">
              <w:rPr>
                <w:lang w:val="pt-BR"/>
              </w:rPr>
              <w:t>apacity</w:t>
            </w:r>
            <w:r w:rsidRPr="00507C8F">
              <w:rPr>
                <w:i/>
                <w:vertAlign w:val="superscript"/>
                <w:lang w:val="pt-BR"/>
              </w:rPr>
              <w:t>a</w:t>
            </w:r>
            <w:r w:rsidRPr="00507C8F">
              <w:rPr>
                <w:lang w:val="pt-BR"/>
              </w:rPr>
              <w:t xml:space="preserve"> (MW)</w:t>
            </w:r>
          </w:p>
        </w:tc>
        <w:tc>
          <w:tcPr>
            <w:tcW w:w="1710" w:type="dxa"/>
            <w:vMerge w:val="restart"/>
            <w:tcBorders>
              <w:top w:val="single" w:sz="12" w:space="0" w:color="auto"/>
              <w:left w:val="nil"/>
            </w:tcBorders>
            <w:vAlign w:val="center"/>
          </w:tcPr>
          <w:p w14:paraId="2757C305" w14:textId="77777777" w:rsidR="00BB08C0" w:rsidRPr="00880E9A" w:rsidRDefault="00BB08C0" w:rsidP="00E13D49">
            <w:pPr>
              <w:pStyle w:val="TableHeading"/>
              <w:spacing w:before="0" w:after="0"/>
              <w:rPr>
                <w:caps/>
                <w:lang w:val="pt-BR"/>
              </w:rPr>
            </w:pPr>
            <w:r>
              <w:t xml:space="preserve">1980–2019 </w:t>
            </w:r>
            <w:r w:rsidRPr="00880E9A">
              <w:rPr>
                <w:lang w:val="pt-BR"/>
              </w:rPr>
              <w:t>generation</w:t>
            </w:r>
            <w:r w:rsidRPr="00880E9A">
              <w:rPr>
                <w:i/>
                <w:vertAlign w:val="superscript"/>
                <w:lang w:val="pt-BR"/>
              </w:rPr>
              <w:t>b</w:t>
            </w:r>
            <w:r w:rsidRPr="00880E9A">
              <w:rPr>
                <w:lang w:val="pt-BR"/>
              </w:rPr>
              <w:t xml:space="preserve"> (</w:t>
            </w:r>
            <w:r w:rsidRPr="00A27865">
              <w:rPr>
                <w:rFonts w:eastAsia="PMingLiU" w:hint="eastAsia"/>
                <w:lang w:val="pt-BR" w:eastAsia="zh-TW"/>
              </w:rPr>
              <w:t>G</w:t>
            </w:r>
            <w:r w:rsidRPr="00880E9A">
              <w:rPr>
                <w:lang w:val="pt-BR"/>
              </w:rPr>
              <w:t>Wh/year)</w:t>
            </w:r>
          </w:p>
        </w:tc>
      </w:tr>
      <w:tr w:rsidR="00BB08C0" w:rsidRPr="00B512D7" w14:paraId="4A4E0C5B" w14:textId="77777777" w:rsidTr="00E13D49">
        <w:trPr>
          <w:jc w:val="center"/>
        </w:trPr>
        <w:tc>
          <w:tcPr>
            <w:tcW w:w="1008" w:type="dxa"/>
            <w:vMerge/>
            <w:tcBorders>
              <w:bottom w:val="single" w:sz="12" w:space="0" w:color="auto"/>
              <w:right w:val="nil"/>
            </w:tcBorders>
            <w:vAlign w:val="center"/>
          </w:tcPr>
          <w:p w14:paraId="1A47ECC8" w14:textId="77777777" w:rsidR="00BB08C0" w:rsidRPr="00507C8F" w:rsidRDefault="00BB08C0" w:rsidP="00E13D49">
            <w:pPr>
              <w:pStyle w:val="TableHeading"/>
              <w:spacing w:before="0" w:after="0"/>
              <w:rPr>
                <w:i/>
              </w:rPr>
            </w:pPr>
          </w:p>
        </w:tc>
        <w:tc>
          <w:tcPr>
            <w:tcW w:w="1350" w:type="dxa"/>
            <w:vMerge/>
            <w:tcBorders>
              <w:left w:val="nil"/>
              <w:bottom w:val="single" w:sz="12" w:space="0" w:color="auto"/>
              <w:right w:val="nil"/>
            </w:tcBorders>
            <w:vAlign w:val="center"/>
          </w:tcPr>
          <w:p w14:paraId="54537D69" w14:textId="77777777" w:rsidR="00BB08C0" w:rsidRPr="00507C8F" w:rsidRDefault="00BB08C0" w:rsidP="00E13D49">
            <w:pPr>
              <w:pStyle w:val="TableHeading"/>
              <w:spacing w:before="0" w:after="0"/>
              <w:rPr>
                <w:i/>
              </w:rPr>
            </w:pPr>
          </w:p>
        </w:tc>
        <w:tc>
          <w:tcPr>
            <w:tcW w:w="900" w:type="dxa"/>
            <w:tcBorders>
              <w:top w:val="single" w:sz="4" w:space="0" w:color="000000"/>
              <w:left w:val="nil"/>
              <w:bottom w:val="single" w:sz="12" w:space="0" w:color="auto"/>
              <w:right w:val="nil"/>
            </w:tcBorders>
            <w:vAlign w:val="center"/>
          </w:tcPr>
          <w:p w14:paraId="21FF0D4C" w14:textId="77777777" w:rsidR="00BB08C0" w:rsidRPr="00507C8F" w:rsidRDefault="00BB08C0" w:rsidP="00E13D49">
            <w:pPr>
              <w:pStyle w:val="TableHeading"/>
              <w:spacing w:before="0" w:after="0"/>
              <w:rPr>
                <w:rFonts w:eastAsia="Calibri"/>
                <w:lang w:val="pt-BR"/>
              </w:rPr>
            </w:pPr>
            <w:r w:rsidRPr="00507C8F">
              <w:t>USACE</w:t>
            </w:r>
          </w:p>
        </w:tc>
        <w:tc>
          <w:tcPr>
            <w:tcW w:w="1350" w:type="dxa"/>
            <w:tcBorders>
              <w:top w:val="single" w:sz="4" w:space="0" w:color="000000"/>
              <w:left w:val="nil"/>
              <w:bottom w:val="single" w:sz="12" w:space="0" w:color="auto"/>
              <w:right w:val="nil"/>
            </w:tcBorders>
            <w:vAlign w:val="center"/>
          </w:tcPr>
          <w:p w14:paraId="50ADE284" w14:textId="77777777" w:rsidR="00BB08C0" w:rsidRPr="00507C8F" w:rsidRDefault="00BB08C0" w:rsidP="00E13D49">
            <w:pPr>
              <w:pStyle w:val="TableHeading"/>
              <w:spacing w:before="0" w:after="0"/>
              <w:rPr>
                <w:rFonts w:eastAsia="Calibri"/>
              </w:rPr>
            </w:pPr>
            <w:r w:rsidRPr="00507C8F">
              <w:t>Reclamation</w:t>
            </w:r>
          </w:p>
        </w:tc>
        <w:tc>
          <w:tcPr>
            <w:tcW w:w="810" w:type="dxa"/>
            <w:tcBorders>
              <w:top w:val="single" w:sz="4" w:space="0" w:color="000000"/>
              <w:left w:val="nil"/>
              <w:bottom w:val="single" w:sz="12" w:space="0" w:color="auto"/>
              <w:right w:val="nil"/>
            </w:tcBorders>
            <w:vAlign w:val="center"/>
          </w:tcPr>
          <w:p w14:paraId="39D7CDDA" w14:textId="77777777" w:rsidR="00BB08C0" w:rsidRPr="00507C8F" w:rsidRDefault="00BB08C0" w:rsidP="00E13D49">
            <w:pPr>
              <w:pStyle w:val="TableHeading"/>
              <w:spacing w:before="0" w:after="0"/>
              <w:rPr>
                <w:rFonts w:eastAsia="Calibri"/>
                <w:lang w:val="pt-BR"/>
              </w:rPr>
            </w:pPr>
            <w:r w:rsidRPr="00507C8F">
              <w:rPr>
                <w:lang w:val="pt-BR"/>
              </w:rPr>
              <w:t>IBWC</w:t>
            </w:r>
          </w:p>
        </w:tc>
        <w:tc>
          <w:tcPr>
            <w:tcW w:w="720" w:type="dxa"/>
            <w:tcBorders>
              <w:top w:val="single" w:sz="4" w:space="0" w:color="000000"/>
              <w:left w:val="nil"/>
              <w:bottom w:val="single" w:sz="12" w:space="0" w:color="auto"/>
              <w:right w:val="nil"/>
            </w:tcBorders>
            <w:vAlign w:val="center"/>
          </w:tcPr>
          <w:p w14:paraId="2700ED41" w14:textId="77777777" w:rsidR="00BB08C0" w:rsidRPr="00507C8F" w:rsidRDefault="00BB08C0" w:rsidP="00E13D49">
            <w:pPr>
              <w:pStyle w:val="TableHeading"/>
              <w:spacing w:before="0" w:after="0"/>
              <w:rPr>
                <w:i/>
                <w:lang w:val="pt-BR"/>
              </w:rPr>
            </w:pPr>
            <w:r w:rsidRPr="00507C8F">
              <w:t>Total</w:t>
            </w:r>
          </w:p>
        </w:tc>
        <w:tc>
          <w:tcPr>
            <w:tcW w:w="1440" w:type="dxa"/>
            <w:vMerge/>
            <w:tcBorders>
              <w:left w:val="nil"/>
              <w:bottom w:val="single" w:sz="12" w:space="0" w:color="auto"/>
              <w:right w:val="nil"/>
            </w:tcBorders>
            <w:vAlign w:val="center"/>
          </w:tcPr>
          <w:p w14:paraId="699A8DE8" w14:textId="77777777" w:rsidR="00BB08C0" w:rsidRPr="00507C8F" w:rsidRDefault="00BB08C0" w:rsidP="00E13D49">
            <w:pPr>
              <w:pStyle w:val="TableHeading"/>
              <w:spacing w:before="0" w:after="0"/>
              <w:rPr>
                <w:i/>
                <w:lang w:val="pt-BR"/>
              </w:rPr>
            </w:pPr>
          </w:p>
        </w:tc>
        <w:tc>
          <w:tcPr>
            <w:tcW w:w="1710" w:type="dxa"/>
            <w:vMerge/>
            <w:tcBorders>
              <w:left w:val="nil"/>
              <w:bottom w:val="single" w:sz="12" w:space="0" w:color="auto"/>
            </w:tcBorders>
            <w:vAlign w:val="center"/>
          </w:tcPr>
          <w:p w14:paraId="6942FF6E" w14:textId="77777777" w:rsidR="00BB08C0" w:rsidRPr="00880E9A" w:rsidRDefault="00BB08C0" w:rsidP="00E13D49">
            <w:pPr>
              <w:pStyle w:val="TableHeading"/>
              <w:spacing w:before="0" w:after="0"/>
              <w:rPr>
                <w:i/>
                <w:lang w:val="pt-BR"/>
              </w:rPr>
            </w:pPr>
          </w:p>
        </w:tc>
      </w:tr>
      <w:tr w:rsidR="00BB08C0" w:rsidRPr="00615E22" w14:paraId="409100DB" w14:textId="77777777" w:rsidTr="00E13D49">
        <w:trPr>
          <w:jc w:val="center"/>
        </w:trPr>
        <w:tc>
          <w:tcPr>
            <w:tcW w:w="1008" w:type="dxa"/>
            <w:tcBorders>
              <w:top w:val="single" w:sz="12" w:space="0" w:color="auto"/>
              <w:bottom w:val="single" w:sz="4" w:space="0" w:color="auto"/>
              <w:right w:val="nil"/>
            </w:tcBorders>
            <w:vAlign w:val="center"/>
          </w:tcPr>
          <w:p w14:paraId="2F3CE064" w14:textId="77777777" w:rsidR="00BB08C0" w:rsidRPr="00507C8F" w:rsidRDefault="00BB08C0" w:rsidP="00E13D49">
            <w:pPr>
              <w:pStyle w:val="TableText"/>
            </w:pPr>
            <w:r w:rsidRPr="00507C8F">
              <w:t>WAPA-1</w:t>
            </w:r>
          </w:p>
        </w:tc>
        <w:tc>
          <w:tcPr>
            <w:tcW w:w="1350" w:type="dxa"/>
            <w:tcBorders>
              <w:top w:val="single" w:sz="12" w:space="0" w:color="auto"/>
              <w:left w:val="nil"/>
              <w:bottom w:val="single" w:sz="4" w:space="0" w:color="auto"/>
              <w:right w:val="nil"/>
            </w:tcBorders>
            <w:vAlign w:val="center"/>
          </w:tcPr>
          <w:p w14:paraId="4D79344B" w14:textId="77777777" w:rsidR="00BB08C0" w:rsidRPr="00507C8F" w:rsidRDefault="00BB08C0" w:rsidP="00E13D49">
            <w:pPr>
              <w:pStyle w:val="TableText"/>
            </w:pPr>
            <w:r w:rsidRPr="00507C8F">
              <w:t>Upper Missouri</w:t>
            </w:r>
          </w:p>
        </w:tc>
        <w:tc>
          <w:tcPr>
            <w:tcW w:w="900" w:type="dxa"/>
            <w:tcBorders>
              <w:top w:val="single" w:sz="12" w:space="0" w:color="auto"/>
              <w:left w:val="nil"/>
              <w:bottom w:val="single" w:sz="4" w:space="0" w:color="auto"/>
              <w:right w:val="nil"/>
            </w:tcBorders>
            <w:vAlign w:val="center"/>
          </w:tcPr>
          <w:p w14:paraId="3DD80487" w14:textId="77777777" w:rsidR="00BB08C0" w:rsidRPr="00507C8F" w:rsidRDefault="00BB08C0" w:rsidP="00E13D49">
            <w:pPr>
              <w:pStyle w:val="TableText"/>
              <w:jc w:val="center"/>
            </w:pPr>
            <w:r w:rsidRPr="00507C8F">
              <w:t>6</w:t>
            </w:r>
          </w:p>
        </w:tc>
        <w:tc>
          <w:tcPr>
            <w:tcW w:w="1350" w:type="dxa"/>
            <w:tcBorders>
              <w:top w:val="single" w:sz="12" w:space="0" w:color="auto"/>
              <w:left w:val="nil"/>
              <w:bottom w:val="single" w:sz="4" w:space="0" w:color="auto"/>
              <w:right w:val="nil"/>
            </w:tcBorders>
            <w:vAlign w:val="center"/>
          </w:tcPr>
          <w:p w14:paraId="23327C5F" w14:textId="77777777" w:rsidR="00BB08C0" w:rsidRPr="00507C8F" w:rsidRDefault="00BB08C0" w:rsidP="00E13D49">
            <w:pPr>
              <w:pStyle w:val="TableText"/>
              <w:jc w:val="center"/>
            </w:pPr>
            <w:r w:rsidRPr="00507C8F">
              <w:t>2</w:t>
            </w:r>
          </w:p>
        </w:tc>
        <w:tc>
          <w:tcPr>
            <w:tcW w:w="810" w:type="dxa"/>
            <w:tcBorders>
              <w:top w:val="single" w:sz="12" w:space="0" w:color="auto"/>
              <w:left w:val="nil"/>
              <w:bottom w:val="single" w:sz="4" w:space="0" w:color="auto"/>
              <w:right w:val="nil"/>
            </w:tcBorders>
            <w:vAlign w:val="center"/>
          </w:tcPr>
          <w:p w14:paraId="62DA0D5E" w14:textId="77777777" w:rsidR="00BB08C0" w:rsidRPr="00507C8F" w:rsidRDefault="00BB08C0" w:rsidP="00E13D49">
            <w:pPr>
              <w:pStyle w:val="TableText"/>
              <w:jc w:val="center"/>
            </w:pPr>
            <w:r w:rsidRPr="00507C8F">
              <w:t>0</w:t>
            </w:r>
          </w:p>
        </w:tc>
        <w:tc>
          <w:tcPr>
            <w:tcW w:w="720" w:type="dxa"/>
            <w:tcBorders>
              <w:top w:val="single" w:sz="12" w:space="0" w:color="auto"/>
              <w:left w:val="nil"/>
              <w:bottom w:val="single" w:sz="4" w:space="0" w:color="auto"/>
              <w:right w:val="nil"/>
            </w:tcBorders>
            <w:vAlign w:val="center"/>
          </w:tcPr>
          <w:p w14:paraId="623FCC94" w14:textId="77777777" w:rsidR="00BB08C0" w:rsidRPr="00507C8F" w:rsidRDefault="00BB08C0" w:rsidP="00E13D49">
            <w:pPr>
              <w:pStyle w:val="TableText"/>
              <w:tabs>
                <w:tab w:val="decimal" w:pos="356"/>
              </w:tabs>
              <w:jc w:val="center"/>
            </w:pPr>
            <w:r w:rsidRPr="00507C8F">
              <w:t>8</w:t>
            </w:r>
          </w:p>
        </w:tc>
        <w:tc>
          <w:tcPr>
            <w:tcW w:w="1440" w:type="dxa"/>
            <w:tcBorders>
              <w:top w:val="single" w:sz="12" w:space="0" w:color="auto"/>
              <w:left w:val="nil"/>
              <w:bottom w:val="single" w:sz="4" w:space="0" w:color="auto"/>
              <w:right w:val="nil"/>
            </w:tcBorders>
            <w:vAlign w:val="center"/>
          </w:tcPr>
          <w:p w14:paraId="44982627" w14:textId="77777777" w:rsidR="00BB08C0" w:rsidRPr="00A27865" w:rsidRDefault="00BB08C0" w:rsidP="00E13D49">
            <w:pPr>
              <w:pStyle w:val="TableText"/>
              <w:tabs>
                <w:tab w:val="decimal" w:pos="860"/>
              </w:tabs>
              <w:jc w:val="center"/>
              <w:rPr>
                <w:rFonts w:eastAsia="PMingLiU"/>
                <w:lang w:eastAsia="zh-TW"/>
              </w:rPr>
            </w:pPr>
            <w:r>
              <w:rPr>
                <w:color w:val="000000"/>
                <w:szCs w:val="20"/>
              </w:rPr>
              <w:t>2,858</w:t>
            </w:r>
          </w:p>
        </w:tc>
        <w:tc>
          <w:tcPr>
            <w:tcW w:w="1710" w:type="dxa"/>
            <w:tcBorders>
              <w:top w:val="single" w:sz="12" w:space="0" w:color="auto"/>
              <w:left w:val="nil"/>
              <w:bottom w:val="single" w:sz="4" w:space="0" w:color="auto"/>
            </w:tcBorders>
            <w:vAlign w:val="center"/>
          </w:tcPr>
          <w:p w14:paraId="1BFC7E96" w14:textId="77777777" w:rsidR="00BB08C0" w:rsidRPr="00A27865" w:rsidRDefault="00BB08C0" w:rsidP="00E13D49">
            <w:pPr>
              <w:pStyle w:val="TableText"/>
              <w:tabs>
                <w:tab w:val="decimal" w:pos="860"/>
              </w:tabs>
              <w:jc w:val="center"/>
              <w:rPr>
                <w:rFonts w:eastAsia="PMingLiU"/>
                <w:lang w:eastAsia="zh-TW"/>
              </w:rPr>
            </w:pPr>
            <w:r>
              <w:rPr>
                <w:rFonts w:eastAsia="PMingLiU"/>
                <w:color w:val="000000"/>
                <w:szCs w:val="20"/>
                <w:lang w:eastAsia="zh-TW"/>
              </w:rPr>
              <w:t>9,907</w:t>
            </w:r>
          </w:p>
        </w:tc>
      </w:tr>
      <w:tr w:rsidR="00BB08C0" w:rsidRPr="00615E22" w14:paraId="0136CE00" w14:textId="77777777" w:rsidTr="00E13D49">
        <w:trPr>
          <w:jc w:val="center"/>
        </w:trPr>
        <w:tc>
          <w:tcPr>
            <w:tcW w:w="1008" w:type="dxa"/>
            <w:tcBorders>
              <w:top w:val="single" w:sz="4" w:space="0" w:color="auto"/>
              <w:bottom w:val="single" w:sz="4" w:space="0" w:color="auto"/>
              <w:right w:val="nil"/>
            </w:tcBorders>
            <w:vAlign w:val="center"/>
          </w:tcPr>
          <w:p w14:paraId="15DAAC86" w14:textId="77777777" w:rsidR="00BB08C0" w:rsidRPr="00507C8F" w:rsidRDefault="00BB08C0" w:rsidP="00E13D49">
            <w:pPr>
              <w:pStyle w:val="TableText"/>
            </w:pPr>
            <w:r w:rsidRPr="00507C8F">
              <w:t>WAPA-2</w:t>
            </w:r>
          </w:p>
        </w:tc>
        <w:tc>
          <w:tcPr>
            <w:tcW w:w="1350" w:type="dxa"/>
            <w:tcBorders>
              <w:top w:val="single" w:sz="4" w:space="0" w:color="auto"/>
              <w:left w:val="nil"/>
              <w:bottom w:val="single" w:sz="4" w:space="0" w:color="auto"/>
              <w:right w:val="nil"/>
            </w:tcBorders>
            <w:vAlign w:val="center"/>
          </w:tcPr>
          <w:p w14:paraId="011957CA" w14:textId="77777777" w:rsidR="00BB08C0" w:rsidRPr="00507C8F" w:rsidRDefault="00BB08C0" w:rsidP="00E13D49">
            <w:pPr>
              <w:pStyle w:val="TableText"/>
            </w:pPr>
            <w:r w:rsidRPr="00A27865">
              <w:rPr>
                <w:rFonts w:eastAsia="PMingLiU" w:hint="eastAsia"/>
                <w:lang w:eastAsia="zh-TW"/>
              </w:rPr>
              <w:t>Loveland Projects</w:t>
            </w:r>
            <w:r w:rsidRPr="00A27865">
              <w:rPr>
                <w:rFonts w:eastAsia="Calibri"/>
                <w:i/>
                <w:szCs w:val="20"/>
                <w:vertAlign w:val="superscript"/>
              </w:rPr>
              <w:t>c</w:t>
            </w:r>
          </w:p>
        </w:tc>
        <w:tc>
          <w:tcPr>
            <w:tcW w:w="900" w:type="dxa"/>
            <w:tcBorders>
              <w:top w:val="single" w:sz="4" w:space="0" w:color="auto"/>
              <w:left w:val="nil"/>
              <w:bottom w:val="single" w:sz="4" w:space="0" w:color="auto"/>
              <w:right w:val="nil"/>
            </w:tcBorders>
            <w:vAlign w:val="center"/>
          </w:tcPr>
          <w:p w14:paraId="4449A252" w14:textId="77777777" w:rsidR="00BB08C0" w:rsidRPr="00507C8F" w:rsidRDefault="00BB08C0" w:rsidP="00E13D49">
            <w:pPr>
              <w:pStyle w:val="TableText"/>
              <w:jc w:val="center"/>
            </w:pPr>
            <w:r w:rsidRPr="00507C8F">
              <w:t>0</w:t>
            </w:r>
          </w:p>
        </w:tc>
        <w:tc>
          <w:tcPr>
            <w:tcW w:w="1350" w:type="dxa"/>
            <w:tcBorders>
              <w:top w:val="single" w:sz="4" w:space="0" w:color="auto"/>
              <w:left w:val="nil"/>
              <w:bottom w:val="single" w:sz="4" w:space="0" w:color="auto"/>
              <w:right w:val="nil"/>
            </w:tcBorders>
            <w:vAlign w:val="center"/>
          </w:tcPr>
          <w:p w14:paraId="57E4F7A2" w14:textId="77777777" w:rsidR="00BB08C0" w:rsidRPr="00507C8F" w:rsidRDefault="00BB08C0" w:rsidP="00E13D49">
            <w:pPr>
              <w:pStyle w:val="TableText"/>
              <w:jc w:val="center"/>
            </w:pPr>
            <w:r w:rsidRPr="00507C8F">
              <w:t>1</w:t>
            </w:r>
            <w:r>
              <w:t>8</w:t>
            </w:r>
          </w:p>
        </w:tc>
        <w:tc>
          <w:tcPr>
            <w:tcW w:w="810" w:type="dxa"/>
            <w:tcBorders>
              <w:top w:val="single" w:sz="4" w:space="0" w:color="auto"/>
              <w:left w:val="nil"/>
              <w:bottom w:val="single" w:sz="4" w:space="0" w:color="auto"/>
              <w:right w:val="nil"/>
            </w:tcBorders>
            <w:vAlign w:val="center"/>
          </w:tcPr>
          <w:p w14:paraId="05FCF0F9" w14:textId="77777777" w:rsidR="00BB08C0" w:rsidRPr="00507C8F" w:rsidRDefault="00BB08C0" w:rsidP="00E13D49">
            <w:pPr>
              <w:pStyle w:val="TableText"/>
              <w:jc w:val="center"/>
            </w:pPr>
            <w:r w:rsidRPr="00507C8F">
              <w:t>0</w:t>
            </w:r>
          </w:p>
        </w:tc>
        <w:tc>
          <w:tcPr>
            <w:tcW w:w="720" w:type="dxa"/>
            <w:tcBorders>
              <w:top w:val="single" w:sz="4" w:space="0" w:color="auto"/>
              <w:left w:val="nil"/>
              <w:bottom w:val="single" w:sz="4" w:space="0" w:color="auto"/>
              <w:right w:val="nil"/>
            </w:tcBorders>
            <w:vAlign w:val="center"/>
          </w:tcPr>
          <w:p w14:paraId="53B5423E" w14:textId="77777777" w:rsidR="00BB08C0" w:rsidRPr="00507C8F" w:rsidRDefault="00BB08C0" w:rsidP="00E13D49">
            <w:pPr>
              <w:pStyle w:val="TableText"/>
              <w:tabs>
                <w:tab w:val="decimal" w:pos="356"/>
              </w:tabs>
              <w:jc w:val="center"/>
            </w:pPr>
            <w:r w:rsidRPr="00507C8F">
              <w:t>1</w:t>
            </w:r>
            <w:r>
              <w:t>8</w:t>
            </w:r>
          </w:p>
        </w:tc>
        <w:tc>
          <w:tcPr>
            <w:tcW w:w="1440" w:type="dxa"/>
            <w:tcBorders>
              <w:top w:val="single" w:sz="4" w:space="0" w:color="auto"/>
              <w:left w:val="nil"/>
              <w:bottom w:val="single" w:sz="4" w:space="0" w:color="auto"/>
              <w:right w:val="nil"/>
            </w:tcBorders>
            <w:vAlign w:val="center"/>
          </w:tcPr>
          <w:p w14:paraId="6BBB30CB" w14:textId="77777777" w:rsidR="00BB08C0" w:rsidRPr="00A27865" w:rsidRDefault="00BB08C0" w:rsidP="00E13D49">
            <w:pPr>
              <w:pStyle w:val="TableText"/>
              <w:tabs>
                <w:tab w:val="decimal" w:pos="860"/>
              </w:tabs>
              <w:jc w:val="center"/>
              <w:rPr>
                <w:rFonts w:eastAsia="PMingLiU"/>
                <w:lang w:eastAsia="zh-TW"/>
              </w:rPr>
            </w:pPr>
            <w:r>
              <w:rPr>
                <w:color w:val="000000"/>
                <w:szCs w:val="20"/>
              </w:rPr>
              <w:t>702</w:t>
            </w:r>
          </w:p>
        </w:tc>
        <w:tc>
          <w:tcPr>
            <w:tcW w:w="1710" w:type="dxa"/>
            <w:tcBorders>
              <w:top w:val="single" w:sz="4" w:space="0" w:color="auto"/>
              <w:left w:val="nil"/>
              <w:bottom w:val="single" w:sz="4" w:space="0" w:color="auto"/>
            </w:tcBorders>
            <w:vAlign w:val="center"/>
          </w:tcPr>
          <w:p w14:paraId="074BC7A6" w14:textId="77777777" w:rsidR="00BB08C0" w:rsidRPr="00A27865" w:rsidRDefault="00BB08C0" w:rsidP="00E13D49">
            <w:pPr>
              <w:pStyle w:val="TableText"/>
              <w:tabs>
                <w:tab w:val="decimal" w:pos="860"/>
              </w:tabs>
              <w:jc w:val="center"/>
              <w:rPr>
                <w:rFonts w:eastAsia="PMingLiU"/>
                <w:lang w:eastAsia="zh-TW"/>
              </w:rPr>
            </w:pPr>
            <w:r>
              <w:rPr>
                <w:color w:val="000000"/>
                <w:szCs w:val="20"/>
              </w:rPr>
              <w:t>1,470</w:t>
            </w:r>
          </w:p>
        </w:tc>
      </w:tr>
      <w:tr w:rsidR="00BB08C0" w:rsidRPr="00615E22" w14:paraId="1B994B01" w14:textId="77777777" w:rsidTr="00E13D49">
        <w:trPr>
          <w:jc w:val="center"/>
        </w:trPr>
        <w:tc>
          <w:tcPr>
            <w:tcW w:w="1008" w:type="dxa"/>
            <w:tcBorders>
              <w:top w:val="single" w:sz="4" w:space="0" w:color="auto"/>
              <w:bottom w:val="single" w:sz="4" w:space="0" w:color="auto"/>
              <w:right w:val="nil"/>
            </w:tcBorders>
            <w:vAlign w:val="center"/>
          </w:tcPr>
          <w:p w14:paraId="2E898D4C" w14:textId="77777777" w:rsidR="00BB08C0" w:rsidRPr="00507C8F" w:rsidRDefault="00BB08C0" w:rsidP="00E13D49">
            <w:pPr>
              <w:pStyle w:val="TableText"/>
            </w:pPr>
            <w:r w:rsidRPr="00507C8F">
              <w:t>WAPA-3</w:t>
            </w:r>
          </w:p>
        </w:tc>
        <w:tc>
          <w:tcPr>
            <w:tcW w:w="1350" w:type="dxa"/>
            <w:tcBorders>
              <w:top w:val="single" w:sz="4" w:space="0" w:color="auto"/>
              <w:left w:val="nil"/>
              <w:bottom w:val="single" w:sz="4" w:space="0" w:color="auto"/>
              <w:right w:val="nil"/>
            </w:tcBorders>
            <w:vAlign w:val="center"/>
          </w:tcPr>
          <w:p w14:paraId="6DFE7865" w14:textId="77777777" w:rsidR="00BB08C0" w:rsidRPr="00507C8F" w:rsidRDefault="00BB08C0" w:rsidP="00E13D49">
            <w:pPr>
              <w:pStyle w:val="TableText"/>
            </w:pPr>
            <w:r w:rsidRPr="00507C8F">
              <w:t>Upper Colorado</w:t>
            </w:r>
          </w:p>
        </w:tc>
        <w:tc>
          <w:tcPr>
            <w:tcW w:w="900" w:type="dxa"/>
            <w:tcBorders>
              <w:top w:val="single" w:sz="4" w:space="0" w:color="auto"/>
              <w:left w:val="nil"/>
              <w:bottom w:val="single" w:sz="4" w:space="0" w:color="auto"/>
              <w:right w:val="nil"/>
            </w:tcBorders>
            <w:vAlign w:val="center"/>
          </w:tcPr>
          <w:p w14:paraId="565DB396" w14:textId="77777777" w:rsidR="00BB08C0" w:rsidRPr="00507C8F" w:rsidRDefault="00BB08C0" w:rsidP="00E13D49">
            <w:pPr>
              <w:pStyle w:val="TableText"/>
              <w:jc w:val="center"/>
            </w:pPr>
            <w:r w:rsidRPr="00507C8F">
              <w:t>0</w:t>
            </w:r>
          </w:p>
        </w:tc>
        <w:tc>
          <w:tcPr>
            <w:tcW w:w="1350" w:type="dxa"/>
            <w:tcBorders>
              <w:top w:val="single" w:sz="4" w:space="0" w:color="auto"/>
              <w:left w:val="nil"/>
              <w:bottom w:val="single" w:sz="4" w:space="0" w:color="auto"/>
              <w:right w:val="nil"/>
            </w:tcBorders>
            <w:vAlign w:val="center"/>
          </w:tcPr>
          <w:p w14:paraId="63BF7182" w14:textId="77777777" w:rsidR="00BB08C0" w:rsidRPr="00507C8F" w:rsidRDefault="00BB08C0" w:rsidP="00E13D49">
            <w:pPr>
              <w:pStyle w:val="TableText"/>
              <w:jc w:val="center"/>
            </w:pPr>
            <w:r w:rsidRPr="00507C8F">
              <w:t>12</w:t>
            </w:r>
          </w:p>
        </w:tc>
        <w:tc>
          <w:tcPr>
            <w:tcW w:w="810" w:type="dxa"/>
            <w:tcBorders>
              <w:top w:val="single" w:sz="4" w:space="0" w:color="auto"/>
              <w:left w:val="nil"/>
              <w:bottom w:val="single" w:sz="4" w:space="0" w:color="auto"/>
              <w:right w:val="nil"/>
            </w:tcBorders>
            <w:vAlign w:val="center"/>
          </w:tcPr>
          <w:p w14:paraId="42727745" w14:textId="77777777" w:rsidR="00BB08C0" w:rsidRPr="00507C8F" w:rsidRDefault="00BB08C0" w:rsidP="00E13D49">
            <w:pPr>
              <w:pStyle w:val="TableText"/>
              <w:jc w:val="center"/>
            </w:pPr>
            <w:r w:rsidRPr="00507C8F">
              <w:t>0</w:t>
            </w:r>
          </w:p>
        </w:tc>
        <w:tc>
          <w:tcPr>
            <w:tcW w:w="720" w:type="dxa"/>
            <w:tcBorders>
              <w:top w:val="single" w:sz="4" w:space="0" w:color="auto"/>
              <w:left w:val="nil"/>
              <w:bottom w:val="single" w:sz="4" w:space="0" w:color="auto"/>
              <w:right w:val="nil"/>
            </w:tcBorders>
            <w:vAlign w:val="center"/>
          </w:tcPr>
          <w:p w14:paraId="3C567340" w14:textId="77777777" w:rsidR="00BB08C0" w:rsidRPr="00507C8F" w:rsidRDefault="00BB08C0" w:rsidP="00E13D49">
            <w:pPr>
              <w:pStyle w:val="TableText"/>
              <w:tabs>
                <w:tab w:val="decimal" w:pos="356"/>
              </w:tabs>
              <w:jc w:val="center"/>
            </w:pPr>
            <w:r w:rsidRPr="00507C8F">
              <w:t>12</w:t>
            </w:r>
          </w:p>
        </w:tc>
        <w:tc>
          <w:tcPr>
            <w:tcW w:w="1440" w:type="dxa"/>
            <w:tcBorders>
              <w:top w:val="single" w:sz="4" w:space="0" w:color="auto"/>
              <w:left w:val="nil"/>
              <w:bottom w:val="single" w:sz="4" w:space="0" w:color="auto"/>
              <w:right w:val="nil"/>
            </w:tcBorders>
            <w:vAlign w:val="center"/>
          </w:tcPr>
          <w:p w14:paraId="5B902847" w14:textId="77777777" w:rsidR="00BB08C0" w:rsidRPr="00A27865" w:rsidRDefault="00BB08C0" w:rsidP="00E13D49">
            <w:pPr>
              <w:pStyle w:val="TableText"/>
              <w:tabs>
                <w:tab w:val="decimal" w:pos="860"/>
              </w:tabs>
              <w:jc w:val="center"/>
              <w:rPr>
                <w:rFonts w:eastAsia="PMingLiU"/>
                <w:lang w:eastAsia="zh-TW"/>
              </w:rPr>
            </w:pPr>
            <w:r>
              <w:rPr>
                <w:color w:val="000000"/>
                <w:szCs w:val="20"/>
              </w:rPr>
              <w:t>1,822</w:t>
            </w:r>
          </w:p>
        </w:tc>
        <w:tc>
          <w:tcPr>
            <w:tcW w:w="1710" w:type="dxa"/>
            <w:tcBorders>
              <w:top w:val="single" w:sz="4" w:space="0" w:color="auto"/>
              <w:left w:val="nil"/>
              <w:bottom w:val="single" w:sz="4" w:space="0" w:color="auto"/>
            </w:tcBorders>
            <w:vAlign w:val="center"/>
          </w:tcPr>
          <w:p w14:paraId="44661751" w14:textId="77777777" w:rsidR="00BB08C0" w:rsidRPr="00A27865" w:rsidRDefault="00BB08C0" w:rsidP="00E13D49">
            <w:pPr>
              <w:pStyle w:val="TableText"/>
              <w:tabs>
                <w:tab w:val="decimal" w:pos="860"/>
              </w:tabs>
              <w:jc w:val="center"/>
              <w:rPr>
                <w:rFonts w:eastAsia="PMingLiU"/>
                <w:lang w:eastAsia="zh-TW"/>
              </w:rPr>
            </w:pPr>
            <w:r>
              <w:rPr>
                <w:rFonts w:eastAsia="PMingLiU"/>
                <w:color w:val="000000"/>
                <w:szCs w:val="20"/>
                <w:lang w:eastAsia="zh-TW"/>
              </w:rPr>
              <w:t>6,051</w:t>
            </w:r>
          </w:p>
        </w:tc>
      </w:tr>
      <w:tr w:rsidR="00BB08C0" w:rsidRPr="00615E22" w14:paraId="0B5A6DBC" w14:textId="77777777" w:rsidTr="00E13D49">
        <w:trPr>
          <w:jc w:val="center"/>
        </w:trPr>
        <w:tc>
          <w:tcPr>
            <w:tcW w:w="1008" w:type="dxa"/>
            <w:tcBorders>
              <w:top w:val="single" w:sz="4" w:space="0" w:color="auto"/>
              <w:bottom w:val="single" w:sz="4" w:space="0" w:color="auto"/>
              <w:right w:val="nil"/>
            </w:tcBorders>
            <w:vAlign w:val="center"/>
          </w:tcPr>
          <w:p w14:paraId="62DF3144" w14:textId="77777777" w:rsidR="00BB08C0" w:rsidRPr="00507C8F" w:rsidRDefault="00BB08C0" w:rsidP="00E13D49">
            <w:pPr>
              <w:pStyle w:val="TableText"/>
            </w:pPr>
            <w:r w:rsidRPr="00507C8F">
              <w:t>WAPA-4</w:t>
            </w:r>
          </w:p>
        </w:tc>
        <w:tc>
          <w:tcPr>
            <w:tcW w:w="1350" w:type="dxa"/>
            <w:tcBorders>
              <w:top w:val="single" w:sz="4" w:space="0" w:color="auto"/>
              <w:left w:val="nil"/>
              <w:bottom w:val="single" w:sz="4" w:space="0" w:color="auto"/>
              <w:right w:val="nil"/>
            </w:tcBorders>
            <w:vAlign w:val="center"/>
          </w:tcPr>
          <w:p w14:paraId="2771D79E" w14:textId="77777777" w:rsidR="00BB08C0" w:rsidRPr="00507C8F" w:rsidRDefault="00BB08C0" w:rsidP="00E13D49">
            <w:pPr>
              <w:pStyle w:val="TableText"/>
            </w:pPr>
            <w:r w:rsidRPr="00507C8F">
              <w:t>Lower Colorado</w:t>
            </w:r>
          </w:p>
        </w:tc>
        <w:tc>
          <w:tcPr>
            <w:tcW w:w="900" w:type="dxa"/>
            <w:tcBorders>
              <w:top w:val="single" w:sz="4" w:space="0" w:color="auto"/>
              <w:left w:val="nil"/>
              <w:bottom w:val="single" w:sz="4" w:space="0" w:color="auto"/>
              <w:right w:val="nil"/>
            </w:tcBorders>
            <w:vAlign w:val="center"/>
          </w:tcPr>
          <w:p w14:paraId="5569A10A" w14:textId="77777777" w:rsidR="00BB08C0" w:rsidRPr="00507C8F" w:rsidRDefault="00BB08C0" w:rsidP="00E13D49">
            <w:pPr>
              <w:pStyle w:val="TableText"/>
              <w:jc w:val="center"/>
            </w:pPr>
            <w:r w:rsidRPr="00507C8F">
              <w:t>0</w:t>
            </w:r>
          </w:p>
        </w:tc>
        <w:tc>
          <w:tcPr>
            <w:tcW w:w="1350" w:type="dxa"/>
            <w:tcBorders>
              <w:top w:val="single" w:sz="4" w:space="0" w:color="auto"/>
              <w:left w:val="nil"/>
              <w:bottom w:val="single" w:sz="4" w:space="0" w:color="auto"/>
              <w:right w:val="nil"/>
            </w:tcBorders>
            <w:vAlign w:val="center"/>
          </w:tcPr>
          <w:p w14:paraId="5053D1E7" w14:textId="77777777" w:rsidR="00BB08C0" w:rsidRPr="00507C8F" w:rsidRDefault="00BB08C0" w:rsidP="00E13D49">
            <w:pPr>
              <w:pStyle w:val="TableText"/>
              <w:jc w:val="center"/>
            </w:pPr>
            <w:r w:rsidRPr="00507C8F">
              <w:t>3</w:t>
            </w:r>
          </w:p>
        </w:tc>
        <w:tc>
          <w:tcPr>
            <w:tcW w:w="810" w:type="dxa"/>
            <w:tcBorders>
              <w:top w:val="single" w:sz="4" w:space="0" w:color="auto"/>
              <w:left w:val="nil"/>
              <w:bottom w:val="single" w:sz="4" w:space="0" w:color="auto"/>
              <w:right w:val="nil"/>
            </w:tcBorders>
            <w:vAlign w:val="center"/>
          </w:tcPr>
          <w:p w14:paraId="3AA85985" w14:textId="77777777" w:rsidR="00BB08C0" w:rsidRPr="00507C8F" w:rsidRDefault="00BB08C0" w:rsidP="00E13D49">
            <w:pPr>
              <w:pStyle w:val="TableText"/>
              <w:jc w:val="center"/>
            </w:pPr>
            <w:r w:rsidRPr="00507C8F">
              <w:t>0</w:t>
            </w:r>
          </w:p>
        </w:tc>
        <w:tc>
          <w:tcPr>
            <w:tcW w:w="720" w:type="dxa"/>
            <w:tcBorders>
              <w:top w:val="single" w:sz="4" w:space="0" w:color="auto"/>
              <w:left w:val="nil"/>
              <w:bottom w:val="single" w:sz="4" w:space="0" w:color="auto"/>
              <w:right w:val="nil"/>
            </w:tcBorders>
            <w:vAlign w:val="center"/>
          </w:tcPr>
          <w:p w14:paraId="677F0B8C" w14:textId="77777777" w:rsidR="00BB08C0" w:rsidRPr="00507C8F" w:rsidRDefault="00BB08C0" w:rsidP="00E13D49">
            <w:pPr>
              <w:pStyle w:val="TableText"/>
              <w:tabs>
                <w:tab w:val="decimal" w:pos="356"/>
              </w:tabs>
              <w:jc w:val="center"/>
            </w:pPr>
            <w:r w:rsidRPr="00507C8F">
              <w:t>3</w:t>
            </w:r>
          </w:p>
        </w:tc>
        <w:tc>
          <w:tcPr>
            <w:tcW w:w="1440" w:type="dxa"/>
            <w:tcBorders>
              <w:top w:val="single" w:sz="4" w:space="0" w:color="auto"/>
              <w:left w:val="nil"/>
              <w:bottom w:val="single" w:sz="4" w:space="0" w:color="auto"/>
              <w:right w:val="nil"/>
            </w:tcBorders>
            <w:vAlign w:val="center"/>
          </w:tcPr>
          <w:p w14:paraId="0FEAD799" w14:textId="77777777" w:rsidR="00BB08C0" w:rsidRPr="00507C8F" w:rsidRDefault="00BB08C0" w:rsidP="00E13D49">
            <w:pPr>
              <w:pStyle w:val="TableText"/>
              <w:tabs>
                <w:tab w:val="decimal" w:pos="860"/>
              </w:tabs>
              <w:jc w:val="center"/>
            </w:pPr>
            <w:r>
              <w:rPr>
                <w:color w:val="000000"/>
                <w:szCs w:val="20"/>
              </w:rPr>
              <w:t>2,454</w:t>
            </w:r>
          </w:p>
        </w:tc>
        <w:tc>
          <w:tcPr>
            <w:tcW w:w="1710" w:type="dxa"/>
            <w:tcBorders>
              <w:top w:val="single" w:sz="4" w:space="0" w:color="auto"/>
              <w:left w:val="nil"/>
              <w:bottom w:val="single" w:sz="4" w:space="0" w:color="auto"/>
            </w:tcBorders>
            <w:vAlign w:val="center"/>
          </w:tcPr>
          <w:p w14:paraId="3F5DC4F9" w14:textId="77777777" w:rsidR="00BB08C0" w:rsidRPr="00A27865" w:rsidRDefault="00BB08C0" w:rsidP="00E13D49">
            <w:pPr>
              <w:pStyle w:val="TableText"/>
              <w:tabs>
                <w:tab w:val="decimal" w:pos="860"/>
              </w:tabs>
              <w:jc w:val="center"/>
              <w:rPr>
                <w:rFonts w:eastAsia="PMingLiU"/>
                <w:lang w:eastAsia="zh-TW"/>
              </w:rPr>
            </w:pPr>
            <w:r>
              <w:rPr>
                <w:rFonts w:eastAsia="PMingLiU"/>
                <w:color w:val="000000"/>
                <w:szCs w:val="20"/>
                <w:lang w:eastAsia="zh-TW"/>
              </w:rPr>
              <w:t>6,316</w:t>
            </w:r>
          </w:p>
        </w:tc>
      </w:tr>
      <w:tr w:rsidR="00BB08C0" w:rsidRPr="00615E22" w14:paraId="6E5E09B8" w14:textId="77777777" w:rsidTr="00E13D49">
        <w:trPr>
          <w:jc w:val="center"/>
        </w:trPr>
        <w:tc>
          <w:tcPr>
            <w:tcW w:w="1008" w:type="dxa"/>
            <w:tcBorders>
              <w:top w:val="single" w:sz="4" w:space="0" w:color="auto"/>
              <w:bottom w:val="single" w:sz="4" w:space="0" w:color="auto"/>
              <w:right w:val="nil"/>
            </w:tcBorders>
            <w:vAlign w:val="center"/>
          </w:tcPr>
          <w:p w14:paraId="273080A4" w14:textId="77777777" w:rsidR="00BB08C0" w:rsidRPr="00507C8F" w:rsidRDefault="00BB08C0" w:rsidP="00E13D49">
            <w:pPr>
              <w:pStyle w:val="TableText"/>
            </w:pPr>
            <w:r w:rsidRPr="00507C8F">
              <w:t>WAPA-5</w:t>
            </w:r>
          </w:p>
        </w:tc>
        <w:tc>
          <w:tcPr>
            <w:tcW w:w="1350" w:type="dxa"/>
            <w:tcBorders>
              <w:top w:val="single" w:sz="4" w:space="0" w:color="auto"/>
              <w:left w:val="nil"/>
              <w:bottom w:val="single" w:sz="4" w:space="0" w:color="auto"/>
              <w:right w:val="nil"/>
            </w:tcBorders>
            <w:vAlign w:val="center"/>
          </w:tcPr>
          <w:p w14:paraId="0AC3E807" w14:textId="77777777" w:rsidR="00BB08C0" w:rsidRPr="00507C8F" w:rsidRDefault="00BB08C0" w:rsidP="00E13D49">
            <w:pPr>
              <w:pStyle w:val="TableText"/>
            </w:pPr>
            <w:r w:rsidRPr="00507C8F">
              <w:t>Rio Grande</w:t>
            </w:r>
          </w:p>
        </w:tc>
        <w:tc>
          <w:tcPr>
            <w:tcW w:w="900" w:type="dxa"/>
            <w:tcBorders>
              <w:top w:val="single" w:sz="4" w:space="0" w:color="auto"/>
              <w:left w:val="nil"/>
              <w:bottom w:val="single" w:sz="4" w:space="0" w:color="auto"/>
              <w:right w:val="nil"/>
            </w:tcBorders>
            <w:vAlign w:val="center"/>
          </w:tcPr>
          <w:p w14:paraId="18A8FCDB" w14:textId="77777777" w:rsidR="00BB08C0" w:rsidRPr="00507C8F" w:rsidRDefault="00BB08C0" w:rsidP="00E13D49">
            <w:pPr>
              <w:pStyle w:val="TableText"/>
              <w:jc w:val="center"/>
            </w:pPr>
            <w:r w:rsidRPr="00507C8F">
              <w:t>0</w:t>
            </w:r>
          </w:p>
        </w:tc>
        <w:tc>
          <w:tcPr>
            <w:tcW w:w="1350" w:type="dxa"/>
            <w:tcBorders>
              <w:top w:val="single" w:sz="4" w:space="0" w:color="auto"/>
              <w:left w:val="nil"/>
              <w:bottom w:val="single" w:sz="4" w:space="0" w:color="auto"/>
              <w:right w:val="nil"/>
            </w:tcBorders>
            <w:vAlign w:val="center"/>
          </w:tcPr>
          <w:p w14:paraId="25F92CC2" w14:textId="77777777" w:rsidR="00BB08C0" w:rsidRPr="00507C8F" w:rsidRDefault="00BB08C0" w:rsidP="00E13D49">
            <w:pPr>
              <w:pStyle w:val="TableText"/>
              <w:jc w:val="center"/>
            </w:pPr>
            <w:r w:rsidRPr="00507C8F">
              <w:t>0</w:t>
            </w:r>
          </w:p>
        </w:tc>
        <w:tc>
          <w:tcPr>
            <w:tcW w:w="810" w:type="dxa"/>
            <w:tcBorders>
              <w:top w:val="single" w:sz="4" w:space="0" w:color="auto"/>
              <w:left w:val="nil"/>
              <w:bottom w:val="single" w:sz="4" w:space="0" w:color="auto"/>
              <w:right w:val="nil"/>
            </w:tcBorders>
            <w:vAlign w:val="center"/>
          </w:tcPr>
          <w:p w14:paraId="6336E817" w14:textId="77777777" w:rsidR="00BB08C0" w:rsidRPr="00507C8F" w:rsidRDefault="00BB08C0" w:rsidP="00E13D49">
            <w:pPr>
              <w:pStyle w:val="TableText"/>
              <w:jc w:val="center"/>
            </w:pPr>
            <w:r w:rsidRPr="00507C8F">
              <w:t>2</w:t>
            </w:r>
          </w:p>
        </w:tc>
        <w:tc>
          <w:tcPr>
            <w:tcW w:w="720" w:type="dxa"/>
            <w:tcBorders>
              <w:top w:val="single" w:sz="4" w:space="0" w:color="auto"/>
              <w:left w:val="nil"/>
              <w:bottom w:val="single" w:sz="4" w:space="0" w:color="auto"/>
              <w:right w:val="nil"/>
            </w:tcBorders>
            <w:vAlign w:val="center"/>
          </w:tcPr>
          <w:p w14:paraId="4C729D7C" w14:textId="77777777" w:rsidR="00BB08C0" w:rsidRPr="00507C8F" w:rsidRDefault="00BB08C0" w:rsidP="00E13D49">
            <w:pPr>
              <w:pStyle w:val="TableText"/>
              <w:tabs>
                <w:tab w:val="decimal" w:pos="356"/>
              </w:tabs>
              <w:jc w:val="center"/>
            </w:pPr>
            <w:r w:rsidRPr="00507C8F">
              <w:t>2</w:t>
            </w:r>
          </w:p>
        </w:tc>
        <w:tc>
          <w:tcPr>
            <w:tcW w:w="1440" w:type="dxa"/>
            <w:tcBorders>
              <w:top w:val="single" w:sz="4" w:space="0" w:color="auto"/>
              <w:left w:val="nil"/>
              <w:bottom w:val="single" w:sz="4" w:space="0" w:color="auto"/>
              <w:right w:val="nil"/>
            </w:tcBorders>
            <w:vAlign w:val="center"/>
          </w:tcPr>
          <w:p w14:paraId="641083CC" w14:textId="77777777" w:rsidR="00BB08C0" w:rsidRPr="00507C8F" w:rsidRDefault="00BB08C0" w:rsidP="00E13D49">
            <w:pPr>
              <w:pStyle w:val="TableText"/>
              <w:tabs>
                <w:tab w:val="decimal" w:pos="860"/>
              </w:tabs>
              <w:jc w:val="center"/>
            </w:pPr>
            <w:r>
              <w:rPr>
                <w:color w:val="000000"/>
                <w:szCs w:val="20"/>
              </w:rPr>
              <w:t>98</w:t>
            </w:r>
          </w:p>
        </w:tc>
        <w:tc>
          <w:tcPr>
            <w:tcW w:w="1710" w:type="dxa"/>
            <w:tcBorders>
              <w:top w:val="single" w:sz="4" w:space="0" w:color="auto"/>
              <w:left w:val="nil"/>
              <w:bottom w:val="single" w:sz="4" w:space="0" w:color="auto"/>
            </w:tcBorders>
            <w:vAlign w:val="center"/>
          </w:tcPr>
          <w:p w14:paraId="689D1C92" w14:textId="77777777" w:rsidR="00BB08C0" w:rsidRPr="00A27865" w:rsidRDefault="00BB08C0" w:rsidP="00E13D49">
            <w:pPr>
              <w:pStyle w:val="TableText"/>
              <w:tabs>
                <w:tab w:val="decimal" w:pos="860"/>
              </w:tabs>
              <w:jc w:val="center"/>
              <w:rPr>
                <w:rFonts w:eastAsia="PMingLiU"/>
                <w:lang w:eastAsia="zh-TW"/>
              </w:rPr>
            </w:pPr>
            <w:r>
              <w:rPr>
                <w:color w:val="000000"/>
                <w:szCs w:val="20"/>
              </w:rPr>
              <w:t>197</w:t>
            </w:r>
          </w:p>
        </w:tc>
      </w:tr>
      <w:tr w:rsidR="00BB08C0" w:rsidRPr="00615E22" w14:paraId="6DC6BE9A" w14:textId="77777777" w:rsidTr="00E13D49">
        <w:trPr>
          <w:jc w:val="center"/>
        </w:trPr>
        <w:tc>
          <w:tcPr>
            <w:tcW w:w="1008" w:type="dxa"/>
            <w:tcBorders>
              <w:top w:val="single" w:sz="4" w:space="0" w:color="auto"/>
              <w:bottom w:val="single" w:sz="4" w:space="0" w:color="auto"/>
              <w:right w:val="nil"/>
            </w:tcBorders>
            <w:vAlign w:val="center"/>
          </w:tcPr>
          <w:p w14:paraId="28A7BB46" w14:textId="77777777" w:rsidR="00BB08C0" w:rsidRPr="00507C8F" w:rsidRDefault="00BB08C0" w:rsidP="00E13D49">
            <w:pPr>
              <w:pStyle w:val="TableText"/>
            </w:pPr>
            <w:r w:rsidRPr="00507C8F">
              <w:t>WAPA-6</w:t>
            </w:r>
          </w:p>
        </w:tc>
        <w:tc>
          <w:tcPr>
            <w:tcW w:w="1350" w:type="dxa"/>
            <w:tcBorders>
              <w:top w:val="single" w:sz="4" w:space="0" w:color="auto"/>
              <w:left w:val="nil"/>
              <w:bottom w:val="single" w:sz="4" w:space="0" w:color="auto"/>
              <w:right w:val="nil"/>
            </w:tcBorders>
            <w:vAlign w:val="center"/>
          </w:tcPr>
          <w:p w14:paraId="45C847C4" w14:textId="77777777" w:rsidR="00BB08C0" w:rsidRPr="00A27865" w:rsidRDefault="00BB08C0" w:rsidP="00E13D49">
            <w:pPr>
              <w:pStyle w:val="TableText"/>
              <w:rPr>
                <w:rFonts w:eastAsia="PMingLiU"/>
                <w:lang w:eastAsia="zh-TW"/>
              </w:rPr>
            </w:pPr>
            <w:r w:rsidRPr="00507C8F">
              <w:t>California</w:t>
            </w:r>
          </w:p>
        </w:tc>
        <w:tc>
          <w:tcPr>
            <w:tcW w:w="900" w:type="dxa"/>
            <w:tcBorders>
              <w:top w:val="single" w:sz="4" w:space="0" w:color="auto"/>
              <w:left w:val="nil"/>
              <w:bottom w:val="single" w:sz="4" w:space="0" w:color="auto"/>
              <w:right w:val="nil"/>
            </w:tcBorders>
            <w:vAlign w:val="center"/>
          </w:tcPr>
          <w:p w14:paraId="2F761427" w14:textId="77777777" w:rsidR="00BB08C0" w:rsidRPr="00507C8F" w:rsidRDefault="00BB08C0" w:rsidP="00E13D49">
            <w:pPr>
              <w:pStyle w:val="TableText"/>
              <w:jc w:val="center"/>
            </w:pPr>
            <w:r w:rsidRPr="00507C8F">
              <w:t>0</w:t>
            </w:r>
          </w:p>
        </w:tc>
        <w:tc>
          <w:tcPr>
            <w:tcW w:w="1350" w:type="dxa"/>
            <w:tcBorders>
              <w:top w:val="single" w:sz="4" w:space="0" w:color="auto"/>
              <w:left w:val="nil"/>
              <w:bottom w:val="single" w:sz="4" w:space="0" w:color="auto"/>
              <w:right w:val="nil"/>
            </w:tcBorders>
            <w:vAlign w:val="center"/>
          </w:tcPr>
          <w:p w14:paraId="5FEFEFDC" w14:textId="77777777" w:rsidR="00BB08C0" w:rsidRPr="00507C8F" w:rsidRDefault="00BB08C0" w:rsidP="00E13D49">
            <w:pPr>
              <w:pStyle w:val="TableText"/>
              <w:jc w:val="center"/>
            </w:pPr>
            <w:r w:rsidRPr="00507C8F">
              <w:t>1</w:t>
            </w:r>
            <w:r>
              <w:t>2</w:t>
            </w:r>
          </w:p>
        </w:tc>
        <w:tc>
          <w:tcPr>
            <w:tcW w:w="810" w:type="dxa"/>
            <w:tcBorders>
              <w:top w:val="single" w:sz="4" w:space="0" w:color="auto"/>
              <w:left w:val="nil"/>
              <w:bottom w:val="single" w:sz="4" w:space="0" w:color="auto"/>
              <w:right w:val="nil"/>
            </w:tcBorders>
            <w:vAlign w:val="center"/>
          </w:tcPr>
          <w:p w14:paraId="12D1C702" w14:textId="77777777" w:rsidR="00BB08C0" w:rsidRPr="00507C8F" w:rsidRDefault="00BB08C0" w:rsidP="00E13D49">
            <w:pPr>
              <w:pStyle w:val="TableText"/>
              <w:jc w:val="center"/>
            </w:pPr>
            <w:r w:rsidRPr="00507C8F">
              <w:t>0</w:t>
            </w:r>
          </w:p>
        </w:tc>
        <w:tc>
          <w:tcPr>
            <w:tcW w:w="720" w:type="dxa"/>
            <w:tcBorders>
              <w:top w:val="single" w:sz="4" w:space="0" w:color="auto"/>
              <w:left w:val="nil"/>
              <w:bottom w:val="single" w:sz="4" w:space="0" w:color="auto"/>
              <w:right w:val="nil"/>
            </w:tcBorders>
            <w:vAlign w:val="center"/>
          </w:tcPr>
          <w:p w14:paraId="14CC436A" w14:textId="77777777" w:rsidR="00BB08C0" w:rsidRPr="00507C8F" w:rsidRDefault="00BB08C0" w:rsidP="00E13D49">
            <w:pPr>
              <w:pStyle w:val="TableText"/>
              <w:tabs>
                <w:tab w:val="decimal" w:pos="356"/>
              </w:tabs>
              <w:jc w:val="center"/>
            </w:pPr>
            <w:r w:rsidRPr="00507C8F">
              <w:t>1</w:t>
            </w:r>
            <w:r>
              <w:t>2</w:t>
            </w:r>
          </w:p>
        </w:tc>
        <w:tc>
          <w:tcPr>
            <w:tcW w:w="1440" w:type="dxa"/>
            <w:tcBorders>
              <w:top w:val="single" w:sz="4" w:space="0" w:color="auto"/>
              <w:left w:val="nil"/>
              <w:bottom w:val="single" w:sz="4" w:space="0" w:color="auto"/>
              <w:right w:val="nil"/>
            </w:tcBorders>
            <w:vAlign w:val="center"/>
          </w:tcPr>
          <w:p w14:paraId="7B42E902" w14:textId="77777777" w:rsidR="00BB08C0" w:rsidRPr="00A27865" w:rsidRDefault="00BB08C0" w:rsidP="00E13D49">
            <w:pPr>
              <w:pStyle w:val="TableText"/>
              <w:tabs>
                <w:tab w:val="decimal" w:pos="860"/>
              </w:tabs>
              <w:jc w:val="center"/>
              <w:rPr>
                <w:rFonts w:eastAsia="PMingLiU"/>
                <w:lang w:eastAsia="zh-TW"/>
              </w:rPr>
            </w:pPr>
            <w:r>
              <w:rPr>
                <w:color w:val="000000"/>
                <w:szCs w:val="20"/>
              </w:rPr>
              <w:t>2,271</w:t>
            </w:r>
          </w:p>
        </w:tc>
        <w:tc>
          <w:tcPr>
            <w:tcW w:w="1710" w:type="dxa"/>
            <w:tcBorders>
              <w:top w:val="single" w:sz="4" w:space="0" w:color="auto"/>
              <w:left w:val="nil"/>
              <w:bottom w:val="single" w:sz="4" w:space="0" w:color="auto"/>
            </w:tcBorders>
            <w:vAlign w:val="center"/>
          </w:tcPr>
          <w:p w14:paraId="50F1F813" w14:textId="77777777" w:rsidR="00BB08C0" w:rsidRPr="00A27865" w:rsidRDefault="00BB08C0" w:rsidP="00E13D49">
            <w:pPr>
              <w:pStyle w:val="TableText"/>
              <w:tabs>
                <w:tab w:val="decimal" w:pos="860"/>
              </w:tabs>
              <w:jc w:val="center"/>
              <w:rPr>
                <w:rFonts w:eastAsia="PMingLiU"/>
                <w:lang w:eastAsia="zh-TW"/>
              </w:rPr>
            </w:pPr>
            <w:r>
              <w:rPr>
                <w:rFonts w:eastAsia="PMingLiU"/>
                <w:color w:val="000000"/>
                <w:szCs w:val="20"/>
                <w:lang w:eastAsia="zh-TW"/>
              </w:rPr>
              <w:t>4,682</w:t>
            </w:r>
          </w:p>
        </w:tc>
      </w:tr>
      <w:tr w:rsidR="00BB08C0" w:rsidRPr="00615E22" w14:paraId="759DC17E" w14:textId="77777777" w:rsidTr="00E13D49">
        <w:trPr>
          <w:jc w:val="center"/>
        </w:trPr>
        <w:tc>
          <w:tcPr>
            <w:tcW w:w="1008" w:type="dxa"/>
            <w:tcBorders>
              <w:top w:val="single" w:sz="4" w:space="0" w:color="auto"/>
              <w:bottom w:val="single" w:sz="12" w:space="0" w:color="auto"/>
              <w:right w:val="nil"/>
            </w:tcBorders>
            <w:vAlign w:val="center"/>
          </w:tcPr>
          <w:p w14:paraId="7C8B01A5" w14:textId="77777777" w:rsidR="00BB08C0" w:rsidRPr="00EF4F59" w:rsidRDefault="00BB08C0" w:rsidP="00E13D49">
            <w:pPr>
              <w:pStyle w:val="TableText"/>
              <w:rPr>
                <w:bCs/>
              </w:rPr>
            </w:pPr>
            <w:r w:rsidRPr="00EF4F59">
              <w:rPr>
                <w:bCs/>
              </w:rPr>
              <w:t>Total</w:t>
            </w:r>
          </w:p>
        </w:tc>
        <w:tc>
          <w:tcPr>
            <w:tcW w:w="1350" w:type="dxa"/>
            <w:tcBorders>
              <w:top w:val="single" w:sz="4" w:space="0" w:color="auto"/>
              <w:left w:val="nil"/>
              <w:bottom w:val="single" w:sz="12" w:space="0" w:color="auto"/>
              <w:right w:val="nil"/>
            </w:tcBorders>
            <w:vAlign w:val="center"/>
          </w:tcPr>
          <w:p w14:paraId="7BCAFFC3" w14:textId="77777777" w:rsidR="00BB08C0" w:rsidRPr="00EF4F59" w:rsidRDefault="00BB08C0" w:rsidP="00E13D49">
            <w:pPr>
              <w:pStyle w:val="TableText"/>
              <w:rPr>
                <w:bCs/>
              </w:rPr>
            </w:pPr>
          </w:p>
        </w:tc>
        <w:tc>
          <w:tcPr>
            <w:tcW w:w="900" w:type="dxa"/>
            <w:tcBorders>
              <w:top w:val="single" w:sz="4" w:space="0" w:color="auto"/>
              <w:left w:val="nil"/>
              <w:bottom w:val="single" w:sz="12" w:space="0" w:color="auto"/>
              <w:right w:val="nil"/>
            </w:tcBorders>
            <w:vAlign w:val="center"/>
          </w:tcPr>
          <w:p w14:paraId="35C2E08A" w14:textId="77777777" w:rsidR="00BB08C0" w:rsidRPr="00EF4F59" w:rsidRDefault="00BB08C0" w:rsidP="00E13D49">
            <w:pPr>
              <w:pStyle w:val="TableText"/>
              <w:jc w:val="center"/>
              <w:rPr>
                <w:bCs/>
              </w:rPr>
            </w:pPr>
            <w:r w:rsidRPr="00EF4F59">
              <w:rPr>
                <w:bCs/>
              </w:rPr>
              <w:t>6</w:t>
            </w:r>
          </w:p>
        </w:tc>
        <w:tc>
          <w:tcPr>
            <w:tcW w:w="1350" w:type="dxa"/>
            <w:tcBorders>
              <w:top w:val="single" w:sz="4" w:space="0" w:color="auto"/>
              <w:left w:val="nil"/>
              <w:bottom w:val="single" w:sz="12" w:space="0" w:color="auto"/>
              <w:right w:val="nil"/>
            </w:tcBorders>
            <w:vAlign w:val="center"/>
          </w:tcPr>
          <w:p w14:paraId="102CDBFD" w14:textId="77777777" w:rsidR="00BB08C0" w:rsidRPr="00EF4F59" w:rsidRDefault="00BB08C0" w:rsidP="00E13D49">
            <w:pPr>
              <w:pStyle w:val="TableText"/>
              <w:jc w:val="center"/>
              <w:rPr>
                <w:bCs/>
              </w:rPr>
            </w:pPr>
            <w:r w:rsidRPr="00EF4F59">
              <w:rPr>
                <w:bCs/>
              </w:rPr>
              <w:t>47</w:t>
            </w:r>
          </w:p>
        </w:tc>
        <w:tc>
          <w:tcPr>
            <w:tcW w:w="810" w:type="dxa"/>
            <w:tcBorders>
              <w:top w:val="single" w:sz="4" w:space="0" w:color="auto"/>
              <w:left w:val="nil"/>
              <w:bottom w:val="single" w:sz="12" w:space="0" w:color="auto"/>
              <w:right w:val="nil"/>
            </w:tcBorders>
            <w:vAlign w:val="center"/>
          </w:tcPr>
          <w:p w14:paraId="240021D3" w14:textId="77777777" w:rsidR="00BB08C0" w:rsidRPr="00EF4F59" w:rsidRDefault="00BB08C0" w:rsidP="00E13D49">
            <w:pPr>
              <w:pStyle w:val="TableText"/>
              <w:jc w:val="center"/>
              <w:rPr>
                <w:bCs/>
              </w:rPr>
            </w:pPr>
            <w:r w:rsidRPr="00EF4F59">
              <w:rPr>
                <w:bCs/>
              </w:rPr>
              <w:t>2</w:t>
            </w:r>
          </w:p>
        </w:tc>
        <w:tc>
          <w:tcPr>
            <w:tcW w:w="720" w:type="dxa"/>
            <w:tcBorders>
              <w:top w:val="single" w:sz="4" w:space="0" w:color="auto"/>
              <w:left w:val="nil"/>
              <w:bottom w:val="single" w:sz="12" w:space="0" w:color="auto"/>
              <w:right w:val="nil"/>
            </w:tcBorders>
            <w:vAlign w:val="center"/>
          </w:tcPr>
          <w:p w14:paraId="341E55DF" w14:textId="77777777" w:rsidR="00BB08C0" w:rsidRPr="00EF4F59" w:rsidRDefault="00BB08C0" w:rsidP="00E13D49">
            <w:pPr>
              <w:pStyle w:val="TableText"/>
              <w:tabs>
                <w:tab w:val="decimal" w:pos="356"/>
              </w:tabs>
              <w:jc w:val="center"/>
              <w:rPr>
                <w:bCs/>
              </w:rPr>
            </w:pPr>
            <w:r w:rsidRPr="00EF4F59">
              <w:rPr>
                <w:bCs/>
              </w:rPr>
              <w:t>55</w:t>
            </w:r>
          </w:p>
        </w:tc>
        <w:tc>
          <w:tcPr>
            <w:tcW w:w="1440" w:type="dxa"/>
            <w:tcBorders>
              <w:top w:val="single" w:sz="4" w:space="0" w:color="auto"/>
              <w:left w:val="nil"/>
              <w:bottom w:val="single" w:sz="12" w:space="0" w:color="auto"/>
              <w:right w:val="nil"/>
            </w:tcBorders>
            <w:vAlign w:val="center"/>
          </w:tcPr>
          <w:p w14:paraId="0AD12B06" w14:textId="77777777" w:rsidR="00BB08C0" w:rsidRPr="00EF4F59" w:rsidRDefault="00BB08C0" w:rsidP="00E13D49">
            <w:pPr>
              <w:pStyle w:val="TableText"/>
              <w:tabs>
                <w:tab w:val="decimal" w:pos="860"/>
              </w:tabs>
              <w:jc w:val="center"/>
              <w:rPr>
                <w:rFonts w:eastAsia="PMingLiU"/>
                <w:bCs/>
                <w:lang w:eastAsia="zh-TW"/>
              </w:rPr>
            </w:pPr>
            <w:r w:rsidRPr="00EF4F59">
              <w:rPr>
                <w:bCs/>
                <w:color w:val="000000"/>
                <w:szCs w:val="20"/>
              </w:rPr>
              <w:t>10,204</w:t>
            </w:r>
          </w:p>
        </w:tc>
        <w:tc>
          <w:tcPr>
            <w:tcW w:w="1710" w:type="dxa"/>
            <w:tcBorders>
              <w:top w:val="single" w:sz="4" w:space="0" w:color="auto"/>
              <w:left w:val="nil"/>
              <w:bottom w:val="single" w:sz="12" w:space="0" w:color="auto"/>
            </w:tcBorders>
            <w:vAlign w:val="center"/>
          </w:tcPr>
          <w:p w14:paraId="156C44F2" w14:textId="77777777" w:rsidR="00BB08C0" w:rsidRPr="00EF4F59" w:rsidRDefault="00BB08C0" w:rsidP="00E13D49">
            <w:pPr>
              <w:pStyle w:val="TableText"/>
              <w:tabs>
                <w:tab w:val="decimal" w:pos="860"/>
              </w:tabs>
              <w:jc w:val="center"/>
              <w:rPr>
                <w:bCs/>
              </w:rPr>
            </w:pPr>
            <w:r w:rsidRPr="00EF4F59">
              <w:rPr>
                <w:bCs/>
                <w:color w:val="000000"/>
                <w:szCs w:val="20"/>
              </w:rPr>
              <w:t>28,622</w:t>
            </w:r>
          </w:p>
        </w:tc>
      </w:tr>
    </w:tbl>
    <w:p w14:paraId="19337BB7" w14:textId="77777777" w:rsidR="005A34C3" w:rsidRPr="00A27865" w:rsidRDefault="005A34C3" w:rsidP="005A34C3">
      <w:pPr>
        <w:pStyle w:val="TableFootnote"/>
        <w:widowControl/>
        <w:rPr>
          <w:sz w:val="18"/>
        </w:rPr>
      </w:pPr>
      <w:r w:rsidRPr="00A27865">
        <w:rPr>
          <w:i/>
          <w:sz w:val="18"/>
          <w:vertAlign w:val="superscript"/>
        </w:rPr>
        <w:t>a</w:t>
      </w:r>
      <w:r w:rsidRPr="00A27865">
        <w:rPr>
          <w:sz w:val="18"/>
        </w:rPr>
        <w:t xml:space="preserve"> EIA 20</w:t>
      </w:r>
      <w:r w:rsidRPr="00A27865">
        <w:rPr>
          <w:rFonts w:hint="eastAsia"/>
          <w:sz w:val="18"/>
          <w:lang w:eastAsia="zh-TW"/>
        </w:rPr>
        <w:t>1</w:t>
      </w:r>
      <w:r>
        <w:rPr>
          <w:sz w:val="18"/>
          <w:lang w:eastAsia="zh-TW"/>
        </w:rPr>
        <w:t>9</w:t>
      </w:r>
      <w:r w:rsidRPr="00A27865">
        <w:rPr>
          <w:sz w:val="18"/>
        </w:rPr>
        <w:t xml:space="preserve"> total nameplate capacity, including both conventional hydro and pumped storage.</w:t>
      </w:r>
    </w:p>
    <w:p w14:paraId="671DEB21" w14:textId="77777777" w:rsidR="005A34C3" w:rsidRPr="00A27865" w:rsidRDefault="005A34C3" w:rsidP="005A34C3">
      <w:pPr>
        <w:pStyle w:val="TableFootnote"/>
        <w:widowControl/>
        <w:spacing w:before="0"/>
        <w:rPr>
          <w:b/>
          <w:sz w:val="18"/>
        </w:rPr>
      </w:pPr>
      <w:r w:rsidRPr="00A27865">
        <w:rPr>
          <w:i/>
          <w:sz w:val="18"/>
          <w:vertAlign w:val="superscript"/>
        </w:rPr>
        <w:t>b</w:t>
      </w:r>
      <w:r w:rsidRPr="00A27865">
        <w:rPr>
          <w:sz w:val="18"/>
        </w:rPr>
        <w:t xml:space="preserve"> EIA</w:t>
      </w:r>
      <w:r>
        <w:rPr>
          <w:sz w:val="18"/>
        </w:rPr>
        <w:t>,</w:t>
      </w:r>
      <w:r w:rsidRPr="00A27865">
        <w:rPr>
          <w:sz w:val="18"/>
        </w:rPr>
        <w:t xml:space="preserve"> </w:t>
      </w:r>
      <w:r w:rsidRPr="00A27865">
        <w:rPr>
          <w:rFonts w:hint="eastAsia"/>
          <w:sz w:val="18"/>
          <w:lang w:eastAsia="zh-TW"/>
        </w:rPr>
        <w:t>Reclamation</w:t>
      </w:r>
      <w:r>
        <w:rPr>
          <w:sz w:val="18"/>
          <w:lang w:eastAsia="zh-TW"/>
        </w:rPr>
        <w:t>, and WAPA</w:t>
      </w:r>
      <w:r w:rsidRPr="00A27865">
        <w:rPr>
          <w:rFonts w:hint="eastAsia"/>
          <w:sz w:val="18"/>
          <w:lang w:eastAsia="zh-TW"/>
        </w:rPr>
        <w:t xml:space="preserve"> </w:t>
      </w:r>
      <w:r w:rsidRPr="00A27865">
        <w:rPr>
          <w:sz w:val="18"/>
        </w:rPr>
        <w:t>average annual generation from 19</w:t>
      </w:r>
      <w:r>
        <w:rPr>
          <w:sz w:val="18"/>
        </w:rPr>
        <w:t>8</w:t>
      </w:r>
      <w:r w:rsidRPr="00A27865">
        <w:rPr>
          <w:sz w:val="18"/>
        </w:rPr>
        <w:t xml:space="preserve">0 to </w:t>
      </w:r>
      <w:r w:rsidRPr="00A27865">
        <w:rPr>
          <w:rFonts w:hint="eastAsia"/>
          <w:sz w:val="18"/>
          <w:lang w:eastAsia="zh-TW"/>
        </w:rPr>
        <w:t>201</w:t>
      </w:r>
      <w:r>
        <w:rPr>
          <w:sz w:val="18"/>
          <w:lang w:eastAsia="zh-TW"/>
        </w:rPr>
        <w:t>9</w:t>
      </w:r>
      <w:r w:rsidRPr="00A27865">
        <w:rPr>
          <w:rFonts w:hint="eastAsia"/>
          <w:sz w:val="18"/>
          <w:lang w:eastAsia="zh-TW"/>
        </w:rPr>
        <w:t>,</w:t>
      </w:r>
      <w:r w:rsidRPr="00A27865">
        <w:rPr>
          <w:sz w:val="18"/>
        </w:rPr>
        <w:t xml:space="preserve"> </w:t>
      </w:r>
      <w:r w:rsidRPr="00A27865">
        <w:rPr>
          <w:rFonts w:hint="eastAsia"/>
          <w:sz w:val="18"/>
          <w:lang w:eastAsia="zh-TW"/>
        </w:rPr>
        <w:t>c</w:t>
      </w:r>
      <w:r w:rsidRPr="00A27865">
        <w:rPr>
          <w:sz w:val="18"/>
        </w:rPr>
        <w:t>onventional hydro only.</w:t>
      </w:r>
    </w:p>
    <w:p w14:paraId="66B794DF" w14:textId="75161619" w:rsidR="00F76FAE" w:rsidRDefault="005A34C3" w:rsidP="00BB08C0">
      <w:pPr>
        <w:pStyle w:val="BodyText"/>
      </w:pPr>
      <w:r w:rsidRPr="00A27865">
        <w:rPr>
          <w:i/>
          <w:sz w:val="18"/>
          <w:vertAlign w:val="superscript"/>
        </w:rPr>
        <w:t>c</w:t>
      </w:r>
      <w:r w:rsidRPr="00A27865">
        <w:rPr>
          <w:sz w:val="18"/>
          <w:vertAlign w:val="superscript"/>
        </w:rPr>
        <w:t xml:space="preserve"> </w:t>
      </w:r>
      <w:r w:rsidRPr="00A27865">
        <w:rPr>
          <w:color w:val="000000"/>
          <w:sz w:val="18"/>
        </w:rPr>
        <w:t>Two of the four Yellowtail plant units are marketed in WAPA-2, but for the purposes of this analysis, the entire Yellowtail plant is included in WAPA-1.</w:t>
      </w:r>
    </w:p>
    <w:p w14:paraId="0FEE5308" w14:textId="77777777" w:rsidR="00FB1E9F" w:rsidRDefault="00FB1E9F" w:rsidP="00E13D49">
      <w:pPr>
        <w:pStyle w:val="FIGUREposition"/>
      </w:pPr>
      <w:r w:rsidRPr="00E13D49">
        <w:rPr>
          <w:noProof/>
        </w:rPr>
        <w:lastRenderedPageBreak/>
        <w:drawing>
          <wp:inline distT="0" distB="0" distL="0" distR="0" wp14:anchorId="61BDB9C1" wp14:editId="468C1062">
            <wp:extent cx="5944235" cy="71329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4235" cy="7132955"/>
                    </a:xfrm>
                    <a:prstGeom prst="rect">
                      <a:avLst/>
                    </a:prstGeom>
                    <a:noFill/>
                  </pic:spPr>
                </pic:pic>
              </a:graphicData>
            </a:graphic>
          </wp:inline>
        </w:drawing>
      </w:r>
    </w:p>
    <w:p w14:paraId="44F40DAF" w14:textId="5B6C4237" w:rsidR="00FB1E9F" w:rsidRPr="006869CA" w:rsidRDefault="003F6C94" w:rsidP="00FB1E9F">
      <w:pPr>
        <w:pStyle w:val="FigureCaption"/>
      </w:pPr>
      <w:bookmarkStart w:id="341" w:name="_Ref425352762"/>
      <w:bookmarkStart w:id="342" w:name="_Toc113380908"/>
      <w:r>
        <w:rPr>
          <w:lang w:eastAsia="zh-TW"/>
        </w:rPr>
        <w:t>Figure</w:t>
      </w:r>
      <w:r w:rsidR="00FB1E9F" w:rsidRPr="006869CA">
        <w:rPr>
          <w:lang w:eastAsia="zh-TW"/>
        </w:rPr>
        <w:t xml:space="preserve"> </w:t>
      </w:r>
      <w:r w:rsidR="00FB1E9F" w:rsidRPr="006869CA">
        <w:rPr>
          <w:lang w:eastAsia="zh-TW"/>
        </w:rPr>
        <w:fldChar w:fldCharType="begin"/>
      </w:r>
      <w:r w:rsidR="00FB1E9F" w:rsidRPr="006869CA">
        <w:rPr>
          <w:lang w:eastAsia="zh-TW"/>
        </w:rPr>
        <w:instrText xml:space="preserve"> STYLEREF 1 \s </w:instrText>
      </w:r>
      <w:r w:rsidR="00FB1E9F" w:rsidRPr="006869CA">
        <w:rPr>
          <w:lang w:eastAsia="zh-TW"/>
        </w:rPr>
        <w:fldChar w:fldCharType="separate"/>
      </w:r>
      <w:r w:rsidR="00EE0BF5">
        <w:rPr>
          <w:noProof/>
          <w:lang w:eastAsia="zh-TW"/>
        </w:rPr>
        <w:t>4</w:t>
      </w:r>
      <w:r w:rsidR="00FB1E9F" w:rsidRPr="006869CA">
        <w:rPr>
          <w:lang w:eastAsia="zh-TW"/>
        </w:rPr>
        <w:fldChar w:fldCharType="end"/>
      </w:r>
      <w:r w:rsidR="00FB1E9F">
        <w:rPr>
          <w:lang w:eastAsia="zh-TW"/>
        </w:rPr>
        <w:t>.</w:t>
      </w:r>
      <w:r w:rsidR="00FB1E9F" w:rsidRPr="006869CA">
        <w:rPr>
          <w:lang w:eastAsia="zh-TW"/>
        </w:rPr>
        <w:fldChar w:fldCharType="begin"/>
      </w:r>
      <w:r w:rsidR="00FB1E9F" w:rsidRPr="006869CA">
        <w:rPr>
          <w:lang w:eastAsia="zh-TW"/>
        </w:rPr>
        <w:instrText xml:space="preserve"> SEQ Figure \* ARABIC \s 1 </w:instrText>
      </w:r>
      <w:r w:rsidR="00FB1E9F" w:rsidRPr="006869CA">
        <w:rPr>
          <w:lang w:eastAsia="zh-TW"/>
        </w:rPr>
        <w:fldChar w:fldCharType="separate"/>
      </w:r>
      <w:r w:rsidR="00EE0BF5">
        <w:rPr>
          <w:noProof/>
          <w:lang w:eastAsia="zh-TW"/>
        </w:rPr>
        <w:t>1</w:t>
      </w:r>
      <w:r w:rsidR="00FB1E9F" w:rsidRPr="006869CA">
        <w:rPr>
          <w:lang w:eastAsia="zh-TW"/>
        </w:rPr>
        <w:fldChar w:fldCharType="end"/>
      </w:r>
      <w:bookmarkEnd w:id="341"/>
      <w:r w:rsidR="00FB1E9F" w:rsidRPr="006869CA">
        <w:rPr>
          <w:lang w:eastAsia="zh-TW"/>
        </w:rPr>
        <w:t xml:space="preserve">. </w:t>
      </w:r>
      <w:r w:rsidR="00FB1E9F" w:rsidRPr="00D37C9A">
        <w:rPr>
          <w:lang w:eastAsia="zh-TW"/>
        </w:rPr>
        <w:t xml:space="preserve">Map of the federal hydropower plants and </w:t>
      </w:r>
      <w:r w:rsidR="00FB1E9F">
        <w:rPr>
          <w:lang w:eastAsia="zh-TW"/>
        </w:rPr>
        <w:t xml:space="preserve">six </w:t>
      </w:r>
      <w:r w:rsidR="00FB1E9F" w:rsidRPr="00D37C9A">
        <w:rPr>
          <w:lang w:eastAsia="zh-TW"/>
        </w:rPr>
        <w:t xml:space="preserve">study areas in </w:t>
      </w:r>
      <w:r w:rsidR="00FB1E9F">
        <w:rPr>
          <w:lang w:eastAsia="zh-TW"/>
        </w:rPr>
        <w:t>the WAPA region.</w:t>
      </w:r>
      <w:bookmarkEnd w:id="342"/>
    </w:p>
    <w:p w14:paraId="0382B1AD" w14:textId="2BD70CAC" w:rsidR="00BB08C0" w:rsidRPr="00A27865" w:rsidRDefault="000133D7" w:rsidP="00BB08C0">
      <w:pPr>
        <w:pStyle w:val="BodyText"/>
        <w:rPr>
          <w:rFonts w:eastAsia="PMingLiU"/>
          <w:lang w:eastAsia="zh-TW"/>
        </w:rPr>
      </w:pPr>
      <w:r w:rsidRPr="000470E6">
        <w:rPr>
          <w:rFonts w:eastAsia="PMingLiU"/>
          <w:lang w:eastAsia="zh-TW"/>
        </w:rPr>
        <w:t xml:space="preserve">The aging of </w:t>
      </w:r>
      <w:r w:rsidRPr="00A27865">
        <w:rPr>
          <w:rFonts w:eastAsia="PMingLiU"/>
          <w:lang w:eastAsia="zh-TW"/>
        </w:rPr>
        <w:t xml:space="preserve">hydropower infrastructure </w:t>
      </w:r>
      <w:r>
        <w:rPr>
          <w:rFonts w:eastAsia="PMingLiU"/>
          <w:lang w:eastAsia="zh-TW"/>
        </w:rPr>
        <w:t xml:space="preserve">in the WAPA </w:t>
      </w:r>
      <w:r w:rsidRPr="00A27865">
        <w:rPr>
          <w:rFonts w:eastAsia="PMingLiU"/>
          <w:lang w:eastAsia="zh-TW"/>
        </w:rPr>
        <w:t xml:space="preserve">region is </w:t>
      </w:r>
      <w:r>
        <w:rPr>
          <w:rFonts w:eastAsia="PMingLiU"/>
          <w:lang w:eastAsia="zh-TW"/>
        </w:rPr>
        <w:t xml:space="preserve">also </w:t>
      </w:r>
      <w:r w:rsidRPr="00A27865">
        <w:rPr>
          <w:rFonts w:eastAsia="PMingLiU"/>
          <w:lang w:eastAsia="zh-TW"/>
        </w:rPr>
        <w:t>a serious concern for both federal hydropower providers and their customers.</w:t>
      </w:r>
      <w:r w:rsidR="00BB08C0" w:rsidRPr="00A27865">
        <w:rPr>
          <w:rFonts w:eastAsia="PMingLiU"/>
          <w:lang w:eastAsia="zh-TW"/>
        </w:rPr>
        <w:t xml:space="preserve"> The oldest Reclamation hydropower </w:t>
      </w:r>
      <w:r>
        <w:rPr>
          <w:rFonts w:eastAsia="PMingLiU"/>
          <w:lang w:eastAsia="zh-TW"/>
        </w:rPr>
        <w:t xml:space="preserve">plant </w:t>
      </w:r>
      <w:r w:rsidR="00BB08C0">
        <w:rPr>
          <w:rFonts w:eastAsia="PMingLiU"/>
          <w:lang w:eastAsia="zh-TW"/>
        </w:rPr>
        <w:t xml:space="preserve">in the </w:t>
      </w:r>
      <w:r>
        <w:rPr>
          <w:rFonts w:eastAsia="PMingLiU"/>
          <w:lang w:eastAsia="zh-TW"/>
        </w:rPr>
        <w:t>WAPA</w:t>
      </w:r>
      <w:r w:rsidR="00BB08C0">
        <w:rPr>
          <w:rFonts w:eastAsia="PMingLiU"/>
          <w:lang w:eastAsia="zh-TW"/>
        </w:rPr>
        <w:t xml:space="preserve"> region</w:t>
      </w:r>
      <w:r w:rsidR="00BB08C0" w:rsidRPr="00A27865">
        <w:rPr>
          <w:rFonts w:eastAsia="PMingLiU"/>
          <w:lang w:eastAsia="zh-TW"/>
        </w:rPr>
        <w:t xml:space="preserve"> is </w:t>
      </w:r>
      <w:r>
        <w:rPr>
          <w:rFonts w:eastAsia="PMingLiU"/>
          <w:lang w:eastAsia="zh-TW"/>
        </w:rPr>
        <w:t xml:space="preserve">the 6.4 MW </w:t>
      </w:r>
      <w:r w:rsidRPr="000133D7">
        <w:rPr>
          <w:rFonts w:eastAsia="PMingLiU"/>
          <w:lang w:eastAsia="zh-TW"/>
        </w:rPr>
        <w:t>Guernsey</w:t>
      </w:r>
      <w:r w:rsidR="00BB08C0" w:rsidRPr="00A27865">
        <w:rPr>
          <w:rFonts w:eastAsia="PMingLiU"/>
          <w:lang w:eastAsia="zh-TW"/>
        </w:rPr>
        <w:t xml:space="preserve">, which began operation in </w:t>
      </w:r>
      <w:r w:rsidR="00BB08C0">
        <w:rPr>
          <w:rFonts w:eastAsia="PMingLiU"/>
          <w:lang w:eastAsia="zh-TW"/>
        </w:rPr>
        <w:t>1927</w:t>
      </w:r>
      <w:r w:rsidR="00BB08C0" w:rsidRPr="00A27865">
        <w:rPr>
          <w:rFonts w:eastAsia="PMingLiU"/>
          <w:lang w:eastAsia="zh-TW"/>
        </w:rPr>
        <w:t xml:space="preserve">. The youngest Reclamation hydropower </w:t>
      </w:r>
      <w:r>
        <w:rPr>
          <w:rFonts w:eastAsia="PMingLiU"/>
          <w:lang w:eastAsia="zh-TW"/>
        </w:rPr>
        <w:t>plant</w:t>
      </w:r>
      <w:r w:rsidR="00BB08C0" w:rsidRPr="00A27865">
        <w:rPr>
          <w:rFonts w:eastAsia="PMingLiU"/>
          <w:lang w:eastAsia="zh-TW"/>
        </w:rPr>
        <w:t xml:space="preserve"> is the </w:t>
      </w:r>
      <w:r w:rsidR="00BB08C0">
        <w:rPr>
          <w:rFonts w:eastAsia="PMingLiU"/>
          <w:lang w:eastAsia="zh-TW"/>
        </w:rPr>
        <w:t>4.5</w:t>
      </w:r>
      <w:r w:rsidR="00BB08C0" w:rsidRPr="00A27865">
        <w:rPr>
          <w:rFonts w:eastAsia="PMingLiU"/>
          <w:lang w:eastAsia="zh-TW"/>
        </w:rPr>
        <w:t xml:space="preserve"> MW </w:t>
      </w:r>
      <w:r w:rsidR="00BB08C0" w:rsidRPr="00406980">
        <w:rPr>
          <w:rFonts w:eastAsia="PMingLiU"/>
          <w:lang w:eastAsia="zh-TW"/>
        </w:rPr>
        <w:t>Spirit Mountain</w:t>
      </w:r>
      <w:r w:rsidR="00BB08C0" w:rsidRPr="00406980" w:rsidDel="00406980">
        <w:rPr>
          <w:rFonts w:eastAsia="PMingLiU"/>
          <w:lang w:eastAsia="zh-TW"/>
        </w:rPr>
        <w:t xml:space="preserve"> </w:t>
      </w:r>
      <w:r w:rsidR="00BB08C0" w:rsidRPr="00A27865">
        <w:rPr>
          <w:rFonts w:eastAsia="PMingLiU"/>
          <w:lang w:eastAsia="zh-TW"/>
        </w:rPr>
        <w:t xml:space="preserve">hydropower plant that began operation in </w:t>
      </w:r>
      <w:r w:rsidR="00BB08C0">
        <w:rPr>
          <w:rFonts w:eastAsia="PMingLiU"/>
          <w:lang w:eastAsia="zh-TW"/>
        </w:rPr>
        <w:t>1994</w:t>
      </w:r>
      <w:r w:rsidR="00BB08C0" w:rsidRPr="00A27865">
        <w:rPr>
          <w:rFonts w:eastAsia="PMingLiU"/>
          <w:lang w:eastAsia="zh-TW"/>
        </w:rPr>
        <w:t>.</w:t>
      </w:r>
    </w:p>
    <w:p w14:paraId="62ADB2C8" w14:textId="1254A129" w:rsidR="00C66F48" w:rsidRDefault="00C66F48" w:rsidP="00C66F48">
      <w:pPr>
        <w:pStyle w:val="BodyText"/>
        <w:rPr>
          <w:lang w:eastAsia="zh-TW"/>
        </w:rPr>
      </w:pPr>
      <w:r>
        <w:rPr>
          <w:rFonts w:eastAsia="PMingLiU"/>
          <w:lang w:eastAsia="zh-TW"/>
        </w:rPr>
        <w:lastRenderedPageBreak/>
        <w:t xml:space="preserve">Hydropower </w:t>
      </w:r>
      <w:r w:rsidRPr="00A27865">
        <w:rPr>
          <w:rFonts w:eastAsia="PMingLiU"/>
          <w:lang w:eastAsia="zh-TW"/>
        </w:rPr>
        <w:t xml:space="preserve">generation </w:t>
      </w:r>
      <w:r>
        <w:rPr>
          <w:rFonts w:eastAsia="PMingLiU"/>
          <w:lang w:eastAsia="zh-TW"/>
        </w:rPr>
        <w:t xml:space="preserve">in the </w:t>
      </w:r>
      <w:r w:rsidR="006C6778">
        <w:rPr>
          <w:rFonts w:eastAsia="PMingLiU"/>
          <w:lang w:eastAsia="zh-TW"/>
        </w:rPr>
        <w:t>w</w:t>
      </w:r>
      <w:r w:rsidR="00114524">
        <w:rPr>
          <w:rFonts w:eastAsia="PMingLiU"/>
          <w:lang w:eastAsia="zh-TW"/>
        </w:rPr>
        <w:t xml:space="preserve">estern </w:t>
      </w:r>
      <w:r w:rsidR="00737E74">
        <w:rPr>
          <w:rFonts w:eastAsia="PMingLiU"/>
          <w:lang w:eastAsia="zh-TW"/>
        </w:rPr>
        <w:t>United States</w:t>
      </w:r>
      <w:r>
        <w:rPr>
          <w:rFonts w:eastAsia="PMingLiU"/>
          <w:lang w:eastAsia="zh-TW"/>
        </w:rPr>
        <w:t xml:space="preserve"> </w:t>
      </w:r>
      <w:r w:rsidRPr="00A27865">
        <w:rPr>
          <w:rFonts w:eastAsia="PMingLiU"/>
          <w:lang w:eastAsia="zh-TW"/>
        </w:rPr>
        <w:t>is usually not the priority for multipurpose water management</w:t>
      </w:r>
      <w:r>
        <w:rPr>
          <w:rFonts w:eastAsia="PMingLiU"/>
          <w:lang w:eastAsia="zh-TW"/>
        </w:rPr>
        <w:t xml:space="preserve"> due to limited and constrained freshwater supplies</w:t>
      </w:r>
      <w:r w:rsidRPr="00A27865">
        <w:rPr>
          <w:rFonts w:eastAsia="PMingLiU"/>
          <w:lang w:eastAsia="zh-TW"/>
        </w:rPr>
        <w:t>. The w</w:t>
      </w:r>
      <w:r w:rsidRPr="00565249">
        <w:t xml:space="preserve">ater </w:t>
      </w:r>
      <w:r>
        <w:t xml:space="preserve">demand </w:t>
      </w:r>
      <w:r w:rsidRPr="00565249">
        <w:t xml:space="preserve">for agricultural, municipal, and industrial uses must be </w:t>
      </w:r>
      <w:r>
        <w:t>met, and it has even greater importance than hydropower generation. A</w:t>
      </w:r>
      <w:r w:rsidRPr="00A27865">
        <w:rPr>
          <w:rFonts w:eastAsia="PMingLiU"/>
          <w:lang w:eastAsia="zh-TW"/>
        </w:rPr>
        <w:t>s a result, h</w:t>
      </w:r>
      <w:r w:rsidRPr="00565249">
        <w:t xml:space="preserve">ydropower at federal projects is generated more as a byproduct of water management for other higher-priority uses, such as water supply for irrigation (Reclamation projects) or flood control </w:t>
      </w:r>
      <w:r>
        <w:t xml:space="preserve">and navigation </w:t>
      </w:r>
      <w:r w:rsidRPr="00565249">
        <w:t>(USACE projects).</w:t>
      </w:r>
      <w:r w:rsidRPr="00A27865">
        <w:rPr>
          <w:rFonts w:eastAsia="PMingLiU"/>
          <w:lang w:eastAsia="zh-TW"/>
        </w:rPr>
        <w:t xml:space="preserve"> Conflicts among competing water uses are common and continue </w:t>
      </w:r>
      <w:r>
        <w:rPr>
          <w:rFonts w:eastAsia="PMingLiU"/>
          <w:lang w:eastAsia="zh-TW"/>
        </w:rPr>
        <w:t>in the WAPA region</w:t>
      </w:r>
      <w:r w:rsidRPr="00A27865">
        <w:rPr>
          <w:rFonts w:eastAsia="PMingLiU"/>
          <w:lang w:eastAsia="zh-TW"/>
        </w:rPr>
        <w:t xml:space="preserve">. </w:t>
      </w:r>
      <w:r w:rsidRPr="00565249">
        <w:t xml:space="preserve">In addition, there are serious concerns over the size and reliability of available water supply; </w:t>
      </w:r>
      <w:r>
        <w:t>water supply scarcity coupled with growing demands for water resources remains a top concern for this region if future climate conditions become drier.</w:t>
      </w:r>
    </w:p>
    <w:p w14:paraId="4B94AE0C" w14:textId="2F62413A" w:rsidR="00B43E1A" w:rsidRPr="00A27865" w:rsidRDefault="00C541C1" w:rsidP="00B43E1A">
      <w:pPr>
        <w:pStyle w:val="BodyText"/>
        <w:rPr>
          <w:rFonts w:eastAsia="PMingLiU"/>
          <w:lang w:eastAsia="zh-TW"/>
        </w:rPr>
      </w:pPr>
      <w:r>
        <w:rPr>
          <w:lang w:eastAsia="zh-TW"/>
        </w:rPr>
        <w:t xml:space="preserve">In </w:t>
      </w:r>
      <w:r w:rsidR="003B626A">
        <w:rPr>
          <w:lang w:eastAsia="zh-TW"/>
        </w:rPr>
        <w:t xml:space="preserve">this study, the entire WAPA region </w:t>
      </w:r>
      <w:r w:rsidR="003B626A" w:rsidRPr="00F53AE4">
        <w:t xml:space="preserve">is subdivided into </w:t>
      </w:r>
      <w:r w:rsidR="003B626A" w:rsidRPr="00A27865">
        <w:rPr>
          <w:rFonts w:eastAsia="PMingLiU"/>
          <w:lang w:eastAsia="zh-TW"/>
        </w:rPr>
        <w:t>six</w:t>
      </w:r>
      <w:r w:rsidR="003B626A" w:rsidRPr="00F53AE4">
        <w:t xml:space="preserve"> </w:t>
      </w:r>
      <w:r w:rsidR="003B626A" w:rsidRPr="00A27865">
        <w:rPr>
          <w:rFonts w:eastAsia="PMingLiU" w:hint="eastAsia"/>
          <w:lang w:eastAsia="zh-TW"/>
        </w:rPr>
        <w:t xml:space="preserve">study </w:t>
      </w:r>
      <w:r w:rsidR="003B626A" w:rsidRPr="00F53AE4">
        <w:t>areas</w:t>
      </w:r>
      <w:r w:rsidR="003B626A">
        <w:t xml:space="preserve"> b</w:t>
      </w:r>
      <w:r w:rsidR="00B43E1A" w:rsidRPr="00A27865">
        <w:rPr>
          <w:rFonts w:eastAsia="PMingLiU"/>
          <w:lang w:eastAsia="zh-TW"/>
        </w:rPr>
        <w:t>ased on</w:t>
      </w:r>
      <w:r w:rsidR="00B43E1A" w:rsidRPr="00A27865">
        <w:rPr>
          <w:rFonts w:eastAsia="PMingLiU" w:hint="eastAsia"/>
          <w:lang w:eastAsia="zh-TW"/>
        </w:rPr>
        <w:t xml:space="preserve"> power system and watershed boundaries</w:t>
      </w:r>
      <w:r w:rsidR="003B626A">
        <w:rPr>
          <w:rFonts w:eastAsia="PMingLiU"/>
          <w:lang w:eastAsia="zh-TW"/>
        </w:rPr>
        <w:t xml:space="preserve"> (</w:t>
      </w:r>
      <w:r w:rsidR="003B626A">
        <w:rPr>
          <w:szCs w:val="32"/>
        </w:rPr>
        <w:fldChar w:fldCharType="begin"/>
      </w:r>
      <w:r w:rsidR="003B626A">
        <w:instrText xml:space="preserve"> REF _Ref425352762 \h </w:instrText>
      </w:r>
      <w:r w:rsidR="003B626A">
        <w:rPr>
          <w:szCs w:val="32"/>
        </w:rPr>
      </w:r>
      <w:r w:rsidR="003B626A">
        <w:rPr>
          <w:szCs w:val="32"/>
        </w:rPr>
        <w:fldChar w:fldCharType="separate"/>
      </w:r>
      <w:r w:rsidR="00EE0BF5">
        <w:rPr>
          <w:lang w:eastAsia="zh-TW"/>
        </w:rPr>
        <w:t>Figure</w:t>
      </w:r>
      <w:r w:rsidR="00EE0BF5" w:rsidRPr="006869CA">
        <w:rPr>
          <w:lang w:eastAsia="zh-TW"/>
        </w:rPr>
        <w:t xml:space="preserve"> </w:t>
      </w:r>
      <w:r w:rsidR="00EE0BF5">
        <w:rPr>
          <w:noProof/>
          <w:lang w:eastAsia="zh-TW"/>
        </w:rPr>
        <w:t>4</w:t>
      </w:r>
      <w:r w:rsidR="00EE0BF5">
        <w:rPr>
          <w:lang w:eastAsia="zh-TW"/>
        </w:rPr>
        <w:t>.</w:t>
      </w:r>
      <w:r w:rsidR="00EE0BF5">
        <w:rPr>
          <w:noProof/>
          <w:lang w:eastAsia="zh-TW"/>
        </w:rPr>
        <w:t>1</w:t>
      </w:r>
      <w:r w:rsidR="003B626A">
        <w:rPr>
          <w:szCs w:val="32"/>
        </w:rPr>
        <w:fldChar w:fldCharType="end"/>
      </w:r>
      <w:r w:rsidR="003B626A">
        <w:rPr>
          <w:rFonts w:eastAsia="PMingLiU"/>
          <w:lang w:eastAsia="zh-TW"/>
        </w:rPr>
        <w:t>)</w:t>
      </w:r>
      <w:r w:rsidR="00B43E1A" w:rsidRPr="00A27865">
        <w:rPr>
          <w:rFonts w:eastAsia="PMingLiU" w:hint="eastAsia"/>
          <w:lang w:eastAsia="zh-TW"/>
        </w:rPr>
        <w:t>:</w:t>
      </w:r>
    </w:p>
    <w:p w14:paraId="21E5D576" w14:textId="2F3994D9" w:rsidR="00B43E1A" w:rsidRPr="00F53AE4" w:rsidRDefault="00B43E1A" w:rsidP="002954B7">
      <w:pPr>
        <w:pStyle w:val="BulletListspace"/>
      </w:pPr>
      <w:r w:rsidRPr="00BB08C0">
        <w:rPr>
          <w:b/>
          <w:bCs/>
        </w:rPr>
        <w:t>WAPA-1</w:t>
      </w:r>
      <w:r w:rsidRPr="00BB08C0">
        <w:rPr>
          <w:rFonts w:hint="eastAsia"/>
          <w:b/>
          <w:bCs/>
          <w:lang w:eastAsia="zh-TW"/>
        </w:rPr>
        <w:t xml:space="preserve"> Upper Missouri</w:t>
      </w:r>
      <w:r w:rsidRPr="00BB08C0">
        <w:rPr>
          <w:b/>
          <w:bCs/>
        </w:rPr>
        <w:t>:</w:t>
      </w:r>
      <w:r w:rsidRPr="00F53AE4">
        <w:t xml:space="preserve"> </w:t>
      </w:r>
      <w:r w:rsidR="00BB08C0">
        <w:t>T</w:t>
      </w:r>
      <w:r w:rsidRPr="00F53AE4">
        <w:t xml:space="preserve">he upper Missouri River </w:t>
      </w:r>
      <w:r w:rsidR="00D41BF4">
        <w:t xml:space="preserve">system spans across </w:t>
      </w:r>
      <w:r w:rsidR="00BB08C0" w:rsidRPr="00F53AE4">
        <w:t xml:space="preserve">Montana, Wyoming, North Dakota, South Dakota, and a small part of Canada. The total drainage area of WAPA-1 </w:t>
      </w:r>
      <w:r w:rsidR="00BB08C0">
        <w:t xml:space="preserve">is around </w:t>
      </w:r>
      <w:r w:rsidR="00BB08C0" w:rsidRPr="00F53AE4">
        <w:t>280,000 mi</w:t>
      </w:r>
      <w:r w:rsidR="00BB08C0" w:rsidRPr="009348F5">
        <w:rPr>
          <w:vertAlign w:val="superscript"/>
        </w:rPr>
        <w:t>2</w:t>
      </w:r>
      <w:r w:rsidR="00BB08C0" w:rsidRPr="00F53AE4">
        <w:t>.</w:t>
      </w:r>
      <w:r w:rsidR="00BB08C0">
        <w:t xml:space="preserve"> </w:t>
      </w:r>
      <w:r w:rsidR="00BB08C0" w:rsidRPr="00F53AE4">
        <w:t xml:space="preserve">This is the largest </w:t>
      </w:r>
      <w:r w:rsidR="00BB08C0">
        <w:t xml:space="preserve">PMA study </w:t>
      </w:r>
      <w:r w:rsidR="00BB08C0" w:rsidRPr="00F53AE4">
        <w:t>area and corresponds to the eastern division of the Pick-Sloan Missouri River system of multipurpose water projects. The topography is high plains and mountains</w:t>
      </w:r>
      <w:r w:rsidR="00BB08C0">
        <w:t>,</w:t>
      </w:r>
      <w:r w:rsidR="00BB08C0" w:rsidRPr="00F53AE4">
        <w:t xml:space="preserve"> with a median elevation of 3,091 ft and </w:t>
      </w:r>
      <w:r w:rsidR="00BB08C0">
        <w:t xml:space="preserve">a </w:t>
      </w:r>
      <w:r w:rsidR="00BB08C0" w:rsidRPr="00F53AE4">
        <w:t>maximum elevation of 12,907 ft in the Rocky Mountains of western Montana. Land cover is primarily grassland (76%), plus cropland (14%) and evergreen broadleaf forest (6%).</w:t>
      </w:r>
    </w:p>
    <w:p w14:paraId="093AC4D8" w14:textId="038128AA" w:rsidR="00B43E1A" w:rsidRPr="00F53AE4" w:rsidRDefault="00B43E1A" w:rsidP="002954B7">
      <w:pPr>
        <w:pStyle w:val="BulletListspace"/>
      </w:pPr>
      <w:r w:rsidRPr="00BB08C0">
        <w:rPr>
          <w:b/>
          <w:bCs/>
        </w:rPr>
        <w:t>WAPA-2</w:t>
      </w:r>
      <w:r w:rsidRPr="00BB08C0">
        <w:rPr>
          <w:rFonts w:hint="eastAsia"/>
          <w:b/>
          <w:bCs/>
          <w:lang w:eastAsia="zh-TW"/>
        </w:rPr>
        <w:t xml:space="preserve"> Loveland Projects</w:t>
      </w:r>
      <w:r w:rsidRPr="00F53AE4">
        <w:t xml:space="preserve">: </w:t>
      </w:r>
      <w:r w:rsidR="00D41BF4">
        <w:t xml:space="preserve">Loveland projects </w:t>
      </w:r>
      <w:r w:rsidR="00BB08C0">
        <w:t xml:space="preserve">consist of multiple </w:t>
      </w:r>
      <w:r w:rsidR="00BB08C0" w:rsidRPr="00F53AE4">
        <w:t>smaller watersheds in the upper parts of the North Platte, South Platte, Bighorn, upper Arkansas, and upper Colorado Rivers</w:t>
      </w:r>
      <w:r w:rsidR="00BB08C0">
        <w:t>. WAPA</w:t>
      </w:r>
      <w:r w:rsidR="00F10FCA">
        <w:noBreakHyphen/>
      </w:r>
      <w:r w:rsidR="00BB08C0">
        <w:t>2</w:t>
      </w:r>
      <w:r w:rsidR="00BB08C0" w:rsidRPr="00F53AE4">
        <w:t xml:space="preserve"> corresponds to the Loveland Area Projects, which include the Western Division of the Pick-Sloan Missouri River Program and the Fryingpan-Arkansas Project.</w:t>
      </w:r>
      <w:r w:rsidR="00BB08C0">
        <w:t xml:space="preserve"> The combined </w:t>
      </w:r>
      <w:r w:rsidR="00BB08C0" w:rsidRPr="00F53AE4">
        <w:t>drainage area is 68,843</w:t>
      </w:r>
      <w:r w:rsidR="00607B9F">
        <w:t> </w:t>
      </w:r>
      <w:r w:rsidR="00BB08C0" w:rsidRPr="00F53AE4">
        <w:t>mi</w:t>
      </w:r>
      <w:r w:rsidR="00BB08C0" w:rsidRPr="00F53AE4">
        <w:rPr>
          <w:vertAlign w:val="superscript"/>
        </w:rPr>
        <w:t>2</w:t>
      </w:r>
      <w:r w:rsidR="00BB08C0">
        <w:t>. In addition to the local flow, t</w:t>
      </w:r>
      <w:r w:rsidR="00BB08C0" w:rsidRPr="00E30368">
        <w:t xml:space="preserve">he Colorado-Big Thompson Project </w:t>
      </w:r>
      <w:r w:rsidR="00BB08C0">
        <w:t xml:space="preserve">diverted more than </w:t>
      </w:r>
      <w:r w:rsidR="00BB08C0" w:rsidRPr="00E30368">
        <w:t>200,000 ac</w:t>
      </w:r>
      <w:r w:rsidR="00BB08C0">
        <w:t>-</w:t>
      </w:r>
      <w:r w:rsidR="00BB08C0" w:rsidRPr="00E30368">
        <w:t>ft of water each year</w:t>
      </w:r>
      <w:r w:rsidR="00BB08C0">
        <w:t xml:space="preserve"> into this area from </w:t>
      </w:r>
      <w:r w:rsidR="00BB08C0" w:rsidRPr="00E30368">
        <w:t xml:space="preserve">west of the </w:t>
      </w:r>
      <w:r w:rsidR="00114489">
        <w:t>C</w:t>
      </w:r>
      <w:r w:rsidR="00114489" w:rsidRPr="00E30368">
        <w:t xml:space="preserve">ontinental </w:t>
      </w:r>
      <w:r w:rsidR="00114489">
        <w:t>D</w:t>
      </w:r>
      <w:r w:rsidR="00114489" w:rsidRPr="00E30368">
        <w:t>ivide</w:t>
      </w:r>
      <w:r w:rsidR="00BB08C0">
        <w:t xml:space="preserve">. </w:t>
      </w:r>
      <w:r w:rsidR="00BB08C0" w:rsidRPr="00F53AE4">
        <w:t xml:space="preserve">The hydropower projects here are smaller, multipurpose Reclamation projects with primary purposes of water supply, not </w:t>
      </w:r>
      <w:r w:rsidR="00D41BF4">
        <w:t>hydro</w:t>
      </w:r>
      <w:r w:rsidR="00BB08C0" w:rsidRPr="00F53AE4">
        <w:t>power. The topography is mountainous</w:t>
      </w:r>
      <w:r w:rsidR="00BB08C0">
        <w:t>,</w:t>
      </w:r>
      <w:r w:rsidR="00BB08C0" w:rsidRPr="00F53AE4">
        <w:t xml:space="preserve"> with a median elevation of 6,880 ft and </w:t>
      </w:r>
      <w:r w:rsidR="00BB08C0">
        <w:t xml:space="preserve">a </w:t>
      </w:r>
      <w:r w:rsidR="00BB08C0" w:rsidRPr="00F53AE4">
        <w:t xml:space="preserve">maximum </w:t>
      </w:r>
      <w:r w:rsidR="00BB08C0">
        <w:t xml:space="preserve">elevation </w:t>
      </w:r>
      <w:r w:rsidR="00BB08C0" w:rsidRPr="00F53AE4">
        <w:t>of 14,035 ft. Land cover is grassland (76%), evergreen forest (14%), open s</w:t>
      </w:r>
      <w:r w:rsidR="00BB08C0">
        <w:t>c</w:t>
      </w:r>
      <w:r w:rsidR="00BB08C0" w:rsidRPr="00F53AE4">
        <w:t>rubland (2%), and cropland (2%).</w:t>
      </w:r>
    </w:p>
    <w:p w14:paraId="2E9E560E" w14:textId="6EA93F5D" w:rsidR="00B43E1A" w:rsidRPr="00F53AE4" w:rsidRDefault="00B43E1A" w:rsidP="002954B7">
      <w:pPr>
        <w:pStyle w:val="BulletListspace"/>
      </w:pPr>
      <w:r w:rsidRPr="00BB08C0">
        <w:rPr>
          <w:b/>
          <w:bCs/>
        </w:rPr>
        <w:t>WAPA-3</w:t>
      </w:r>
      <w:r w:rsidRPr="00BB08C0">
        <w:rPr>
          <w:rFonts w:hint="eastAsia"/>
          <w:b/>
          <w:bCs/>
          <w:lang w:eastAsia="zh-TW"/>
        </w:rPr>
        <w:t xml:space="preserve"> Upper Colorado</w:t>
      </w:r>
      <w:r w:rsidRPr="00F53AE4">
        <w:t xml:space="preserve">: </w:t>
      </w:r>
      <w:r w:rsidR="00BB08C0" w:rsidRPr="00F53AE4">
        <w:t xml:space="preserve">WAPA-3 consists mostly of the upper Colorado River </w:t>
      </w:r>
      <w:r w:rsidR="003653BD" w:rsidRPr="00F53AE4">
        <w:t>basin</w:t>
      </w:r>
      <w:r w:rsidR="00BB08C0" w:rsidRPr="00F53AE4">
        <w:t xml:space="preserve"> west of the </w:t>
      </w:r>
      <w:r w:rsidR="00114489" w:rsidRPr="00F53AE4">
        <w:t xml:space="preserve">Continental Divide </w:t>
      </w:r>
      <w:r w:rsidR="00BB08C0" w:rsidRPr="00F53AE4">
        <w:t>downstream to Reclamation</w:t>
      </w:r>
      <w:r w:rsidR="00805545">
        <w:t>’</w:t>
      </w:r>
      <w:r w:rsidR="00BB08C0" w:rsidRPr="00F53AE4">
        <w:t>s Glen Canyon Dam</w:t>
      </w:r>
      <w:r w:rsidR="00921E46">
        <w:t xml:space="preserve">, and also a small part of the </w:t>
      </w:r>
      <w:r w:rsidR="00921E46" w:rsidRPr="00F53AE4">
        <w:t>upper Rio Grande</w:t>
      </w:r>
      <w:r w:rsidR="00921E46">
        <w:t xml:space="preserve"> River </w:t>
      </w:r>
      <w:r w:rsidR="003653BD">
        <w:t>basin</w:t>
      </w:r>
      <w:r w:rsidR="00BB08C0" w:rsidRPr="00F53AE4">
        <w:t xml:space="preserve">. </w:t>
      </w:r>
      <w:r w:rsidR="00BB08C0">
        <w:t>The</w:t>
      </w:r>
      <w:r w:rsidR="00BB08C0" w:rsidRPr="00F53AE4">
        <w:t xml:space="preserve"> </w:t>
      </w:r>
      <w:r w:rsidR="00BB08C0">
        <w:t xml:space="preserve">total drainage </w:t>
      </w:r>
      <w:r w:rsidR="00BB08C0" w:rsidRPr="00F53AE4">
        <w:t xml:space="preserve">area </w:t>
      </w:r>
      <w:r w:rsidR="00BB08C0">
        <w:t xml:space="preserve">is around </w:t>
      </w:r>
      <w:r w:rsidR="00BB08C0" w:rsidRPr="00F53AE4">
        <w:t>147,000 mi</w:t>
      </w:r>
      <w:r w:rsidR="00BB08C0" w:rsidRPr="00F53AE4">
        <w:rPr>
          <w:vertAlign w:val="superscript"/>
        </w:rPr>
        <w:t>2</w:t>
      </w:r>
      <w:r w:rsidR="00BB08C0" w:rsidRPr="00F53AE4">
        <w:t xml:space="preserve">. The hydropower projects here are all owned and operated by Reclamation, </w:t>
      </w:r>
      <w:r w:rsidR="00F10FCA">
        <w:t>and</w:t>
      </w:r>
      <w:r w:rsidR="00F10FCA" w:rsidRPr="00F53AE4">
        <w:t xml:space="preserve"> </w:t>
      </w:r>
      <w:r w:rsidR="00BB08C0" w:rsidRPr="00F53AE4">
        <w:t xml:space="preserve">they range widely in size. Topography also varies widely from the mountains in Colorado and Utah to arid plains in New Mexico. Median </w:t>
      </w:r>
      <w:r w:rsidR="009C3E73">
        <w:t xml:space="preserve">elevation is 6,880 ft, </w:t>
      </w:r>
      <w:r w:rsidR="00BB08C0" w:rsidRPr="00F53AE4">
        <w:t xml:space="preserve">and maximum elevation </w:t>
      </w:r>
      <w:r w:rsidR="009C3E73">
        <w:t xml:space="preserve">is </w:t>
      </w:r>
      <w:r w:rsidR="00BB08C0" w:rsidRPr="00F53AE4">
        <w:t>14,003 ft. Land cover is a mix of grassland (47%), open s</w:t>
      </w:r>
      <w:r w:rsidR="00BB08C0">
        <w:t>c</w:t>
      </w:r>
      <w:r w:rsidR="00BB08C0" w:rsidRPr="00F53AE4">
        <w:t>rubland (24%), evergreen forest (11%), and woody savanna (4%).</w:t>
      </w:r>
    </w:p>
    <w:p w14:paraId="0B582AC9" w14:textId="4AB2C778" w:rsidR="00B43E1A" w:rsidRPr="00F53AE4" w:rsidRDefault="00B43E1A" w:rsidP="002954B7">
      <w:pPr>
        <w:pStyle w:val="BulletListspace"/>
      </w:pPr>
      <w:r w:rsidRPr="00BB08C0">
        <w:rPr>
          <w:b/>
          <w:bCs/>
        </w:rPr>
        <w:t>WAPA-4</w:t>
      </w:r>
      <w:r w:rsidRPr="00BB08C0">
        <w:rPr>
          <w:rFonts w:hint="eastAsia"/>
          <w:b/>
          <w:bCs/>
          <w:lang w:eastAsia="zh-TW"/>
        </w:rPr>
        <w:t xml:space="preserve"> Lower Colorado</w:t>
      </w:r>
      <w:r w:rsidRPr="00F53AE4">
        <w:t xml:space="preserve">: </w:t>
      </w:r>
      <w:r w:rsidR="00921E46">
        <w:t>T</w:t>
      </w:r>
      <w:r w:rsidRPr="00F53AE4">
        <w:t xml:space="preserve">he lower Colorado River </w:t>
      </w:r>
      <w:r w:rsidR="003653BD" w:rsidRPr="00F53AE4">
        <w:t>basin</w:t>
      </w:r>
      <w:r w:rsidR="00921E46">
        <w:t xml:space="preserve"> </w:t>
      </w:r>
      <w:r w:rsidR="00921E46" w:rsidRPr="00F53AE4">
        <w:t>downstream of Glen Canyon Dam</w:t>
      </w:r>
      <w:r w:rsidRPr="00F53AE4">
        <w:t xml:space="preserve"> includ</w:t>
      </w:r>
      <w:r w:rsidR="00921E46">
        <w:t>es</w:t>
      </w:r>
      <w:r w:rsidRPr="00F53AE4">
        <w:t xml:space="preserve"> Reclamation</w:t>
      </w:r>
      <w:r w:rsidR="00805545">
        <w:t>’</w:t>
      </w:r>
      <w:r w:rsidRPr="00F53AE4">
        <w:t>s Hoover, Davis, and Parker Dams</w:t>
      </w:r>
      <w:r w:rsidR="00BB08C0">
        <w:t xml:space="preserve">. </w:t>
      </w:r>
      <w:r w:rsidR="00BB08C0" w:rsidRPr="00F53AE4">
        <w:t>The drainage area is 182,000 mi</w:t>
      </w:r>
      <w:r w:rsidR="00BB08C0" w:rsidRPr="00F53AE4">
        <w:rPr>
          <w:vertAlign w:val="superscript"/>
        </w:rPr>
        <w:t>2</w:t>
      </w:r>
      <w:r w:rsidR="00BB08C0" w:rsidRPr="00F53AE4">
        <w:t xml:space="preserve">, including the upper Colorado above Glen Canyon. Topography is diverse, ranging from the western slope of the Rocky Mountains to the deserts of Arizona and Nevada. Median elevation is 5,561 ft, and maximum </w:t>
      </w:r>
      <w:r w:rsidR="00BB08C0">
        <w:t xml:space="preserve">elevation </w:t>
      </w:r>
      <w:r w:rsidR="00BB08C0" w:rsidRPr="00F53AE4">
        <w:t>is over 14,000 ft. Land cover is mostly open s</w:t>
      </w:r>
      <w:r w:rsidR="00BB08C0">
        <w:t>c</w:t>
      </w:r>
      <w:r w:rsidR="00BB08C0" w:rsidRPr="00F53AE4">
        <w:t>rubland (69%), with minor amounts of grassland (14%), closed s</w:t>
      </w:r>
      <w:r w:rsidR="00BB08C0">
        <w:t>c</w:t>
      </w:r>
      <w:r w:rsidR="00BB08C0" w:rsidRPr="00F53AE4">
        <w:t>rubland (10%), and woody savanna (3%).</w:t>
      </w:r>
    </w:p>
    <w:p w14:paraId="506E1060" w14:textId="240E5251" w:rsidR="00B43E1A" w:rsidRPr="00F53AE4" w:rsidRDefault="00B43E1A" w:rsidP="002954B7">
      <w:pPr>
        <w:pStyle w:val="BulletListspace"/>
      </w:pPr>
      <w:r w:rsidRPr="00BB08C0">
        <w:rPr>
          <w:b/>
          <w:bCs/>
        </w:rPr>
        <w:t>WAPA-5</w:t>
      </w:r>
      <w:r w:rsidRPr="00BB08C0">
        <w:rPr>
          <w:rFonts w:hint="eastAsia"/>
          <w:b/>
          <w:bCs/>
          <w:lang w:eastAsia="zh-TW"/>
        </w:rPr>
        <w:t xml:space="preserve"> Rio Grande</w:t>
      </w:r>
      <w:r w:rsidRPr="00F53AE4">
        <w:t xml:space="preserve">: </w:t>
      </w:r>
      <w:r w:rsidR="00921E46">
        <w:t>T</w:t>
      </w:r>
      <w:r w:rsidRPr="00F53AE4">
        <w:t>he lower Rio Grande River</w:t>
      </w:r>
      <w:r w:rsidR="00921E46" w:rsidRPr="00921E46">
        <w:t xml:space="preserve"> </w:t>
      </w:r>
      <w:r w:rsidR="00921E46" w:rsidRPr="00F53AE4">
        <w:t>along the Texas</w:t>
      </w:r>
      <w:r w:rsidR="00921E46">
        <w:t>-</w:t>
      </w:r>
      <w:r w:rsidR="00921E46" w:rsidRPr="00F53AE4">
        <w:t>Mexico border</w:t>
      </w:r>
      <w:r w:rsidRPr="00F53AE4">
        <w:t xml:space="preserve"> includ</w:t>
      </w:r>
      <w:r w:rsidR="00921E46">
        <w:t>es</w:t>
      </w:r>
      <w:r w:rsidRPr="00F53AE4">
        <w:t xml:space="preserve"> </w:t>
      </w:r>
      <w:r w:rsidR="00921E46" w:rsidRPr="00F53AE4">
        <w:t>Falcon</w:t>
      </w:r>
      <w:r w:rsidR="00921E46">
        <w:t xml:space="preserve"> and </w:t>
      </w:r>
      <w:r w:rsidR="00921E46" w:rsidRPr="00F53AE4">
        <w:t xml:space="preserve">Amistad </w:t>
      </w:r>
      <w:r w:rsidR="00921E46">
        <w:t xml:space="preserve">Dams </w:t>
      </w:r>
      <w:r w:rsidRPr="00F53AE4">
        <w:t xml:space="preserve">operated by </w:t>
      </w:r>
      <w:r>
        <w:t xml:space="preserve">the </w:t>
      </w:r>
      <w:r w:rsidRPr="00F53AE4">
        <w:t>IBWC</w:t>
      </w:r>
      <w:r w:rsidR="00BB08C0">
        <w:t xml:space="preserve">. </w:t>
      </w:r>
      <w:r w:rsidR="00BB08C0" w:rsidRPr="00F53AE4">
        <w:t>The drainage area contributing water to these two IBWC projects is over 200,000 mi</w:t>
      </w:r>
      <w:r w:rsidR="00BB08C0" w:rsidRPr="00F53AE4">
        <w:rPr>
          <w:vertAlign w:val="superscript"/>
        </w:rPr>
        <w:t>2</w:t>
      </w:r>
      <w:r w:rsidR="00BB08C0" w:rsidRPr="00F53AE4">
        <w:t>, including the headwaters of the Rio Grande in New Mexico</w:t>
      </w:r>
      <w:r w:rsidR="00BB08C0">
        <w:t>,</w:t>
      </w:r>
      <w:r w:rsidR="00BB08C0" w:rsidRPr="00F53AE4">
        <w:t xml:space="preserve"> and 71,000 mi</w:t>
      </w:r>
      <w:r w:rsidR="00BB08C0" w:rsidRPr="00F53AE4">
        <w:rPr>
          <w:vertAlign w:val="superscript"/>
        </w:rPr>
        <w:t>2</w:t>
      </w:r>
      <w:r w:rsidR="00BB08C0" w:rsidRPr="00F53AE4">
        <w:t xml:space="preserve"> in Mexico. </w:t>
      </w:r>
      <w:r w:rsidR="009C3E73">
        <w:t xml:space="preserve">WAPA-5 </w:t>
      </w:r>
      <w:r w:rsidR="00BB08C0" w:rsidRPr="00F53AE4">
        <w:t xml:space="preserve">is a much more arid area than other </w:t>
      </w:r>
      <w:r w:rsidR="00BB08C0">
        <w:t>PMA study areas</w:t>
      </w:r>
      <w:r w:rsidR="00BB08C0" w:rsidRPr="00F53AE4">
        <w:t xml:space="preserve">. Median and </w:t>
      </w:r>
      <w:r w:rsidR="00BB08C0" w:rsidRPr="00F53AE4">
        <w:lastRenderedPageBreak/>
        <w:t xml:space="preserve">maximum elevations are 4,035 and 13,776 ft, respectively, </w:t>
      </w:r>
      <w:r w:rsidR="00BB08C0">
        <w:t xml:space="preserve">which are </w:t>
      </w:r>
      <w:r w:rsidR="00BB08C0" w:rsidRPr="00F53AE4">
        <w:t xml:space="preserve">still relatively high except for </w:t>
      </w:r>
      <w:r w:rsidR="00BB08C0">
        <w:t xml:space="preserve">in </w:t>
      </w:r>
      <w:r w:rsidR="00BB08C0" w:rsidRPr="00F53AE4">
        <w:t>the immediate area of the two hydropower projects. Most of the land cover is open s</w:t>
      </w:r>
      <w:r w:rsidR="00BB08C0">
        <w:t>c</w:t>
      </w:r>
      <w:r w:rsidR="00BB08C0" w:rsidRPr="00F53AE4">
        <w:t>rubland (56%), with a mix of grassland (28%), closed s</w:t>
      </w:r>
      <w:r w:rsidR="00BB08C0">
        <w:t>c</w:t>
      </w:r>
      <w:r w:rsidR="00BB08C0" w:rsidRPr="00F53AE4">
        <w:t>rubland (9%), and woody savanna</w:t>
      </w:r>
      <w:r w:rsidR="00BB08C0">
        <w:t> </w:t>
      </w:r>
      <w:r w:rsidR="00BB08C0" w:rsidRPr="00F53AE4">
        <w:t>(4%).</w:t>
      </w:r>
    </w:p>
    <w:p w14:paraId="297704EC" w14:textId="42DBC9EE" w:rsidR="00B43E1A" w:rsidRPr="00F53AE4" w:rsidRDefault="00B43E1A" w:rsidP="002954B7">
      <w:pPr>
        <w:pStyle w:val="BulletListspace"/>
      </w:pPr>
      <w:r w:rsidRPr="00BB08C0">
        <w:rPr>
          <w:b/>
          <w:bCs/>
        </w:rPr>
        <w:t>WAPA-6</w:t>
      </w:r>
      <w:r w:rsidRPr="00BB08C0">
        <w:rPr>
          <w:rFonts w:hint="eastAsia"/>
          <w:b/>
          <w:bCs/>
          <w:lang w:eastAsia="zh-TW"/>
        </w:rPr>
        <w:t xml:space="preserve"> California</w:t>
      </w:r>
      <w:r w:rsidRPr="00F53AE4">
        <w:t xml:space="preserve">: </w:t>
      </w:r>
      <w:r w:rsidR="00921E46">
        <w:t xml:space="preserve">WAPA-6 includes </w:t>
      </w:r>
      <w:r w:rsidRPr="00F53AE4">
        <w:t xml:space="preserve">the Central Valley of California (Trinity, Sacramento, American, Stanislaus, and San Joaquin </w:t>
      </w:r>
      <w:r w:rsidR="009C3E73" w:rsidRPr="00F53AE4">
        <w:t xml:space="preserve">River </w:t>
      </w:r>
      <w:r w:rsidRPr="00F53AE4">
        <w:t>systems) and Truckee and lower Carson River systems</w:t>
      </w:r>
      <w:r w:rsidR="00BB08C0">
        <w:t xml:space="preserve">. </w:t>
      </w:r>
      <w:r w:rsidR="00BB08C0" w:rsidRPr="00F53AE4">
        <w:t xml:space="preserve">The </w:t>
      </w:r>
      <w:r w:rsidR="009C3E73">
        <w:t xml:space="preserve">elevation </w:t>
      </w:r>
      <w:r w:rsidR="00BB08C0" w:rsidRPr="00F53AE4">
        <w:t>range</w:t>
      </w:r>
      <w:r w:rsidR="009C3E73">
        <w:t>s</w:t>
      </w:r>
      <w:r w:rsidR="00BB08C0" w:rsidRPr="00F53AE4">
        <w:t xml:space="preserve"> from 79 to 13,317 ft, with a median </w:t>
      </w:r>
      <w:r w:rsidR="00CA6CEE">
        <w:t xml:space="preserve">elevation </w:t>
      </w:r>
      <w:r w:rsidR="00BB08C0" w:rsidRPr="00F53AE4">
        <w:t>of 4,754 ft. Land cover is mostly evergreen broadleaf forest (54%), plus woody savannas (20%), grassland (14%), and cropland (3%).</w:t>
      </w:r>
    </w:p>
    <w:p w14:paraId="37AD89DF" w14:textId="289A3B71" w:rsidR="00A27865" w:rsidRPr="00A27865" w:rsidRDefault="00A27865" w:rsidP="00A27865">
      <w:pPr>
        <w:pStyle w:val="Heading3"/>
      </w:pPr>
      <w:bookmarkStart w:id="343" w:name="_Toc364409025"/>
      <w:bookmarkStart w:id="344" w:name="_Toc364412934"/>
      <w:bookmarkStart w:id="345" w:name="_Ref95319436"/>
      <w:bookmarkStart w:id="346" w:name="_Toc113380810"/>
      <w:r w:rsidRPr="00A27865">
        <w:t xml:space="preserve">Power Marketing </w:t>
      </w:r>
      <w:r w:rsidR="00E0058B">
        <w:t>by</w:t>
      </w:r>
      <w:r w:rsidRPr="00A27865">
        <w:t xml:space="preserve"> </w:t>
      </w:r>
      <w:bookmarkEnd w:id="343"/>
      <w:bookmarkEnd w:id="344"/>
      <w:r w:rsidR="00DB1870">
        <w:t>WAPA</w:t>
      </w:r>
      <w:bookmarkEnd w:id="345"/>
      <w:bookmarkEnd w:id="346"/>
    </w:p>
    <w:p w14:paraId="4014DDF7" w14:textId="7A76FDB8" w:rsidR="00317F1F" w:rsidRDefault="00317F1F" w:rsidP="00E13D49">
      <w:pPr>
        <w:pStyle w:val="BodyText"/>
      </w:pPr>
      <w:r>
        <w:t xml:space="preserve">WAPA is the newest PMA, created by the DOE Organization Act in 1977. </w:t>
      </w:r>
      <w:r w:rsidR="009C3E73">
        <w:t>Until 1977</w:t>
      </w:r>
      <w:r>
        <w:t xml:space="preserve">, marketing of electricity sales from that portion of the federal hydropower fleet </w:t>
      </w:r>
      <w:r w:rsidR="009C3E73">
        <w:t>was</w:t>
      </w:r>
      <w:r>
        <w:t xml:space="preserve"> conducted by Reclamation. WAPA markets the electricity from 58 hydropower plants located in 11 states, operates more than 17,000</w:t>
      </w:r>
      <w:r w:rsidR="00607B9F">
        <w:t> </w:t>
      </w:r>
      <w:r>
        <w:t xml:space="preserve">mi of transmission lines, and manages four balancing authorities. It is the largest PMA by footprint of area served. Its 672 customers are distributed across 17 states. Sixty percent of customers are either municipalities or Native American tribes. Cooperatives, political subdivisions, and government (federal and state) agencies make up the rest of its long-term customers. It also has other short-term, non-firm marketing arrangements with </w:t>
      </w:r>
      <w:r w:rsidR="00E61334">
        <w:t>IOUs</w:t>
      </w:r>
      <w:r>
        <w:t xml:space="preserve"> and power marketers.</w:t>
      </w:r>
    </w:p>
    <w:p w14:paraId="7B941316" w14:textId="5D59B897" w:rsidR="00317F1F" w:rsidRDefault="00317F1F" w:rsidP="00E13D49">
      <w:pPr>
        <w:pStyle w:val="BodyText"/>
      </w:pPr>
      <w:r>
        <w:t xml:space="preserve">A general description of a PMA and its marketing practices is presented in Section </w:t>
      </w:r>
      <w:r>
        <w:fldChar w:fldCharType="begin"/>
      </w:r>
      <w:r>
        <w:instrText xml:space="preserve"> REF _Ref425756051 \r \h </w:instrText>
      </w:r>
      <w:r w:rsidR="00E13D49">
        <w:instrText xml:space="preserve"> \* MERGEFORMAT </w:instrText>
      </w:r>
      <w:r>
        <w:fldChar w:fldCharType="separate"/>
      </w:r>
      <w:r w:rsidR="00EE0BF5">
        <w:t>1.2.2</w:t>
      </w:r>
      <w:r>
        <w:fldChar w:fldCharType="end"/>
      </w:r>
      <w:r>
        <w:t>. Apart from legislation authorizing or defining the mission of specific WAPA projects, one legislative item that applies across WAPA (and not to other PMAs) is Section 114 of the Energy Policy Act of 1992. It requires WAPA</w:t>
      </w:r>
      <w:r w:rsidR="00805545">
        <w:t>’</w:t>
      </w:r>
      <w:r>
        <w:t>s long-term firm power customers to submit integrated resource plans every five years</w:t>
      </w:r>
      <w:r w:rsidR="00110919">
        <w:t>;</w:t>
      </w:r>
      <w:r>
        <w:t xml:space="preserve"> a full range of alternatives, </w:t>
      </w:r>
      <w:r w:rsidR="00110919">
        <w:t xml:space="preserve">including </w:t>
      </w:r>
      <w:r>
        <w:t xml:space="preserve">construction of new generating capacity </w:t>
      </w:r>
      <w:r w:rsidR="00110919">
        <w:t xml:space="preserve">and </w:t>
      </w:r>
      <w:r>
        <w:t xml:space="preserve">purchased power and energy efficiency, </w:t>
      </w:r>
      <w:r w:rsidR="00110919">
        <w:t xml:space="preserve">is </w:t>
      </w:r>
      <w:r>
        <w:t xml:space="preserve">considered to provide adequate and reliable service to their customers at the lowest system cost. This requirement effectively resulted in customers having to make their resource planning process more open and participatory, </w:t>
      </w:r>
      <w:r w:rsidR="00744596">
        <w:t>consider</w:t>
      </w:r>
      <w:r>
        <w:t xml:space="preserve"> nontraditional energy generation </w:t>
      </w:r>
      <w:r w:rsidR="00744596">
        <w:t>technologies</w:t>
      </w:r>
      <w:r w:rsidR="00110919">
        <w:t>,</w:t>
      </w:r>
      <w:r w:rsidR="00744596">
        <w:t xml:space="preserve"> and</w:t>
      </w:r>
      <w:r>
        <w:t xml:space="preserve"> </w:t>
      </w:r>
      <w:r w:rsidR="00110919">
        <w:t xml:space="preserve">consider </w:t>
      </w:r>
      <w:r>
        <w:t>both economic and environmental costs in their decisions.</w:t>
      </w:r>
      <w:r>
        <w:rPr>
          <w:rStyle w:val="FootnoteReference"/>
        </w:rPr>
        <w:footnoteReference w:id="24"/>
      </w:r>
    </w:p>
    <w:p w14:paraId="3B8718F9" w14:textId="398C941C" w:rsidR="00317F1F" w:rsidRDefault="00317F1F" w:rsidP="00E13D49">
      <w:pPr>
        <w:pStyle w:val="BodyText"/>
      </w:pPr>
      <w:bookmarkStart w:id="347" w:name="_Ref72854060"/>
      <w:r>
        <w:t xml:space="preserve">For the purposes of developing power marketing plans and setting power tariffs, the federal fleet marketed by WAPA is divided into nine projects. The </w:t>
      </w:r>
      <w:r w:rsidR="00736FD7">
        <w:t xml:space="preserve">upper </w:t>
      </w:r>
      <w:r>
        <w:t xml:space="preserve">Great Plains </w:t>
      </w:r>
      <w:r w:rsidR="00734BEF">
        <w:t xml:space="preserve">(UGP) </w:t>
      </w:r>
      <w:r>
        <w:t xml:space="preserve">region sells power from the </w:t>
      </w:r>
      <w:r w:rsidRPr="007A47BF">
        <w:t xml:space="preserve">Pick-Sloan Missouri Basin Program </w:t>
      </w:r>
      <w:r>
        <w:t>(</w:t>
      </w:r>
      <w:r w:rsidRPr="007A47BF">
        <w:t>Eastern Division</w:t>
      </w:r>
      <w:r>
        <w:t>), WAPA</w:t>
      </w:r>
      <w:r w:rsidR="00805545">
        <w:t>’</w:t>
      </w:r>
      <w:r>
        <w:t xml:space="preserve">s Rocky Mountain region markets power from the Loveland Area </w:t>
      </w:r>
      <w:r w:rsidR="00607B9F">
        <w:t>Project</w:t>
      </w:r>
      <w:r>
        <w:t xml:space="preserve">, the Sierra Nevada region manages marketing for the Central Valley-Washoe project, the </w:t>
      </w:r>
      <w:r w:rsidR="00DF1BBF">
        <w:t>DSW</w:t>
      </w:r>
      <w:r>
        <w:t xml:space="preserve"> region markets power from the Boulder Canyon and Parker-Davis projects, and the </w:t>
      </w:r>
      <w:r w:rsidR="00E80222" w:rsidRPr="003D6F00">
        <w:rPr>
          <w:rFonts w:eastAsia="Times New Roman"/>
        </w:rPr>
        <w:t>Colorado River Storage Project</w:t>
      </w:r>
      <w:r w:rsidR="00E80222">
        <w:t xml:space="preserve"> (</w:t>
      </w:r>
      <w:r>
        <w:t>CRSP</w:t>
      </w:r>
      <w:r w:rsidR="00E80222">
        <w:t>)</w:t>
      </w:r>
      <w:r>
        <w:t xml:space="preserve"> region markets the output from the </w:t>
      </w:r>
      <w:r w:rsidRPr="007A47BF">
        <w:t>Salt Lake City Area/Integrated Projects</w:t>
      </w:r>
      <w:r>
        <w:t>, Provo River, Falcon-Amistad, and Olmsted</w:t>
      </w:r>
      <w:r w:rsidRPr="007A47BF">
        <w:t>.</w:t>
      </w:r>
      <w:r>
        <w:rPr>
          <w:rStyle w:val="FootnoteReference"/>
        </w:rPr>
        <w:footnoteReference w:id="25"/>
      </w:r>
    </w:p>
    <w:p w14:paraId="48D5EDAF" w14:textId="7EBAD6F4" w:rsidR="00317F1F" w:rsidRDefault="00317F1F" w:rsidP="00E13D49">
      <w:pPr>
        <w:pStyle w:val="BodyText"/>
      </w:pPr>
      <w:r>
        <w:t xml:space="preserve">Contract terms and electricity rates vary </w:t>
      </w:r>
      <w:r w:rsidR="0089546A">
        <w:t>substantial</w:t>
      </w:r>
      <w:r>
        <w:t>ly across projects</w:t>
      </w:r>
      <w:r w:rsidR="00EC42D8">
        <w:t>,</w:t>
      </w:r>
      <w:r>
        <w:t xml:space="preserve"> reflecting differences in hydrologic conditions and operational constraints. Reclamation issues the Records of Decision for each project</w:t>
      </w:r>
      <w:r w:rsidR="00EC42D8">
        <w:t>,</w:t>
      </w:r>
      <w:r>
        <w:t xml:space="preserve"> detailing their operational restrictions based on authorized purposes and environmental requirements (Fernandez, 2020). In terms of the type of product sold, the projects can be separated into three groups: Loveland, Parker-Davis, Pick-Sloan Missouri Basin </w:t>
      </w:r>
      <w:r w:rsidR="006C6778">
        <w:t>(</w:t>
      </w:r>
      <w:r>
        <w:t>Eastern Division</w:t>
      </w:r>
      <w:r w:rsidR="006C6778">
        <w:t>)</w:t>
      </w:r>
      <w:r>
        <w:t xml:space="preserve">, and Salt Lake City Area/Integrated Projects. These projects sell firm power and energy, typically setting different amounts for winter and summer. Their customers </w:t>
      </w:r>
      <w:r w:rsidR="00EC42D8">
        <w:t>can</w:t>
      </w:r>
      <w:r>
        <w:t xml:space="preserve"> set their daily requested energy/capacity schedule within the </w:t>
      </w:r>
      <w:r>
        <w:lastRenderedPageBreak/>
        <w:t>bounds of the operational constraints and capacity limits. The product offered from the Central Valley, Olmsted, Falcon-Amistad, and Provo River projects is energy only.</w:t>
      </w:r>
      <w:r>
        <w:rPr>
          <w:rStyle w:val="FootnoteReference"/>
        </w:rPr>
        <w:footnoteReference w:id="26"/>
      </w:r>
      <w:r>
        <w:t xml:space="preserve"> Finally, starting in 2017, the Boulder Canyon Project markets long-term contingent capacity and firm energy, with capacity depending largely on Lake Mead elevation.</w:t>
      </w:r>
    </w:p>
    <w:p w14:paraId="520C3B9F" w14:textId="5A1704A7" w:rsidR="00317F1F" w:rsidRDefault="00317F1F" w:rsidP="00E13D49">
      <w:pPr>
        <w:pStyle w:val="BodyText"/>
      </w:pPr>
      <w:r>
        <w:t xml:space="preserve">Except for the Falcon-Amistad project, all others have either published new marketing plans within the past decade or are in the process of developing them. The Boulder Canyon project </w:t>
      </w:r>
      <w:r w:rsidR="008947CF">
        <w:t xml:space="preserve">underwent </w:t>
      </w:r>
      <w:r>
        <w:t>a full remarketing effort because it needed to implement changes to its marketing practices following the Hoover Power Allocation Act of 2011. For other projects, the key marketing principles remain unchanged in the latest plans, but there have been amendments to aspects like contract terms and resource pool allocations to new customers.</w:t>
      </w:r>
    </w:p>
    <w:p w14:paraId="3A5835ED" w14:textId="77777777" w:rsidR="00317F1F" w:rsidRDefault="00317F1F" w:rsidP="00E13D49">
      <w:pPr>
        <w:pStyle w:val="BodyText"/>
      </w:pPr>
      <w:r>
        <w:t>Determining marketable power resources is one of the key terms set in power marketing plans. For projects offering firm power, the capacity (contract rate of delivery) is typically set at the level consistent with a 90% exceedance (i.e., the amount of capacity available at least 90% of the time). Firm energy is the average or median projected amount. Some capacity and energy are reserved for project use and ancillary services provisions rather than marketed to preference customers. For instance, CRSP contributes 40 MW of capacity for frequency regulation and 30 MW of capacity for contingency reserves as a member of the Northwest Power Pool (Fernandez, 2020).</w:t>
      </w:r>
    </w:p>
    <w:p w14:paraId="6519A5E7" w14:textId="244F3D28" w:rsidR="00317F1F" w:rsidRDefault="00317F1F" w:rsidP="00E13D49">
      <w:pPr>
        <w:pStyle w:val="BodyText"/>
      </w:pPr>
      <w:r>
        <w:t xml:space="preserve">Reserving a percentage of the marketable resource for new customers helps supports the </w:t>
      </w:r>
      <w:r w:rsidR="00930433">
        <w:t>“</w:t>
      </w:r>
      <w:r>
        <w:t>most widespread use</w:t>
      </w:r>
      <w:r w:rsidR="00930433">
        <w:t>”</w:t>
      </w:r>
      <w:r>
        <w:t xml:space="preserve"> of the federal hydropower, as mandated by the Flood Control Act of 1944 (Ch. 665, 58 Stat. 887). The Boulder Canyon project set aside a 5% resource pool for new customers in its post-2017 allocations. The number of Boulder Canyon project customers went from 15 to 46 after 2017, with new allocations ranging from 100 kW to 3 MW. Similar resource pools are set aside in </w:t>
      </w:r>
      <w:r w:rsidR="008947CF">
        <w:t xml:space="preserve">the </w:t>
      </w:r>
      <w:r>
        <w:t>Central Valley Project</w:t>
      </w:r>
      <w:r w:rsidR="0003382C">
        <w:t>s</w:t>
      </w:r>
      <w:r>
        <w:t xml:space="preserve"> (2% in 2025 and an additional 1% in 2040), Loveland </w:t>
      </w:r>
      <w:r w:rsidR="0003382C">
        <w:t xml:space="preserve">Area Projects, </w:t>
      </w:r>
      <w:r>
        <w:t>and Pick</w:t>
      </w:r>
      <w:r w:rsidR="00EA1802">
        <w:t>-</w:t>
      </w:r>
      <w:r>
        <w:t xml:space="preserve">Sloan Missouri </w:t>
      </w:r>
      <w:r w:rsidR="004E32C8">
        <w:t>basin</w:t>
      </w:r>
      <w:r>
        <w:t xml:space="preserve"> (up to 1% every </w:t>
      </w:r>
      <w:r w:rsidR="00A74954">
        <w:t xml:space="preserve">10 </w:t>
      </w:r>
      <w:r>
        <w:t>years for the duration of the marketing plan). Salt Lake City Area/Integrated Projects is the only one where the latest marketing plan does not include a resource pool for new customers.</w:t>
      </w:r>
    </w:p>
    <w:p w14:paraId="23FE82D6" w14:textId="5BF2DD0A" w:rsidR="00317F1F" w:rsidRDefault="00317F1F" w:rsidP="00E13D49">
      <w:pPr>
        <w:pStyle w:val="BodyText"/>
      </w:pPr>
      <w:r>
        <w:t>Many of the latest revisions to power marketing plans have resulted in longer contract terms. Contract term</w:t>
      </w:r>
      <w:r w:rsidR="008947CF">
        <w:t>s</w:t>
      </w:r>
      <w:r>
        <w:t xml:space="preserve"> lengthened from 30 years to 50 years in Boulder Canyon, and from 20 years to 30 years in </w:t>
      </w:r>
      <w:r w:rsidR="008947CF">
        <w:t xml:space="preserve">the </w:t>
      </w:r>
      <w:r>
        <w:t>Central Valley Project</w:t>
      </w:r>
      <w:r w:rsidR="0003382C">
        <w:t>s</w:t>
      </w:r>
      <w:r>
        <w:t>, Loveland Area</w:t>
      </w:r>
      <w:r w:rsidR="00EA1802">
        <w:t xml:space="preserve"> Project</w:t>
      </w:r>
      <w:r w:rsidR="00A96112">
        <w:t>s</w:t>
      </w:r>
      <w:r>
        <w:t xml:space="preserve">, and Pick-Sloan Missouri </w:t>
      </w:r>
      <w:r w:rsidR="004E32C8">
        <w:t>basin</w:t>
      </w:r>
      <w:r>
        <w:t xml:space="preserve">. Customers have generally been in favor of the longer terms because </w:t>
      </w:r>
      <w:r w:rsidR="00EA1802">
        <w:t xml:space="preserve">the longer terms </w:t>
      </w:r>
      <w:r>
        <w:t xml:space="preserve">provide them </w:t>
      </w:r>
      <w:r w:rsidR="00EA1802">
        <w:t xml:space="preserve">with </w:t>
      </w:r>
      <w:r>
        <w:t>stability in their resource planning. WAPA retains some flexibility to make changes during the life of the contracts through a provision in its marketing plans. The PMA can adjust allocations based on changes in hydrology or river operations with five years</w:t>
      </w:r>
      <w:r w:rsidR="00805545">
        <w:t>’</w:t>
      </w:r>
      <w:r>
        <w:t xml:space="preserve"> prior notice.</w:t>
      </w:r>
    </w:p>
    <w:p w14:paraId="75EDFF24" w14:textId="0D030A2E" w:rsidR="00317F1F" w:rsidRDefault="000A6228" w:rsidP="00E13D49">
      <w:pPr>
        <w:pStyle w:val="BodyText"/>
      </w:pPr>
      <w:r>
        <w:fldChar w:fldCharType="begin"/>
      </w:r>
      <w:r>
        <w:instrText xml:space="preserve"> REF _Ref76021782 \h </w:instrText>
      </w:r>
      <w:r w:rsidR="00E13D49">
        <w:instrText xml:space="preserve"> \* MERGEFORMAT </w:instrText>
      </w:r>
      <w:r>
        <w:fldChar w:fldCharType="separate"/>
      </w:r>
      <w:r w:rsidR="00EE0BF5" w:rsidRPr="00EE0BF5">
        <w:t xml:space="preserve">Table </w:t>
      </w:r>
      <w:r w:rsidR="00EE0BF5" w:rsidRPr="00EE0BF5">
        <w:rPr>
          <w:noProof/>
        </w:rPr>
        <w:t>4.2</w:t>
      </w:r>
      <w:r>
        <w:fldChar w:fldCharType="end"/>
      </w:r>
      <w:r w:rsidR="00317F1F">
        <w:t xml:space="preserve"> displays the capacity and energy rates from projects selling firm power. Within them, Boulder Canyon differs in that it sells contingent capacity with associated firm energy. The rest of projects (Central Valley, Provo River, Olmsted, </w:t>
      </w:r>
      <w:r w:rsidR="0093227E">
        <w:t xml:space="preserve">and </w:t>
      </w:r>
      <w:r w:rsidR="00317F1F">
        <w:t xml:space="preserve">Falcon-Amistad) have an annual repayment schedule that is allocated among the customers in exchange for the same percentage of project output. Therefore, in those projects, the price per </w:t>
      </w:r>
      <w:r w:rsidR="0093227E">
        <w:t xml:space="preserve">kilowatt-hour </w:t>
      </w:r>
      <w:r w:rsidR="00317F1F">
        <w:t>varies by year depending on energy availability.</w:t>
      </w:r>
    </w:p>
    <w:p w14:paraId="44393087" w14:textId="1460FED2" w:rsidR="00D708FE" w:rsidRPr="00FB708B" w:rsidRDefault="00D708FE" w:rsidP="00D708FE">
      <w:pPr>
        <w:pStyle w:val="TableCaption"/>
        <w:rPr>
          <w:b w:val="0"/>
          <w:bCs/>
          <w:szCs w:val="20"/>
        </w:rPr>
      </w:pPr>
      <w:bookmarkStart w:id="348" w:name="_Ref76021782"/>
      <w:bookmarkStart w:id="349" w:name="_Toc113380980"/>
      <w:r w:rsidRPr="004C5793">
        <w:rPr>
          <w:rFonts w:eastAsia="PMingLiU"/>
          <w:lang w:bidi="en-US"/>
        </w:rPr>
        <w:lastRenderedPageBreak/>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4</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2</w:t>
      </w:r>
      <w:r w:rsidRPr="004C5793">
        <w:rPr>
          <w:rFonts w:eastAsia="PMingLiU"/>
          <w:lang w:bidi="en-US"/>
        </w:rPr>
        <w:fldChar w:fldCharType="end"/>
      </w:r>
      <w:bookmarkEnd w:id="347"/>
      <w:bookmarkEnd w:id="348"/>
      <w:r w:rsidRPr="004C5793">
        <w:rPr>
          <w:rFonts w:eastAsia="PMingLiU"/>
          <w:lang w:bidi="en-US"/>
        </w:rPr>
        <w:t>.</w:t>
      </w:r>
      <w:r w:rsidRPr="004C5793">
        <w:rPr>
          <w:rFonts w:eastAsia="PMingLiU"/>
          <w:b w:val="0"/>
          <w:lang w:bidi="en-US"/>
        </w:rPr>
        <w:t xml:space="preserve"> </w:t>
      </w:r>
      <w:r w:rsidRPr="00D708FE">
        <w:rPr>
          <w:rFonts w:eastAsia="PMingLiU"/>
          <w:lang w:eastAsia="zh-TW" w:bidi="en-US"/>
        </w:rPr>
        <w:t xml:space="preserve">WAPA </w:t>
      </w:r>
      <w:r w:rsidR="008A3C70">
        <w:rPr>
          <w:rFonts w:eastAsia="PMingLiU"/>
          <w:lang w:eastAsia="zh-TW" w:bidi="en-US"/>
        </w:rPr>
        <w:t>r</w:t>
      </w:r>
      <w:r w:rsidRPr="00D708FE">
        <w:rPr>
          <w:rFonts w:eastAsia="PMingLiU"/>
          <w:lang w:eastAsia="zh-TW" w:bidi="en-US"/>
        </w:rPr>
        <w:t xml:space="preserve">ate </w:t>
      </w:r>
      <w:r w:rsidR="00514840">
        <w:rPr>
          <w:rFonts w:eastAsia="PMingLiU"/>
          <w:lang w:eastAsia="zh-TW" w:bidi="en-US"/>
        </w:rPr>
        <w:t>s</w:t>
      </w:r>
      <w:r w:rsidRPr="00D708FE">
        <w:rPr>
          <w:rFonts w:eastAsia="PMingLiU"/>
          <w:lang w:eastAsia="zh-TW" w:bidi="en-US"/>
        </w:rPr>
        <w:t xml:space="preserve">chedule </w:t>
      </w:r>
      <w:r w:rsidR="00514840">
        <w:rPr>
          <w:rFonts w:eastAsia="PMingLiU"/>
          <w:lang w:eastAsia="zh-TW" w:bidi="en-US"/>
        </w:rPr>
        <w:t>s</w:t>
      </w:r>
      <w:r w:rsidRPr="00D708FE">
        <w:rPr>
          <w:rFonts w:eastAsia="PMingLiU"/>
          <w:lang w:eastAsia="zh-TW" w:bidi="en-US"/>
        </w:rPr>
        <w:t>ummary (FY</w:t>
      </w:r>
      <w:r w:rsidR="006F4EF4">
        <w:t> 20</w:t>
      </w:r>
      <w:r w:rsidRPr="00D708FE">
        <w:rPr>
          <w:rFonts w:eastAsia="PMingLiU"/>
          <w:lang w:eastAsia="zh-TW" w:bidi="en-US"/>
        </w:rPr>
        <w:t>20)</w:t>
      </w:r>
      <w:bookmarkEnd w:id="349"/>
    </w:p>
    <w:tbl>
      <w:tblPr>
        <w:tblStyle w:val="PlainTable2"/>
        <w:tblW w:w="9350" w:type="dxa"/>
        <w:jc w:val="center"/>
        <w:tblBorders>
          <w:top w:val="single" w:sz="4" w:space="0" w:color="auto"/>
          <w:bottom w:val="single" w:sz="4" w:space="0" w:color="auto"/>
        </w:tblBorders>
        <w:tblLayout w:type="fixed"/>
        <w:tblCellMar>
          <w:top w:w="29" w:type="dxa"/>
          <w:left w:w="58" w:type="dxa"/>
          <w:bottom w:w="29" w:type="dxa"/>
          <w:right w:w="58" w:type="dxa"/>
        </w:tblCellMar>
        <w:tblLook w:val="04A0" w:firstRow="1" w:lastRow="0" w:firstColumn="1" w:lastColumn="0" w:noHBand="0" w:noVBand="1"/>
      </w:tblPr>
      <w:tblGrid>
        <w:gridCol w:w="1870"/>
        <w:gridCol w:w="2360"/>
        <w:gridCol w:w="1706"/>
        <w:gridCol w:w="1707"/>
        <w:gridCol w:w="1707"/>
      </w:tblGrid>
      <w:tr w:rsidR="00317F1F" w14:paraId="775E1413" w14:textId="77777777" w:rsidTr="00E13D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auto"/>
              <w:bottom w:val="single" w:sz="12" w:space="0" w:color="auto"/>
            </w:tcBorders>
            <w:vAlign w:val="center"/>
          </w:tcPr>
          <w:p w14:paraId="61079271" w14:textId="77777777" w:rsidR="00317F1F" w:rsidRDefault="00317F1F" w:rsidP="00E13D49">
            <w:pPr>
              <w:spacing w:before="0" w:after="0" w:line="240" w:lineRule="auto"/>
              <w:ind w:firstLine="0"/>
              <w:jc w:val="center"/>
            </w:pPr>
            <w:r w:rsidRPr="00D86E04">
              <w:rPr>
                <w:sz w:val="20"/>
                <w:szCs w:val="20"/>
              </w:rPr>
              <w:t>Region</w:t>
            </w:r>
          </w:p>
        </w:tc>
        <w:tc>
          <w:tcPr>
            <w:tcW w:w="2360" w:type="dxa"/>
            <w:tcBorders>
              <w:top w:val="single" w:sz="12" w:space="0" w:color="auto"/>
              <w:bottom w:val="single" w:sz="12" w:space="0" w:color="auto"/>
            </w:tcBorders>
            <w:vAlign w:val="center"/>
          </w:tcPr>
          <w:p w14:paraId="7A89EC5D" w14:textId="77777777" w:rsidR="00317F1F" w:rsidRDefault="00317F1F" w:rsidP="00E13D4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pPr>
            <w:r w:rsidRPr="00D86E04">
              <w:rPr>
                <w:sz w:val="20"/>
                <w:szCs w:val="20"/>
              </w:rPr>
              <w:t>Project</w:t>
            </w:r>
          </w:p>
        </w:tc>
        <w:tc>
          <w:tcPr>
            <w:tcW w:w="1706" w:type="dxa"/>
            <w:tcBorders>
              <w:top w:val="single" w:sz="12" w:space="0" w:color="auto"/>
              <w:bottom w:val="single" w:sz="12" w:space="0" w:color="auto"/>
            </w:tcBorders>
            <w:vAlign w:val="center"/>
          </w:tcPr>
          <w:p w14:paraId="183D9A88" w14:textId="386DCCD5" w:rsidR="00317F1F" w:rsidRDefault="00317F1F" w:rsidP="00E13D4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pPr>
            <w:r w:rsidRPr="00D86E04">
              <w:rPr>
                <w:sz w:val="20"/>
                <w:szCs w:val="20"/>
              </w:rPr>
              <w:t xml:space="preserve">Capacity </w:t>
            </w:r>
            <w:r>
              <w:rPr>
                <w:sz w:val="20"/>
                <w:szCs w:val="20"/>
              </w:rPr>
              <w:t>rate</w:t>
            </w:r>
            <w:r w:rsidRPr="00D86E04">
              <w:rPr>
                <w:sz w:val="20"/>
                <w:szCs w:val="20"/>
              </w:rPr>
              <w:t xml:space="preserve"> ($/kW)</w:t>
            </w:r>
          </w:p>
        </w:tc>
        <w:tc>
          <w:tcPr>
            <w:tcW w:w="1707" w:type="dxa"/>
            <w:tcBorders>
              <w:top w:val="single" w:sz="12" w:space="0" w:color="auto"/>
              <w:bottom w:val="single" w:sz="12" w:space="0" w:color="auto"/>
            </w:tcBorders>
            <w:vAlign w:val="center"/>
          </w:tcPr>
          <w:p w14:paraId="0E5E18DE" w14:textId="300C22AA" w:rsidR="00317F1F" w:rsidRDefault="00317F1F" w:rsidP="00E13D4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pPr>
            <w:r w:rsidRPr="00D86E04">
              <w:rPr>
                <w:sz w:val="20"/>
                <w:szCs w:val="20"/>
              </w:rPr>
              <w:t xml:space="preserve">Energy </w:t>
            </w:r>
            <w:r>
              <w:rPr>
                <w:sz w:val="20"/>
                <w:szCs w:val="20"/>
              </w:rPr>
              <w:t>rate</w:t>
            </w:r>
            <w:r w:rsidRPr="00D86E04">
              <w:rPr>
                <w:sz w:val="20"/>
                <w:szCs w:val="20"/>
              </w:rPr>
              <w:t xml:space="preserve"> (mills/kWh)</w:t>
            </w:r>
          </w:p>
        </w:tc>
        <w:tc>
          <w:tcPr>
            <w:tcW w:w="1707" w:type="dxa"/>
            <w:tcBorders>
              <w:top w:val="single" w:sz="12" w:space="0" w:color="auto"/>
              <w:bottom w:val="single" w:sz="12" w:space="0" w:color="auto"/>
            </w:tcBorders>
            <w:vAlign w:val="center"/>
          </w:tcPr>
          <w:p w14:paraId="4AECBEBC" w14:textId="34EE7929" w:rsidR="00317F1F" w:rsidRDefault="00317F1F" w:rsidP="00E13D4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pPr>
            <w:r w:rsidRPr="00D86E04">
              <w:rPr>
                <w:sz w:val="20"/>
                <w:szCs w:val="20"/>
              </w:rPr>
              <w:t xml:space="preserve">Composite </w:t>
            </w:r>
            <w:r>
              <w:rPr>
                <w:sz w:val="20"/>
                <w:szCs w:val="20"/>
              </w:rPr>
              <w:t>r</w:t>
            </w:r>
            <w:r w:rsidRPr="00D86E04">
              <w:rPr>
                <w:sz w:val="20"/>
                <w:szCs w:val="20"/>
              </w:rPr>
              <w:t>ate (mills/kWh)</w:t>
            </w:r>
          </w:p>
        </w:tc>
      </w:tr>
      <w:tr w:rsidR="00D708FE" w14:paraId="69F1883D" w14:textId="77777777" w:rsidTr="00E13D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auto"/>
              <w:bottom w:val="single" w:sz="4" w:space="0" w:color="auto"/>
            </w:tcBorders>
            <w:vAlign w:val="center"/>
          </w:tcPr>
          <w:p w14:paraId="6F351EAD" w14:textId="788488C8" w:rsidR="00D708FE" w:rsidRPr="00EB789E" w:rsidRDefault="00E80222" w:rsidP="00E13D49">
            <w:pPr>
              <w:spacing w:before="0" w:after="0" w:line="240" w:lineRule="auto"/>
              <w:ind w:firstLine="0"/>
              <w:rPr>
                <w:b w:val="0"/>
                <w:bCs w:val="0"/>
              </w:rPr>
            </w:pPr>
            <w:r>
              <w:rPr>
                <w:b w:val="0"/>
                <w:bCs w:val="0"/>
                <w:sz w:val="20"/>
                <w:szCs w:val="20"/>
              </w:rPr>
              <w:t>DSW</w:t>
            </w:r>
          </w:p>
        </w:tc>
        <w:tc>
          <w:tcPr>
            <w:tcW w:w="2360" w:type="dxa"/>
            <w:tcBorders>
              <w:top w:val="single" w:sz="12" w:space="0" w:color="auto"/>
              <w:bottom w:val="single" w:sz="4" w:space="0" w:color="auto"/>
            </w:tcBorders>
            <w:vAlign w:val="center"/>
          </w:tcPr>
          <w:p w14:paraId="63E6C3C3" w14:textId="77777777" w:rsidR="00D708FE" w:rsidRDefault="00D708FE" w:rsidP="00E13D49">
            <w:pPr>
              <w:spacing w:before="0" w:after="0" w:line="240" w:lineRule="auto"/>
              <w:ind w:firstLine="0"/>
              <w:cnfStyle w:val="000000100000" w:firstRow="0" w:lastRow="0" w:firstColumn="0" w:lastColumn="0" w:oddVBand="0" w:evenVBand="0" w:oddHBand="1" w:evenHBand="0" w:firstRowFirstColumn="0" w:firstRowLastColumn="0" w:lastRowFirstColumn="0" w:lastRowLastColumn="0"/>
            </w:pPr>
            <w:r w:rsidRPr="00D86E04">
              <w:rPr>
                <w:sz w:val="20"/>
                <w:szCs w:val="20"/>
              </w:rPr>
              <w:t>Boulder Canyon</w:t>
            </w:r>
          </w:p>
        </w:tc>
        <w:tc>
          <w:tcPr>
            <w:tcW w:w="1706" w:type="dxa"/>
            <w:tcBorders>
              <w:top w:val="single" w:sz="12" w:space="0" w:color="auto"/>
              <w:bottom w:val="single" w:sz="4" w:space="0" w:color="auto"/>
            </w:tcBorders>
            <w:vAlign w:val="center"/>
          </w:tcPr>
          <w:p w14:paraId="26F105DB" w14:textId="5974947F"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1.75</w:t>
            </w:r>
          </w:p>
        </w:tc>
        <w:tc>
          <w:tcPr>
            <w:tcW w:w="1707" w:type="dxa"/>
            <w:tcBorders>
              <w:top w:val="single" w:sz="12" w:space="0" w:color="auto"/>
              <w:bottom w:val="single" w:sz="4" w:space="0" w:color="auto"/>
            </w:tcBorders>
            <w:vAlign w:val="center"/>
          </w:tcPr>
          <w:p w14:paraId="077A5943" w14:textId="6871C1B2"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9.04</w:t>
            </w:r>
          </w:p>
        </w:tc>
        <w:tc>
          <w:tcPr>
            <w:tcW w:w="1707" w:type="dxa"/>
            <w:tcBorders>
              <w:top w:val="single" w:sz="12" w:space="0" w:color="auto"/>
              <w:bottom w:val="single" w:sz="4" w:space="0" w:color="auto"/>
            </w:tcBorders>
            <w:vAlign w:val="center"/>
          </w:tcPr>
          <w:p w14:paraId="7BBF0361" w14:textId="6F20C9A4"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18.08</w:t>
            </w:r>
          </w:p>
        </w:tc>
      </w:tr>
      <w:tr w:rsidR="00D708FE" w14:paraId="78E6B1CB" w14:textId="77777777" w:rsidTr="00E13D49">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72046A7E" w14:textId="6BB206C5" w:rsidR="00D708FE" w:rsidRPr="00EB789E" w:rsidRDefault="00D708FE" w:rsidP="00E13D49">
            <w:pPr>
              <w:spacing w:before="0" w:after="0" w:line="240" w:lineRule="auto"/>
              <w:ind w:firstLine="0"/>
              <w:rPr>
                <w:b w:val="0"/>
                <w:bCs w:val="0"/>
              </w:rPr>
            </w:pPr>
            <w:r w:rsidRPr="00EB789E">
              <w:rPr>
                <w:b w:val="0"/>
                <w:bCs w:val="0"/>
                <w:sz w:val="20"/>
                <w:szCs w:val="20"/>
              </w:rPr>
              <w:t>Rocky Mountains</w:t>
            </w:r>
          </w:p>
        </w:tc>
        <w:tc>
          <w:tcPr>
            <w:tcW w:w="2360" w:type="dxa"/>
            <w:tcBorders>
              <w:top w:val="single" w:sz="4" w:space="0" w:color="auto"/>
              <w:bottom w:val="single" w:sz="4" w:space="0" w:color="auto"/>
            </w:tcBorders>
            <w:vAlign w:val="center"/>
          </w:tcPr>
          <w:p w14:paraId="2E7657EA" w14:textId="77777777" w:rsidR="00D708FE" w:rsidRDefault="00D708FE" w:rsidP="00E13D49">
            <w:pPr>
              <w:spacing w:before="0" w:after="0" w:line="240" w:lineRule="auto"/>
              <w:ind w:firstLine="0"/>
              <w:cnfStyle w:val="000000000000" w:firstRow="0" w:lastRow="0" w:firstColumn="0" w:lastColumn="0" w:oddVBand="0" w:evenVBand="0" w:oddHBand="0" w:evenHBand="0" w:firstRowFirstColumn="0" w:firstRowLastColumn="0" w:lastRowFirstColumn="0" w:lastRowLastColumn="0"/>
            </w:pPr>
            <w:r w:rsidRPr="00D86E04">
              <w:rPr>
                <w:sz w:val="20"/>
                <w:szCs w:val="20"/>
              </w:rPr>
              <w:t>Loveland</w:t>
            </w:r>
          </w:p>
        </w:tc>
        <w:tc>
          <w:tcPr>
            <w:tcW w:w="1706" w:type="dxa"/>
            <w:tcBorders>
              <w:top w:val="single" w:sz="4" w:space="0" w:color="auto"/>
              <w:bottom w:val="single" w:sz="4" w:space="0" w:color="auto"/>
            </w:tcBorders>
            <w:vAlign w:val="center"/>
          </w:tcPr>
          <w:p w14:paraId="0D177478" w14:textId="57E47BB5"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4.12</w:t>
            </w:r>
          </w:p>
        </w:tc>
        <w:tc>
          <w:tcPr>
            <w:tcW w:w="1707" w:type="dxa"/>
            <w:tcBorders>
              <w:top w:val="single" w:sz="4" w:space="0" w:color="auto"/>
              <w:bottom w:val="single" w:sz="4" w:space="0" w:color="auto"/>
            </w:tcBorders>
            <w:vAlign w:val="center"/>
          </w:tcPr>
          <w:p w14:paraId="57DBC582" w14:textId="736AB494"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15.72</w:t>
            </w:r>
          </w:p>
        </w:tc>
        <w:tc>
          <w:tcPr>
            <w:tcW w:w="1707" w:type="dxa"/>
            <w:tcBorders>
              <w:top w:val="single" w:sz="4" w:space="0" w:color="auto"/>
              <w:bottom w:val="single" w:sz="4" w:space="0" w:color="auto"/>
            </w:tcBorders>
            <w:vAlign w:val="center"/>
          </w:tcPr>
          <w:p w14:paraId="2534E29F" w14:textId="5F9E8C32"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31.44</w:t>
            </w:r>
          </w:p>
        </w:tc>
      </w:tr>
      <w:tr w:rsidR="00D708FE" w14:paraId="0598F095" w14:textId="77777777" w:rsidTr="00E13D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453FB640" w14:textId="67A2F078" w:rsidR="00D708FE" w:rsidRPr="00EB789E" w:rsidRDefault="00E80222" w:rsidP="00E13D49">
            <w:pPr>
              <w:spacing w:before="0" w:after="0" w:line="240" w:lineRule="auto"/>
              <w:ind w:firstLine="0"/>
              <w:rPr>
                <w:b w:val="0"/>
                <w:bCs w:val="0"/>
              </w:rPr>
            </w:pPr>
            <w:r>
              <w:rPr>
                <w:b w:val="0"/>
                <w:bCs w:val="0"/>
                <w:sz w:val="20"/>
                <w:szCs w:val="20"/>
              </w:rPr>
              <w:t>DSW</w:t>
            </w:r>
          </w:p>
        </w:tc>
        <w:tc>
          <w:tcPr>
            <w:tcW w:w="2360" w:type="dxa"/>
            <w:tcBorders>
              <w:top w:val="single" w:sz="4" w:space="0" w:color="auto"/>
              <w:bottom w:val="single" w:sz="4" w:space="0" w:color="auto"/>
            </w:tcBorders>
            <w:vAlign w:val="center"/>
          </w:tcPr>
          <w:p w14:paraId="383F98AE" w14:textId="77777777" w:rsidR="00D708FE" w:rsidRDefault="00D708FE" w:rsidP="00E13D49">
            <w:pPr>
              <w:spacing w:before="0" w:after="0" w:line="240" w:lineRule="auto"/>
              <w:ind w:firstLine="0"/>
              <w:cnfStyle w:val="000000100000" w:firstRow="0" w:lastRow="0" w:firstColumn="0" w:lastColumn="0" w:oddVBand="0" w:evenVBand="0" w:oddHBand="1" w:evenHBand="0" w:firstRowFirstColumn="0" w:firstRowLastColumn="0" w:lastRowFirstColumn="0" w:lastRowLastColumn="0"/>
            </w:pPr>
            <w:r w:rsidRPr="00D86E04">
              <w:rPr>
                <w:sz w:val="20"/>
                <w:szCs w:val="20"/>
              </w:rPr>
              <w:t>Parker-Davis</w:t>
            </w:r>
          </w:p>
        </w:tc>
        <w:tc>
          <w:tcPr>
            <w:tcW w:w="1706" w:type="dxa"/>
            <w:tcBorders>
              <w:top w:val="single" w:sz="4" w:space="0" w:color="auto"/>
              <w:bottom w:val="single" w:sz="4" w:space="0" w:color="auto"/>
            </w:tcBorders>
            <w:vAlign w:val="center"/>
          </w:tcPr>
          <w:p w14:paraId="7AD12678" w14:textId="607552DF"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2.84</w:t>
            </w:r>
          </w:p>
        </w:tc>
        <w:tc>
          <w:tcPr>
            <w:tcW w:w="1707" w:type="dxa"/>
            <w:tcBorders>
              <w:top w:val="single" w:sz="4" w:space="0" w:color="auto"/>
              <w:bottom w:val="single" w:sz="4" w:space="0" w:color="auto"/>
            </w:tcBorders>
            <w:vAlign w:val="center"/>
          </w:tcPr>
          <w:p w14:paraId="44BDD2F0" w14:textId="0FF926C2"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6.49</w:t>
            </w:r>
          </w:p>
        </w:tc>
        <w:tc>
          <w:tcPr>
            <w:tcW w:w="1707" w:type="dxa"/>
            <w:tcBorders>
              <w:top w:val="single" w:sz="4" w:space="0" w:color="auto"/>
              <w:bottom w:val="single" w:sz="4" w:space="0" w:color="auto"/>
            </w:tcBorders>
            <w:vAlign w:val="center"/>
          </w:tcPr>
          <w:p w14:paraId="41521914" w14:textId="6450899C"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12.97</w:t>
            </w:r>
          </w:p>
        </w:tc>
      </w:tr>
      <w:tr w:rsidR="00D708FE" w14:paraId="0EEBFE0F" w14:textId="77777777" w:rsidTr="00E13D49">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57522F36" w14:textId="483D0027" w:rsidR="00D708FE" w:rsidRPr="00EB789E" w:rsidRDefault="008C3834" w:rsidP="00E13D49">
            <w:pPr>
              <w:spacing w:before="0" w:after="0" w:line="240" w:lineRule="auto"/>
              <w:ind w:firstLine="0"/>
              <w:rPr>
                <w:b w:val="0"/>
                <w:bCs w:val="0"/>
              </w:rPr>
            </w:pPr>
            <w:r>
              <w:rPr>
                <w:b w:val="0"/>
                <w:bCs w:val="0"/>
                <w:sz w:val="20"/>
                <w:szCs w:val="20"/>
              </w:rPr>
              <w:t>UGP</w:t>
            </w:r>
          </w:p>
        </w:tc>
        <w:tc>
          <w:tcPr>
            <w:tcW w:w="2360" w:type="dxa"/>
            <w:tcBorders>
              <w:top w:val="single" w:sz="4" w:space="0" w:color="auto"/>
              <w:bottom w:val="single" w:sz="4" w:space="0" w:color="auto"/>
            </w:tcBorders>
            <w:vAlign w:val="center"/>
          </w:tcPr>
          <w:p w14:paraId="06EA1578" w14:textId="2BBDB6E0" w:rsidR="00D708FE" w:rsidRDefault="00D708FE" w:rsidP="00E13D49">
            <w:pPr>
              <w:spacing w:before="0" w:after="0" w:line="240" w:lineRule="auto"/>
              <w:ind w:firstLine="0"/>
              <w:cnfStyle w:val="000000000000" w:firstRow="0" w:lastRow="0" w:firstColumn="0" w:lastColumn="0" w:oddVBand="0" w:evenVBand="0" w:oddHBand="0" w:evenHBand="0" w:firstRowFirstColumn="0" w:firstRowLastColumn="0" w:lastRowFirstColumn="0" w:lastRowLastColumn="0"/>
            </w:pPr>
            <w:r w:rsidRPr="00D86E04">
              <w:rPr>
                <w:sz w:val="20"/>
                <w:szCs w:val="20"/>
              </w:rPr>
              <w:t xml:space="preserve">Pick-Sloan Missouri Basin </w:t>
            </w:r>
            <w:r w:rsidR="006C6778">
              <w:rPr>
                <w:sz w:val="20"/>
                <w:szCs w:val="20"/>
              </w:rPr>
              <w:t>(</w:t>
            </w:r>
            <w:r w:rsidRPr="00D86E04">
              <w:rPr>
                <w:sz w:val="20"/>
                <w:szCs w:val="20"/>
              </w:rPr>
              <w:t>Eastern Division</w:t>
            </w:r>
            <w:r w:rsidR="006C6778">
              <w:rPr>
                <w:sz w:val="20"/>
                <w:szCs w:val="20"/>
              </w:rPr>
              <w:t>)</w:t>
            </w:r>
          </w:p>
        </w:tc>
        <w:tc>
          <w:tcPr>
            <w:tcW w:w="1706" w:type="dxa"/>
            <w:tcBorders>
              <w:top w:val="single" w:sz="4" w:space="0" w:color="auto"/>
              <w:bottom w:val="single" w:sz="4" w:space="0" w:color="auto"/>
            </w:tcBorders>
            <w:vAlign w:val="center"/>
          </w:tcPr>
          <w:p w14:paraId="5D4650D1" w14:textId="00BC1B2A"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5.25</w:t>
            </w:r>
          </w:p>
        </w:tc>
        <w:tc>
          <w:tcPr>
            <w:tcW w:w="1707" w:type="dxa"/>
            <w:tcBorders>
              <w:top w:val="single" w:sz="4" w:space="0" w:color="auto"/>
              <w:bottom w:val="single" w:sz="4" w:space="0" w:color="auto"/>
            </w:tcBorders>
            <w:vAlign w:val="center"/>
          </w:tcPr>
          <w:p w14:paraId="6D9752EA" w14:textId="4B6AC68A"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13.27</w:t>
            </w:r>
          </w:p>
        </w:tc>
        <w:tc>
          <w:tcPr>
            <w:tcW w:w="1707" w:type="dxa"/>
            <w:tcBorders>
              <w:top w:val="single" w:sz="4" w:space="0" w:color="auto"/>
              <w:bottom w:val="single" w:sz="4" w:space="0" w:color="auto"/>
            </w:tcBorders>
            <w:vAlign w:val="center"/>
          </w:tcPr>
          <w:p w14:paraId="6154D7E9" w14:textId="5A4F8362" w:rsidR="00D708FE" w:rsidRDefault="00D708FE" w:rsidP="00E13D49">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pPr>
            <w:r w:rsidRPr="00D86E04">
              <w:rPr>
                <w:sz w:val="20"/>
                <w:szCs w:val="20"/>
              </w:rPr>
              <w:t>24.00</w:t>
            </w:r>
          </w:p>
        </w:tc>
      </w:tr>
      <w:tr w:rsidR="00D708FE" w14:paraId="5AEEDA5F" w14:textId="77777777" w:rsidTr="00E13D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12" w:space="0" w:color="auto"/>
            </w:tcBorders>
            <w:vAlign w:val="center"/>
          </w:tcPr>
          <w:p w14:paraId="0E7E34F5" w14:textId="77777777" w:rsidR="00D708FE" w:rsidRPr="00EB789E" w:rsidRDefault="00D708FE" w:rsidP="00E13D49">
            <w:pPr>
              <w:spacing w:before="0" w:after="0" w:line="240" w:lineRule="auto"/>
              <w:ind w:firstLine="0"/>
              <w:rPr>
                <w:b w:val="0"/>
                <w:bCs w:val="0"/>
              </w:rPr>
            </w:pPr>
            <w:r w:rsidRPr="00EB789E">
              <w:rPr>
                <w:b w:val="0"/>
                <w:bCs w:val="0"/>
                <w:sz w:val="20"/>
                <w:szCs w:val="20"/>
              </w:rPr>
              <w:t>CRSP</w:t>
            </w:r>
          </w:p>
        </w:tc>
        <w:tc>
          <w:tcPr>
            <w:tcW w:w="2360" w:type="dxa"/>
            <w:tcBorders>
              <w:top w:val="single" w:sz="4" w:space="0" w:color="auto"/>
              <w:bottom w:val="single" w:sz="12" w:space="0" w:color="auto"/>
            </w:tcBorders>
            <w:vAlign w:val="center"/>
          </w:tcPr>
          <w:p w14:paraId="1AC254A0" w14:textId="77777777" w:rsidR="00D708FE" w:rsidRDefault="00D708FE" w:rsidP="00E13D49">
            <w:pPr>
              <w:spacing w:before="0" w:after="0" w:line="240" w:lineRule="auto"/>
              <w:ind w:firstLine="0"/>
              <w:cnfStyle w:val="000000100000" w:firstRow="0" w:lastRow="0" w:firstColumn="0" w:lastColumn="0" w:oddVBand="0" w:evenVBand="0" w:oddHBand="1" w:evenHBand="0" w:firstRowFirstColumn="0" w:firstRowLastColumn="0" w:lastRowFirstColumn="0" w:lastRowLastColumn="0"/>
            </w:pPr>
            <w:r w:rsidRPr="00D86E04">
              <w:rPr>
                <w:sz w:val="20"/>
                <w:szCs w:val="20"/>
              </w:rPr>
              <w:t>Salt Lake City Area/Integrated Projects</w:t>
            </w:r>
          </w:p>
        </w:tc>
        <w:tc>
          <w:tcPr>
            <w:tcW w:w="1706" w:type="dxa"/>
            <w:tcBorders>
              <w:top w:val="single" w:sz="4" w:space="0" w:color="auto"/>
              <w:bottom w:val="single" w:sz="12" w:space="0" w:color="auto"/>
            </w:tcBorders>
            <w:vAlign w:val="center"/>
          </w:tcPr>
          <w:p w14:paraId="2C354BC1" w14:textId="37703772"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5.18</w:t>
            </w:r>
          </w:p>
        </w:tc>
        <w:tc>
          <w:tcPr>
            <w:tcW w:w="1707" w:type="dxa"/>
            <w:tcBorders>
              <w:top w:val="single" w:sz="4" w:space="0" w:color="auto"/>
              <w:bottom w:val="single" w:sz="12" w:space="0" w:color="auto"/>
            </w:tcBorders>
            <w:vAlign w:val="center"/>
          </w:tcPr>
          <w:p w14:paraId="13A7E57C" w14:textId="670BD904"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12.19</w:t>
            </w:r>
          </w:p>
        </w:tc>
        <w:tc>
          <w:tcPr>
            <w:tcW w:w="1707" w:type="dxa"/>
            <w:tcBorders>
              <w:top w:val="single" w:sz="4" w:space="0" w:color="auto"/>
              <w:bottom w:val="single" w:sz="12" w:space="0" w:color="auto"/>
            </w:tcBorders>
            <w:vAlign w:val="center"/>
          </w:tcPr>
          <w:p w14:paraId="2B1B8CA2" w14:textId="4C916F08" w:rsidR="00D708FE" w:rsidRDefault="00D708FE" w:rsidP="00E13D49">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pPr>
            <w:r w:rsidRPr="00D86E04">
              <w:rPr>
                <w:sz w:val="20"/>
                <w:szCs w:val="20"/>
              </w:rPr>
              <w:t>29.42</w:t>
            </w:r>
          </w:p>
        </w:tc>
      </w:tr>
    </w:tbl>
    <w:p w14:paraId="5F1D2EEC" w14:textId="719A96AE" w:rsidR="00D708FE" w:rsidRPr="00082DC6" w:rsidRDefault="00D708FE" w:rsidP="00CD4E23">
      <w:pPr>
        <w:spacing w:before="120" w:line="240" w:lineRule="auto"/>
        <w:ind w:firstLine="0"/>
        <w:rPr>
          <w:sz w:val="18"/>
          <w:szCs w:val="18"/>
        </w:rPr>
      </w:pPr>
      <w:r w:rsidRPr="00082DC6">
        <w:rPr>
          <w:sz w:val="18"/>
          <w:szCs w:val="18"/>
        </w:rPr>
        <w:t>Source: WAPA</w:t>
      </w:r>
      <w:r w:rsidR="00805545">
        <w:rPr>
          <w:sz w:val="18"/>
          <w:szCs w:val="18"/>
        </w:rPr>
        <w:t>’</w:t>
      </w:r>
      <w:r w:rsidRPr="00082DC6">
        <w:rPr>
          <w:sz w:val="18"/>
          <w:szCs w:val="18"/>
        </w:rPr>
        <w:t>s FY</w:t>
      </w:r>
      <w:r w:rsidR="006F4EF4">
        <w:rPr>
          <w:sz w:val="18"/>
          <w:szCs w:val="18"/>
        </w:rPr>
        <w:t> 20</w:t>
      </w:r>
      <w:r w:rsidRPr="00082DC6">
        <w:rPr>
          <w:sz w:val="18"/>
          <w:szCs w:val="18"/>
        </w:rPr>
        <w:t>20 Statistical Appendix. Note: 1 mill = $0.001</w:t>
      </w:r>
      <w:r w:rsidR="0093227E">
        <w:rPr>
          <w:sz w:val="18"/>
          <w:szCs w:val="18"/>
        </w:rPr>
        <w:t>.</w:t>
      </w:r>
    </w:p>
    <w:p w14:paraId="79D15C0D" w14:textId="7DC74A1D" w:rsidR="00D5200C" w:rsidRDefault="00D5200C" w:rsidP="00D5200C">
      <w:pPr>
        <w:pStyle w:val="BodyText"/>
      </w:pPr>
      <w:r>
        <w:t xml:space="preserve">In years when the hydropower produced by the plants in one of the projects listed in </w:t>
      </w:r>
      <w:r>
        <w:fldChar w:fldCharType="begin"/>
      </w:r>
      <w:r>
        <w:instrText xml:space="preserve"> REF _Ref76021782 \h  \* MERGEFORMAT </w:instrText>
      </w:r>
      <w:r>
        <w:fldChar w:fldCharType="separate"/>
      </w:r>
      <w:r w:rsidR="00EE0BF5" w:rsidRPr="00EE0BF5">
        <w:t xml:space="preserve">Table </w:t>
      </w:r>
      <w:r w:rsidR="00EE0BF5" w:rsidRPr="00EE0BF5">
        <w:rPr>
          <w:noProof/>
        </w:rPr>
        <w:t>4.2</w:t>
      </w:r>
      <w:r>
        <w:fldChar w:fldCharType="end"/>
      </w:r>
      <w:r>
        <w:t xml:space="preserve"> (except Boulder Canyon) is not sufficient to cover the contracted energy volumes, WAPA purchases replacement power through bilateral contracts or transactions in an organized wholesale market. The cost of that replacement power is passed to customers. Similarly, if available hydropower is greater than the contracted volumes, the surplus power can be sold to entities other than the preference customers. The cost of replacement power purchases is passed to customers. Rate designs may include a drought adder component that can be set to zero in years when replacement power purchases are not needed.</w:t>
      </w:r>
    </w:p>
    <w:p w14:paraId="0548B18C" w14:textId="62C076F8" w:rsidR="00153EAC" w:rsidRDefault="00153EAC" w:rsidP="00E13D49">
      <w:pPr>
        <w:pStyle w:val="BodyText"/>
      </w:pPr>
      <w:r>
        <w:t xml:space="preserve">WAPA </w:t>
      </w:r>
      <w:r w:rsidR="00F028D4">
        <w:t xml:space="preserve">has </w:t>
      </w:r>
      <w:r>
        <w:t xml:space="preserve">recently taken an active interest in considering and formally joining the regional western </w:t>
      </w:r>
      <w:r w:rsidR="005F69EF">
        <w:t>EIMs</w:t>
      </w:r>
      <w:r>
        <w:t xml:space="preserve"> or </w:t>
      </w:r>
      <w:r w:rsidR="00B728B3">
        <w:t>independent system operators</w:t>
      </w:r>
      <w:r w:rsidR="00E80222">
        <w:t xml:space="preserve"> (ISOs</w:t>
      </w:r>
      <w:r w:rsidR="00B728B3">
        <w:t>)</w:t>
      </w:r>
      <w:r>
        <w:t>/</w:t>
      </w:r>
      <w:r w:rsidR="002F5FDC" w:rsidRPr="00900526">
        <w:t>regional transmission organization</w:t>
      </w:r>
      <w:r w:rsidR="002F5FDC">
        <w:t>s</w:t>
      </w:r>
      <w:r w:rsidR="00E80222">
        <w:t xml:space="preserve"> (RTOs</w:t>
      </w:r>
      <w:r w:rsidR="002F5FDC">
        <w:t>)</w:t>
      </w:r>
      <w:r>
        <w:t>.</w:t>
      </w:r>
      <w:r>
        <w:rPr>
          <w:rStyle w:val="FootnoteReference"/>
        </w:rPr>
        <w:footnoteReference w:id="27"/>
      </w:r>
      <w:r>
        <w:t xml:space="preserve"> The access to the larger, more diverse resource portfolios in these centralized markets can help these WAPA areas optimize their replacement power purchase and or surplus power sales. Additionally, this relationship will assist WAPA in </w:t>
      </w:r>
      <w:r w:rsidR="00606529">
        <w:t xml:space="preserve">its </w:t>
      </w:r>
      <w:r>
        <w:t xml:space="preserve">role as a balancing authority responsible for maintaining reliable and affordable electricity as the regional generation resource mix, transmission constraints, and ancillary service needs change. </w:t>
      </w:r>
    </w:p>
    <w:p w14:paraId="32BEB8A4" w14:textId="0D533ADE" w:rsidR="00A2463C" w:rsidRPr="00401D33" w:rsidRDefault="00153EAC" w:rsidP="00E13D49">
      <w:pPr>
        <w:pStyle w:val="BodyText"/>
      </w:pPr>
      <w:r>
        <w:t xml:space="preserve">The </w:t>
      </w:r>
      <w:r w:rsidR="00734BEF">
        <w:t>UGP</w:t>
      </w:r>
      <w:r>
        <w:t xml:space="preserve"> East Region was the first WAPA region to join an organized wholesale market when it became a member of the </w:t>
      </w:r>
      <w:r w:rsidR="00D53353">
        <w:t>SPP</w:t>
      </w:r>
      <w:r>
        <w:t xml:space="preserve"> RTO in October 2015. WAPA</w:t>
      </w:r>
      <w:r w:rsidR="00805545">
        <w:t>’</w:t>
      </w:r>
      <w:r>
        <w:t xml:space="preserve">s </w:t>
      </w:r>
      <w:r w:rsidR="00734BEF">
        <w:t>UGP</w:t>
      </w:r>
      <w:r>
        <w:t xml:space="preserve"> West, Rocky Mountains</w:t>
      </w:r>
      <w:r w:rsidR="00606529">
        <w:t>,</w:t>
      </w:r>
      <w:r>
        <w:t xml:space="preserve"> and CRSP regions joined SPP</w:t>
      </w:r>
      <w:r w:rsidR="00805545">
        <w:t>’</w:t>
      </w:r>
      <w:r>
        <w:t xml:space="preserve">s WEIS </w:t>
      </w:r>
      <w:r w:rsidR="009554D9">
        <w:t xml:space="preserve">Market </w:t>
      </w:r>
      <w:r>
        <w:t xml:space="preserve">at its inception in February 2021. </w:t>
      </w:r>
      <w:r w:rsidRPr="00BD32D7">
        <w:t>WAPA Sierra Nevada Region began participating i</w:t>
      </w:r>
      <w:r>
        <w:t>n the CAISO EIM in March 2021. Additionally, WAPA</w:t>
      </w:r>
      <w:r w:rsidR="00805545">
        <w:t>’</w:t>
      </w:r>
      <w:r>
        <w:t xml:space="preserve">s Loveland Area Projects and </w:t>
      </w:r>
      <w:r w:rsidR="00734BEF">
        <w:t>UGP</w:t>
      </w:r>
      <w:r>
        <w:t xml:space="preserve"> West Region announced plans to evaluate potential SPP RTO membership in November 2020</w:t>
      </w:r>
      <w:r w:rsidR="003B796D">
        <w:t>,</w:t>
      </w:r>
      <w:r>
        <w:t xml:space="preserve"> and CRSP joined in that evaluation process in April 2021. Finally, the WAPA </w:t>
      </w:r>
      <w:r w:rsidR="00DF1BBF">
        <w:t>DSW</w:t>
      </w:r>
      <w:r>
        <w:t xml:space="preserve"> </w:t>
      </w:r>
      <w:r w:rsidR="00DF1BBF">
        <w:t>region</w:t>
      </w:r>
      <w:r>
        <w:t xml:space="preserve">—alongside other neighboring utilities—is in the process of evaluating the benefits of participation in </w:t>
      </w:r>
      <w:r w:rsidR="00FE4008">
        <w:t xml:space="preserve">either the CAISO </w:t>
      </w:r>
      <w:r>
        <w:t>EIM or the SPP WEIS.</w:t>
      </w:r>
    </w:p>
    <w:p w14:paraId="5CEE4D54" w14:textId="6428330A" w:rsidR="00A27865" w:rsidRPr="00A27865" w:rsidRDefault="00A27865" w:rsidP="00AD0C1C">
      <w:pPr>
        <w:pStyle w:val="Heading2"/>
      </w:pPr>
      <w:bookmarkStart w:id="350" w:name="_Ref422813805"/>
      <w:bookmarkStart w:id="351" w:name="_Ref69807751"/>
      <w:bookmarkStart w:id="352" w:name="_Toc113380811"/>
      <w:r w:rsidRPr="00A27865">
        <w:t xml:space="preserve">Future Climate in </w:t>
      </w:r>
      <w:r w:rsidR="00E0058B">
        <w:t xml:space="preserve">the </w:t>
      </w:r>
      <w:bookmarkEnd w:id="350"/>
      <w:r w:rsidR="001100CF">
        <w:t>WAPA</w:t>
      </w:r>
      <w:r w:rsidR="00E0058B">
        <w:t xml:space="preserve"> Region</w:t>
      </w:r>
      <w:bookmarkEnd w:id="351"/>
      <w:bookmarkEnd w:id="352"/>
    </w:p>
    <w:p w14:paraId="12B4FC31" w14:textId="77777777" w:rsidR="00A27865" w:rsidRPr="00A27865" w:rsidRDefault="00A27865" w:rsidP="00A27865">
      <w:pPr>
        <w:pStyle w:val="Heading3"/>
      </w:pPr>
      <w:bookmarkStart w:id="353" w:name="_Ref425756396"/>
      <w:bookmarkStart w:id="354" w:name="_Toc113380812"/>
      <w:r w:rsidRPr="00A27865">
        <w:t>Regional Climate Projections</w:t>
      </w:r>
      <w:bookmarkEnd w:id="353"/>
      <w:bookmarkEnd w:id="354"/>
    </w:p>
    <w:p w14:paraId="5B864842" w14:textId="78DF48CB" w:rsidR="008E7619" w:rsidRDefault="008E7619" w:rsidP="00E13D49">
      <w:pPr>
        <w:pStyle w:val="BodyText"/>
      </w:pPr>
      <w:r>
        <w:t xml:space="preserve">The annual temperatures during the baseline (1980–2019) and future (2020–2059) </w:t>
      </w:r>
      <w:r w:rsidR="003B796D">
        <w:t xml:space="preserve">periods </w:t>
      </w:r>
      <w:r>
        <w:t xml:space="preserve">are presented in </w:t>
      </w:r>
      <w:r w:rsidR="00061F12">
        <w:fldChar w:fldCharType="begin"/>
      </w:r>
      <w:r w:rsidR="00061F12">
        <w:instrText xml:space="preserve"> REF _Ref82674036 \h </w:instrText>
      </w:r>
      <w:r w:rsidR="00061F12">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2</w:t>
      </w:r>
      <w:r w:rsidR="00061F12">
        <w:fldChar w:fldCharType="end"/>
      </w:r>
      <w:r>
        <w:t xml:space="preserve">. The gray lines show the annual mean temperature from 24 sets of downscaled </w:t>
      </w:r>
      <w:r w:rsidR="008901A9">
        <w:rPr>
          <w:rFonts w:eastAsia="PMingLiU"/>
          <w:lang w:eastAsia="zh-TW"/>
        </w:rPr>
        <w:t>climate</w:t>
      </w:r>
      <w:r>
        <w:t xml:space="preserve"> projections, the black line represents the </w:t>
      </w:r>
      <w:r w:rsidR="005E23BA">
        <w:t>multimodel</w:t>
      </w:r>
      <w:r>
        <w:t xml:space="preserve"> median, and the blue and green lines show the </w:t>
      </w:r>
      <w:r>
        <w:lastRenderedPageBreak/>
        <w:t>Daymet and Livneh historical observations, respectively. These plots show interannual variability and annual trends for projections</w:t>
      </w:r>
      <w:r w:rsidR="002605AB">
        <w:t>,</w:t>
      </w:r>
      <w:r>
        <w:t xml:space="preserve"> as well as the observations. The climate models are not expected to replicate the exact timing of the historical interannual and decadal variability. Therefore, they do not completely follow the historical interannual values. The corresponding probability distribution for the baseline and future periods are compared in the right panel. A two-sample </w:t>
      </w:r>
      <w:r w:rsidRPr="00AF2A55">
        <w:t>Kolmogorov</w:t>
      </w:r>
      <w:r>
        <w:t>-</w:t>
      </w:r>
      <w:r w:rsidRPr="00AF2A55">
        <w:t>Smirnov test</w:t>
      </w:r>
      <w:r>
        <w:t xml:space="preserve"> at the 5% significance level </w:t>
      </w:r>
      <w:r w:rsidR="00FA280A">
        <w:t xml:space="preserve">was </w:t>
      </w:r>
      <w:r>
        <w:t xml:space="preserve">used to determine </w:t>
      </w:r>
      <w:r w:rsidR="00635C2E">
        <w:rPr>
          <w:rFonts w:eastAsia="PMingLiU"/>
          <w:lang w:eastAsia="zh-TW"/>
        </w:rPr>
        <w:t xml:space="preserve">whether </w:t>
      </w:r>
      <w:r>
        <w:t>the difference between the baseline and future periods is statistically significant.</w:t>
      </w:r>
    </w:p>
    <w:p w14:paraId="3FEB5B35" w14:textId="77777777" w:rsidR="000D20F4" w:rsidRDefault="000D20F4" w:rsidP="00E13D49">
      <w:pPr>
        <w:pStyle w:val="BodyText"/>
      </w:pPr>
    </w:p>
    <w:p w14:paraId="54CA1207" w14:textId="77777777" w:rsidR="000D20F4" w:rsidRDefault="00DE50F7" w:rsidP="00E13D49">
      <w:pPr>
        <w:pStyle w:val="FIGUREposition"/>
        <w:keepNext w:val="0"/>
        <w:rPr>
          <w:lang w:eastAsia="zh-TW"/>
        </w:rPr>
      </w:pPr>
      <w:r>
        <w:rPr>
          <w:noProof/>
        </w:rPr>
        <w:drawing>
          <wp:inline distT="0" distB="0" distL="0" distR="0" wp14:anchorId="2BCD6EFB" wp14:editId="55BBFA81">
            <wp:extent cx="5303520" cy="1767839"/>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17"/>
                    <a:stretch>
                      <a:fillRect/>
                    </a:stretch>
                  </pic:blipFill>
                  <pic:spPr bwMode="auto">
                    <a:xfrm>
                      <a:off x="0" y="0"/>
                      <a:ext cx="5303520" cy="1767839"/>
                    </a:xfrm>
                    <a:prstGeom prst="rect">
                      <a:avLst/>
                    </a:prstGeom>
                    <a:noFill/>
                    <a:ln>
                      <a:noFill/>
                    </a:ln>
                  </pic:spPr>
                </pic:pic>
              </a:graphicData>
            </a:graphic>
          </wp:inline>
        </w:drawing>
      </w:r>
    </w:p>
    <w:p w14:paraId="1D2BFA43" w14:textId="5DDF2638" w:rsidR="00E13D49" w:rsidRDefault="00DE50F7" w:rsidP="00E13D49">
      <w:pPr>
        <w:pStyle w:val="FIGUREposition"/>
        <w:keepNext w:val="0"/>
        <w:rPr>
          <w:lang w:eastAsia="zh-TW"/>
        </w:rPr>
      </w:pPr>
      <w:r>
        <w:rPr>
          <w:noProof/>
        </w:rPr>
        <w:drawing>
          <wp:inline distT="0" distB="0" distL="0" distR="0" wp14:anchorId="79817829" wp14:editId="393D8807">
            <wp:extent cx="5303520" cy="1767839"/>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18"/>
                    <a:stretch>
                      <a:fillRect/>
                    </a:stretch>
                  </pic:blipFill>
                  <pic:spPr bwMode="auto">
                    <a:xfrm>
                      <a:off x="0" y="0"/>
                      <a:ext cx="5303520" cy="1767839"/>
                    </a:xfrm>
                    <a:prstGeom prst="rect">
                      <a:avLst/>
                    </a:prstGeom>
                    <a:noFill/>
                    <a:ln>
                      <a:noFill/>
                    </a:ln>
                  </pic:spPr>
                </pic:pic>
              </a:graphicData>
            </a:graphic>
          </wp:inline>
        </w:drawing>
      </w:r>
    </w:p>
    <w:p w14:paraId="12A034CC" w14:textId="3F7C433B" w:rsidR="003E095E" w:rsidRDefault="00DE50F7" w:rsidP="00E13D49">
      <w:pPr>
        <w:pStyle w:val="FIGUREposition"/>
        <w:keepNext w:val="0"/>
        <w:rPr>
          <w:lang w:eastAsia="zh-TW"/>
        </w:rPr>
      </w:pPr>
      <w:r>
        <w:rPr>
          <w:noProof/>
        </w:rPr>
        <w:drawing>
          <wp:inline distT="0" distB="0" distL="0" distR="0" wp14:anchorId="78DA79FA" wp14:editId="79AA7F79">
            <wp:extent cx="5303520" cy="1767839"/>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19"/>
                    <a:stretch>
                      <a:fillRect/>
                    </a:stretch>
                  </pic:blipFill>
                  <pic:spPr bwMode="auto">
                    <a:xfrm>
                      <a:off x="0" y="0"/>
                      <a:ext cx="5303520" cy="1767839"/>
                    </a:xfrm>
                    <a:prstGeom prst="rect">
                      <a:avLst/>
                    </a:prstGeom>
                    <a:noFill/>
                    <a:ln>
                      <a:noFill/>
                    </a:ln>
                  </pic:spPr>
                </pic:pic>
              </a:graphicData>
            </a:graphic>
          </wp:inline>
        </w:drawing>
      </w:r>
    </w:p>
    <w:p w14:paraId="3C4D6048" w14:textId="77777777" w:rsidR="00E13D49" w:rsidRDefault="00925224" w:rsidP="00E13D49">
      <w:pPr>
        <w:pStyle w:val="FIGUREposition"/>
        <w:keepNext w:val="0"/>
        <w:rPr>
          <w:lang w:eastAsia="zh-TW"/>
        </w:rPr>
      </w:pPr>
      <w:r>
        <w:rPr>
          <w:noProof/>
        </w:rPr>
        <w:lastRenderedPageBreak/>
        <w:drawing>
          <wp:inline distT="0" distB="0" distL="0" distR="0" wp14:anchorId="7AB48A4A" wp14:editId="60149673">
            <wp:extent cx="5303520" cy="1767839"/>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20"/>
                    <a:stretch>
                      <a:fillRect/>
                    </a:stretch>
                  </pic:blipFill>
                  <pic:spPr bwMode="auto">
                    <a:xfrm>
                      <a:off x="0" y="0"/>
                      <a:ext cx="5303520" cy="1767839"/>
                    </a:xfrm>
                    <a:prstGeom prst="rect">
                      <a:avLst/>
                    </a:prstGeom>
                    <a:noFill/>
                    <a:ln>
                      <a:noFill/>
                    </a:ln>
                  </pic:spPr>
                </pic:pic>
              </a:graphicData>
            </a:graphic>
          </wp:inline>
        </w:drawing>
      </w:r>
    </w:p>
    <w:p w14:paraId="0CDDE7D9" w14:textId="77777777" w:rsidR="00E13D49" w:rsidRDefault="00DE50F7" w:rsidP="00E13D49">
      <w:pPr>
        <w:pStyle w:val="FIGUREposition"/>
        <w:keepNext w:val="0"/>
        <w:rPr>
          <w:lang w:eastAsia="zh-TW"/>
        </w:rPr>
      </w:pPr>
      <w:r>
        <w:rPr>
          <w:noProof/>
        </w:rPr>
        <w:drawing>
          <wp:inline distT="0" distB="0" distL="0" distR="0" wp14:anchorId="323D5C85" wp14:editId="52C7382D">
            <wp:extent cx="5303520" cy="1767839"/>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21"/>
                    <a:stretch>
                      <a:fillRect/>
                    </a:stretch>
                  </pic:blipFill>
                  <pic:spPr bwMode="auto">
                    <a:xfrm>
                      <a:off x="0" y="0"/>
                      <a:ext cx="5303520" cy="1767839"/>
                    </a:xfrm>
                    <a:prstGeom prst="rect">
                      <a:avLst/>
                    </a:prstGeom>
                    <a:noFill/>
                    <a:ln>
                      <a:noFill/>
                    </a:ln>
                  </pic:spPr>
                </pic:pic>
              </a:graphicData>
            </a:graphic>
          </wp:inline>
        </w:drawing>
      </w:r>
    </w:p>
    <w:p w14:paraId="1E276F2D" w14:textId="7F737F0C" w:rsidR="00DE50F7" w:rsidRDefault="00DE50F7" w:rsidP="00E13D49">
      <w:pPr>
        <w:pStyle w:val="FIGUREposition"/>
        <w:keepNext w:val="0"/>
        <w:rPr>
          <w:lang w:eastAsia="zh-TW"/>
        </w:rPr>
      </w:pPr>
      <w:r>
        <w:rPr>
          <w:noProof/>
        </w:rPr>
        <w:drawing>
          <wp:inline distT="0" distB="0" distL="0" distR="0" wp14:anchorId="60458732" wp14:editId="4D3FBA14">
            <wp:extent cx="5303520" cy="1767839"/>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22"/>
                    <a:stretch>
                      <a:fillRect/>
                    </a:stretch>
                  </pic:blipFill>
                  <pic:spPr bwMode="auto">
                    <a:xfrm>
                      <a:off x="0" y="0"/>
                      <a:ext cx="5303520" cy="1767839"/>
                    </a:xfrm>
                    <a:prstGeom prst="rect">
                      <a:avLst/>
                    </a:prstGeom>
                    <a:noFill/>
                    <a:ln>
                      <a:noFill/>
                    </a:ln>
                  </pic:spPr>
                </pic:pic>
              </a:graphicData>
            </a:graphic>
          </wp:inline>
        </w:drawing>
      </w:r>
    </w:p>
    <w:p w14:paraId="390C511A" w14:textId="6388B63D" w:rsidR="00467D61" w:rsidRDefault="00061F12" w:rsidP="00E13D49">
      <w:pPr>
        <w:pStyle w:val="FigureCaption"/>
        <w:rPr>
          <w:lang w:eastAsia="zh-TW"/>
        </w:rPr>
      </w:pPr>
      <w:bookmarkStart w:id="355" w:name="_Ref82674036"/>
      <w:bookmarkStart w:id="356" w:name="_Toc436744748"/>
      <w:bookmarkStart w:id="357" w:name="_Toc113380909"/>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2</w:t>
      </w:r>
      <w:r w:rsidRPr="00F61532">
        <w:rPr>
          <w:lang w:eastAsia="zh-TW"/>
        </w:rPr>
        <w:fldChar w:fldCharType="end"/>
      </w:r>
      <w:bookmarkEnd w:id="355"/>
      <w:r w:rsidRPr="00F61532">
        <w:rPr>
          <w:lang w:eastAsia="zh-TW"/>
        </w:rPr>
        <w:t xml:space="preserve">. </w:t>
      </w:r>
      <w:r w:rsidR="00467D61" w:rsidRPr="00F61532">
        <w:rPr>
          <w:lang w:eastAsia="zh-TW"/>
        </w:rPr>
        <w:t>Projected annual mean temperature in</w:t>
      </w:r>
      <w:r w:rsidR="00467D61">
        <w:rPr>
          <w:lang w:eastAsia="zh-TW"/>
        </w:rPr>
        <w:t xml:space="preserve"> the WAPA region</w:t>
      </w:r>
      <w:r w:rsidR="00467D61" w:rsidRPr="00F61532">
        <w:rPr>
          <w:lang w:eastAsia="zh-TW"/>
        </w:rPr>
        <w:t>.</w:t>
      </w:r>
      <w:bookmarkEnd w:id="356"/>
      <w:bookmarkEnd w:id="357"/>
    </w:p>
    <w:p w14:paraId="343BFD8D" w14:textId="2362706C" w:rsidR="009868FB" w:rsidRDefault="009868FB" w:rsidP="009868FB">
      <w:pPr>
        <w:pStyle w:val="BodyText"/>
      </w:pPr>
      <w:r w:rsidRPr="00F61532">
        <w:t xml:space="preserve">In all </w:t>
      </w:r>
      <w:r>
        <w:t>six</w:t>
      </w:r>
      <w:r w:rsidRPr="00F61532">
        <w:t xml:space="preserve"> assessment areas (</w:t>
      </w:r>
      <w:r>
        <w:t>WA</w:t>
      </w:r>
      <w:r w:rsidRPr="00F61532">
        <w:t>PA-1</w:t>
      </w:r>
      <w:r>
        <w:t>–6</w:t>
      </w:r>
      <w:r w:rsidRPr="00F61532">
        <w:t>),</w:t>
      </w:r>
      <w:r>
        <w:t xml:space="preserve"> the ensemble model median captures the increasing trend in </w:t>
      </w:r>
      <w:r w:rsidRPr="00FC70FE">
        <w:t xml:space="preserve">annual mean </w:t>
      </w:r>
      <w:r>
        <w:t>temperature in the observations during the historical period. However, there is significant variability across the ensemble members, which reflects the importance of using a multimodel ensemble approach. In the future period, annual mean temperature is projected to continually increase across all the six areas. A comparison of the probability distribution of multimodel, mean annual temperature between the historical and future periods also shows a statistically significant shift toward warmer climate conditions across all the WAPA areas (</w:t>
      </w:r>
      <w:r>
        <w:fldChar w:fldCharType="begin"/>
      </w:r>
      <w:r>
        <w:instrText xml:space="preserve"> REF _Ref82674036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2</w:t>
      </w:r>
      <w:r>
        <w:fldChar w:fldCharType="end"/>
      </w:r>
      <w:r>
        <w:t>).</w:t>
      </w:r>
    </w:p>
    <w:p w14:paraId="2DA32804" w14:textId="38EF92C0" w:rsidR="008F088E" w:rsidRDefault="008F088E" w:rsidP="008F088E">
      <w:pPr>
        <w:pStyle w:val="BodyText"/>
        <w:rPr>
          <w:rFonts w:eastAsia="PMingLiU"/>
          <w:lang w:eastAsia="zh-TW"/>
        </w:rPr>
      </w:pPr>
      <w:r w:rsidRPr="004C111D">
        <w:t xml:space="preserve">The annual and seasonal changes in temperature are further summarized in </w:t>
      </w:r>
      <w:r>
        <w:fldChar w:fldCharType="begin"/>
      </w:r>
      <w:r>
        <w:instrText xml:space="preserve"> REF _Ref422152258 \h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3</w:t>
      </w:r>
      <w:r>
        <w:fldChar w:fldCharType="end"/>
      </w:r>
      <w:r w:rsidRPr="004C111D">
        <w:t xml:space="preserve">. The change </w:t>
      </w:r>
      <w:r>
        <w:t>represents the</w:t>
      </w:r>
      <w:r w:rsidRPr="004C111D">
        <w:t xml:space="preserve"> difference in temperature during the future periods (2020</w:t>
      </w:r>
      <w:r>
        <w:t>–</w:t>
      </w:r>
      <w:r w:rsidRPr="004C111D">
        <w:t>2039 near-term and 2040</w:t>
      </w:r>
      <w:r>
        <w:t>–</w:t>
      </w:r>
      <w:r w:rsidRPr="004C111D">
        <w:t>2059 mid</w:t>
      </w:r>
      <w:r>
        <w:t>-</w:t>
      </w:r>
      <w:r w:rsidRPr="004C111D">
        <w:t xml:space="preserve">term) </w:t>
      </w:r>
      <w:r w:rsidR="001D67D9">
        <w:t>compared with</w:t>
      </w:r>
      <w:r w:rsidRPr="004C111D">
        <w:t xml:space="preserve"> the baseline period (1980</w:t>
      </w:r>
      <w:r>
        <w:t>–</w:t>
      </w:r>
      <w:r w:rsidRPr="004C111D">
        <w:t>2019) in degree</w:t>
      </w:r>
      <w:r>
        <w:t>s Fahrenheit</w:t>
      </w:r>
      <w:r w:rsidRPr="004C111D">
        <w:t xml:space="preserve">. </w:t>
      </w:r>
      <w:r w:rsidRPr="004C111D">
        <w:rPr>
          <w:rFonts w:eastAsia="PMingLiU"/>
          <w:lang w:eastAsia="zh-TW"/>
        </w:rPr>
        <w:t xml:space="preserve">Each box plot shows the spread across </w:t>
      </w:r>
      <w:r>
        <w:rPr>
          <w:rFonts w:eastAsia="PMingLiU"/>
          <w:lang w:eastAsia="zh-TW"/>
        </w:rPr>
        <w:t xml:space="preserve">24 </w:t>
      </w:r>
      <w:r w:rsidRPr="004C111D">
        <w:rPr>
          <w:rFonts w:eastAsia="PMingLiU"/>
          <w:lang w:eastAsia="zh-TW"/>
        </w:rPr>
        <w:t xml:space="preserve">downscaled </w:t>
      </w:r>
      <w:r w:rsidR="008901A9">
        <w:rPr>
          <w:rFonts w:eastAsia="PMingLiU"/>
          <w:lang w:eastAsia="zh-TW"/>
        </w:rPr>
        <w:t>climate</w:t>
      </w:r>
      <w:r>
        <w:rPr>
          <w:rFonts w:eastAsia="PMingLiU"/>
          <w:lang w:eastAsia="zh-TW"/>
        </w:rPr>
        <w:t xml:space="preserve"> projections</w:t>
      </w:r>
      <w:r w:rsidR="00C94D5E">
        <w:rPr>
          <w:rFonts w:eastAsia="PMingLiU"/>
          <w:lang w:eastAsia="zh-TW"/>
        </w:rPr>
        <w:t>;</w:t>
      </w:r>
      <w:r w:rsidRPr="004C111D">
        <w:rPr>
          <w:rFonts w:eastAsia="PMingLiU"/>
          <w:lang w:eastAsia="zh-TW"/>
        </w:rPr>
        <w:t xml:space="preserve"> the central mark indicat</w:t>
      </w:r>
      <w:r w:rsidR="00C94D5E">
        <w:rPr>
          <w:rFonts w:eastAsia="PMingLiU"/>
          <w:lang w:eastAsia="zh-TW"/>
        </w:rPr>
        <w:t>es</w:t>
      </w:r>
      <w:r w:rsidRPr="004C111D">
        <w:rPr>
          <w:rFonts w:eastAsia="PMingLiU"/>
          <w:lang w:eastAsia="zh-TW"/>
        </w:rPr>
        <w:t xml:space="preserve"> the </w:t>
      </w:r>
      <w:r w:rsidR="005E23BA">
        <w:rPr>
          <w:rFonts w:eastAsia="PMingLiU"/>
          <w:lang w:eastAsia="zh-TW"/>
        </w:rPr>
        <w:t>multimodel</w:t>
      </w:r>
      <w:r w:rsidRPr="004C111D">
        <w:rPr>
          <w:rFonts w:eastAsia="PMingLiU"/>
          <w:lang w:eastAsia="zh-TW"/>
        </w:rPr>
        <w:t xml:space="preserve"> median</w:t>
      </w:r>
      <w:r>
        <w:rPr>
          <w:rFonts w:eastAsia="PMingLiU"/>
          <w:lang w:eastAsia="zh-TW"/>
        </w:rPr>
        <w:t>, and</w:t>
      </w:r>
      <w:r w:rsidRPr="004C111D">
        <w:rPr>
          <w:rFonts w:eastAsia="PMingLiU"/>
          <w:lang w:eastAsia="zh-TW"/>
        </w:rPr>
        <w:t xml:space="preserve"> the edges of the box indicat</w:t>
      </w:r>
      <w:r w:rsidR="00C94D5E">
        <w:rPr>
          <w:rFonts w:eastAsia="PMingLiU"/>
          <w:lang w:eastAsia="zh-TW"/>
        </w:rPr>
        <w:t>e</w:t>
      </w:r>
      <w:r w:rsidRPr="004C111D">
        <w:rPr>
          <w:rFonts w:eastAsia="PMingLiU"/>
          <w:lang w:eastAsia="zh-TW"/>
        </w:rPr>
        <w:t xml:space="preserve"> the </w:t>
      </w:r>
      <w:r w:rsidR="00BF3E4A">
        <w:rPr>
          <w:rFonts w:eastAsia="PMingLiU"/>
          <w:lang w:eastAsia="zh-TW"/>
        </w:rPr>
        <w:t>25</w:t>
      </w:r>
      <w:r w:rsidR="00FA458A" w:rsidRPr="00FA458A">
        <w:rPr>
          <w:rFonts w:eastAsia="PMingLiU"/>
          <w:lang w:eastAsia="zh-TW"/>
        </w:rPr>
        <w:t>th</w:t>
      </w:r>
      <w:r w:rsidRPr="004C111D">
        <w:rPr>
          <w:rFonts w:eastAsia="PMingLiU"/>
          <w:lang w:eastAsia="zh-TW"/>
        </w:rPr>
        <w:t xml:space="preserve"> and </w:t>
      </w:r>
      <w:r w:rsidR="00BF3E4A">
        <w:rPr>
          <w:rFonts w:eastAsia="PMingLiU"/>
          <w:lang w:eastAsia="zh-TW"/>
        </w:rPr>
        <w:t>75</w:t>
      </w:r>
      <w:r w:rsidR="00FA458A" w:rsidRPr="00FA458A">
        <w:rPr>
          <w:rFonts w:eastAsia="PMingLiU"/>
          <w:lang w:eastAsia="zh-TW"/>
        </w:rPr>
        <w:t>th</w:t>
      </w:r>
      <w:r w:rsidRPr="004C111D">
        <w:rPr>
          <w:rFonts w:eastAsia="PMingLiU"/>
          <w:lang w:eastAsia="zh-TW"/>
        </w:rPr>
        <w:t xml:space="preserve"> percentiles.</w:t>
      </w:r>
      <w:r>
        <w:rPr>
          <w:rFonts w:eastAsia="PMingLiU"/>
          <w:lang w:eastAsia="zh-TW"/>
        </w:rPr>
        <w:t xml:space="preserve"> The maximum </w:t>
      </w:r>
      <w:r w:rsidRPr="00726701">
        <w:rPr>
          <w:rFonts w:eastAsia="PMingLiU"/>
          <w:lang w:eastAsia="zh-TW"/>
        </w:rPr>
        <w:t>whisker length</w:t>
      </w:r>
      <w:r>
        <w:rPr>
          <w:rFonts w:eastAsia="PMingLiU"/>
          <w:lang w:eastAsia="zh-TW"/>
        </w:rPr>
        <w:t xml:space="preserve"> is 1.5 times </w:t>
      </w:r>
      <w:r w:rsidR="00671CF0">
        <w:rPr>
          <w:rFonts w:eastAsia="PMingLiU"/>
          <w:lang w:eastAsia="zh-TW"/>
        </w:rPr>
        <w:t xml:space="preserve">the </w:t>
      </w:r>
      <w:r>
        <w:rPr>
          <w:rFonts w:eastAsia="PMingLiU"/>
          <w:lang w:eastAsia="zh-TW"/>
        </w:rPr>
        <w:t>box height (</w:t>
      </w:r>
      <w:r w:rsidR="00BF3E4A">
        <w:rPr>
          <w:rFonts w:eastAsia="PMingLiU"/>
          <w:lang w:eastAsia="zh-TW"/>
        </w:rPr>
        <w:t>25</w:t>
      </w:r>
      <w:r w:rsidR="00FA458A" w:rsidRPr="00FA458A">
        <w:rPr>
          <w:rFonts w:eastAsia="PMingLiU"/>
          <w:lang w:eastAsia="zh-TW"/>
        </w:rPr>
        <w:t>th</w:t>
      </w:r>
      <w:r>
        <w:rPr>
          <w:rFonts w:eastAsia="PMingLiU"/>
          <w:lang w:eastAsia="zh-TW"/>
        </w:rPr>
        <w:t xml:space="preserve"> to </w:t>
      </w:r>
      <w:r w:rsidR="00BF3E4A">
        <w:rPr>
          <w:rFonts w:eastAsia="PMingLiU"/>
          <w:lang w:eastAsia="zh-TW"/>
        </w:rPr>
        <w:t>75</w:t>
      </w:r>
      <w:r w:rsidR="00FA458A" w:rsidRPr="00FA458A">
        <w:rPr>
          <w:rFonts w:eastAsia="PMingLiU"/>
          <w:lang w:eastAsia="zh-TW"/>
        </w:rPr>
        <w:t>th</w:t>
      </w:r>
      <w:r w:rsidRPr="00AE42EB">
        <w:rPr>
          <w:rFonts w:eastAsia="PMingLiU"/>
          <w:lang w:eastAsia="zh-TW"/>
        </w:rPr>
        <w:t xml:space="preserve"> </w:t>
      </w:r>
      <w:r w:rsidRPr="004C111D">
        <w:rPr>
          <w:rFonts w:eastAsia="PMingLiU"/>
          <w:lang w:eastAsia="zh-TW"/>
        </w:rPr>
        <w:t>percentiles</w:t>
      </w:r>
      <w:r>
        <w:rPr>
          <w:rFonts w:eastAsia="PMingLiU"/>
          <w:lang w:eastAsia="zh-TW"/>
        </w:rPr>
        <w:t xml:space="preserve">). Ensemble members outside of the maximum whisker length </w:t>
      </w:r>
      <w:r w:rsidR="00655461">
        <w:rPr>
          <w:rFonts w:eastAsia="PMingLiU"/>
          <w:lang w:eastAsia="zh-TW"/>
        </w:rPr>
        <w:lastRenderedPageBreak/>
        <w:t xml:space="preserve">denoted by x </w:t>
      </w:r>
      <w:r>
        <w:rPr>
          <w:rFonts w:eastAsia="PMingLiU"/>
          <w:lang w:eastAsia="zh-TW"/>
        </w:rPr>
        <w:t xml:space="preserve">are considered </w:t>
      </w:r>
      <w:r w:rsidR="000D2A50">
        <w:rPr>
          <w:rFonts w:eastAsia="PMingLiU"/>
          <w:lang w:eastAsia="zh-TW"/>
        </w:rPr>
        <w:t>statistical outliers (but should not be excluded in the context of climate change)</w:t>
      </w:r>
      <w:r>
        <w:rPr>
          <w:rFonts w:eastAsia="PMingLiU"/>
          <w:lang w:eastAsia="zh-TW"/>
        </w:rPr>
        <w:t>.</w:t>
      </w:r>
    </w:p>
    <w:p w14:paraId="05A39FC9" w14:textId="77777777" w:rsidR="009868FB" w:rsidRDefault="009868FB" w:rsidP="009868FB">
      <w:pPr>
        <w:pStyle w:val="FIGUREposition"/>
        <w:rPr>
          <w:lang w:eastAsia="zh-TW"/>
        </w:rPr>
      </w:pPr>
      <w:r>
        <w:rPr>
          <w:noProof/>
        </w:rPr>
        <w:drawing>
          <wp:inline distT="0" distB="0" distL="0" distR="0" wp14:anchorId="2B5B4B67" wp14:editId="686883D6">
            <wp:extent cx="2743200" cy="18288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noChangeArrowheads="1"/>
                    </pic:cNvPicPr>
                  </pic:nvPicPr>
                  <pic:blipFill>
                    <a:blip r:embed="rId123"/>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0C968548" wp14:editId="0583DB26">
            <wp:extent cx="2743200" cy="18288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pic:cNvPicPr>
                      <a:picLocks noChangeAspect="1" noChangeArrowheads="1"/>
                    </pic:cNvPicPr>
                  </pic:nvPicPr>
                  <pic:blipFill>
                    <a:blip r:embed="rId124"/>
                    <a:stretch>
                      <a:fillRect/>
                    </a:stretch>
                  </pic:blipFill>
                  <pic:spPr bwMode="auto">
                    <a:xfrm>
                      <a:off x="0" y="0"/>
                      <a:ext cx="2743200" cy="1828800"/>
                    </a:xfrm>
                    <a:prstGeom prst="rect">
                      <a:avLst/>
                    </a:prstGeom>
                    <a:noFill/>
                    <a:ln>
                      <a:noFill/>
                    </a:ln>
                  </pic:spPr>
                </pic:pic>
              </a:graphicData>
            </a:graphic>
          </wp:inline>
        </w:drawing>
      </w:r>
    </w:p>
    <w:p w14:paraId="71359D36" w14:textId="77777777" w:rsidR="009868FB" w:rsidRDefault="009868FB" w:rsidP="009868FB">
      <w:pPr>
        <w:pStyle w:val="FIGUREposition"/>
        <w:rPr>
          <w:lang w:eastAsia="zh-TW"/>
        </w:rPr>
      </w:pPr>
      <w:r>
        <w:rPr>
          <w:noProof/>
        </w:rPr>
        <w:drawing>
          <wp:inline distT="0" distB="0" distL="0" distR="0" wp14:anchorId="2E7AF8ED" wp14:editId="3EAC77CF">
            <wp:extent cx="2743200" cy="18288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a:blip r:embed="rId125"/>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97D269F" wp14:editId="513FAD94">
            <wp:extent cx="2743200" cy="18288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126"/>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2F2DE82" wp14:editId="0A4EEF9B">
            <wp:extent cx="2743200" cy="18288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127"/>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14AC0A3" wp14:editId="7BCCF0F2">
            <wp:extent cx="2743200" cy="18288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a:picLocks noChangeAspect="1" noChangeArrowheads="1"/>
                    </pic:cNvPicPr>
                  </pic:nvPicPr>
                  <pic:blipFill>
                    <a:blip r:embed="rId128"/>
                    <a:stretch>
                      <a:fillRect/>
                    </a:stretch>
                  </pic:blipFill>
                  <pic:spPr bwMode="auto">
                    <a:xfrm>
                      <a:off x="0" y="0"/>
                      <a:ext cx="2743200" cy="1828800"/>
                    </a:xfrm>
                    <a:prstGeom prst="rect">
                      <a:avLst/>
                    </a:prstGeom>
                    <a:noFill/>
                    <a:ln>
                      <a:noFill/>
                    </a:ln>
                  </pic:spPr>
                </pic:pic>
              </a:graphicData>
            </a:graphic>
          </wp:inline>
        </w:drawing>
      </w:r>
    </w:p>
    <w:p w14:paraId="30DD0D7D" w14:textId="7FFE3491" w:rsidR="009868FB" w:rsidRPr="002B0001" w:rsidRDefault="009868FB" w:rsidP="009868FB">
      <w:pPr>
        <w:pStyle w:val="FigureCaption"/>
        <w:rPr>
          <w:lang w:eastAsia="zh-TW"/>
        </w:rPr>
      </w:pPr>
      <w:bookmarkStart w:id="358" w:name="_Ref422152258"/>
      <w:bookmarkStart w:id="359" w:name="_Toc436744749"/>
      <w:bookmarkStart w:id="360" w:name="_Toc113380910"/>
      <w:r>
        <w:rPr>
          <w:lang w:eastAsia="zh-TW"/>
        </w:rPr>
        <w:t>Figure</w:t>
      </w:r>
      <w:r w:rsidRPr="002B0001">
        <w:rPr>
          <w:lang w:eastAsia="zh-TW"/>
        </w:rPr>
        <w:t xml:space="preserve"> </w:t>
      </w:r>
      <w:r w:rsidRPr="002B0001">
        <w:rPr>
          <w:lang w:eastAsia="zh-TW"/>
        </w:rPr>
        <w:fldChar w:fldCharType="begin"/>
      </w:r>
      <w:r w:rsidRPr="002B0001">
        <w:rPr>
          <w:lang w:eastAsia="zh-TW"/>
        </w:rPr>
        <w:instrText xml:space="preserve"> STYLEREF 1 \s </w:instrText>
      </w:r>
      <w:r w:rsidRPr="002B0001">
        <w:rPr>
          <w:lang w:eastAsia="zh-TW"/>
        </w:rPr>
        <w:fldChar w:fldCharType="separate"/>
      </w:r>
      <w:r w:rsidR="00EE0BF5">
        <w:rPr>
          <w:noProof/>
          <w:lang w:eastAsia="zh-TW"/>
        </w:rPr>
        <w:t>4</w:t>
      </w:r>
      <w:r w:rsidRPr="002B0001">
        <w:rPr>
          <w:lang w:eastAsia="zh-TW"/>
        </w:rPr>
        <w:fldChar w:fldCharType="end"/>
      </w:r>
      <w:r w:rsidRPr="002B0001">
        <w:rPr>
          <w:lang w:eastAsia="zh-TW"/>
        </w:rPr>
        <w:t>.</w:t>
      </w:r>
      <w:r w:rsidRPr="002B0001">
        <w:rPr>
          <w:lang w:eastAsia="zh-TW"/>
        </w:rPr>
        <w:fldChar w:fldCharType="begin"/>
      </w:r>
      <w:r w:rsidRPr="002B0001">
        <w:rPr>
          <w:lang w:eastAsia="zh-TW"/>
        </w:rPr>
        <w:instrText xml:space="preserve"> SEQ Figure \* ARABIC \s 1 </w:instrText>
      </w:r>
      <w:r w:rsidRPr="002B0001">
        <w:rPr>
          <w:lang w:eastAsia="zh-TW"/>
        </w:rPr>
        <w:fldChar w:fldCharType="separate"/>
      </w:r>
      <w:r w:rsidR="00EE0BF5">
        <w:rPr>
          <w:noProof/>
          <w:lang w:eastAsia="zh-TW"/>
        </w:rPr>
        <w:t>3</w:t>
      </w:r>
      <w:r w:rsidRPr="002B0001">
        <w:rPr>
          <w:lang w:eastAsia="zh-TW"/>
        </w:rPr>
        <w:fldChar w:fldCharType="end"/>
      </w:r>
      <w:bookmarkEnd w:id="358"/>
      <w:r w:rsidRPr="002B0001">
        <w:rPr>
          <w:lang w:eastAsia="zh-TW"/>
        </w:rPr>
        <w:t xml:space="preserve">. </w:t>
      </w:r>
      <w:r w:rsidRPr="00F61532">
        <w:rPr>
          <w:lang w:eastAsia="zh-TW"/>
        </w:rPr>
        <w:t xml:space="preserve">Projected change of annual and seasonal mean temperature in </w:t>
      </w:r>
      <w:r>
        <w:rPr>
          <w:lang w:eastAsia="zh-TW"/>
        </w:rPr>
        <w:t>the WAPA region</w:t>
      </w:r>
      <w:r w:rsidRPr="00F61532">
        <w:rPr>
          <w:lang w:eastAsia="zh-TW"/>
        </w:rPr>
        <w:t>.</w:t>
      </w:r>
      <w:bookmarkEnd w:id="359"/>
      <w:bookmarkEnd w:id="360"/>
    </w:p>
    <w:p w14:paraId="6781B191" w14:textId="1C3E9F3E" w:rsidR="00996839" w:rsidRDefault="00996839" w:rsidP="008F088E">
      <w:pPr>
        <w:pStyle w:val="BodyText"/>
      </w:pPr>
      <w:r w:rsidRPr="004C111D">
        <w:rPr>
          <w:rFonts w:eastAsia="PMingLiU"/>
          <w:lang w:eastAsia="zh-TW"/>
        </w:rPr>
        <w:t xml:space="preserve">Annual and seasonal temperature is projected to increase across all the ensemble members during both </w:t>
      </w:r>
      <w:r>
        <w:rPr>
          <w:rFonts w:eastAsia="PMingLiU"/>
          <w:lang w:eastAsia="zh-TW"/>
        </w:rPr>
        <w:t xml:space="preserve">the </w:t>
      </w:r>
      <w:r w:rsidRPr="004C111D">
        <w:rPr>
          <w:rFonts w:eastAsia="PMingLiU"/>
          <w:lang w:eastAsia="zh-TW"/>
        </w:rPr>
        <w:t>near-term and mid</w:t>
      </w:r>
      <w:r>
        <w:rPr>
          <w:rFonts w:eastAsia="PMingLiU"/>
          <w:lang w:eastAsia="zh-TW"/>
        </w:rPr>
        <w:t>-</w:t>
      </w:r>
      <w:r w:rsidRPr="004C111D">
        <w:rPr>
          <w:rFonts w:eastAsia="PMingLiU"/>
          <w:lang w:eastAsia="zh-TW"/>
        </w:rPr>
        <w:t>term future periods. A relatively large increase is projected during the mid</w:t>
      </w:r>
      <w:r>
        <w:rPr>
          <w:rFonts w:eastAsia="PMingLiU"/>
          <w:lang w:eastAsia="zh-TW"/>
        </w:rPr>
        <w:t>-</w:t>
      </w:r>
      <w:r w:rsidRPr="004C111D">
        <w:rPr>
          <w:rFonts w:eastAsia="PMingLiU"/>
          <w:lang w:eastAsia="zh-TW"/>
        </w:rPr>
        <w:t xml:space="preserve">term future </w:t>
      </w:r>
      <w:r w:rsidRPr="00445679">
        <w:rPr>
          <w:rFonts w:eastAsia="PMingLiU"/>
          <w:lang w:eastAsia="zh-TW"/>
        </w:rPr>
        <w:t xml:space="preserve">period. </w:t>
      </w:r>
      <w:r w:rsidRPr="00445679">
        <w:t xml:space="preserve">The </w:t>
      </w:r>
      <w:r>
        <w:t>multimodel</w:t>
      </w:r>
      <w:r w:rsidRPr="00445679">
        <w:t xml:space="preserve"> median annual temperature in the WAPA region is projected to increase by approximately 1</w:t>
      </w:r>
      <w:r w:rsidR="00AA0F7F">
        <w:t>°F</w:t>
      </w:r>
      <w:r>
        <w:t>–</w:t>
      </w:r>
      <w:r w:rsidRPr="00445679">
        <w:t>3</w:t>
      </w:r>
      <w:r w:rsidR="00AA0F7F">
        <w:t>°F</w:t>
      </w:r>
      <w:r w:rsidRPr="00445679">
        <w:t xml:space="preserve"> in the near-term and 3</w:t>
      </w:r>
      <w:r w:rsidR="00AA0F7F">
        <w:t>°F</w:t>
      </w:r>
      <w:r>
        <w:t>–</w:t>
      </w:r>
      <w:r w:rsidRPr="00445679">
        <w:t>6</w:t>
      </w:r>
      <w:r w:rsidR="00AA0F7F">
        <w:t>°F</w:t>
      </w:r>
      <w:r w:rsidRPr="00445679">
        <w:t xml:space="preserve"> in the mid</w:t>
      </w:r>
      <w:r>
        <w:t>-</w:t>
      </w:r>
      <w:r w:rsidRPr="00445679">
        <w:t>term future periods. The highest increase is projected during the summer and fall seasons (up to 8</w:t>
      </w:r>
      <w:r w:rsidR="00AA0F7F">
        <w:t>°F</w:t>
      </w:r>
      <w:r w:rsidRPr="00445679">
        <w:t xml:space="preserve"> in the mid-term</w:t>
      </w:r>
      <w:r>
        <w:t xml:space="preserve"> future period</w:t>
      </w:r>
      <w:r w:rsidRPr="00445679">
        <w:t>) over WAPA-1, WAPA-2, WAPA-4</w:t>
      </w:r>
      <w:r>
        <w:t>,</w:t>
      </w:r>
      <w:r w:rsidRPr="00445679">
        <w:t xml:space="preserve"> and WAPA-6</w:t>
      </w:r>
      <w:r>
        <w:t>; however,</w:t>
      </w:r>
      <w:r w:rsidRPr="00445679">
        <w:t xml:space="preserve"> the projected increase in temperature is consistent</w:t>
      </w:r>
      <w:r>
        <w:t xml:space="preserve"> </w:t>
      </w:r>
      <w:r w:rsidRPr="0084413F">
        <w:t>across all the seasons in WAPA-3 and WAPA-5 areas</w:t>
      </w:r>
      <w:r>
        <w:t>.</w:t>
      </w:r>
    </w:p>
    <w:p w14:paraId="5DA60D41" w14:textId="42731486" w:rsidR="003E095E" w:rsidRDefault="003E095E" w:rsidP="003E095E">
      <w:pPr>
        <w:pStyle w:val="BodyText"/>
        <w:rPr>
          <w:szCs w:val="24"/>
        </w:rPr>
      </w:pPr>
      <w:r w:rsidRPr="0084413F">
        <w:t xml:space="preserve">The annual precipitation </w:t>
      </w:r>
      <w:r>
        <w:t>(</w:t>
      </w:r>
      <w:r>
        <w:fldChar w:fldCharType="begin"/>
      </w:r>
      <w:r>
        <w:instrText xml:space="preserve"> REF _Ref82674365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4</w:t>
      </w:r>
      <w:r>
        <w:fldChar w:fldCharType="end"/>
      </w:r>
      <w:r w:rsidR="006459BC">
        <w:t>) also exhibit</w:t>
      </w:r>
      <w:r w:rsidR="00C76327">
        <w:t>s</w:t>
      </w:r>
      <w:r w:rsidR="006459BC">
        <w:t xml:space="preserve"> </w:t>
      </w:r>
      <w:r w:rsidR="006459BC" w:rsidRPr="0084413F">
        <w:t xml:space="preserve">high interannual and </w:t>
      </w:r>
      <w:r w:rsidR="006459BC">
        <w:t>intermodel</w:t>
      </w:r>
      <w:r w:rsidR="006459BC" w:rsidRPr="0084413F">
        <w:t xml:space="preserve"> variability. </w:t>
      </w:r>
      <w:r w:rsidR="006459BC">
        <w:t>A</w:t>
      </w:r>
      <w:r w:rsidR="006459BC" w:rsidRPr="0084413F">
        <w:t xml:space="preserve"> comparison of </w:t>
      </w:r>
      <w:r w:rsidR="006459BC">
        <w:t xml:space="preserve">the </w:t>
      </w:r>
      <w:r w:rsidR="006459BC" w:rsidRPr="0084413F">
        <w:t xml:space="preserve">probability distribution between </w:t>
      </w:r>
      <w:r w:rsidR="006459BC">
        <w:t xml:space="preserve">the </w:t>
      </w:r>
      <w:r w:rsidR="006459BC" w:rsidRPr="0084413F">
        <w:t>baseline and future periods</w:t>
      </w:r>
      <w:r w:rsidR="006459BC">
        <w:t xml:space="preserve"> </w:t>
      </w:r>
      <w:r w:rsidR="006459BC" w:rsidRPr="0084413F">
        <w:t xml:space="preserve">indicates </w:t>
      </w:r>
      <w:r w:rsidR="006459BC">
        <w:t xml:space="preserve">a </w:t>
      </w:r>
      <w:r w:rsidR="006459BC" w:rsidRPr="0084413F">
        <w:t>stati</w:t>
      </w:r>
      <w:r w:rsidR="006459BC">
        <w:t>sti</w:t>
      </w:r>
      <w:r w:rsidR="006459BC" w:rsidRPr="0084413F">
        <w:t xml:space="preserve">cally significant increase in precipitation across </w:t>
      </w:r>
      <w:r w:rsidR="006459BC">
        <w:t>most of the WAPA</w:t>
      </w:r>
      <w:r w:rsidR="006459BC" w:rsidRPr="0084413F">
        <w:t xml:space="preserve"> areas</w:t>
      </w:r>
      <w:r w:rsidR="006459BC">
        <w:t xml:space="preserve">, </w:t>
      </w:r>
      <w:r w:rsidR="006459BC" w:rsidRPr="007348A4">
        <w:t>except WAPA-5</w:t>
      </w:r>
      <w:r w:rsidR="00C76327">
        <w:t>,</w:t>
      </w:r>
      <w:r w:rsidR="006459BC" w:rsidRPr="007348A4">
        <w:t xml:space="preserve"> </w:t>
      </w:r>
      <w:r w:rsidR="00C76327">
        <w:t xml:space="preserve">which </w:t>
      </w:r>
      <w:r w:rsidR="006459BC" w:rsidRPr="007348A4">
        <w:t xml:space="preserve">shows no </w:t>
      </w:r>
      <w:r w:rsidR="006459BC" w:rsidRPr="007348A4">
        <w:lastRenderedPageBreak/>
        <w:t>significant change.</w:t>
      </w:r>
      <w:r w:rsidR="004B6106">
        <w:t xml:space="preserve"> </w:t>
      </w:r>
      <w:r w:rsidR="004B6106" w:rsidRPr="007348A4">
        <w:rPr>
          <w:szCs w:val="24"/>
          <w:lang w:eastAsia="zh-TW"/>
        </w:rPr>
        <w:t xml:space="preserve">The annual and seasonal changes of precipitation are summarized in </w:t>
      </w:r>
      <w:r w:rsidR="004B6106">
        <w:rPr>
          <w:szCs w:val="24"/>
          <w:lang w:eastAsia="zh-TW"/>
        </w:rPr>
        <w:fldChar w:fldCharType="begin"/>
      </w:r>
      <w:r w:rsidR="004B6106">
        <w:rPr>
          <w:szCs w:val="24"/>
          <w:lang w:eastAsia="zh-TW"/>
        </w:rPr>
        <w:instrText xml:space="preserve"> REF _Ref72854606 \h </w:instrText>
      </w:r>
      <w:r w:rsidR="004B6106">
        <w:rPr>
          <w:szCs w:val="24"/>
          <w:lang w:eastAsia="zh-TW"/>
        </w:rPr>
      </w:r>
      <w:r w:rsidR="004B6106">
        <w:rPr>
          <w:szCs w:val="24"/>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5</w:t>
      </w:r>
      <w:r w:rsidR="004B6106">
        <w:rPr>
          <w:szCs w:val="24"/>
          <w:lang w:eastAsia="zh-TW"/>
        </w:rPr>
        <w:fldChar w:fldCharType="end"/>
      </w:r>
      <w:r w:rsidR="004B6106" w:rsidRPr="007348A4">
        <w:rPr>
          <w:szCs w:val="24"/>
        </w:rPr>
        <w:t>. In the near-term (2020</w:t>
      </w:r>
      <w:r w:rsidR="004B6106">
        <w:rPr>
          <w:szCs w:val="24"/>
        </w:rPr>
        <w:t>–</w:t>
      </w:r>
      <w:r w:rsidR="004B6106" w:rsidRPr="007348A4">
        <w:rPr>
          <w:szCs w:val="24"/>
        </w:rPr>
        <w:t>2039), the ensemble median annual precipitation is projected to increase over WAPA</w:t>
      </w:r>
      <w:r w:rsidR="004B6106">
        <w:rPr>
          <w:szCs w:val="24"/>
        </w:rPr>
        <w:t>-</w:t>
      </w:r>
      <w:r w:rsidR="004B6106" w:rsidRPr="007348A4">
        <w:rPr>
          <w:szCs w:val="24"/>
        </w:rPr>
        <w:t>1</w:t>
      </w:r>
      <w:r w:rsidR="004B6106">
        <w:rPr>
          <w:szCs w:val="24"/>
        </w:rPr>
        <w:t>–3</w:t>
      </w:r>
      <w:r w:rsidR="004B6106" w:rsidRPr="007348A4">
        <w:rPr>
          <w:szCs w:val="24"/>
        </w:rPr>
        <w:t xml:space="preserve"> </w:t>
      </w:r>
      <w:r w:rsidR="004B6106">
        <w:rPr>
          <w:szCs w:val="24"/>
        </w:rPr>
        <w:t xml:space="preserve">in contrast to a </w:t>
      </w:r>
      <w:r w:rsidR="004B6106" w:rsidRPr="007348A4">
        <w:rPr>
          <w:szCs w:val="24"/>
        </w:rPr>
        <w:t xml:space="preserve">small to no change </w:t>
      </w:r>
      <w:r w:rsidR="004B6106">
        <w:rPr>
          <w:szCs w:val="24"/>
        </w:rPr>
        <w:t xml:space="preserve">in </w:t>
      </w:r>
      <w:r w:rsidR="004B6106" w:rsidRPr="007348A4">
        <w:rPr>
          <w:szCs w:val="24"/>
        </w:rPr>
        <w:t>WAPA-4</w:t>
      </w:r>
      <w:r w:rsidR="004B6106">
        <w:rPr>
          <w:szCs w:val="24"/>
        </w:rPr>
        <w:t>–</w:t>
      </w:r>
      <w:r w:rsidR="004B6106" w:rsidRPr="007348A4">
        <w:rPr>
          <w:szCs w:val="24"/>
        </w:rPr>
        <w:t xml:space="preserve">6. In </w:t>
      </w:r>
      <w:r w:rsidR="004B6106">
        <w:rPr>
          <w:szCs w:val="24"/>
        </w:rPr>
        <w:t xml:space="preserve">the </w:t>
      </w:r>
      <w:r w:rsidR="004B6106" w:rsidRPr="007348A4">
        <w:rPr>
          <w:szCs w:val="24"/>
        </w:rPr>
        <w:t>mid-term future period (2040</w:t>
      </w:r>
      <w:r w:rsidR="004B6106">
        <w:rPr>
          <w:szCs w:val="24"/>
        </w:rPr>
        <w:t>–</w:t>
      </w:r>
      <w:r w:rsidR="004B6106" w:rsidRPr="007348A4">
        <w:rPr>
          <w:szCs w:val="24"/>
        </w:rPr>
        <w:t>2059), the ensemble median annual precipitation is projected to increase across most of the region except over WAPA-5</w:t>
      </w:r>
      <w:r w:rsidR="004B6106">
        <w:rPr>
          <w:szCs w:val="24"/>
        </w:rPr>
        <w:t>,</w:t>
      </w:r>
      <w:r w:rsidR="004B6106" w:rsidRPr="007348A4">
        <w:rPr>
          <w:szCs w:val="24"/>
        </w:rPr>
        <w:t xml:space="preserve"> where it shows </w:t>
      </w:r>
      <w:r w:rsidR="004B6106">
        <w:rPr>
          <w:szCs w:val="24"/>
        </w:rPr>
        <w:t xml:space="preserve">a </w:t>
      </w:r>
      <w:r w:rsidR="004B6106" w:rsidRPr="007348A4">
        <w:rPr>
          <w:szCs w:val="24"/>
        </w:rPr>
        <w:t xml:space="preserve">small positive change. </w:t>
      </w:r>
      <w:r w:rsidR="004B6106">
        <w:rPr>
          <w:szCs w:val="24"/>
        </w:rPr>
        <w:t>A h</w:t>
      </w:r>
      <w:r w:rsidR="004B6106" w:rsidRPr="007348A4">
        <w:rPr>
          <w:szCs w:val="24"/>
        </w:rPr>
        <w:t xml:space="preserve">igher increase is projected during </w:t>
      </w:r>
      <w:r w:rsidR="004B6106">
        <w:rPr>
          <w:szCs w:val="24"/>
        </w:rPr>
        <w:t xml:space="preserve">the </w:t>
      </w:r>
      <w:r w:rsidR="004B6106" w:rsidRPr="007348A4">
        <w:rPr>
          <w:szCs w:val="24"/>
        </w:rPr>
        <w:t xml:space="preserve">winter and spring </w:t>
      </w:r>
      <w:r w:rsidR="004B6106">
        <w:rPr>
          <w:szCs w:val="24"/>
        </w:rPr>
        <w:t>for</w:t>
      </w:r>
      <w:r w:rsidR="004B6106" w:rsidRPr="007348A4">
        <w:rPr>
          <w:szCs w:val="24"/>
        </w:rPr>
        <w:t xml:space="preserve"> WAPA</w:t>
      </w:r>
      <w:r w:rsidR="004B6106">
        <w:rPr>
          <w:szCs w:val="24"/>
        </w:rPr>
        <w:t>-</w:t>
      </w:r>
      <w:r w:rsidR="004B6106" w:rsidRPr="007348A4">
        <w:rPr>
          <w:szCs w:val="24"/>
        </w:rPr>
        <w:t>1</w:t>
      </w:r>
      <w:r w:rsidR="004B6106">
        <w:rPr>
          <w:szCs w:val="24"/>
        </w:rPr>
        <w:t>–</w:t>
      </w:r>
      <w:r w:rsidR="004B6106" w:rsidRPr="007348A4">
        <w:rPr>
          <w:szCs w:val="24"/>
        </w:rPr>
        <w:t xml:space="preserve">4, fall </w:t>
      </w:r>
      <w:r w:rsidR="004B6106">
        <w:rPr>
          <w:szCs w:val="24"/>
        </w:rPr>
        <w:t xml:space="preserve">for </w:t>
      </w:r>
      <w:r w:rsidR="004B6106" w:rsidRPr="007348A4">
        <w:rPr>
          <w:szCs w:val="24"/>
        </w:rPr>
        <w:t>WAPA-5</w:t>
      </w:r>
      <w:r w:rsidR="004B6106">
        <w:rPr>
          <w:szCs w:val="24"/>
        </w:rPr>
        <w:t>,</w:t>
      </w:r>
      <w:r w:rsidR="004B6106" w:rsidRPr="007348A4">
        <w:rPr>
          <w:szCs w:val="24"/>
        </w:rPr>
        <w:t xml:space="preserve"> and</w:t>
      </w:r>
      <w:r w:rsidR="004B6106">
        <w:rPr>
          <w:szCs w:val="24"/>
        </w:rPr>
        <w:t xml:space="preserve"> the</w:t>
      </w:r>
      <w:r w:rsidR="004B6106" w:rsidRPr="007348A4">
        <w:rPr>
          <w:szCs w:val="24"/>
        </w:rPr>
        <w:t xml:space="preserve"> summer </w:t>
      </w:r>
      <w:r w:rsidR="004B6106">
        <w:rPr>
          <w:szCs w:val="24"/>
        </w:rPr>
        <w:t>for</w:t>
      </w:r>
      <w:r w:rsidR="004B6106" w:rsidRPr="007348A4">
        <w:rPr>
          <w:szCs w:val="24"/>
        </w:rPr>
        <w:t xml:space="preserve"> WAPA-6 in </w:t>
      </w:r>
      <w:r w:rsidR="004B6106">
        <w:rPr>
          <w:szCs w:val="24"/>
        </w:rPr>
        <w:t xml:space="preserve">the </w:t>
      </w:r>
      <w:r w:rsidR="004B6106" w:rsidRPr="007348A4">
        <w:rPr>
          <w:szCs w:val="24"/>
        </w:rPr>
        <w:t>mid-term future.</w:t>
      </w:r>
    </w:p>
    <w:p w14:paraId="7D91E282" w14:textId="77777777" w:rsidR="004B6106" w:rsidRDefault="004B6106" w:rsidP="003E095E">
      <w:pPr>
        <w:pStyle w:val="BodyText"/>
      </w:pPr>
    </w:p>
    <w:p w14:paraId="2EFC1440" w14:textId="77777777" w:rsidR="000D20F4" w:rsidRDefault="00DF3DD8" w:rsidP="00050448">
      <w:pPr>
        <w:pStyle w:val="BodyText"/>
        <w:jc w:val="center"/>
        <w:rPr>
          <w:lang w:eastAsia="zh-TW"/>
        </w:rPr>
      </w:pPr>
      <w:r>
        <w:rPr>
          <w:noProof/>
        </w:rPr>
        <w:drawing>
          <wp:inline distT="0" distB="0" distL="0" distR="0" wp14:anchorId="18B4E7D7" wp14:editId="6F2ECF89">
            <wp:extent cx="5486396" cy="1828798"/>
            <wp:effectExtent l="0" t="0" r="635" b="63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pic:cNvPicPr>
                      <a:picLocks noChangeAspect="1" noChangeArrowheads="1"/>
                    </pic:cNvPicPr>
                  </pic:nvPicPr>
                  <pic:blipFill>
                    <a:blip r:embed="rId129"/>
                    <a:stretch>
                      <a:fillRect/>
                    </a:stretch>
                  </pic:blipFill>
                  <pic:spPr bwMode="auto">
                    <a:xfrm>
                      <a:off x="0" y="0"/>
                      <a:ext cx="5486396" cy="1828798"/>
                    </a:xfrm>
                    <a:prstGeom prst="rect">
                      <a:avLst/>
                    </a:prstGeom>
                    <a:noFill/>
                    <a:ln>
                      <a:noFill/>
                    </a:ln>
                  </pic:spPr>
                </pic:pic>
              </a:graphicData>
            </a:graphic>
          </wp:inline>
        </w:drawing>
      </w:r>
    </w:p>
    <w:p w14:paraId="2E90C8DA" w14:textId="77777777" w:rsidR="000D20F4" w:rsidRDefault="00DF3DD8" w:rsidP="00050448">
      <w:pPr>
        <w:pStyle w:val="BodyText"/>
        <w:jc w:val="center"/>
        <w:rPr>
          <w:lang w:eastAsia="zh-TW"/>
        </w:rPr>
      </w:pPr>
      <w:r>
        <w:rPr>
          <w:noProof/>
        </w:rPr>
        <w:drawing>
          <wp:inline distT="0" distB="0" distL="0" distR="0" wp14:anchorId="71DCAFF4" wp14:editId="3A572724">
            <wp:extent cx="5486396" cy="1828798"/>
            <wp:effectExtent l="0" t="0" r="635"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pic:cNvPicPr>
                      <a:picLocks noChangeAspect="1" noChangeArrowheads="1"/>
                    </pic:cNvPicPr>
                  </pic:nvPicPr>
                  <pic:blipFill>
                    <a:blip r:embed="rId130"/>
                    <a:stretch>
                      <a:fillRect/>
                    </a:stretch>
                  </pic:blipFill>
                  <pic:spPr bwMode="auto">
                    <a:xfrm>
                      <a:off x="0" y="0"/>
                      <a:ext cx="5486396" cy="1828798"/>
                    </a:xfrm>
                    <a:prstGeom prst="rect">
                      <a:avLst/>
                    </a:prstGeom>
                    <a:noFill/>
                    <a:ln>
                      <a:noFill/>
                    </a:ln>
                  </pic:spPr>
                </pic:pic>
              </a:graphicData>
            </a:graphic>
          </wp:inline>
        </w:drawing>
      </w:r>
    </w:p>
    <w:p w14:paraId="6631F4E2" w14:textId="77777777" w:rsidR="000D20F4" w:rsidRDefault="00DF3DD8" w:rsidP="00050448">
      <w:pPr>
        <w:pStyle w:val="BodyText"/>
        <w:jc w:val="center"/>
        <w:rPr>
          <w:lang w:eastAsia="zh-TW"/>
        </w:rPr>
      </w:pPr>
      <w:r>
        <w:rPr>
          <w:noProof/>
        </w:rPr>
        <w:drawing>
          <wp:inline distT="0" distB="0" distL="0" distR="0" wp14:anchorId="3C856187" wp14:editId="63FB3C87">
            <wp:extent cx="5486396" cy="1828798"/>
            <wp:effectExtent l="0" t="0" r="635" b="63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pic:cNvPicPr>
                      <a:picLocks noChangeAspect="1" noChangeArrowheads="1"/>
                    </pic:cNvPicPr>
                  </pic:nvPicPr>
                  <pic:blipFill>
                    <a:blip r:embed="rId131"/>
                    <a:stretch>
                      <a:fillRect/>
                    </a:stretch>
                  </pic:blipFill>
                  <pic:spPr bwMode="auto">
                    <a:xfrm>
                      <a:off x="0" y="0"/>
                      <a:ext cx="5486396" cy="1828798"/>
                    </a:xfrm>
                    <a:prstGeom prst="rect">
                      <a:avLst/>
                    </a:prstGeom>
                    <a:noFill/>
                    <a:ln>
                      <a:noFill/>
                    </a:ln>
                  </pic:spPr>
                </pic:pic>
              </a:graphicData>
            </a:graphic>
          </wp:inline>
        </w:drawing>
      </w:r>
    </w:p>
    <w:p w14:paraId="15091A37" w14:textId="77777777" w:rsidR="000D20F4" w:rsidRDefault="00DF3DD8" w:rsidP="00050448">
      <w:pPr>
        <w:pStyle w:val="BodyText"/>
        <w:jc w:val="center"/>
        <w:rPr>
          <w:lang w:eastAsia="zh-TW"/>
        </w:rPr>
      </w:pPr>
      <w:r>
        <w:rPr>
          <w:noProof/>
        </w:rPr>
        <w:lastRenderedPageBreak/>
        <w:drawing>
          <wp:inline distT="0" distB="0" distL="0" distR="0" wp14:anchorId="384DE1A2" wp14:editId="1ED5CE7C">
            <wp:extent cx="5486396" cy="1828798"/>
            <wp:effectExtent l="0" t="0" r="635"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pic:cNvPicPr>
                      <a:picLocks noChangeAspect="1" noChangeArrowheads="1"/>
                    </pic:cNvPicPr>
                  </pic:nvPicPr>
                  <pic:blipFill>
                    <a:blip r:embed="rId132"/>
                    <a:stretch>
                      <a:fillRect/>
                    </a:stretch>
                  </pic:blipFill>
                  <pic:spPr bwMode="auto">
                    <a:xfrm>
                      <a:off x="0" y="0"/>
                      <a:ext cx="5486396" cy="1828798"/>
                    </a:xfrm>
                    <a:prstGeom prst="rect">
                      <a:avLst/>
                    </a:prstGeom>
                    <a:noFill/>
                    <a:ln>
                      <a:noFill/>
                    </a:ln>
                  </pic:spPr>
                </pic:pic>
              </a:graphicData>
            </a:graphic>
          </wp:inline>
        </w:drawing>
      </w:r>
    </w:p>
    <w:p w14:paraId="33A00598" w14:textId="77777777" w:rsidR="000D20F4" w:rsidRDefault="00DF3DD8" w:rsidP="00050448">
      <w:pPr>
        <w:pStyle w:val="BodyText"/>
        <w:jc w:val="center"/>
        <w:rPr>
          <w:lang w:eastAsia="zh-TW"/>
        </w:rPr>
      </w:pPr>
      <w:r>
        <w:rPr>
          <w:noProof/>
        </w:rPr>
        <w:drawing>
          <wp:inline distT="0" distB="0" distL="0" distR="0" wp14:anchorId="0B5F1B3B" wp14:editId="5AA4520A">
            <wp:extent cx="5486396" cy="1828798"/>
            <wp:effectExtent l="0" t="0" r="635" b="63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pic:cNvPicPr>
                      <a:picLocks noChangeAspect="1" noChangeArrowheads="1"/>
                    </pic:cNvPicPr>
                  </pic:nvPicPr>
                  <pic:blipFill>
                    <a:blip r:embed="rId133"/>
                    <a:stretch>
                      <a:fillRect/>
                    </a:stretch>
                  </pic:blipFill>
                  <pic:spPr bwMode="auto">
                    <a:xfrm>
                      <a:off x="0" y="0"/>
                      <a:ext cx="5486396" cy="1828798"/>
                    </a:xfrm>
                    <a:prstGeom prst="rect">
                      <a:avLst/>
                    </a:prstGeom>
                    <a:noFill/>
                    <a:ln>
                      <a:noFill/>
                    </a:ln>
                  </pic:spPr>
                </pic:pic>
              </a:graphicData>
            </a:graphic>
          </wp:inline>
        </w:drawing>
      </w:r>
    </w:p>
    <w:p w14:paraId="369A7B72" w14:textId="193F7CB6" w:rsidR="00DF3DD8" w:rsidRDefault="00DF3DD8" w:rsidP="00050448">
      <w:pPr>
        <w:pStyle w:val="BodyText"/>
        <w:jc w:val="center"/>
        <w:rPr>
          <w:lang w:eastAsia="zh-TW"/>
        </w:rPr>
      </w:pPr>
      <w:r>
        <w:rPr>
          <w:noProof/>
        </w:rPr>
        <w:drawing>
          <wp:inline distT="0" distB="0" distL="0" distR="0" wp14:anchorId="6CEC3EE5" wp14:editId="3E35BB4C">
            <wp:extent cx="5486396" cy="1828798"/>
            <wp:effectExtent l="0" t="0" r="635" b="63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pic:cNvPicPr>
                      <a:picLocks noChangeAspect="1" noChangeArrowheads="1"/>
                    </pic:cNvPicPr>
                  </pic:nvPicPr>
                  <pic:blipFill>
                    <a:blip r:embed="rId134"/>
                    <a:stretch>
                      <a:fillRect/>
                    </a:stretch>
                  </pic:blipFill>
                  <pic:spPr bwMode="auto">
                    <a:xfrm>
                      <a:off x="0" y="0"/>
                      <a:ext cx="5486396" cy="1828798"/>
                    </a:xfrm>
                    <a:prstGeom prst="rect">
                      <a:avLst/>
                    </a:prstGeom>
                    <a:noFill/>
                    <a:ln>
                      <a:noFill/>
                    </a:ln>
                  </pic:spPr>
                </pic:pic>
              </a:graphicData>
            </a:graphic>
          </wp:inline>
        </w:drawing>
      </w:r>
    </w:p>
    <w:p w14:paraId="5F7EA60B" w14:textId="70769393" w:rsidR="00DF3DD8" w:rsidRDefault="00DF3DD8" w:rsidP="00050448">
      <w:pPr>
        <w:pStyle w:val="FigureCaption"/>
        <w:rPr>
          <w:lang w:eastAsia="zh-TW"/>
        </w:rPr>
      </w:pPr>
      <w:bookmarkStart w:id="361" w:name="_Ref82674365"/>
      <w:bookmarkStart w:id="362" w:name="_Toc113380911"/>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4</w:t>
      </w:r>
      <w:r w:rsidRPr="00F61532">
        <w:rPr>
          <w:lang w:eastAsia="zh-TW"/>
        </w:rPr>
        <w:fldChar w:fldCharType="end"/>
      </w:r>
      <w:bookmarkEnd w:id="361"/>
      <w:r w:rsidRPr="00F61532">
        <w:rPr>
          <w:lang w:eastAsia="zh-TW"/>
        </w:rPr>
        <w:t xml:space="preserve">. Projected annual </w:t>
      </w:r>
      <w:r>
        <w:rPr>
          <w:lang w:eastAsia="zh-TW"/>
        </w:rPr>
        <w:t>total</w:t>
      </w:r>
      <w:r w:rsidRPr="00F61532">
        <w:rPr>
          <w:lang w:eastAsia="zh-TW"/>
        </w:rPr>
        <w:t xml:space="preserve"> </w:t>
      </w:r>
      <w:r>
        <w:rPr>
          <w:lang w:eastAsia="zh-TW"/>
        </w:rPr>
        <w:t>precipitation</w:t>
      </w:r>
      <w:r w:rsidRPr="00F61532">
        <w:rPr>
          <w:lang w:eastAsia="zh-TW"/>
        </w:rPr>
        <w:t xml:space="preserve"> in</w:t>
      </w:r>
      <w:r>
        <w:rPr>
          <w:lang w:eastAsia="zh-TW"/>
        </w:rPr>
        <w:t xml:space="preserve"> the WAPA region</w:t>
      </w:r>
      <w:r w:rsidRPr="00F61532">
        <w:rPr>
          <w:lang w:eastAsia="zh-TW"/>
        </w:rPr>
        <w:t>.</w:t>
      </w:r>
      <w:bookmarkEnd w:id="362"/>
    </w:p>
    <w:p w14:paraId="721BBE6F" w14:textId="13294CDC" w:rsidR="009868FB" w:rsidRDefault="009868FB" w:rsidP="009868FB">
      <w:pPr>
        <w:pStyle w:val="BodyText"/>
        <w:rPr>
          <w:szCs w:val="24"/>
        </w:rPr>
      </w:pPr>
    </w:p>
    <w:p w14:paraId="65F09D13" w14:textId="77777777" w:rsidR="00F642C7" w:rsidRDefault="00F642C7" w:rsidP="009868FB">
      <w:pPr>
        <w:pStyle w:val="BodyText"/>
        <w:rPr>
          <w:szCs w:val="24"/>
        </w:rPr>
      </w:pPr>
    </w:p>
    <w:p w14:paraId="27022938" w14:textId="77777777" w:rsidR="000D20F4" w:rsidRDefault="009868FB" w:rsidP="009868FB">
      <w:pPr>
        <w:pStyle w:val="FIGUREposition"/>
        <w:rPr>
          <w:lang w:eastAsia="zh-TW"/>
        </w:rPr>
      </w:pPr>
      <w:r>
        <w:rPr>
          <w:noProof/>
        </w:rPr>
        <w:lastRenderedPageBreak/>
        <w:drawing>
          <wp:inline distT="0" distB="0" distL="0" distR="0" wp14:anchorId="7994006B" wp14:editId="3DE1027B">
            <wp:extent cx="2743200" cy="18288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a:picLocks noChangeAspect="1" noChangeArrowheads="1"/>
                    </pic:cNvPicPr>
                  </pic:nvPicPr>
                  <pic:blipFill>
                    <a:blip r:embed="rId135"/>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C28FB07" wp14:editId="4B332D49">
            <wp:extent cx="2743200" cy="18288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136"/>
                    <a:stretch>
                      <a:fillRect/>
                    </a:stretch>
                  </pic:blipFill>
                  <pic:spPr bwMode="auto">
                    <a:xfrm>
                      <a:off x="0" y="0"/>
                      <a:ext cx="2743200" cy="1828800"/>
                    </a:xfrm>
                    <a:prstGeom prst="rect">
                      <a:avLst/>
                    </a:prstGeom>
                    <a:noFill/>
                    <a:ln>
                      <a:noFill/>
                    </a:ln>
                  </pic:spPr>
                </pic:pic>
              </a:graphicData>
            </a:graphic>
          </wp:inline>
        </w:drawing>
      </w:r>
    </w:p>
    <w:p w14:paraId="673907CA" w14:textId="77777777" w:rsidR="000D20F4" w:rsidRDefault="009868FB" w:rsidP="009868FB">
      <w:pPr>
        <w:pStyle w:val="FIGUREposition"/>
        <w:rPr>
          <w:lang w:eastAsia="zh-TW"/>
        </w:rPr>
      </w:pPr>
      <w:r>
        <w:rPr>
          <w:noProof/>
        </w:rPr>
        <w:drawing>
          <wp:inline distT="0" distB="0" distL="0" distR="0" wp14:anchorId="055D192C" wp14:editId="5F9B63AE">
            <wp:extent cx="2743200" cy="18288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noChangeArrowheads="1"/>
                    </pic:cNvPicPr>
                  </pic:nvPicPr>
                  <pic:blipFill>
                    <a:blip r:embed="rId137"/>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74BFAFA" wp14:editId="68E830D2">
            <wp:extent cx="2743200" cy="18288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138"/>
                    <a:stretch>
                      <a:fillRect/>
                    </a:stretch>
                  </pic:blipFill>
                  <pic:spPr bwMode="auto">
                    <a:xfrm>
                      <a:off x="0" y="0"/>
                      <a:ext cx="2743200" cy="1828800"/>
                    </a:xfrm>
                    <a:prstGeom prst="rect">
                      <a:avLst/>
                    </a:prstGeom>
                    <a:noFill/>
                    <a:ln>
                      <a:noFill/>
                    </a:ln>
                  </pic:spPr>
                </pic:pic>
              </a:graphicData>
            </a:graphic>
          </wp:inline>
        </w:drawing>
      </w:r>
    </w:p>
    <w:p w14:paraId="25819832" w14:textId="18F41792" w:rsidR="009868FB" w:rsidRDefault="009868FB" w:rsidP="009868FB">
      <w:pPr>
        <w:pStyle w:val="FIGUREposition"/>
        <w:rPr>
          <w:lang w:eastAsia="zh-TW"/>
        </w:rPr>
      </w:pPr>
      <w:r>
        <w:rPr>
          <w:noProof/>
        </w:rPr>
        <w:drawing>
          <wp:inline distT="0" distB="0" distL="0" distR="0" wp14:anchorId="2EA5C6A0" wp14:editId="28C1B5E7">
            <wp:extent cx="2743200" cy="18288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a:picLocks noChangeAspect="1" noChangeArrowheads="1"/>
                    </pic:cNvPicPr>
                  </pic:nvPicPr>
                  <pic:blipFill>
                    <a:blip r:embed="rId139"/>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2A6C273A" wp14:editId="12299A6A">
            <wp:extent cx="2743200" cy="182880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140"/>
                    <a:stretch>
                      <a:fillRect/>
                    </a:stretch>
                  </pic:blipFill>
                  <pic:spPr bwMode="auto">
                    <a:xfrm>
                      <a:off x="0" y="0"/>
                      <a:ext cx="2743200" cy="1828800"/>
                    </a:xfrm>
                    <a:prstGeom prst="rect">
                      <a:avLst/>
                    </a:prstGeom>
                    <a:noFill/>
                    <a:ln>
                      <a:noFill/>
                    </a:ln>
                  </pic:spPr>
                </pic:pic>
              </a:graphicData>
            </a:graphic>
          </wp:inline>
        </w:drawing>
      </w:r>
    </w:p>
    <w:p w14:paraId="77B86F55" w14:textId="09CF9265" w:rsidR="009868FB" w:rsidRDefault="009868FB" w:rsidP="009868FB">
      <w:pPr>
        <w:pStyle w:val="FigureCaption"/>
        <w:rPr>
          <w:lang w:eastAsia="zh-TW"/>
        </w:rPr>
      </w:pPr>
      <w:bookmarkStart w:id="363" w:name="_Ref72854606"/>
      <w:bookmarkStart w:id="364" w:name="_Toc113380912"/>
      <w:r>
        <w:rPr>
          <w:lang w:eastAsia="zh-TW"/>
        </w:rPr>
        <w:t>Figure</w:t>
      </w:r>
      <w:r w:rsidRPr="002B0001">
        <w:rPr>
          <w:lang w:eastAsia="zh-TW"/>
        </w:rPr>
        <w:t xml:space="preserve"> </w:t>
      </w:r>
      <w:r w:rsidRPr="002B0001">
        <w:rPr>
          <w:lang w:eastAsia="zh-TW"/>
        </w:rPr>
        <w:fldChar w:fldCharType="begin"/>
      </w:r>
      <w:r w:rsidRPr="002B0001">
        <w:rPr>
          <w:lang w:eastAsia="zh-TW"/>
        </w:rPr>
        <w:instrText xml:space="preserve"> STYLEREF 1 \s </w:instrText>
      </w:r>
      <w:r w:rsidRPr="002B0001">
        <w:rPr>
          <w:lang w:eastAsia="zh-TW"/>
        </w:rPr>
        <w:fldChar w:fldCharType="separate"/>
      </w:r>
      <w:r w:rsidR="00EE0BF5">
        <w:rPr>
          <w:noProof/>
          <w:lang w:eastAsia="zh-TW"/>
        </w:rPr>
        <w:t>4</w:t>
      </w:r>
      <w:r w:rsidRPr="002B0001">
        <w:rPr>
          <w:lang w:eastAsia="zh-TW"/>
        </w:rPr>
        <w:fldChar w:fldCharType="end"/>
      </w:r>
      <w:r w:rsidRPr="002B0001">
        <w:rPr>
          <w:lang w:eastAsia="zh-TW"/>
        </w:rPr>
        <w:t>.</w:t>
      </w:r>
      <w:r w:rsidRPr="002B0001">
        <w:rPr>
          <w:lang w:eastAsia="zh-TW"/>
        </w:rPr>
        <w:fldChar w:fldCharType="begin"/>
      </w:r>
      <w:r w:rsidRPr="002B0001">
        <w:rPr>
          <w:lang w:eastAsia="zh-TW"/>
        </w:rPr>
        <w:instrText xml:space="preserve"> SEQ Figure \* ARABIC \s 1 </w:instrText>
      </w:r>
      <w:r w:rsidRPr="002B0001">
        <w:rPr>
          <w:lang w:eastAsia="zh-TW"/>
        </w:rPr>
        <w:fldChar w:fldCharType="separate"/>
      </w:r>
      <w:r w:rsidR="00EE0BF5">
        <w:rPr>
          <w:noProof/>
          <w:lang w:eastAsia="zh-TW"/>
        </w:rPr>
        <w:t>5</w:t>
      </w:r>
      <w:r w:rsidRPr="002B0001">
        <w:rPr>
          <w:lang w:eastAsia="zh-TW"/>
        </w:rPr>
        <w:fldChar w:fldCharType="end"/>
      </w:r>
      <w:bookmarkEnd w:id="363"/>
      <w:r w:rsidRPr="002B0001">
        <w:rPr>
          <w:lang w:eastAsia="zh-TW"/>
        </w:rPr>
        <w:t xml:space="preserve">. </w:t>
      </w:r>
      <w:r w:rsidRPr="00F61532">
        <w:rPr>
          <w:lang w:eastAsia="zh-TW"/>
        </w:rPr>
        <w:t xml:space="preserve">Projected change of annual and seasonal </w:t>
      </w:r>
      <w:r>
        <w:rPr>
          <w:lang w:eastAsia="zh-TW"/>
        </w:rPr>
        <w:t>total precipitation</w:t>
      </w:r>
      <w:r w:rsidRPr="00F61532">
        <w:rPr>
          <w:lang w:eastAsia="zh-TW"/>
        </w:rPr>
        <w:t xml:space="preserve"> in </w:t>
      </w:r>
      <w:r>
        <w:rPr>
          <w:lang w:eastAsia="zh-TW"/>
        </w:rPr>
        <w:t>the WAPA region</w:t>
      </w:r>
      <w:r w:rsidRPr="00F61532">
        <w:rPr>
          <w:lang w:eastAsia="zh-TW"/>
        </w:rPr>
        <w:t>.</w:t>
      </w:r>
      <w:bookmarkEnd w:id="364"/>
    </w:p>
    <w:p w14:paraId="2AF9D486" w14:textId="703A4B85" w:rsidR="008509C7" w:rsidRPr="00A27865" w:rsidRDefault="008509C7" w:rsidP="00346639">
      <w:pPr>
        <w:pStyle w:val="Heading3"/>
      </w:pPr>
      <w:bookmarkStart w:id="365" w:name="_Ref425756359"/>
      <w:bookmarkStart w:id="366" w:name="_Toc113380813"/>
      <w:r w:rsidRPr="00A27865">
        <w:t xml:space="preserve">Regional </w:t>
      </w:r>
      <w:r w:rsidR="00C01F68">
        <w:t>Hydrologic</w:t>
      </w:r>
      <w:r w:rsidRPr="00A27865">
        <w:t xml:space="preserve"> Projections</w:t>
      </w:r>
      <w:bookmarkEnd w:id="365"/>
      <w:bookmarkEnd w:id="366"/>
    </w:p>
    <w:p w14:paraId="3616FD22" w14:textId="67FB2046" w:rsidR="008509C7" w:rsidRDefault="008509C7" w:rsidP="008E7619">
      <w:pPr>
        <w:pStyle w:val="BodyText"/>
      </w:pPr>
      <w:r>
        <w:t xml:space="preserve">The runoff projections for each of the WAPA regions are illustrated in </w:t>
      </w:r>
      <w:r>
        <w:fldChar w:fldCharType="begin"/>
      </w:r>
      <w:r>
        <w:instrText xml:space="preserve"> REF _Ref72854625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6</w:t>
      </w:r>
      <w:r>
        <w:fldChar w:fldCharType="end"/>
      </w:r>
      <w:r>
        <w:t xml:space="preserve"> and </w:t>
      </w:r>
      <w:r>
        <w:fldChar w:fldCharType="begin"/>
      </w:r>
      <w:r>
        <w:instrText xml:space="preserve"> REF _Ref72854665 \h  \* MERGEFORMAT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noProof/>
          <w:lang w:eastAsia="zh-TW"/>
        </w:rPr>
        <w:t>.</w:t>
      </w:r>
      <w:r w:rsidR="00EE0BF5">
        <w:rPr>
          <w:noProof/>
          <w:lang w:eastAsia="zh-TW"/>
        </w:rPr>
        <w:t>7</w:t>
      </w:r>
      <w:r>
        <w:fldChar w:fldCharType="end"/>
      </w:r>
      <w:r>
        <w:t>. The annual total runoff in baseline (1980–2019) and future (2020–2059)</w:t>
      </w:r>
      <w:r w:rsidRPr="003B796D">
        <w:t xml:space="preserve"> </w:t>
      </w:r>
      <w:r>
        <w:t xml:space="preserve">periods is presented in </w:t>
      </w:r>
      <w:r>
        <w:fldChar w:fldCharType="begin"/>
      </w:r>
      <w:r>
        <w:instrText xml:space="preserve"> REF _Ref72854625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6</w:t>
      </w:r>
      <w:r>
        <w:fldChar w:fldCharType="end"/>
      </w:r>
      <w:r>
        <w:t xml:space="preserve">. The gray lines show annual runoff from 48 sets of hydrologic projections, the black line represents the multimodel median, and the blue and green lines show the control simulations driven by Daymet and Livneh observations, respectively. The corresponding probability distributions are compared in the right panel. </w:t>
      </w:r>
      <w:r w:rsidRPr="00C75C6E">
        <w:t xml:space="preserve">The annual and seasonal changes in runoff are further summarized in </w:t>
      </w:r>
      <w:r>
        <w:fldChar w:fldCharType="begin"/>
      </w:r>
      <w:r>
        <w:instrText xml:space="preserve"> REF _Ref72854665 \h  \* MERGEFORMAT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noProof/>
          <w:lang w:eastAsia="zh-TW"/>
        </w:rPr>
        <w:t>.</w:t>
      </w:r>
      <w:r w:rsidR="00EE0BF5">
        <w:rPr>
          <w:noProof/>
          <w:lang w:eastAsia="zh-TW"/>
        </w:rPr>
        <w:t>7</w:t>
      </w:r>
      <w:r>
        <w:fldChar w:fldCharType="end"/>
      </w:r>
      <w:r w:rsidRPr="00C75C6E">
        <w:t>. Change is defined as the percent</w:t>
      </w:r>
      <w:r>
        <w:t>age</w:t>
      </w:r>
      <w:r w:rsidRPr="00C75C6E">
        <w:t xml:space="preserve"> difference of future periods (2020–2039 and 2040–2059) compared </w:t>
      </w:r>
      <w:r>
        <w:t xml:space="preserve">with </w:t>
      </w:r>
      <w:r w:rsidRPr="00C75C6E">
        <w:t>the baseline period</w:t>
      </w:r>
      <w:r>
        <w:t xml:space="preserve"> (</w:t>
      </w:r>
      <w:r w:rsidRPr="3ADD3F87">
        <w:rPr>
          <w:rFonts w:eastAsia="PMingLiU"/>
          <w:lang w:eastAsia="zh-TW"/>
        </w:rPr>
        <w:t>1980–2019</w:t>
      </w:r>
      <w:r>
        <w:rPr>
          <w:rFonts w:eastAsia="PMingLiU"/>
          <w:lang w:eastAsia="zh-TW"/>
        </w:rPr>
        <w:t>)</w:t>
      </w:r>
      <w:r w:rsidRPr="00C75C6E">
        <w:t xml:space="preserve">. Each box plot shows the spread across 48 ensemble </w:t>
      </w:r>
      <w:r>
        <w:rPr>
          <w:rFonts w:eastAsia="PMingLiU"/>
          <w:lang w:eastAsia="zh-TW"/>
        </w:rPr>
        <w:t>members;</w:t>
      </w:r>
      <w:r w:rsidRPr="00C75C6E">
        <w:t xml:space="preserve"> the central mark </w:t>
      </w:r>
      <w:r>
        <w:t xml:space="preserve">indicates </w:t>
      </w:r>
      <w:r w:rsidRPr="00C75C6E">
        <w:t xml:space="preserve">the </w:t>
      </w:r>
      <w:r>
        <w:t>multimodel</w:t>
      </w:r>
      <w:r w:rsidRPr="00C75C6E">
        <w:t xml:space="preserve"> median, </w:t>
      </w:r>
      <w:r>
        <w:t xml:space="preserve">and </w:t>
      </w:r>
      <w:r w:rsidRPr="00C75C6E">
        <w:t xml:space="preserve">the edges of the box </w:t>
      </w:r>
      <w:r>
        <w:t xml:space="preserve">indicate </w:t>
      </w:r>
      <w:r w:rsidRPr="00C75C6E">
        <w:t xml:space="preserve">the </w:t>
      </w:r>
      <w:r>
        <w:t>25</w:t>
      </w:r>
      <w:r w:rsidR="00FA458A" w:rsidRPr="00FA458A">
        <w:t>th</w:t>
      </w:r>
      <w:r w:rsidRPr="00C75C6E">
        <w:t xml:space="preserve"> and </w:t>
      </w:r>
      <w:r>
        <w:t>75</w:t>
      </w:r>
      <w:r w:rsidR="00FA458A" w:rsidRPr="00FA458A">
        <w:t>th</w:t>
      </w:r>
      <w:r w:rsidRPr="00C75C6E">
        <w:t xml:space="preserve"> percentiles</w:t>
      </w:r>
      <w:r w:rsidRPr="00882352">
        <w:rPr>
          <w:rFonts w:eastAsia="PMingLiU"/>
          <w:lang w:eastAsia="zh-TW"/>
        </w:rPr>
        <w:t>.</w:t>
      </w:r>
      <w:r>
        <w:rPr>
          <w:rFonts w:eastAsia="PMingLiU"/>
          <w:lang w:eastAsia="zh-TW"/>
        </w:rPr>
        <w:t xml:space="preserve"> The maximum </w:t>
      </w:r>
      <w:r w:rsidRPr="00726701">
        <w:rPr>
          <w:rFonts w:eastAsia="PMingLiU"/>
          <w:lang w:eastAsia="zh-TW"/>
        </w:rPr>
        <w:t>whisker length</w:t>
      </w:r>
      <w:r>
        <w:rPr>
          <w:rFonts w:eastAsia="PMingLiU"/>
          <w:lang w:eastAsia="zh-TW"/>
        </w:rPr>
        <w:t xml:space="preserve"> is 1.5 times the box height (25</w:t>
      </w:r>
      <w:r w:rsidR="00FA458A" w:rsidRPr="00FA458A">
        <w:rPr>
          <w:rFonts w:eastAsia="PMingLiU"/>
          <w:lang w:eastAsia="zh-TW"/>
        </w:rPr>
        <w:t>th</w:t>
      </w:r>
      <w:r>
        <w:rPr>
          <w:rFonts w:eastAsia="PMingLiU"/>
          <w:lang w:eastAsia="zh-TW"/>
        </w:rPr>
        <w:t xml:space="preserve"> to 75</w:t>
      </w:r>
      <w:r w:rsidR="00FA458A" w:rsidRPr="00FA458A">
        <w:rPr>
          <w:rFonts w:eastAsia="PMingLiU"/>
          <w:lang w:eastAsia="zh-TW"/>
        </w:rPr>
        <w:t>th</w:t>
      </w:r>
      <w:r w:rsidR="00307A7B">
        <w:rPr>
          <w:rFonts w:eastAsia="PMingLiU"/>
          <w:lang w:eastAsia="zh-TW"/>
        </w:rPr>
        <w:t xml:space="preserve"> </w:t>
      </w:r>
      <w:r w:rsidRPr="004C111D">
        <w:rPr>
          <w:rFonts w:eastAsia="PMingLiU"/>
          <w:lang w:eastAsia="zh-TW"/>
        </w:rPr>
        <w:t>percentiles</w:t>
      </w:r>
      <w:r>
        <w:rPr>
          <w:rFonts w:eastAsia="PMingLiU"/>
          <w:lang w:eastAsia="zh-TW"/>
        </w:rPr>
        <w:t xml:space="preserve">). Ensemble members </w:t>
      </w:r>
      <w:r>
        <w:rPr>
          <w:rFonts w:eastAsia="PMingLiU"/>
          <w:lang w:eastAsia="zh-TW"/>
        </w:rPr>
        <w:lastRenderedPageBreak/>
        <w:t>outside of the maximum whisker length are considered as statistical outliers (but should not be excluded in the context of climate change)</w:t>
      </w:r>
      <w:r w:rsidRPr="00C75C6E">
        <w:t>.</w:t>
      </w:r>
    </w:p>
    <w:p w14:paraId="42F71417" w14:textId="77777777" w:rsidR="000D20F4" w:rsidRDefault="000D20F4" w:rsidP="008E7619">
      <w:pPr>
        <w:pStyle w:val="BodyText"/>
      </w:pPr>
    </w:p>
    <w:p w14:paraId="443E8905" w14:textId="77777777" w:rsidR="000D20F4" w:rsidRDefault="00B611B0" w:rsidP="00B611B0">
      <w:pPr>
        <w:pStyle w:val="BodyText"/>
        <w:keepLines/>
        <w:jc w:val="center"/>
      </w:pPr>
      <w:r>
        <w:rPr>
          <w:noProof/>
        </w:rPr>
        <w:drawing>
          <wp:inline distT="0" distB="0" distL="0" distR="0" wp14:anchorId="09A204BF" wp14:editId="4423225A">
            <wp:extent cx="5486391" cy="1828798"/>
            <wp:effectExtent l="0" t="0" r="635" b="63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pic:nvPicPr>
                  <pic:blipFill>
                    <a:blip r:embed="rId141">
                      <a:extLst>
                        <a:ext uri="{28A0092B-C50C-407E-A947-70E740481C1C}">
                          <a14:useLocalDpi xmlns:a14="http://schemas.microsoft.com/office/drawing/2010/main" val="0"/>
                        </a:ext>
                      </a:extLst>
                    </a:blip>
                    <a:stretch>
                      <a:fillRect/>
                    </a:stretch>
                  </pic:blipFill>
                  <pic:spPr>
                    <a:xfrm>
                      <a:off x="0" y="0"/>
                      <a:ext cx="5486391" cy="1828798"/>
                    </a:xfrm>
                    <a:prstGeom prst="rect">
                      <a:avLst/>
                    </a:prstGeom>
                  </pic:spPr>
                </pic:pic>
              </a:graphicData>
            </a:graphic>
          </wp:inline>
        </w:drawing>
      </w:r>
    </w:p>
    <w:p w14:paraId="68D4DE2E" w14:textId="77777777" w:rsidR="000D20F4" w:rsidRDefault="00B611B0" w:rsidP="00B611B0">
      <w:pPr>
        <w:pStyle w:val="BodyText"/>
        <w:keepLines/>
        <w:jc w:val="center"/>
      </w:pPr>
      <w:r>
        <w:rPr>
          <w:noProof/>
        </w:rPr>
        <w:drawing>
          <wp:inline distT="0" distB="0" distL="0" distR="0" wp14:anchorId="1BDBB603" wp14:editId="1F0A6189">
            <wp:extent cx="5486391" cy="1828798"/>
            <wp:effectExtent l="0" t="0" r="635" b="63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pic:nvPicPr>
                  <pic:blipFill>
                    <a:blip r:embed="rId142">
                      <a:extLst>
                        <a:ext uri="{28A0092B-C50C-407E-A947-70E740481C1C}">
                          <a14:useLocalDpi xmlns:a14="http://schemas.microsoft.com/office/drawing/2010/main" val="0"/>
                        </a:ext>
                      </a:extLst>
                    </a:blip>
                    <a:stretch>
                      <a:fillRect/>
                    </a:stretch>
                  </pic:blipFill>
                  <pic:spPr>
                    <a:xfrm>
                      <a:off x="0" y="0"/>
                      <a:ext cx="5486391" cy="1828798"/>
                    </a:xfrm>
                    <a:prstGeom prst="rect">
                      <a:avLst/>
                    </a:prstGeom>
                  </pic:spPr>
                </pic:pic>
              </a:graphicData>
            </a:graphic>
          </wp:inline>
        </w:drawing>
      </w:r>
    </w:p>
    <w:p w14:paraId="71290C4B" w14:textId="2E1B4FE5" w:rsidR="001260DC" w:rsidRDefault="00B611B0" w:rsidP="00B611B0">
      <w:pPr>
        <w:pStyle w:val="BodyText"/>
        <w:keepLines/>
        <w:jc w:val="center"/>
      </w:pPr>
      <w:r>
        <w:rPr>
          <w:noProof/>
        </w:rPr>
        <w:drawing>
          <wp:inline distT="0" distB="0" distL="0" distR="0" wp14:anchorId="647C29FB" wp14:editId="42C311E3">
            <wp:extent cx="5486391" cy="1828798"/>
            <wp:effectExtent l="0" t="0" r="635"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pic:nvPicPr>
                  <pic:blipFill>
                    <a:blip r:embed="rId143">
                      <a:extLst>
                        <a:ext uri="{28A0092B-C50C-407E-A947-70E740481C1C}">
                          <a14:useLocalDpi xmlns:a14="http://schemas.microsoft.com/office/drawing/2010/main" val="0"/>
                        </a:ext>
                      </a:extLst>
                    </a:blip>
                    <a:stretch>
                      <a:fillRect/>
                    </a:stretch>
                  </pic:blipFill>
                  <pic:spPr>
                    <a:xfrm>
                      <a:off x="0" y="0"/>
                      <a:ext cx="5486391" cy="1828798"/>
                    </a:xfrm>
                    <a:prstGeom prst="rect">
                      <a:avLst/>
                    </a:prstGeom>
                  </pic:spPr>
                </pic:pic>
              </a:graphicData>
            </a:graphic>
          </wp:inline>
        </w:drawing>
      </w:r>
    </w:p>
    <w:p w14:paraId="79679CEF" w14:textId="77777777" w:rsidR="000D20F4" w:rsidRDefault="000A4ACD" w:rsidP="00B611B0">
      <w:pPr>
        <w:pStyle w:val="BodyText"/>
        <w:keepLines/>
        <w:jc w:val="center"/>
      </w:pPr>
      <w:r>
        <w:rPr>
          <w:noProof/>
        </w:rPr>
        <w:lastRenderedPageBreak/>
        <w:drawing>
          <wp:inline distT="0" distB="0" distL="0" distR="0" wp14:anchorId="26F7DCDF" wp14:editId="0DE117E7">
            <wp:extent cx="5486393" cy="1828798"/>
            <wp:effectExtent l="0" t="0" r="635" b="63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noChangeArrowheads="1"/>
                    </pic:cNvPicPr>
                  </pic:nvPicPr>
                  <pic:blipFill>
                    <a:blip r:embed="rId144"/>
                    <a:stretch>
                      <a:fillRect/>
                    </a:stretch>
                  </pic:blipFill>
                  <pic:spPr bwMode="auto">
                    <a:xfrm>
                      <a:off x="0" y="0"/>
                      <a:ext cx="5486393" cy="1828798"/>
                    </a:xfrm>
                    <a:prstGeom prst="rect">
                      <a:avLst/>
                    </a:prstGeom>
                    <a:noFill/>
                    <a:ln>
                      <a:noFill/>
                    </a:ln>
                  </pic:spPr>
                </pic:pic>
              </a:graphicData>
            </a:graphic>
          </wp:inline>
        </w:drawing>
      </w:r>
    </w:p>
    <w:p w14:paraId="6DB47A1D" w14:textId="77777777" w:rsidR="000D20F4" w:rsidRDefault="00B611B0" w:rsidP="00B611B0">
      <w:pPr>
        <w:pStyle w:val="BodyText"/>
        <w:keepLines/>
        <w:jc w:val="center"/>
      </w:pPr>
      <w:r>
        <w:rPr>
          <w:noProof/>
        </w:rPr>
        <w:drawing>
          <wp:inline distT="0" distB="0" distL="0" distR="0" wp14:anchorId="144EDB18" wp14:editId="59AA69D7">
            <wp:extent cx="5486393" cy="1828798"/>
            <wp:effectExtent l="0" t="0" r="635" b="63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pic:cNvPicPr>
                      <a:picLocks noChangeAspect="1" noChangeArrowheads="1"/>
                    </pic:cNvPicPr>
                  </pic:nvPicPr>
                  <pic:blipFill>
                    <a:blip r:embed="rId145"/>
                    <a:stretch>
                      <a:fillRect/>
                    </a:stretch>
                  </pic:blipFill>
                  <pic:spPr bwMode="auto">
                    <a:xfrm>
                      <a:off x="0" y="0"/>
                      <a:ext cx="5486393" cy="1828798"/>
                    </a:xfrm>
                    <a:prstGeom prst="rect">
                      <a:avLst/>
                    </a:prstGeom>
                    <a:noFill/>
                    <a:ln>
                      <a:noFill/>
                    </a:ln>
                  </pic:spPr>
                </pic:pic>
              </a:graphicData>
            </a:graphic>
          </wp:inline>
        </w:drawing>
      </w:r>
    </w:p>
    <w:p w14:paraId="52285E5C" w14:textId="16FC722A" w:rsidR="00B611B0" w:rsidRDefault="00B611B0" w:rsidP="00B611B0">
      <w:pPr>
        <w:pStyle w:val="BodyText"/>
        <w:keepLines/>
        <w:jc w:val="center"/>
      </w:pPr>
      <w:r>
        <w:rPr>
          <w:noProof/>
        </w:rPr>
        <w:drawing>
          <wp:inline distT="0" distB="0" distL="0" distR="0" wp14:anchorId="0102AE32" wp14:editId="63D8AE88">
            <wp:extent cx="5486393" cy="1828798"/>
            <wp:effectExtent l="0" t="0" r="635" b="63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pic:cNvPicPr>
                      <a:picLocks noChangeAspect="1" noChangeArrowheads="1"/>
                    </pic:cNvPicPr>
                  </pic:nvPicPr>
                  <pic:blipFill>
                    <a:blip r:embed="rId146"/>
                    <a:stretch>
                      <a:fillRect/>
                    </a:stretch>
                  </pic:blipFill>
                  <pic:spPr bwMode="auto">
                    <a:xfrm>
                      <a:off x="0" y="0"/>
                      <a:ext cx="5486393" cy="1828798"/>
                    </a:xfrm>
                    <a:prstGeom prst="rect">
                      <a:avLst/>
                    </a:prstGeom>
                    <a:noFill/>
                    <a:ln>
                      <a:noFill/>
                    </a:ln>
                  </pic:spPr>
                </pic:pic>
              </a:graphicData>
            </a:graphic>
          </wp:inline>
        </w:drawing>
      </w:r>
    </w:p>
    <w:p w14:paraId="1885461A" w14:textId="10F29206" w:rsidR="00B611B0" w:rsidRDefault="009A50C0" w:rsidP="00050448">
      <w:pPr>
        <w:pStyle w:val="FigureCaption"/>
        <w:rPr>
          <w:lang w:eastAsia="zh-TW"/>
        </w:rPr>
      </w:pPr>
      <w:bookmarkStart w:id="367" w:name="_Ref72854625"/>
      <w:bookmarkStart w:id="368" w:name="_Toc113380913"/>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6</w:t>
      </w:r>
      <w:r w:rsidRPr="00F61532">
        <w:rPr>
          <w:lang w:eastAsia="zh-TW"/>
        </w:rPr>
        <w:fldChar w:fldCharType="end"/>
      </w:r>
      <w:bookmarkEnd w:id="367"/>
      <w:r w:rsidRPr="00F61532">
        <w:rPr>
          <w:lang w:eastAsia="zh-TW"/>
        </w:rPr>
        <w:t xml:space="preserve">. </w:t>
      </w:r>
      <w:r w:rsidR="00B611B0" w:rsidRPr="00F61532">
        <w:rPr>
          <w:lang w:eastAsia="zh-TW"/>
        </w:rPr>
        <w:t xml:space="preserve">Projected annual </w:t>
      </w:r>
      <w:r w:rsidR="00B611B0">
        <w:rPr>
          <w:lang w:eastAsia="zh-TW"/>
        </w:rPr>
        <w:t>total</w:t>
      </w:r>
      <w:r w:rsidR="00B611B0" w:rsidRPr="00F61532">
        <w:rPr>
          <w:lang w:eastAsia="zh-TW"/>
        </w:rPr>
        <w:t xml:space="preserve"> </w:t>
      </w:r>
      <w:r w:rsidR="00B611B0">
        <w:rPr>
          <w:lang w:eastAsia="zh-TW"/>
        </w:rPr>
        <w:t>runoff</w:t>
      </w:r>
      <w:r w:rsidR="00B611B0" w:rsidRPr="00F61532">
        <w:rPr>
          <w:lang w:eastAsia="zh-TW"/>
        </w:rPr>
        <w:t xml:space="preserve"> in</w:t>
      </w:r>
      <w:r w:rsidR="00B611B0">
        <w:rPr>
          <w:lang w:eastAsia="zh-TW"/>
        </w:rPr>
        <w:t xml:space="preserve"> the WAPA region</w:t>
      </w:r>
      <w:r w:rsidR="00B611B0" w:rsidRPr="00F61532">
        <w:rPr>
          <w:lang w:eastAsia="zh-TW"/>
        </w:rPr>
        <w:t>.</w:t>
      </w:r>
      <w:bookmarkEnd w:id="368"/>
    </w:p>
    <w:p w14:paraId="34ED1045" w14:textId="4A7B1F2A" w:rsidR="00834C54" w:rsidRDefault="005606E5" w:rsidP="00480BE5">
      <w:pPr>
        <w:pStyle w:val="BodyText"/>
      </w:pPr>
      <w:r>
        <w:t>Notably,</w:t>
      </w:r>
      <w:r w:rsidR="00834C54">
        <w:t xml:space="preserve"> the runoff projections shown in </w:t>
      </w:r>
      <w:r w:rsidR="00834C54">
        <w:fldChar w:fldCharType="begin"/>
      </w:r>
      <w:r w:rsidR="00834C54">
        <w:instrText xml:space="preserve"> REF _Ref72854625 \h  \* MERGEFORMAT </w:instrText>
      </w:r>
      <w:r w:rsidR="00834C54">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6</w:t>
      </w:r>
      <w:r w:rsidR="00834C54">
        <w:fldChar w:fldCharType="end"/>
      </w:r>
      <w:r w:rsidR="00834C54">
        <w:t xml:space="preserve"> and </w:t>
      </w:r>
      <w:r w:rsidR="00834C54">
        <w:fldChar w:fldCharType="begin"/>
      </w:r>
      <w:r w:rsidR="00834C54">
        <w:instrText xml:space="preserve"> REF _Ref72854665 \h  \* MERGEFORMAT </w:instrText>
      </w:r>
      <w:r w:rsidR="00834C54">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noProof/>
          <w:lang w:eastAsia="zh-TW"/>
        </w:rPr>
        <w:t>.</w:t>
      </w:r>
      <w:r w:rsidR="00EE0BF5">
        <w:rPr>
          <w:noProof/>
          <w:lang w:eastAsia="zh-TW"/>
        </w:rPr>
        <w:t>7</w:t>
      </w:r>
      <w:r w:rsidR="00834C54">
        <w:fldChar w:fldCharType="end"/>
      </w:r>
      <w:r w:rsidR="00834C54">
        <w:t xml:space="preserve"> only represent results from six selected CMIP6 GCMs. Given the large variation across all CMIP6 GCMs, future projections have large uncertainty that should be clearly acknowledged. Additionally, limitations in the model</w:t>
      </w:r>
      <w:r w:rsidR="00805545">
        <w:t>’</w:t>
      </w:r>
      <w:r w:rsidR="00834C54">
        <w:t xml:space="preserve">s ability to capture extremes means </w:t>
      </w:r>
      <w:r w:rsidR="00AA0E70">
        <w:t xml:space="preserve">runoff </w:t>
      </w:r>
      <w:r w:rsidR="00834C54">
        <w:t xml:space="preserve">availability may actually be less than what is projected in this study. For instance, </w:t>
      </w:r>
      <w:r w:rsidR="00AA0E70">
        <w:rPr>
          <w:rFonts w:cs="Open Sans"/>
          <w:color w:val="1C1D1E"/>
          <w:shd w:val="clear" w:color="auto" w:fill="FFFFFF"/>
        </w:rPr>
        <w:t>Woodhouse et al. (2016)</w:t>
      </w:r>
      <w:r w:rsidR="00834C54">
        <w:rPr>
          <w:rFonts w:cs="Open Sans"/>
          <w:color w:val="1C1D1E"/>
          <w:shd w:val="clear" w:color="auto" w:fill="FFFFFF"/>
        </w:rPr>
        <w:t xml:space="preserve"> examined the </w:t>
      </w:r>
      <w:r w:rsidR="00AA0E70">
        <w:rPr>
          <w:rFonts w:cs="Open Sans"/>
          <w:color w:val="1C1D1E"/>
          <w:shd w:val="clear" w:color="auto" w:fill="FFFFFF"/>
        </w:rPr>
        <w:t xml:space="preserve">empirical </w:t>
      </w:r>
      <w:r w:rsidR="00834C54">
        <w:rPr>
          <w:rFonts w:cs="Open Sans"/>
          <w:color w:val="1C1D1E"/>
          <w:shd w:val="clear" w:color="auto" w:fill="FFFFFF"/>
        </w:rPr>
        <w:t xml:space="preserve">relationship between precipitation and runoff in the Upper Colorado River, suggesting that the </w:t>
      </w:r>
      <w:r w:rsidR="00834C54" w:rsidRPr="00C067AC">
        <w:rPr>
          <w:rFonts w:cs="Open Sans"/>
          <w:color w:val="1C1D1E"/>
          <w:shd w:val="clear" w:color="auto" w:fill="FFFFFF"/>
        </w:rPr>
        <w:t>recent droughts have been amplified by warmer temperatures</w:t>
      </w:r>
      <w:r w:rsidR="00834C54">
        <w:rPr>
          <w:rFonts w:cs="Open Sans"/>
          <w:color w:val="1C1D1E"/>
          <w:shd w:val="clear" w:color="auto" w:fill="FFFFFF"/>
        </w:rPr>
        <w:t>. These warmer temperatures</w:t>
      </w:r>
      <w:r w:rsidR="00834C54" w:rsidRPr="00C067AC">
        <w:rPr>
          <w:rFonts w:cs="Open Sans"/>
          <w:color w:val="1C1D1E"/>
          <w:shd w:val="clear" w:color="auto" w:fill="FFFFFF"/>
        </w:rPr>
        <w:t xml:space="preserve"> exacerbate the effects of relatively modest precipitation deficits</w:t>
      </w:r>
      <w:r w:rsidR="00834C54">
        <w:rPr>
          <w:rFonts w:cs="Open Sans"/>
          <w:color w:val="1C1D1E"/>
          <w:shd w:val="clear" w:color="auto" w:fill="FFFFFF"/>
        </w:rPr>
        <w:t xml:space="preserve">. </w:t>
      </w:r>
      <w:r w:rsidR="00AA0E70">
        <w:rPr>
          <w:rFonts w:cs="Open Sans"/>
          <w:color w:val="1C1D1E"/>
          <w:shd w:val="clear" w:color="auto" w:fill="FFFFFF"/>
        </w:rPr>
        <w:t>Williams et al. (2021)</w:t>
      </w:r>
      <w:r w:rsidR="00834C54">
        <w:rPr>
          <w:rFonts w:cs="Open Sans"/>
          <w:color w:val="1C1D1E"/>
          <w:shd w:val="clear" w:color="auto" w:fill="FFFFFF"/>
        </w:rPr>
        <w:t xml:space="preserve"> </w:t>
      </w:r>
      <w:r w:rsidR="00AA0E70">
        <w:rPr>
          <w:rFonts w:cs="Open Sans"/>
          <w:color w:val="1C1D1E"/>
          <w:shd w:val="clear" w:color="auto" w:fill="FFFFFF"/>
        </w:rPr>
        <w:t xml:space="preserve">further </w:t>
      </w:r>
      <w:r w:rsidR="00834C54">
        <w:t xml:space="preserve">suggested that the current </w:t>
      </w:r>
      <w:r w:rsidR="00930433">
        <w:t>“</w:t>
      </w:r>
      <w:r w:rsidR="00834C54">
        <w:t>megadrought</w:t>
      </w:r>
      <w:r w:rsidR="00930433">
        <w:t>”</w:t>
      </w:r>
      <w:r w:rsidR="00834C54">
        <w:t xml:space="preserve"> in the southwestern </w:t>
      </w:r>
      <w:r w:rsidR="001B7B04">
        <w:t xml:space="preserve">United States </w:t>
      </w:r>
      <w:r w:rsidR="00834C54">
        <w:t xml:space="preserve">is a function of climate change, and a similar </w:t>
      </w:r>
      <w:r w:rsidR="00834C54">
        <w:rPr>
          <w:color w:val="000000"/>
        </w:rPr>
        <w:t xml:space="preserve">soil moisture drying signal can be seen in </w:t>
      </w:r>
      <w:r w:rsidR="00834C54" w:rsidRPr="00166F6E">
        <w:rPr>
          <w:color w:val="000000"/>
        </w:rPr>
        <w:t>all CMIP6 models.</w:t>
      </w:r>
      <w:r w:rsidR="00834C54">
        <w:rPr>
          <w:color w:val="000000"/>
        </w:rPr>
        <w:t xml:space="preserve"> </w:t>
      </w:r>
      <w:r w:rsidR="00FB7A82">
        <w:rPr>
          <w:color w:val="000000"/>
        </w:rPr>
        <w:t>Finally</w:t>
      </w:r>
      <w:r w:rsidR="00834C54">
        <w:rPr>
          <w:color w:val="000000"/>
        </w:rPr>
        <w:t xml:space="preserve">, </w:t>
      </w:r>
      <w:r w:rsidR="00AA0E70">
        <w:rPr>
          <w:color w:val="000000"/>
        </w:rPr>
        <w:t xml:space="preserve">Udall and Overpeck (2017) </w:t>
      </w:r>
      <w:r w:rsidR="00834C54">
        <w:rPr>
          <w:color w:val="000000"/>
        </w:rPr>
        <w:t xml:space="preserve">concluded that the </w:t>
      </w:r>
      <w:r w:rsidR="00834C54" w:rsidRPr="00C75555">
        <w:rPr>
          <w:rFonts w:cs="Open Sans"/>
          <w:color w:val="1C1D1E"/>
          <w:shd w:val="clear" w:color="auto" w:fill="FFFFFF"/>
        </w:rPr>
        <w:t>continued business-as-usual warming will drive temperature-induced declines in river flow</w:t>
      </w:r>
      <w:r w:rsidR="00834C54">
        <w:rPr>
          <w:rFonts w:cs="Open Sans"/>
          <w:color w:val="1C1D1E"/>
          <w:shd w:val="clear" w:color="auto" w:fill="FFFFFF"/>
        </w:rPr>
        <w:t xml:space="preserve"> throughout the </w:t>
      </w:r>
      <w:r w:rsidR="00834C54" w:rsidRPr="00166F6E">
        <w:rPr>
          <w:rFonts w:cs="Open Sans"/>
          <w:color w:val="1C1D1E"/>
          <w:shd w:val="clear" w:color="auto" w:fill="FFFFFF"/>
        </w:rPr>
        <w:t>end</w:t>
      </w:r>
      <w:r w:rsidR="00834C54">
        <w:rPr>
          <w:rFonts w:cs="Open Sans"/>
          <w:color w:val="1C1D1E"/>
          <w:shd w:val="clear" w:color="auto" w:fill="FFFFFF"/>
        </w:rPr>
        <w:t xml:space="preserve"> of the </w:t>
      </w:r>
      <w:r w:rsidR="00834C54" w:rsidRPr="00AD4E8E">
        <w:rPr>
          <w:rFonts w:cs="Open Sans"/>
          <w:color w:val="1C1D1E"/>
          <w:shd w:val="clear" w:color="auto" w:fill="FFFFFF"/>
        </w:rPr>
        <w:t>century</w:t>
      </w:r>
      <w:r w:rsidR="00834C54" w:rsidRPr="00C75555">
        <w:rPr>
          <w:rFonts w:cs="Open Sans"/>
          <w:color w:val="1C1D1E"/>
          <w:shd w:val="clear" w:color="auto" w:fill="FFFFFF"/>
        </w:rPr>
        <w:t>.</w:t>
      </w:r>
      <w:r w:rsidR="00834C54">
        <w:rPr>
          <w:rFonts w:cs="Open Sans"/>
          <w:color w:val="1C1D1E"/>
          <w:shd w:val="clear" w:color="auto" w:fill="FFFFFF"/>
        </w:rPr>
        <w:t xml:space="preserve"> </w:t>
      </w:r>
      <w:r w:rsidR="00834C54">
        <w:rPr>
          <w:rFonts w:cs="Open Sans"/>
          <w:color w:val="1C1D1E"/>
          <w:shd w:val="clear" w:color="auto" w:fill="FFFFFF"/>
        </w:rPr>
        <w:lastRenderedPageBreak/>
        <w:t>Findings from these studies suggest that there is a high uncertainty and a knowledge gap in future water availability projections.</w:t>
      </w:r>
    </w:p>
    <w:p w14:paraId="61556D6B" w14:textId="4074D711" w:rsidR="00480BE5" w:rsidRPr="00480BE5" w:rsidRDefault="00480BE5" w:rsidP="00480BE5">
      <w:pPr>
        <w:pStyle w:val="BodyText"/>
        <w:rPr>
          <w:lang w:eastAsia="zh-TW"/>
        </w:rPr>
      </w:pPr>
      <w:r w:rsidRPr="000D6CCB">
        <w:t xml:space="preserve">In addition to </w:t>
      </w:r>
      <w:r>
        <w:t xml:space="preserve">the change of </w:t>
      </w:r>
      <w:r w:rsidRPr="000D6CCB">
        <w:t xml:space="preserve">precipitation </w:t>
      </w:r>
      <w:r>
        <w:t xml:space="preserve">patterns </w:t>
      </w:r>
      <w:r w:rsidRPr="000D6CCB">
        <w:t xml:space="preserve">in the </w:t>
      </w:r>
      <w:r>
        <w:t xml:space="preserve">WAPA </w:t>
      </w:r>
      <w:r w:rsidRPr="000D6CCB">
        <w:t xml:space="preserve">region, these seasonal changes in runoff could </w:t>
      </w:r>
      <w:r>
        <w:t>also</w:t>
      </w:r>
      <w:r w:rsidRPr="000D6CCB">
        <w:t xml:space="preserve"> relate to </w:t>
      </w:r>
      <w:r>
        <w:t xml:space="preserve">the change of </w:t>
      </w:r>
      <w:r w:rsidRPr="000D6CCB">
        <w:t xml:space="preserve">snow </w:t>
      </w:r>
      <w:r w:rsidRPr="00855F79">
        <w:t xml:space="preserve">hydrology. To further evaluate snow dynamics in the region, changes on </w:t>
      </w:r>
      <w:r w:rsidR="003F23A1">
        <w:t>April 1</w:t>
      </w:r>
      <w:r w:rsidRPr="00855F79">
        <w:t xml:space="preserve"> SWE </w:t>
      </w:r>
      <w:r>
        <w:t>are</w:t>
      </w:r>
      <w:r w:rsidRPr="00855F79">
        <w:t xml:space="preserve"> presented </w:t>
      </w:r>
      <w:r>
        <w:t xml:space="preserve">in </w:t>
      </w:r>
      <w:r>
        <w:fldChar w:fldCharType="begin"/>
      </w:r>
      <w:r>
        <w:instrText xml:space="preserve"> REF _Ref72854854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8</w:t>
      </w:r>
      <w:r>
        <w:fldChar w:fldCharType="end"/>
      </w:r>
      <w:r w:rsidRPr="00855F79">
        <w:t xml:space="preserve">. The change is defined as the percentage difference </w:t>
      </w:r>
      <w:r>
        <w:t xml:space="preserve">of </w:t>
      </w:r>
      <w:r w:rsidR="003F23A1">
        <w:t>April 1</w:t>
      </w:r>
      <w:r w:rsidRPr="00855F79">
        <w:t xml:space="preserve"> SWE </w:t>
      </w:r>
      <w:r>
        <w:t>in</w:t>
      </w:r>
      <w:r w:rsidRPr="00855F79">
        <w:t xml:space="preserve"> future periods (2020–2039 and 2040–2059) when compared </w:t>
      </w:r>
      <w:r>
        <w:t>with</w:t>
      </w:r>
      <w:r w:rsidRPr="00855F79">
        <w:t xml:space="preserve"> the baseline period</w:t>
      </w:r>
      <w:r>
        <w:t xml:space="preserve"> (</w:t>
      </w:r>
      <w:r w:rsidRPr="003F64F3">
        <w:rPr>
          <w:rFonts w:eastAsia="PMingLiU"/>
          <w:lang w:eastAsia="zh-TW"/>
        </w:rPr>
        <w:t>1980–2019</w:t>
      </w:r>
      <w:r>
        <w:rPr>
          <w:rFonts w:eastAsia="PMingLiU"/>
          <w:lang w:eastAsia="zh-TW"/>
        </w:rPr>
        <w:t>)</w:t>
      </w:r>
      <w:r w:rsidRPr="00855F79">
        <w:t xml:space="preserve">. The changes are summarized for </w:t>
      </w:r>
      <w:r>
        <w:t>HUC8</w:t>
      </w:r>
      <w:r w:rsidRPr="00855F79">
        <w:t xml:space="preserve">s </w:t>
      </w:r>
      <w:r>
        <w:t>with more significant snowpack (defined as HUC8s with</w:t>
      </w:r>
      <w:r w:rsidRPr="00855F79">
        <w:t xml:space="preserve"> average 1980</w:t>
      </w:r>
      <w:r>
        <w:t>–</w:t>
      </w:r>
      <w:r w:rsidRPr="00855F79">
        <w:t>2019</w:t>
      </w:r>
      <w:r w:rsidRPr="000D6CCB">
        <w:t xml:space="preserve"> control run </w:t>
      </w:r>
      <w:r w:rsidR="003F23A1">
        <w:t>April 1</w:t>
      </w:r>
      <w:r w:rsidRPr="000D6CCB">
        <w:t xml:space="preserve"> SWE greater than 5 mm</w:t>
      </w:r>
      <w:r>
        <w:t>)</w:t>
      </w:r>
      <w:r w:rsidRPr="000D6CCB">
        <w:t xml:space="preserve">. The results suggest a strong decrease in ensemble median </w:t>
      </w:r>
      <w:r w:rsidR="003F23A1">
        <w:t>April 1</w:t>
      </w:r>
      <w:r w:rsidRPr="000D6CCB">
        <w:t xml:space="preserve"> SWE (</w:t>
      </w:r>
      <w:r>
        <w:fldChar w:fldCharType="begin"/>
      </w:r>
      <w:r>
        <w:instrText xml:space="preserve"> REF _Ref72854854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8</w:t>
      </w:r>
      <w:r>
        <w:fldChar w:fldCharType="end"/>
      </w:r>
      <w:r w:rsidRPr="000D6CCB">
        <w:t>, 2020</w:t>
      </w:r>
      <w:r>
        <w:t>–</w:t>
      </w:r>
      <w:r w:rsidRPr="000D6CCB">
        <w:t>2059 future to 1980</w:t>
      </w:r>
      <w:r>
        <w:t>–</w:t>
      </w:r>
      <w:r w:rsidRPr="000D6CCB">
        <w:t>2019 baseline)</w:t>
      </w:r>
      <w:r>
        <w:t>, with more than half of the HUC8s projecting a decrease of 24% or more</w:t>
      </w:r>
      <w:r w:rsidRPr="000D6CCB">
        <w:t xml:space="preserve">. </w:t>
      </w:r>
      <w:r>
        <w:t xml:space="preserve">In addition, decrease of </w:t>
      </w:r>
      <w:r w:rsidR="003F23A1">
        <w:t>April 1</w:t>
      </w:r>
      <w:r>
        <w:t xml:space="preserve"> SWE is projected in the n</w:t>
      </w:r>
      <w:r w:rsidRPr="000D6CCB">
        <w:t xml:space="preserve">orthwestern </w:t>
      </w:r>
      <w:r>
        <w:t xml:space="preserve">portion </w:t>
      </w:r>
      <w:r w:rsidRPr="000D6CCB">
        <w:t>of WAPA-1, a significant portion of WAPA-2 and WAPA</w:t>
      </w:r>
      <w:r w:rsidR="001B7B04">
        <w:noBreakHyphen/>
      </w:r>
      <w:r w:rsidRPr="000D6CCB">
        <w:t xml:space="preserve">3, and WAPA-6. These </w:t>
      </w:r>
      <w:r>
        <w:t>areas</w:t>
      </w:r>
      <w:r w:rsidRPr="000D6CCB">
        <w:t xml:space="preserve"> </w:t>
      </w:r>
      <w:r>
        <w:t xml:space="preserve">are </w:t>
      </w:r>
      <w:r w:rsidRPr="000D6CCB">
        <w:t xml:space="preserve">also </w:t>
      </w:r>
      <w:r>
        <w:t xml:space="preserve">associated with </w:t>
      </w:r>
      <w:r w:rsidRPr="000D6CCB">
        <w:t xml:space="preserve">lower summer runoff </w:t>
      </w:r>
      <w:r>
        <w:t>projections, suggesting the relationships between changing snow hydrology and summer runoff reduction</w:t>
      </w:r>
      <w:r w:rsidRPr="000D6CCB">
        <w:t>.</w:t>
      </w:r>
    </w:p>
    <w:p w14:paraId="4986861A" w14:textId="7819E652" w:rsidR="00FE4666" w:rsidRDefault="00FE4666" w:rsidP="00050448">
      <w:pPr>
        <w:pStyle w:val="FIGUREposition"/>
      </w:pPr>
      <w:r>
        <w:rPr>
          <w:noProof/>
        </w:rPr>
        <w:drawing>
          <wp:inline distT="0" distB="0" distL="0" distR="0" wp14:anchorId="0DE5DCDA" wp14:editId="3F750EC4">
            <wp:extent cx="2743200" cy="18288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pic:cNvPicPr>
                      <a:picLocks noChangeAspect="1" noChangeArrowheads="1"/>
                    </pic:cNvPicPr>
                  </pic:nvPicPr>
                  <pic:blipFill>
                    <a:blip r:embed="rId147"/>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D7A9EC1" wp14:editId="6C2DA0C8">
            <wp:extent cx="2743200" cy="18288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pic:cNvPicPr>
                      <a:picLocks noChangeAspect="1" noChangeArrowheads="1"/>
                    </pic:cNvPicPr>
                  </pic:nvPicPr>
                  <pic:blipFill>
                    <a:blip r:embed="rId148"/>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332797AB" wp14:editId="55DACC4A">
            <wp:extent cx="2743200" cy="18288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noChangeArrowheads="1"/>
                    </pic:cNvPicPr>
                  </pic:nvPicPr>
                  <pic:blipFill>
                    <a:blip r:embed="rId149"/>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4A5CFE7" wp14:editId="29DD58F8">
            <wp:extent cx="2743200" cy="182880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a:blip r:embed="rId150"/>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BFFA721" wp14:editId="58B83B32">
            <wp:extent cx="2743200" cy="18288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pic:cNvPicPr>
                      <a:picLocks noChangeAspect="1" noChangeArrowheads="1"/>
                    </pic:cNvPicPr>
                  </pic:nvPicPr>
                  <pic:blipFill>
                    <a:blip r:embed="rId151"/>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4CAA648D" wp14:editId="27F86010">
            <wp:extent cx="2743200" cy="182880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a:picLocks noChangeAspect="1" noChangeArrowheads="1"/>
                    </pic:cNvPicPr>
                  </pic:nvPicPr>
                  <pic:blipFill>
                    <a:blip r:embed="rId152"/>
                    <a:stretch>
                      <a:fillRect/>
                    </a:stretch>
                  </pic:blipFill>
                  <pic:spPr bwMode="auto">
                    <a:xfrm>
                      <a:off x="0" y="0"/>
                      <a:ext cx="2743200" cy="1828800"/>
                    </a:xfrm>
                    <a:prstGeom prst="rect">
                      <a:avLst/>
                    </a:prstGeom>
                    <a:noFill/>
                    <a:ln>
                      <a:noFill/>
                    </a:ln>
                  </pic:spPr>
                </pic:pic>
              </a:graphicData>
            </a:graphic>
          </wp:inline>
        </w:drawing>
      </w:r>
    </w:p>
    <w:p w14:paraId="13547D3B" w14:textId="5F09B872" w:rsidR="00FE4666" w:rsidRDefault="003F6C94" w:rsidP="00FE4666">
      <w:pPr>
        <w:pStyle w:val="FigureCaption"/>
        <w:rPr>
          <w:lang w:eastAsia="zh-TW"/>
        </w:rPr>
      </w:pPr>
      <w:bookmarkStart w:id="369" w:name="_Ref72854665"/>
      <w:bookmarkStart w:id="370" w:name="_Toc113380914"/>
      <w:r>
        <w:rPr>
          <w:lang w:eastAsia="zh-TW"/>
        </w:rPr>
        <w:t>Figure</w:t>
      </w:r>
      <w:r w:rsidR="00FE4666" w:rsidRPr="002B0001">
        <w:rPr>
          <w:lang w:eastAsia="zh-TW"/>
        </w:rPr>
        <w:t xml:space="preserve"> </w:t>
      </w:r>
      <w:r w:rsidR="00FE4666" w:rsidRPr="002B0001">
        <w:rPr>
          <w:lang w:eastAsia="zh-TW"/>
        </w:rPr>
        <w:fldChar w:fldCharType="begin"/>
      </w:r>
      <w:r w:rsidR="00FE4666" w:rsidRPr="002B0001">
        <w:rPr>
          <w:lang w:eastAsia="zh-TW"/>
        </w:rPr>
        <w:instrText xml:space="preserve"> STYLEREF 1 \s </w:instrText>
      </w:r>
      <w:r w:rsidR="00FE4666" w:rsidRPr="002B0001">
        <w:rPr>
          <w:lang w:eastAsia="zh-TW"/>
        </w:rPr>
        <w:fldChar w:fldCharType="separate"/>
      </w:r>
      <w:r w:rsidR="00EE0BF5">
        <w:rPr>
          <w:noProof/>
          <w:lang w:eastAsia="zh-TW"/>
        </w:rPr>
        <w:t>4</w:t>
      </w:r>
      <w:r w:rsidR="00FE4666" w:rsidRPr="002B0001">
        <w:rPr>
          <w:lang w:eastAsia="zh-TW"/>
        </w:rPr>
        <w:fldChar w:fldCharType="end"/>
      </w:r>
      <w:r w:rsidR="00FE4666" w:rsidRPr="002B0001">
        <w:rPr>
          <w:lang w:eastAsia="zh-TW"/>
        </w:rPr>
        <w:t>.</w:t>
      </w:r>
      <w:r w:rsidR="00FE4666" w:rsidRPr="002B0001">
        <w:rPr>
          <w:lang w:eastAsia="zh-TW"/>
        </w:rPr>
        <w:fldChar w:fldCharType="begin"/>
      </w:r>
      <w:r w:rsidR="00FE4666" w:rsidRPr="002B0001">
        <w:rPr>
          <w:lang w:eastAsia="zh-TW"/>
        </w:rPr>
        <w:instrText xml:space="preserve"> SEQ Figure \* ARABIC \s 1 </w:instrText>
      </w:r>
      <w:r w:rsidR="00FE4666" w:rsidRPr="002B0001">
        <w:rPr>
          <w:lang w:eastAsia="zh-TW"/>
        </w:rPr>
        <w:fldChar w:fldCharType="separate"/>
      </w:r>
      <w:r w:rsidR="00EE0BF5">
        <w:rPr>
          <w:noProof/>
          <w:lang w:eastAsia="zh-TW"/>
        </w:rPr>
        <w:t>7</w:t>
      </w:r>
      <w:r w:rsidR="00FE4666" w:rsidRPr="002B0001">
        <w:rPr>
          <w:lang w:eastAsia="zh-TW"/>
        </w:rPr>
        <w:fldChar w:fldCharType="end"/>
      </w:r>
      <w:bookmarkEnd w:id="369"/>
      <w:r w:rsidR="00FE4666" w:rsidRPr="002B0001">
        <w:rPr>
          <w:lang w:eastAsia="zh-TW"/>
        </w:rPr>
        <w:t xml:space="preserve">. </w:t>
      </w:r>
      <w:r w:rsidR="00FE4666" w:rsidRPr="00F61532">
        <w:rPr>
          <w:lang w:eastAsia="zh-TW"/>
        </w:rPr>
        <w:t xml:space="preserve">Projected change of annual and seasonal </w:t>
      </w:r>
      <w:r w:rsidR="00FE4666">
        <w:rPr>
          <w:lang w:eastAsia="zh-TW"/>
        </w:rPr>
        <w:t>total runoff</w:t>
      </w:r>
      <w:r w:rsidR="00FE4666" w:rsidRPr="00F61532">
        <w:rPr>
          <w:lang w:eastAsia="zh-TW"/>
        </w:rPr>
        <w:t xml:space="preserve"> in </w:t>
      </w:r>
      <w:r w:rsidR="00FE4666">
        <w:rPr>
          <w:lang w:eastAsia="zh-TW"/>
        </w:rPr>
        <w:t>the WAPA region</w:t>
      </w:r>
      <w:r w:rsidR="00FE4666" w:rsidRPr="00F61532">
        <w:rPr>
          <w:lang w:eastAsia="zh-TW"/>
        </w:rPr>
        <w:t>.</w:t>
      </w:r>
      <w:bookmarkEnd w:id="370"/>
    </w:p>
    <w:p w14:paraId="3DE93A25" w14:textId="4BC8314C" w:rsidR="009868FB" w:rsidRPr="00B611B0" w:rsidRDefault="009868FB" w:rsidP="009868FB">
      <w:pPr>
        <w:pStyle w:val="BodyText"/>
        <w:rPr>
          <w:lang w:eastAsia="zh-TW"/>
        </w:rPr>
      </w:pPr>
      <w:r w:rsidRPr="00C75C6E">
        <w:lastRenderedPageBreak/>
        <w:t xml:space="preserve">The shifts of probability </w:t>
      </w:r>
      <w:r>
        <w:t>distributions</w:t>
      </w:r>
      <w:r w:rsidRPr="00C75C6E">
        <w:t xml:space="preserve"> (</w:t>
      </w:r>
      <w:r>
        <w:fldChar w:fldCharType="begin"/>
      </w:r>
      <w:r>
        <w:instrText xml:space="preserve"> REF _Ref72854625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6</w:t>
      </w:r>
      <w:r>
        <w:fldChar w:fldCharType="end"/>
      </w:r>
      <w:r w:rsidRPr="00C75C6E">
        <w:t xml:space="preserve">) suggest that </w:t>
      </w:r>
      <w:r>
        <w:t xml:space="preserve">the </w:t>
      </w:r>
      <w:r w:rsidRPr="00C75C6E">
        <w:t xml:space="preserve">annual runoff </w:t>
      </w:r>
      <w:r>
        <w:t xml:space="preserve">is projected to increase </w:t>
      </w:r>
      <w:r w:rsidRPr="00C75C6E">
        <w:t xml:space="preserve">in the future period </w:t>
      </w:r>
      <w:r>
        <w:t xml:space="preserve">and the distributions are </w:t>
      </w:r>
      <w:r w:rsidRPr="00C75C6E">
        <w:t xml:space="preserve">statistically </w:t>
      </w:r>
      <w:r>
        <w:t>different</w:t>
      </w:r>
      <w:r w:rsidRPr="00C75C6E">
        <w:t xml:space="preserve">. Additionally, the probability </w:t>
      </w:r>
      <w:r>
        <w:t xml:space="preserve">distributions </w:t>
      </w:r>
      <w:r w:rsidRPr="00C75C6E">
        <w:t xml:space="preserve">for all </w:t>
      </w:r>
      <w:r>
        <w:t>WAPA</w:t>
      </w:r>
      <w:r w:rsidRPr="00C75C6E">
        <w:t xml:space="preserve"> areas, except </w:t>
      </w:r>
      <w:r>
        <w:t xml:space="preserve">for </w:t>
      </w:r>
      <w:r w:rsidRPr="00C75C6E">
        <w:t>WAPA-6, show a wider distribution in the future period</w:t>
      </w:r>
      <w:r>
        <w:t>,</w:t>
      </w:r>
      <w:r w:rsidRPr="00C75C6E">
        <w:t xml:space="preserve"> indicating that </w:t>
      </w:r>
      <w:r>
        <w:t xml:space="preserve">the </w:t>
      </w:r>
      <w:r w:rsidRPr="00C75C6E">
        <w:t xml:space="preserve">interannual variability is </w:t>
      </w:r>
      <w:r>
        <w:t xml:space="preserve">projected </w:t>
      </w:r>
      <w:r w:rsidRPr="00C75C6E">
        <w:t xml:space="preserve">to </w:t>
      </w:r>
      <w:r>
        <w:t>increase</w:t>
      </w:r>
      <w:r w:rsidRPr="00C75C6E">
        <w:t xml:space="preserve">. Such </w:t>
      </w:r>
      <w:r>
        <w:t xml:space="preserve">a </w:t>
      </w:r>
      <w:r w:rsidRPr="00C75C6E">
        <w:t xml:space="preserve">change is more prominent and noticeable </w:t>
      </w:r>
      <w:r>
        <w:t xml:space="preserve">in </w:t>
      </w:r>
      <w:r w:rsidRPr="00C75C6E">
        <w:t>WAPA-5.</w:t>
      </w:r>
      <w:r>
        <w:t xml:space="preserve"> </w:t>
      </w:r>
      <w:r w:rsidRPr="00C75C6E">
        <w:t>The maximum increase in median annual runoff is projected in the range of 6.8</w:t>
      </w:r>
      <w:r>
        <w:t xml:space="preserve">% to </w:t>
      </w:r>
      <w:r w:rsidRPr="00C75C6E">
        <w:t xml:space="preserve">12.3% across all WAPA areas. </w:t>
      </w:r>
      <w:r>
        <w:t>For WAPA-1</w:t>
      </w:r>
      <w:r w:rsidRPr="00C75C6E">
        <w:t>, the median annual runoff is projected to increase by 10.3% in the near</w:t>
      </w:r>
      <w:r>
        <w:t>-term</w:t>
      </w:r>
      <w:r w:rsidRPr="00C75C6E">
        <w:t xml:space="preserve"> and 12.5% </w:t>
      </w:r>
      <w:r>
        <w:t xml:space="preserve">in </w:t>
      </w:r>
      <w:r w:rsidRPr="00C75C6E">
        <w:t>the mid</w:t>
      </w:r>
      <w:r>
        <w:t>-term</w:t>
      </w:r>
      <w:r w:rsidRPr="00C75C6E">
        <w:t xml:space="preserve"> future period</w:t>
      </w:r>
      <w:r>
        <w:t>s</w:t>
      </w:r>
      <w:r w:rsidRPr="00C75C6E">
        <w:t>. WAPA</w:t>
      </w:r>
      <w:r>
        <w:t>-</w:t>
      </w:r>
      <w:r w:rsidRPr="00C75C6E">
        <w:t>2</w:t>
      </w:r>
      <w:r>
        <w:t>–</w:t>
      </w:r>
      <w:r w:rsidRPr="00C75C6E">
        <w:t>5 show a projected increase in the range of 4.2</w:t>
      </w:r>
      <w:r>
        <w:t xml:space="preserve">% to </w:t>
      </w:r>
      <w:r w:rsidRPr="00C75C6E">
        <w:t>6.9% in the near</w:t>
      </w:r>
      <w:r>
        <w:t>-term</w:t>
      </w:r>
      <w:r w:rsidRPr="00C75C6E">
        <w:t xml:space="preserve"> and 12.5</w:t>
      </w:r>
      <w:r>
        <w:t xml:space="preserve">% to </w:t>
      </w:r>
      <w:r w:rsidRPr="00C75C6E">
        <w:t xml:space="preserve">14.6% </w:t>
      </w:r>
      <w:r>
        <w:t xml:space="preserve">in the </w:t>
      </w:r>
      <w:r w:rsidRPr="00C75C6E">
        <w:t>mid</w:t>
      </w:r>
      <w:r>
        <w:t>-term</w:t>
      </w:r>
      <w:r w:rsidRPr="00C75C6E">
        <w:t xml:space="preserve"> </w:t>
      </w:r>
      <w:r>
        <w:t xml:space="preserve">future </w:t>
      </w:r>
      <w:r w:rsidRPr="00C75C6E">
        <w:t>period</w:t>
      </w:r>
      <w:r>
        <w:t>s</w:t>
      </w:r>
      <w:r w:rsidRPr="00C75C6E">
        <w:t>. WAPA-6 show</w:t>
      </w:r>
      <w:r>
        <w:t>s</w:t>
      </w:r>
      <w:r w:rsidRPr="00C75C6E">
        <w:t xml:space="preserve"> a decrease </w:t>
      </w:r>
      <w:r>
        <w:t xml:space="preserve">of </w:t>
      </w:r>
      <w:r w:rsidRPr="00C75C6E">
        <w:t>1.4% in the near</w:t>
      </w:r>
      <w:r>
        <w:t>-term</w:t>
      </w:r>
      <w:r w:rsidRPr="00C75C6E">
        <w:t xml:space="preserve"> but </w:t>
      </w:r>
      <w:r>
        <w:t xml:space="preserve">an </w:t>
      </w:r>
      <w:r w:rsidRPr="00C75C6E">
        <w:t>increase by 11.3% in the mid</w:t>
      </w:r>
      <w:r>
        <w:t>-term</w:t>
      </w:r>
      <w:r w:rsidRPr="00C75C6E">
        <w:t xml:space="preserve"> future</w:t>
      </w:r>
      <w:r>
        <w:t xml:space="preserve"> periods</w:t>
      </w:r>
      <w:r w:rsidRPr="00C75C6E">
        <w:t xml:space="preserve">. The range of annual runoff change is also higher </w:t>
      </w:r>
      <w:r>
        <w:t xml:space="preserve">in </w:t>
      </w:r>
      <w:r w:rsidRPr="00C75C6E">
        <w:t>the mid</w:t>
      </w:r>
      <w:r>
        <w:t xml:space="preserve">-term </w:t>
      </w:r>
      <w:r w:rsidRPr="00C75C6E">
        <w:t>future period for WAPA</w:t>
      </w:r>
      <w:r>
        <w:noBreakHyphen/>
      </w:r>
      <w:r w:rsidRPr="00C75C6E">
        <w:t xml:space="preserve">2, </w:t>
      </w:r>
      <w:r>
        <w:t>WAPA-</w:t>
      </w:r>
      <w:r w:rsidRPr="00C75C6E">
        <w:t xml:space="preserve">3, </w:t>
      </w:r>
      <w:r>
        <w:t>WAPA-</w:t>
      </w:r>
      <w:r w:rsidRPr="00C75C6E">
        <w:t>4</w:t>
      </w:r>
      <w:r>
        <w:t>,</w:t>
      </w:r>
      <w:r w:rsidRPr="00C75C6E">
        <w:t xml:space="preserve"> and </w:t>
      </w:r>
      <w:r>
        <w:t>WAPA-</w:t>
      </w:r>
      <w:r w:rsidRPr="00C75C6E">
        <w:t>6, indicating greater uncertainties in runoff projections.</w:t>
      </w:r>
    </w:p>
    <w:p w14:paraId="376880DF" w14:textId="44910532" w:rsidR="009868FB" w:rsidRDefault="009868FB" w:rsidP="009868FB">
      <w:pPr>
        <w:pStyle w:val="BodyText"/>
      </w:pPr>
      <w:r w:rsidRPr="00C75C6E">
        <w:t xml:space="preserve">At </w:t>
      </w:r>
      <w:r>
        <w:t>the</w:t>
      </w:r>
      <w:r w:rsidRPr="00C75C6E">
        <w:t xml:space="preserve"> seasonal scale, the strongest changes are </w:t>
      </w:r>
      <w:r>
        <w:t xml:space="preserve">the </w:t>
      </w:r>
      <w:r w:rsidRPr="00C75C6E">
        <w:t>increase in winter and spring runoff, accompanied with little to</w:t>
      </w:r>
      <w:r>
        <w:t xml:space="preserve"> </w:t>
      </w:r>
      <w:r w:rsidRPr="00C75C6E">
        <w:t>no change or decrease in summer runoff, especially for WAPA-1</w:t>
      </w:r>
      <w:r>
        <w:t>–</w:t>
      </w:r>
      <w:r w:rsidRPr="00C75C6E">
        <w:t xml:space="preserve">3. </w:t>
      </w:r>
      <w:r>
        <w:t>An i</w:t>
      </w:r>
      <w:r w:rsidRPr="00C75C6E">
        <w:t xml:space="preserve">ncrease in winter runoff is also projected </w:t>
      </w:r>
      <w:r>
        <w:t>in</w:t>
      </w:r>
      <w:r w:rsidRPr="00C75C6E">
        <w:t xml:space="preserve"> WAPA</w:t>
      </w:r>
      <w:r>
        <w:t>-</w:t>
      </w:r>
      <w:r w:rsidRPr="00C75C6E">
        <w:t>4</w:t>
      </w:r>
      <w:r>
        <w:t>–</w:t>
      </w:r>
      <w:r w:rsidRPr="00C75C6E">
        <w:t xml:space="preserve">6, along with </w:t>
      </w:r>
      <w:r>
        <w:t xml:space="preserve">a </w:t>
      </w:r>
      <w:r w:rsidRPr="00C75C6E">
        <w:t>decrease in spring runoff in the near</w:t>
      </w:r>
      <w:r>
        <w:t>-term</w:t>
      </w:r>
      <w:r w:rsidRPr="00C75C6E">
        <w:t xml:space="preserve"> and </w:t>
      </w:r>
      <w:r>
        <w:t xml:space="preserve">an </w:t>
      </w:r>
      <w:r w:rsidRPr="00C75C6E">
        <w:t>increase in the mid</w:t>
      </w:r>
      <w:r>
        <w:t>-term</w:t>
      </w:r>
      <w:r w:rsidRPr="00C75C6E">
        <w:t xml:space="preserve"> future period</w:t>
      </w:r>
      <w:r>
        <w:t>s</w:t>
      </w:r>
      <w:r w:rsidRPr="00C75C6E">
        <w:t xml:space="preserve">. More specifically, the ensemble median winter runoff is projected to increase across all WAPA </w:t>
      </w:r>
      <w:r>
        <w:t xml:space="preserve">areas </w:t>
      </w:r>
      <w:r w:rsidRPr="00C75C6E">
        <w:t>in the range of 7.3</w:t>
      </w:r>
      <w:r>
        <w:t xml:space="preserve">% to </w:t>
      </w:r>
      <w:r w:rsidRPr="00C75C6E">
        <w:t>16.2% in the near</w:t>
      </w:r>
      <w:r>
        <w:t>-term</w:t>
      </w:r>
      <w:r w:rsidRPr="00C75C6E">
        <w:t xml:space="preserve"> future</w:t>
      </w:r>
      <w:r>
        <w:t xml:space="preserve"> period. The change </w:t>
      </w:r>
      <w:r w:rsidRPr="00C75C6E">
        <w:t xml:space="preserve">is </w:t>
      </w:r>
      <w:r>
        <w:t>projected</w:t>
      </w:r>
      <w:r w:rsidRPr="00C75C6E">
        <w:t xml:space="preserve"> to increase across all WAPA areas, except </w:t>
      </w:r>
      <w:r>
        <w:t xml:space="preserve">for </w:t>
      </w:r>
      <w:r w:rsidRPr="00C75C6E">
        <w:t>WAPA-5, in the range of 18.9</w:t>
      </w:r>
      <w:r>
        <w:t xml:space="preserve">% to </w:t>
      </w:r>
      <w:r w:rsidRPr="00C75C6E">
        <w:t xml:space="preserve">29.6% in </w:t>
      </w:r>
      <w:r>
        <w:t xml:space="preserve">the </w:t>
      </w:r>
      <w:r w:rsidRPr="00C75C6E">
        <w:t>mid</w:t>
      </w:r>
      <w:r>
        <w:t>-term</w:t>
      </w:r>
      <w:r w:rsidRPr="00C75C6E">
        <w:t xml:space="preserve"> future period. For WAPA-5</w:t>
      </w:r>
      <w:r>
        <w:t>,</w:t>
      </w:r>
      <w:r w:rsidRPr="00C75C6E">
        <w:t xml:space="preserve"> winter runoff is projected to increase by 9.6% in </w:t>
      </w:r>
      <w:r>
        <w:t xml:space="preserve">the </w:t>
      </w:r>
      <w:r w:rsidRPr="00C75C6E">
        <w:t>near</w:t>
      </w:r>
      <w:r>
        <w:t xml:space="preserve">-term </w:t>
      </w:r>
      <w:r w:rsidRPr="00C75C6E">
        <w:t>and 3.4% in the mid</w:t>
      </w:r>
      <w:r>
        <w:t>-term</w:t>
      </w:r>
      <w:r w:rsidRPr="00C75C6E">
        <w:t xml:space="preserve"> future</w:t>
      </w:r>
      <w:r>
        <w:t xml:space="preserve"> periods</w:t>
      </w:r>
      <w:r w:rsidRPr="00C75C6E">
        <w:t xml:space="preserve">. The spring runoff is projected to increase </w:t>
      </w:r>
      <w:r>
        <w:t>in</w:t>
      </w:r>
      <w:r w:rsidRPr="00C75C6E">
        <w:t xml:space="preserve"> WAPA-1, WAPA-2</w:t>
      </w:r>
      <w:r>
        <w:t>,</w:t>
      </w:r>
      <w:r w:rsidRPr="00C75C6E">
        <w:t xml:space="preserve"> and WAPA-3 in the range of 8.9</w:t>
      </w:r>
      <w:r>
        <w:t xml:space="preserve">% to </w:t>
      </w:r>
      <w:r w:rsidRPr="00C75C6E">
        <w:t>15.1% in the near</w:t>
      </w:r>
      <w:r>
        <w:t>-term</w:t>
      </w:r>
      <w:r w:rsidRPr="00C75C6E">
        <w:t xml:space="preserve"> and 24.1</w:t>
      </w:r>
      <w:r>
        <w:t xml:space="preserve">% to </w:t>
      </w:r>
      <w:r w:rsidRPr="00C75C6E">
        <w:t xml:space="preserve">36.3% in </w:t>
      </w:r>
      <w:r>
        <w:t xml:space="preserve">the </w:t>
      </w:r>
      <w:r w:rsidRPr="00C75C6E">
        <w:t>mid</w:t>
      </w:r>
      <w:r>
        <w:t>-term</w:t>
      </w:r>
      <w:r w:rsidRPr="00C75C6E">
        <w:t xml:space="preserve"> future</w:t>
      </w:r>
      <w:r>
        <w:t xml:space="preserve"> periods</w:t>
      </w:r>
      <w:r w:rsidRPr="00C75C6E">
        <w:t xml:space="preserve">. </w:t>
      </w:r>
      <w:r>
        <w:t xml:space="preserve">The spring runoff in </w:t>
      </w:r>
      <w:r w:rsidRPr="00C75C6E">
        <w:t>WAPA-4 show</w:t>
      </w:r>
      <w:r>
        <w:t>s</w:t>
      </w:r>
      <w:r w:rsidRPr="00C75C6E">
        <w:t xml:space="preserve"> a decrease of 1.6% in the near</w:t>
      </w:r>
      <w:r>
        <w:t>-term</w:t>
      </w:r>
      <w:r w:rsidRPr="00C75C6E">
        <w:t xml:space="preserve"> and </w:t>
      </w:r>
      <w:r>
        <w:t xml:space="preserve">an </w:t>
      </w:r>
      <w:r w:rsidRPr="00C75C6E">
        <w:t>increase of 9.7% in the mid</w:t>
      </w:r>
      <w:r>
        <w:t>-term</w:t>
      </w:r>
      <w:r w:rsidRPr="00C75C6E">
        <w:t xml:space="preserve"> future</w:t>
      </w:r>
      <w:r>
        <w:t xml:space="preserve"> periods</w:t>
      </w:r>
      <w:r w:rsidRPr="00C75C6E">
        <w:t>. WAPA-5 show</w:t>
      </w:r>
      <w:r>
        <w:t>s</w:t>
      </w:r>
      <w:r w:rsidRPr="00C75C6E">
        <w:t xml:space="preserve"> little to no change in </w:t>
      </w:r>
      <w:r>
        <w:t xml:space="preserve">the </w:t>
      </w:r>
      <w:r w:rsidRPr="00C75C6E">
        <w:t>winter runoff conditions. WAPA-6 project</w:t>
      </w:r>
      <w:r>
        <w:t>s</w:t>
      </w:r>
      <w:r w:rsidRPr="00C75C6E">
        <w:t xml:space="preserve"> a decrease of 6.4% in </w:t>
      </w:r>
      <w:r>
        <w:t xml:space="preserve">the </w:t>
      </w:r>
      <w:r w:rsidRPr="00C75C6E">
        <w:t>near</w:t>
      </w:r>
      <w:r>
        <w:t>-term</w:t>
      </w:r>
      <w:r w:rsidRPr="00C75C6E">
        <w:t xml:space="preserve"> and </w:t>
      </w:r>
      <w:r>
        <w:t xml:space="preserve">an </w:t>
      </w:r>
      <w:r w:rsidRPr="00C75C6E">
        <w:t xml:space="preserve">increase of 8.1% in </w:t>
      </w:r>
      <w:r w:rsidR="00C76327">
        <w:t xml:space="preserve">the </w:t>
      </w:r>
      <w:r>
        <w:t xml:space="preserve">mid-term </w:t>
      </w:r>
      <w:r w:rsidRPr="00C75C6E">
        <w:t>future period</w:t>
      </w:r>
      <w:r>
        <w:t>s</w:t>
      </w:r>
      <w:r w:rsidRPr="00C75C6E">
        <w:t xml:space="preserve">. Summer runoff is expected to decrease </w:t>
      </w:r>
      <w:r>
        <w:t>in</w:t>
      </w:r>
      <w:r w:rsidRPr="00C75C6E">
        <w:t xml:space="preserve"> WAPA-2, </w:t>
      </w:r>
      <w:r>
        <w:t>WAPA-</w:t>
      </w:r>
      <w:r w:rsidRPr="00C75C6E">
        <w:t>3</w:t>
      </w:r>
      <w:r>
        <w:t>,</w:t>
      </w:r>
      <w:r w:rsidRPr="00C75C6E">
        <w:t xml:space="preserve"> and </w:t>
      </w:r>
      <w:r>
        <w:t>WAPA-</w:t>
      </w:r>
      <w:r w:rsidRPr="00C75C6E">
        <w:t>6</w:t>
      </w:r>
      <w:r>
        <w:t>,</w:t>
      </w:r>
      <w:r w:rsidRPr="00C75C6E">
        <w:t xml:space="preserve"> in the range of </w:t>
      </w:r>
      <w:r>
        <w:t>3</w:t>
      </w:r>
      <w:r w:rsidRPr="00C75C6E">
        <w:t>.6</w:t>
      </w:r>
      <w:r>
        <w:t>% to 8</w:t>
      </w:r>
      <w:r w:rsidRPr="00C75C6E">
        <w:t>.6% in the near</w:t>
      </w:r>
      <w:r>
        <w:t>-term</w:t>
      </w:r>
      <w:r w:rsidRPr="00C75C6E">
        <w:t xml:space="preserve"> </w:t>
      </w:r>
      <w:r>
        <w:t xml:space="preserve">and </w:t>
      </w:r>
      <w:r w:rsidRPr="00C75C6E">
        <w:t>0.7</w:t>
      </w:r>
      <w:r>
        <w:t xml:space="preserve">% to </w:t>
      </w:r>
      <w:r w:rsidRPr="00C75C6E">
        <w:t xml:space="preserve">6.3% in </w:t>
      </w:r>
      <w:r>
        <w:t xml:space="preserve">the </w:t>
      </w:r>
      <w:r w:rsidRPr="00C75C6E">
        <w:t>mid</w:t>
      </w:r>
      <w:r>
        <w:t>-term</w:t>
      </w:r>
      <w:r w:rsidRPr="00C75C6E">
        <w:t xml:space="preserve"> future</w:t>
      </w:r>
      <w:r>
        <w:t xml:space="preserve"> periods</w:t>
      </w:r>
      <w:r w:rsidRPr="00C75C6E">
        <w:t xml:space="preserve">. On the other hand, summer runoff </w:t>
      </w:r>
      <w:r>
        <w:t xml:space="preserve">is projected to increase in </w:t>
      </w:r>
      <w:r w:rsidRPr="00C75C6E">
        <w:t>WAPA-4 and WAPA-5</w:t>
      </w:r>
      <w:r>
        <w:t xml:space="preserve"> in the range of 1.4% to </w:t>
      </w:r>
      <w:r w:rsidRPr="00C75C6E">
        <w:t xml:space="preserve">6.8% in </w:t>
      </w:r>
      <w:r>
        <w:t xml:space="preserve">the </w:t>
      </w:r>
      <w:r w:rsidRPr="00C75C6E">
        <w:t>near</w:t>
      </w:r>
      <w:r>
        <w:t>-term</w:t>
      </w:r>
      <w:r w:rsidRPr="00C75C6E">
        <w:t xml:space="preserve"> and 8.1</w:t>
      </w:r>
      <w:r>
        <w:t xml:space="preserve">% to </w:t>
      </w:r>
      <w:r w:rsidRPr="00C75C6E">
        <w:t xml:space="preserve">9.5% in </w:t>
      </w:r>
      <w:r>
        <w:t xml:space="preserve">the </w:t>
      </w:r>
      <w:r w:rsidRPr="00C75C6E">
        <w:t>mid</w:t>
      </w:r>
      <w:r>
        <w:t>-term</w:t>
      </w:r>
      <w:r w:rsidRPr="00C75C6E">
        <w:t xml:space="preserve"> future </w:t>
      </w:r>
      <w:r>
        <w:t>periods</w:t>
      </w:r>
      <w:r w:rsidRPr="00C75C6E">
        <w:t xml:space="preserve">. </w:t>
      </w:r>
      <w:r>
        <w:t xml:space="preserve">For </w:t>
      </w:r>
      <w:r w:rsidRPr="00C75C6E">
        <w:t>WAPA-1</w:t>
      </w:r>
      <w:r>
        <w:t>, the summer runoff is</w:t>
      </w:r>
      <w:r w:rsidRPr="00C75C6E">
        <w:t xml:space="preserve"> projected </w:t>
      </w:r>
      <w:r>
        <w:t xml:space="preserve">to </w:t>
      </w:r>
      <w:r w:rsidRPr="00C75C6E">
        <w:t xml:space="preserve">increase </w:t>
      </w:r>
      <w:r>
        <w:t xml:space="preserve">by </w:t>
      </w:r>
      <w:r w:rsidRPr="00C75C6E">
        <w:t xml:space="preserve">4.1% in </w:t>
      </w:r>
      <w:r w:rsidR="00C76327">
        <w:t xml:space="preserve">the </w:t>
      </w:r>
      <w:r w:rsidRPr="00C75C6E">
        <w:t>near</w:t>
      </w:r>
      <w:r>
        <w:t>-term</w:t>
      </w:r>
      <w:r w:rsidRPr="00C75C6E">
        <w:t xml:space="preserve"> but </w:t>
      </w:r>
      <w:r>
        <w:t xml:space="preserve">shows </w:t>
      </w:r>
      <w:r w:rsidRPr="00C75C6E">
        <w:t xml:space="preserve">little to no change in </w:t>
      </w:r>
      <w:r>
        <w:t xml:space="preserve">the </w:t>
      </w:r>
      <w:r w:rsidRPr="00C75C6E">
        <w:t>mid</w:t>
      </w:r>
      <w:r>
        <w:t>-term</w:t>
      </w:r>
      <w:r w:rsidRPr="00C75C6E">
        <w:t xml:space="preserve"> (</w:t>
      </w:r>
      <w:r>
        <w:t>−</w:t>
      </w:r>
      <w:r w:rsidRPr="00C75C6E">
        <w:t>0.47%)</w:t>
      </w:r>
      <w:r>
        <w:t xml:space="preserve"> future periods</w:t>
      </w:r>
      <w:r w:rsidRPr="00C75C6E">
        <w:t xml:space="preserve">. Finally, </w:t>
      </w:r>
      <w:r>
        <w:t xml:space="preserve">the </w:t>
      </w:r>
      <w:r w:rsidRPr="00C75C6E">
        <w:t xml:space="preserve">fall runoff is projected to increase across all </w:t>
      </w:r>
      <w:r>
        <w:t xml:space="preserve">WAPA </w:t>
      </w:r>
      <w:r w:rsidRPr="00C75C6E">
        <w:t>areas</w:t>
      </w:r>
      <w:r>
        <w:t>,</w:t>
      </w:r>
      <w:r w:rsidRPr="00C75C6E">
        <w:t xml:space="preserve"> except </w:t>
      </w:r>
      <w:r>
        <w:t xml:space="preserve">for </w:t>
      </w:r>
      <w:r w:rsidRPr="00C75C6E">
        <w:t>WAPA</w:t>
      </w:r>
      <w:r>
        <w:noBreakHyphen/>
      </w:r>
      <w:r w:rsidRPr="00C75C6E">
        <w:t>6</w:t>
      </w:r>
      <w:r>
        <w:t>,</w:t>
      </w:r>
      <w:r w:rsidRPr="00C75C6E">
        <w:t xml:space="preserve"> in the range of 2.7</w:t>
      </w:r>
      <w:r>
        <w:t xml:space="preserve">% to </w:t>
      </w:r>
      <w:r w:rsidRPr="00C75C6E">
        <w:t xml:space="preserve">14.3% in </w:t>
      </w:r>
      <w:r>
        <w:t xml:space="preserve">the </w:t>
      </w:r>
      <w:r w:rsidRPr="00C75C6E">
        <w:t>near</w:t>
      </w:r>
      <w:r>
        <w:t>-term</w:t>
      </w:r>
      <w:r w:rsidRPr="00C75C6E">
        <w:t xml:space="preserve"> and 3.6</w:t>
      </w:r>
      <w:r>
        <w:t xml:space="preserve">% to </w:t>
      </w:r>
      <w:r w:rsidRPr="00C75C6E">
        <w:t xml:space="preserve">19.8% in </w:t>
      </w:r>
      <w:r>
        <w:t xml:space="preserve">the </w:t>
      </w:r>
      <w:r w:rsidRPr="00C75C6E">
        <w:t>mid</w:t>
      </w:r>
      <w:r>
        <w:t>-term</w:t>
      </w:r>
      <w:r w:rsidRPr="00C75C6E">
        <w:t xml:space="preserve"> future</w:t>
      </w:r>
      <w:r>
        <w:t xml:space="preserve"> periods</w:t>
      </w:r>
      <w:r w:rsidRPr="00C75C6E">
        <w:t>. For WAPA-6, fall runoff show</w:t>
      </w:r>
      <w:r>
        <w:t>s</w:t>
      </w:r>
      <w:r w:rsidRPr="00C75C6E">
        <w:t xml:space="preserve"> a decrease of 1.1% in </w:t>
      </w:r>
      <w:r>
        <w:t xml:space="preserve">the </w:t>
      </w:r>
      <w:r w:rsidRPr="00C75C6E">
        <w:t>near</w:t>
      </w:r>
      <w:r>
        <w:t>-term</w:t>
      </w:r>
      <w:r w:rsidRPr="00C75C6E">
        <w:t xml:space="preserve"> but an increase of 9.6% in </w:t>
      </w:r>
      <w:r>
        <w:t xml:space="preserve">the </w:t>
      </w:r>
      <w:r w:rsidRPr="00C75C6E">
        <w:t>mid</w:t>
      </w:r>
      <w:r>
        <w:t>-term</w:t>
      </w:r>
      <w:r w:rsidRPr="00C75C6E">
        <w:t xml:space="preserve"> future period</w:t>
      </w:r>
      <w:r>
        <w:t>s</w:t>
      </w:r>
      <w:r w:rsidRPr="00C75C6E">
        <w:t>. These projections are associated with large spread among ensemble members in both near</w:t>
      </w:r>
      <w:r>
        <w:t>-term</w:t>
      </w:r>
      <w:r w:rsidRPr="00C75C6E">
        <w:t xml:space="preserve"> and mid</w:t>
      </w:r>
      <w:r>
        <w:t>-term</w:t>
      </w:r>
      <w:r w:rsidRPr="00C75C6E">
        <w:t xml:space="preserve"> future periods across all </w:t>
      </w:r>
      <w:r>
        <w:t>WAPA</w:t>
      </w:r>
      <w:r w:rsidRPr="00C75C6E">
        <w:t xml:space="preserve"> areas</w:t>
      </w:r>
      <w:r>
        <w:t>,</w:t>
      </w:r>
      <w:r w:rsidRPr="00C75C6E">
        <w:t xml:space="preserve"> indicating high uncertainties in ensemble members.</w:t>
      </w:r>
    </w:p>
    <w:p w14:paraId="0A811EBE" w14:textId="4438128C" w:rsidR="000D20F4" w:rsidRDefault="000D20F4" w:rsidP="009868FB">
      <w:pPr>
        <w:pStyle w:val="BodyText"/>
      </w:pPr>
      <w:r w:rsidRPr="000D6CCB">
        <w:t xml:space="preserve">In additional to </w:t>
      </w:r>
      <w:r>
        <w:t xml:space="preserve">the change of </w:t>
      </w:r>
      <w:r w:rsidRPr="000D6CCB">
        <w:t xml:space="preserve">precipitation </w:t>
      </w:r>
      <w:r>
        <w:t xml:space="preserve">patterns </w:t>
      </w:r>
      <w:r w:rsidRPr="000D6CCB">
        <w:t xml:space="preserve">in the </w:t>
      </w:r>
      <w:r>
        <w:t xml:space="preserve">WAPA </w:t>
      </w:r>
      <w:r w:rsidRPr="000D6CCB">
        <w:t xml:space="preserve">region, these seasonal changes in runoff could </w:t>
      </w:r>
      <w:r>
        <w:t>also</w:t>
      </w:r>
      <w:r w:rsidRPr="000D6CCB">
        <w:t xml:space="preserve"> relate to </w:t>
      </w:r>
      <w:r>
        <w:t xml:space="preserve">the change of </w:t>
      </w:r>
      <w:r w:rsidRPr="000D6CCB">
        <w:t xml:space="preserve">snow </w:t>
      </w:r>
      <w:r w:rsidRPr="00855F79">
        <w:t xml:space="preserve">hydrology. To further evaluate snow dynamics in the region, changes on </w:t>
      </w:r>
      <w:r>
        <w:t>April 1</w:t>
      </w:r>
      <w:r w:rsidRPr="00855F79">
        <w:t xml:space="preserve"> SWE </w:t>
      </w:r>
      <w:r>
        <w:t>are</w:t>
      </w:r>
      <w:r w:rsidRPr="00855F79">
        <w:t xml:space="preserve"> presented </w:t>
      </w:r>
      <w:r>
        <w:t xml:space="preserve">in </w:t>
      </w:r>
      <w:r>
        <w:fldChar w:fldCharType="begin"/>
      </w:r>
      <w:r>
        <w:instrText xml:space="preserve"> REF _Ref72854854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8</w:t>
      </w:r>
      <w:r>
        <w:fldChar w:fldCharType="end"/>
      </w:r>
      <w:r w:rsidRPr="00855F79">
        <w:t xml:space="preserve">. The change is defined as the percentage difference </w:t>
      </w:r>
      <w:r>
        <w:t>of April 1</w:t>
      </w:r>
      <w:r w:rsidRPr="00855F79">
        <w:t xml:space="preserve"> SWE </w:t>
      </w:r>
      <w:r>
        <w:t>in</w:t>
      </w:r>
      <w:r w:rsidRPr="00855F79">
        <w:t xml:space="preserve"> future periods (2020–2039 and 2040–2059) when compared </w:t>
      </w:r>
      <w:r>
        <w:t>with</w:t>
      </w:r>
      <w:r w:rsidRPr="00855F79">
        <w:t xml:space="preserve"> the baseline period</w:t>
      </w:r>
      <w:r>
        <w:t xml:space="preserve"> (</w:t>
      </w:r>
      <w:r w:rsidRPr="003F64F3">
        <w:rPr>
          <w:rFonts w:eastAsia="PMingLiU"/>
          <w:lang w:eastAsia="zh-TW"/>
        </w:rPr>
        <w:t>1980–2019</w:t>
      </w:r>
      <w:r>
        <w:rPr>
          <w:rFonts w:eastAsia="PMingLiU"/>
          <w:lang w:eastAsia="zh-TW"/>
        </w:rPr>
        <w:t>)</w:t>
      </w:r>
      <w:r w:rsidRPr="00855F79">
        <w:t xml:space="preserve">. The changes are summarized for </w:t>
      </w:r>
      <w:r>
        <w:t>HUC8</w:t>
      </w:r>
      <w:r w:rsidRPr="00855F79">
        <w:t xml:space="preserve">s </w:t>
      </w:r>
      <w:r>
        <w:t>with more significant snowpack (defined as HUC8s with</w:t>
      </w:r>
      <w:r w:rsidRPr="00855F79">
        <w:t xml:space="preserve"> average 1980</w:t>
      </w:r>
      <w:r>
        <w:t>–</w:t>
      </w:r>
      <w:r w:rsidRPr="00855F79">
        <w:t>2019</w:t>
      </w:r>
      <w:r w:rsidRPr="000D6CCB">
        <w:t xml:space="preserve"> control run </w:t>
      </w:r>
      <w:r>
        <w:t>April 1</w:t>
      </w:r>
      <w:r w:rsidRPr="000D6CCB">
        <w:t xml:space="preserve"> SWE greater than 5 mm</w:t>
      </w:r>
      <w:r>
        <w:t>)</w:t>
      </w:r>
      <w:r w:rsidRPr="000D6CCB">
        <w:t xml:space="preserve">. The results suggest a strong decrease in ensemble median </w:t>
      </w:r>
      <w:r>
        <w:t>April 1</w:t>
      </w:r>
      <w:r w:rsidRPr="000D6CCB">
        <w:t xml:space="preserve"> SWE (</w:t>
      </w:r>
      <w:r>
        <w:fldChar w:fldCharType="begin"/>
      </w:r>
      <w:r>
        <w:instrText xml:space="preserve"> REF _Ref72854854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8</w:t>
      </w:r>
      <w:r>
        <w:fldChar w:fldCharType="end"/>
      </w:r>
      <w:r w:rsidRPr="000D6CCB">
        <w:t>, 2020</w:t>
      </w:r>
      <w:r>
        <w:t>–</w:t>
      </w:r>
      <w:r w:rsidRPr="000D6CCB">
        <w:t>2059 future to 1980</w:t>
      </w:r>
      <w:r>
        <w:t>–</w:t>
      </w:r>
      <w:r w:rsidRPr="000D6CCB">
        <w:t>2019 baseline)</w:t>
      </w:r>
      <w:r>
        <w:t>, with more than half of the HUC8s projecting a decrease of 24% or more</w:t>
      </w:r>
      <w:r w:rsidRPr="000D6CCB">
        <w:t xml:space="preserve">. </w:t>
      </w:r>
      <w:r>
        <w:t>In addition, decrease of April 1 SWE is projected in the n</w:t>
      </w:r>
      <w:r w:rsidRPr="000D6CCB">
        <w:t xml:space="preserve">orthwestern </w:t>
      </w:r>
      <w:r>
        <w:t xml:space="preserve">portion </w:t>
      </w:r>
      <w:r w:rsidRPr="000D6CCB">
        <w:t xml:space="preserve">of WAPA-1, a significant portion of WAPA-2 and WAPA-3, and WAPA-6. These </w:t>
      </w:r>
      <w:r>
        <w:t>areas</w:t>
      </w:r>
      <w:r w:rsidRPr="000D6CCB">
        <w:t xml:space="preserve"> </w:t>
      </w:r>
      <w:r>
        <w:t xml:space="preserve">are </w:t>
      </w:r>
      <w:r w:rsidRPr="000D6CCB">
        <w:t xml:space="preserve">also </w:t>
      </w:r>
      <w:r>
        <w:t xml:space="preserve">associated with </w:t>
      </w:r>
      <w:r w:rsidRPr="000D6CCB">
        <w:t xml:space="preserve">lower summer runoff </w:t>
      </w:r>
      <w:r>
        <w:t>projections, suggesting the relationships between changing snow hydrology and summer runoff reduction</w:t>
      </w:r>
      <w:r w:rsidRPr="000D6CCB">
        <w:t>.</w:t>
      </w:r>
    </w:p>
    <w:p w14:paraId="2F395C3B" w14:textId="6AE588BD" w:rsidR="00C91C8C" w:rsidRDefault="00BA6941" w:rsidP="00050448">
      <w:pPr>
        <w:pStyle w:val="FIGUREposition"/>
        <w:rPr>
          <w:lang w:eastAsia="zh-TW"/>
        </w:rPr>
      </w:pPr>
      <w:r>
        <w:rPr>
          <w:noProof/>
          <w:lang w:eastAsia="zh-TW"/>
        </w:rPr>
        <w:lastRenderedPageBreak/>
        <w:drawing>
          <wp:inline distT="0" distB="0" distL="0" distR="0" wp14:anchorId="02BBB925" wp14:editId="3BE0FBB0">
            <wp:extent cx="4023360"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53"/>
                    <a:stretch>
                      <a:fillRect/>
                    </a:stretch>
                  </pic:blipFill>
                  <pic:spPr bwMode="auto">
                    <a:xfrm>
                      <a:off x="0" y="0"/>
                      <a:ext cx="4023360" cy="4023360"/>
                    </a:xfrm>
                    <a:prstGeom prst="rect">
                      <a:avLst/>
                    </a:prstGeom>
                    <a:noFill/>
                    <a:ln>
                      <a:noFill/>
                    </a:ln>
                  </pic:spPr>
                </pic:pic>
              </a:graphicData>
            </a:graphic>
          </wp:inline>
        </w:drawing>
      </w:r>
    </w:p>
    <w:p w14:paraId="668BCEE2" w14:textId="78059A35" w:rsidR="00A9780C" w:rsidRPr="00F61532" w:rsidRDefault="00A9780C" w:rsidP="00050448">
      <w:pPr>
        <w:pStyle w:val="FigureCaption"/>
        <w:rPr>
          <w:b w:val="0"/>
        </w:rPr>
      </w:pPr>
      <w:bookmarkStart w:id="371" w:name="_Ref72854854"/>
      <w:bookmarkStart w:id="372" w:name="_Toc113380915"/>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8</w:t>
      </w:r>
      <w:r w:rsidRPr="00F61532">
        <w:rPr>
          <w:lang w:eastAsia="zh-TW"/>
        </w:rPr>
        <w:fldChar w:fldCharType="end"/>
      </w:r>
      <w:bookmarkEnd w:id="371"/>
      <w:r w:rsidRPr="00F61532">
        <w:rPr>
          <w:lang w:eastAsia="zh-TW"/>
        </w:rPr>
        <w:t xml:space="preserve">. </w:t>
      </w:r>
      <w:r w:rsidRPr="00A9780C">
        <w:rPr>
          <w:lang w:eastAsia="zh-TW"/>
        </w:rPr>
        <w:t xml:space="preserve">Projected change of </w:t>
      </w:r>
      <w:r w:rsidR="003F23A1">
        <w:rPr>
          <w:lang w:eastAsia="zh-TW"/>
        </w:rPr>
        <w:t>April 1</w:t>
      </w:r>
      <w:r w:rsidRPr="00A9780C">
        <w:rPr>
          <w:lang w:eastAsia="zh-TW"/>
        </w:rPr>
        <w:t xml:space="preserve"> SWE in the WAPA region</w:t>
      </w:r>
      <w:r>
        <w:rPr>
          <w:lang w:eastAsia="zh-TW"/>
        </w:rPr>
        <w:t>.</w:t>
      </w:r>
      <w:bookmarkEnd w:id="372"/>
    </w:p>
    <w:p w14:paraId="7B759011" w14:textId="77777777" w:rsidR="002F6644" w:rsidRDefault="002F6644" w:rsidP="007273D2">
      <w:pPr>
        <w:pStyle w:val="BodyText"/>
      </w:pPr>
    </w:p>
    <w:p w14:paraId="0B24B51A" w14:textId="6991FB9D" w:rsidR="007273D2" w:rsidRDefault="007273D2" w:rsidP="007273D2">
      <w:pPr>
        <w:pStyle w:val="BodyText"/>
        <w:rPr>
          <w:lang w:bidi="en-US"/>
        </w:rPr>
      </w:pPr>
      <w:r w:rsidRPr="00855F79">
        <w:t xml:space="preserve">An additional analysis </w:t>
      </w:r>
      <w:r>
        <w:t>of</w:t>
      </w:r>
      <w:r w:rsidRPr="00855F79">
        <w:t xml:space="preserve"> extreme runoff is shown in </w:t>
      </w:r>
      <w:r>
        <w:fldChar w:fldCharType="begin"/>
      </w:r>
      <w:r>
        <w:instrText xml:space="preserve"> REF _Ref72854910 \h  \* MERGEFORMAT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noProof/>
          <w:lang w:eastAsia="zh-TW"/>
        </w:rPr>
        <w:t>.</w:t>
      </w:r>
      <w:r w:rsidR="00EE0BF5">
        <w:rPr>
          <w:noProof/>
          <w:lang w:eastAsia="zh-TW"/>
        </w:rPr>
        <w:t>9</w:t>
      </w:r>
      <w:r>
        <w:fldChar w:fldCharType="end"/>
      </w:r>
      <w:r w:rsidRPr="00855F79">
        <w:t xml:space="preserve">, which presents future changes in ensemble median high runoff (i.e., </w:t>
      </w:r>
      <w:r>
        <w:t>95</w:t>
      </w:r>
      <w:r w:rsidR="00FA458A" w:rsidRPr="00FA458A">
        <w:t>th</w:t>
      </w:r>
      <w:r>
        <w:t xml:space="preserve"> </w:t>
      </w:r>
      <w:r w:rsidRPr="00855F79">
        <w:t>percentile of daily runoff) and median low runoff (i.e.,</w:t>
      </w:r>
      <w:r>
        <w:t xml:space="preserve"> 5</w:t>
      </w:r>
      <w:r w:rsidR="00FA458A" w:rsidRPr="00FA458A">
        <w:t>th</w:t>
      </w:r>
      <w:r>
        <w:t xml:space="preserve"> </w:t>
      </w:r>
      <w:r w:rsidRPr="00855F79">
        <w:t xml:space="preserve">percentile </w:t>
      </w:r>
      <w:r>
        <w:t xml:space="preserve">of </w:t>
      </w:r>
      <w:r>
        <w:rPr>
          <w:color w:val="000000" w:themeColor="text1"/>
          <w:lang w:eastAsia="zh-TW"/>
        </w:rPr>
        <w:t xml:space="preserve">7-day average </w:t>
      </w:r>
      <w:r w:rsidRPr="00855F79">
        <w:t xml:space="preserve">runoff) </w:t>
      </w:r>
      <w:r>
        <w:t>in</w:t>
      </w:r>
      <w:r w:rsidRPr="00855F79">
        <w:t xml:space="preserve"> both future projection periods. High </w:t>
      </w:r>
      <w:r>
        <w:t>r</w:t>
      </w:r>
      <w:r w:rsidRPr="00855F79">
        <w:t>unoff is generally projected to increase in both future period</w:t>
      </w:r>
      <w:r>
        <w:t>s</w:t>
      </w:r>
      <w:r w:rsidRPr="00855F79">
        <w:t xml:space="preserve"> across WAPA-1, WAPA-2, and WAPA-3. The low runoff is also projected to increase in general </w:t>
      </w:r>
      <w:r>
        <w:t xml:space="preserve">across </w:t>
      </w:r>
      <w:r w:rsidRPr="00855F79">
        <w:t xml:space="preserve">these </w:t>
      </w:r>
      <w:r>
        <w:t>areas</w:t>
      </w:r>
      <w:r w:rsidRPr="00855F79">
        <w:t xml:space="preserve">, indicating overall wetter </w:t>
      </w:r>
      <w:r>
        <w:t xml:space="preserve">trends </w:t>
      </w:r>
      <w:r w:rsidRPr="00855F79">
        <w:t xml:space="preserve">under </w:t>
      </w:r>
      <w:r>
        <w:t xml:space="preserve">projected </w:t>
      </w:r>
      <w:r w:rsidRPr="00855F79">
        <w:t xml:space="preserve">future </w:t>
      </w:r>
      <w:r>
        <w:t xml:space="preserve">climate </w:t>
      </w:r>
      <w:r w:rsidRPr="00855F79">
        <w:t xml:space="preserve">conditions. </w:t>
      </w:r>
      <w:r>
        <w:t xml:space="preserve">The high runoff in </w:t>
      </w:r>
      <w:r w:rsidRPr="00855F79">
        <w:t xml:space="preserve">WAPA-4, </w:t>
      </w:r>
      <w:r>
        <w:t>WAPA-</w:t>
      </w:r>
      <w:r w:rsidRPr="00855F79">
        <w:t>5</w:t>
      </w:r>
      <w:r>
        <w:t>,</w:t>
      </w:r>
      <w:r w:rsidRPr="00855F79">
        <w:t xml:space="preserve"> and </w:t>
      </w:r>
      <w:r>
        <w:t>WAPA-</w:t>
      </w:r>
      <w:r w:rsidRPr="00855F79">
        <w:t>6 show</w:t>
      </w:r>
      <w:r>
        <w:t>s</w:t>
      </w:r>
      <w:r w:rsidRPr="00855F79">
        <w:t xml:space="preserve"> a mixed response and higher spatial variability</w:t>
      </w:r>
      <w:r>
        <w:t xml:space="preserve">, whereas the low runoff is projected to </w:t>
      </w:r>
      <w:r w:rsidRPr="00855F79">
        <w:t xml:space="preserve">decrease in </w:t>
      </w:r>
      <w:r>
        <w:t>most of the areas except WAPA-6</w:t>
      </w:r>
      <w:r w:rsidRPr="00855F79">
        <w:t xml:space="preserve">. These results suggest </w:t>
      </w:r>
      <w:r>
        <w:rPr>
          <w:color w:val="000000" w:themeColor="text1"/>
          <w:lang w:eastAsia="zh-TW"/>
        </w:rPr>
        <w:t xml:space="preserve">increasing </w:t>
      </w:r>
      <w:r w:rsidRPr="00855F79">
        <w:t xml:space="preserve">likelihood of </w:t>
      </w:r>
      <w:r>
        <w:t xml:space="preserve">more </w:t>
      </w:r>
      <w:r w:rsidRPr="00855F79">
        <w:t xml:space="preserve">frequent flood events for parts of WAPA regions, </w:t>
      </w:r>
      <w:r w:rsidRPr="00855F79">
        <w:rPr>
          <w:rFonts w:hint="eastAsia"/>
        </w:rPr>
        <w:t>which</w:t>
      </w:r>
      <w:r w:rsidRPr="00855F79">
        <w:t xml:space="preserve"> </w:t>
      </w:r>
      <w:r w:rsidRPr="00E31CDA">
        <w:t>may increase the difficulty of water management in the future climate condition</w:t>
      </w:r>
      <w:r>
        <w:t xml:space="preserve">s </w:t>
      </w:r>
      <w:r w:rsidRPr="00E31CDA">
        <w:t>(Ban et al., 2020</w:t>
      </w:r>
      <w:r>
        <w:t xml:space="preserve">; </w:t>
      </w:r>
      <w:r w:rsidRPr="00E31CDA">
        <w:t>Xiao et al., 2018).</w:t>
      </w:r>
      <w:r>
        <w:t xml:space="preserve"> </w:t>
      </w:r>
      <w:r w:rsidR="00D50A27">
        <w:t>Also, a</w:t>
      </w:r>
      <w:r>
        <w:rPr>
          <w:lang w:bidi="en-US"/>
        </w:rPr>
        <w:t xml:space="preserve">s stated previously, these </w:t>
      </w:r>
      <w:r>
        <w:t xml:space="preserve">projections </w:t>
      </w:r>
      <w:r w:rsidR="00D50A27">
        <w:t xml:space="preserve">were only </w:t>
      </w:r>
      <w:r>
        <w:t xml:space="preserve">from six </w:t>
      </w:r>
      <w:r w:rsidR="00D50A27">
        <w:t xml:space="preserve">selected </w:t>
      </w:r>
      <w:r>
        <w:t>GCMs</w:t>
      </w:r>
      <w:r>
        <w:rPr>
          <w:lang w:bidi="en-US"/>
        </w:rPr>
        <w:t xml:space="preserve">, so large uncertainty, either due to GCM selection or model limitations, may exist. </w:t>
      </w:r>
      <w:r w:rsidR="001B7B04">
        <w:rPr>
          <w:lang w:bidi="en-US"/>
        </w:rPr>
        <w:t xml:space="preserve">Furthermore, </w:t>
      </w:r>
      <w:r>
        <w:rPr>
          <w:lang w:bidi="en-US"/>
        </w:rPr>
        <w:t xml:space="preserve">other studies of the western </w:t>
      </w:r>
      <w:r w:rsidR="001B7B04">
        <w:rPr>
          <w:lang w:bidi="en-US"/>
        </w:rPr>
        <w:t xml:space="preserve">United States </w:t>
      </w:r>
      <w:r w:rsidR="00C814CA">
        <w:rPr>
          <w:lang w:bidi="en-US"/>
        </w:rPr>
        <w:t>predict</w:t>
      </w:r>
      <w:r>
        <w:rPr>
          <w:lang w:bidi="en-US"/>
        </w:rPr>
        <w:t xml:space="preserve"> lower </w:t>
      </w:r>
      <w:r w:rsidR="00C814CA">
        <w:rPr>
          <w:lang w:bidi="en-US"/>
        </w:rPr>
        <w:t>water availability</w:t>
      </w:r>
      <w:r>
        <w:rPr>
          <w:lang w:bidi="en-US"/>
        </w:rPr>
        <w:t xml:space="preserve"> based on </w:t>
      </w:r>
      <w:r>
        <w:t>region-specific</w:t>
      </w:r>
      <w:r>
        <w:rPr>
          <w:lang w:bidi="en-US"/>
        </w:rPr>
        <w:t xml:space="preserve"> modeling assumptions</w:t>
      </w:r>
      <w:r w:rsidR="0000030A">
        <w:rPr>
          <w:lang w:bidi="en-US"/>
        </w:rPr>
        <w:t xml:space="preserve"> (</w:t>
      </w:r>
      <w:r w:rsidR="0000030A" w:rsidRPr="0038147F">
        <w:t>Lukas</w:t>
      </w:r>
      <w:r w:rsidR="0000030A">
        <w:t xml:space="preserve"> </w:t>
      </w:r>
      <w:r w:rsidR="00C814CA">
        <w:t>and Payton</w:t>
      </w:r>
      <w:r w:rsidR="0000030A">
        <w:t>, 2020</w:t>
      </w:r>
      <w:r w:rsidR="0000030A">
        <w:rPr>
          <w:lang w:bidi="en-US"/>
        </w:rPr>
        <w:t>)</w:t>
      </w:r>
      <w:r>
        <w:rPr>
          <w:lang w:bidi="en-US"/>
        </w:rPr>
        <w:t xml:space="preserve">. Parts of the WAPA regions (e.g., Colorado River Basin) are experiencing a </w:t>
      </w:r>
      <w:r w:rsidR="001B7B04">
        <w:rPr>
          <w:lang w:bidi="en-US"/>
        </w:rPr>
        <w:t xml:space="preserve">more than </w:t>
      </w:r>
      <w:r>
        <w:rPr>
          <w:lang w:bidi="en-US"/>
        </w:rPr>
        <w:t>20-year drought that is interrupting regional water supply and hydropower generation</w:t>
      </w:r>
      <w:r w:rsidR="00C814CA">
        <w:rPr>
          <w:lang w:bidi="en-US"/>
        </w:rPr>
        <w:t xml:space="preserve"> (</w:t>
      </w:r>
      <w:r w:rsidR="00C814CA">
        <w:rPr>
          <w:rFonts w:cs="Open Sans"/>
          <w:color w:val="1C1D1E"/>
          <w:shd w:val="clear" w:color="auto" w:fill="FFFFFF"/>
        </w:rPr>
        <w:t>Williams et al., 2021</w:t>
      </w:r>
      <w:r w:rsidR="00C814CA">
        <w:rPr>
          <w:lang w:bidi="en-US"/>
        </w:rPr>
        <w:t>)</w:t>
      </w:r>
      <w:r>
        <w:rPr>
          <w:lang w:bidi="en-US"/>
        </w:rPr>
        <w:t xml:space="preserve">. </w:t>
      </w:r>
      <w:r w:rsidR="00C814CA">
        <w:rPr>
          <w:lang w:bidi="en-US"/>
        </w:rPr>
        <w:t>The potential impacts due to severe drought events should not be underestimated.</w:t>
      </w:r>
    </w:p>
    <w:p w14:paraId="34A24B43" w14:textId="77777777" w:rsidR="009868FB" w:rsidRDefault="009868FB" w:rsidP="009868FB">
      <w:pPr>
        <w:pStyle w:val="FIGUREposition"/>
        <w:rPr>
          <w:lang w:eastAsia="zh-TW"/>
        </w:rPr>
      </w:pPr>
      <w:r>
        <w:rPr>
          <w:noProof/>
          <w:lang w:eastAsia="zh-TW"/>
        </w:rPr>
        <w:lastRenderedPageBreak/>
        <w:drawing>
          <wp:inline distT="0" distB="0" distL="0" distR="0" wp14:anchorId="727B6835" wp14:editId="0359AD9F">
            <wp:extent cx="5760720" cy="57607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54"/>
                    <a:stretch>
                      <a:fillRect/>
                    </a:stretch>
                  </pic:blipFill>
                  <pic:spPr bwMode="auto">
                    <a:xfrm>
                      <a:off x="0" y="0"/>
                      <a:ext cx="5760720" cy="5760720"/>
                    </a:xfrm>
                    <a:prstGeom prst="rect">
                      <a:avLst/>
                    </a:prstGeom>
                    <a:noFill/>
                    <a:ln>
                      <a:noFill/>
                    </a:ln>
                  </pic:spPr>
                </pic:pic>
              </a:graphicData>
            </a:graphic>
          </wp:inline>
        </w:drawing>
      </w:r>
    </w:p>
    <w:p w14:paraId="512E262D" w14:textId="4980295B" w:rsidR="009868FB" w:rsidRPr="00F61532" w:rsidRDefault="009868FB" w:rsidP="009868FB">
      <w:pPr>
        <w:pStyle w:val="FigureCaption"/>
        <w:rPr>
          <w:b w:val="0"/>
        </w:rPr>
      </w:pPr>
      <w:bookmarkStart w:id="373" w:name="_Ref72854910"/>
      <w:bookmarkStart w:id="374" w:name="_Toc11338091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9</w:t>
      </w:r>
      <w:r w:rsidRPr="00F61532">
        <w:rPr>
          <w:lang w:eastAsia="zh-TW"/>
        </w:rPr>
        <w:fldChar w:fldCharType="end"/>
      </w:r>
      <w:bookmarkEnd w:id="373"/>
      <w:r w:rsidRPr="00F61532">
        <w:rPr>
          <w:lang w:eastAsia="zh-TW"/>
        </w:rPr>
        <w:t xml:space="preserve">. </w:t>
      </w:r>
      <w:r w:rsidRPr="00A9780C">
        <w:rPr>
          <w:lang w:eastAsia="zh-TW"/>
        </w:rPr>
        <w:t xml:space="preserve">Projected change of high and low runoff in the </w:t>
      </w:r>
      <w:r>
        <w:rPr>
          <w:lang w:eastAsia="zh-TW"/>
        </w:rPr>
        <w:t>WAPA</w:t>
      </w:r>
      <w:r w:rsidRPr="00A9780C">
        <w:rPr>
          <w:lang w:eastAsia="zh-TW"/>
        </w:rPr>
        <w:t xml:space="preserve"> region</w:t>
      </w:r>
      <w:r>
        <w:rPr>
          <w:lang w:eastAsia="zh-TW"/>
        </w:rPr>
        <w:t>.</w:t>
      </w:r>
      <w:bookmarkEnd w:id="374"/>
    </w:p>
    <w:p w14:paraId="6ED2D9E2" w14:textId="6354986B" w:rsidR="008210F7" w:rsidRDefault="008210F7" w:rsidP="008210F7">
      <w:pPr>
        <w:pStyle w:val="BodyText"/>
      </w:pPr>
      <w:r>
        <w:rPr>
          <w:color w:val="000000" w:themeColor="text1"/>
          <w:lang w:eastAsia="zh-TW"/>
        </w:rPr>
        <w:t xml:space="preserve">To evaluate the impacts of </w:t>
      </w:r>
      <w:r>
        <w:t>modeling</w:t>
      </w:r>
      <w:r w:rsidRPr="00B81A63">
        <w:t xml:space="preserve"> choices (</w:t>
      </w:r>
      <w:r w:rsidR="006C4A5A">
        <w:t>six</w:t>
      </w:r>
      <w:r w:rsidRPr="00B81A63">
        <w:t xml:space="preserve"> CMs, </w:t>
      </w:r>
      <w:r w:rsidR="006C4A5A">
        <w:t>two</w:t>
      </w:r>
      <w:r w:rsidRPr="00B81A63">
        <w:t xml:space="preserve"> </w:t>
      </w:r>
      <w:r>
        <w:t>DSs</w:t>
      </w:r>
      <w:r w:rsidRPr="00B81A63">
        <w:t xml:space="preserve">, </w:t>
      </w:r>
      <w:r w:rsidR="006C4A5A">
        <w:t>two</w:t>
      </w:r>
      <w:r w:rsidRPr="00B81A63">
        <w:t xml:space="preserve"> </w:t>
      </w:r>
      <w:r>
        <w:t>MetFs</w:t>
      </w:r>
      <w:r w:rsidRPr="00B81A63">
        <w:t xml:space="preserve">, </w:t>
      </w:r>
      <w:r>
        <w:t xml:space="preserve">and </w:t>
      </w:r>
      <w:r w:rsidR="006C4A5A">
        <w:t>two</w:t>
      </w:r>
      <w:r w:rsidRPr="00B81A63">
        <w:t xml:space="preserve"> </w:t>
      </w:r>
      <w:r>
        <w:t>HMs</w:t>
      </w:r>
      <w:r w:rsidRPr="00B81A63">
        <w:t xml:space="preserve">) </w:t>
      </w:r>
      <w:r>
        <w:t xml:space="preserve">on the projection of future runoff in </w:t>
      </w:r>
      <w:r w:rsidRPr="006268D6">
        <w:t xml:space="preserve">each </w:t>
      </w:r>
      <w:r>
        <w:t>WAPA</w:t>
      </w:r>
      <w:r w:rsidRPr="006268D6">
        <w:t xml:space="preserve"> area, </w:t>
      </w:r>
      <w:r w:rsidR="006C4A5A">
        <w:t xml:space="preserve">an </w:t>
      </w:r>
      <w:r w:rsidRPr="006268D6">
        <w:t xml:space="preserve">ANOVA </w:t>
      </w:r>
      <w:r w:rsidR="006C4A5A">
        <w:t>was</w:t>
      </w:r>
      <w:r>
        <w:t xml:space="preserve"> conducted and </w:t>
      </w:r>
      <w:r w:rsidR="00822D78">
        <w:t xml:space="preserve">is </w:t>
      </w:r>
      <w:r>
        <w:t xml:space="preserve">illustrated </w:t>
      </w:r>
      <w:r w:rsidRPr="006268D6">
        <w:t xml:space="preserve">in </w:t>
      </w:r>
      <w:r>
        <w:fldChar w:fldCharType="begin"/>
      </w:r>
      <w:r>
        <w:instrText xml:space="preserve"> REF _Ref72854933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10</w:t>
      </w:r>
      <w:r>
        <w:fldChar w:fldCharType="end"/>
      </w:r>
      <w:r w:rsidRPr="00855F79">
        <w:t xml:space="preserve">. </w:t>
      </w:r>
      <w:r w:rsidRPr="006268D6">
        <w:t>The box</w:t>
      </w:r>
      <w:r w:rsidR="005610E7">
        <w:t xml:space="preserve"> </w:t>
      </w:r>
      <w:r w:rsidRPr="006268D6">
        <w:t>plots show the magnitude of change (future minus baseline)</w:t>
      </w:r>
      <w:r>
        <w:t xml:space="preserve"> </w:t>
      </w:r>
      <w:r w:rsidRPr="006268D6">
        <w:t xml:space="preserve">in median annual runoff </w:t>
      </w:r>
      <w:r>
        <w:t>across</w:t>
      </w:r>
      <w:r w:rsidRPr="006268D6">
        <w:t xml:space="preserve"> 48 ensemble</w:t>
      </w:r>
      <w:r>
        <w:t xml:space="preserve"> member</w:t>
      </w:r>
      <w:r w:rsidRPr="006268D6">
        <w:t xml:space="preserve">s, grouped by each of the four </w:t>
      </w:r>
      <w:r>
        <w:t>modeling choices</w:t>
      </w:r>
      <w:r w:rsidRPr="00855F79">
        <w:t xml:space="preserve">. </w:t>
      </w:r>
      <w:r>
        <w:t>The box</w:t>
      </w:r>
      <w:r w:rsidR="005610E7">
        <w:t xml:space="preserve"> </w:t>
      </w:r>
      <w:r>
        <w:t>plots provide a quantitative way to evaluate the range of possible outcomes in runoff response based on different modeling choices</w:t>
      </w:r>
      <w:r w:rsidRPr="00855F79">
        <w:t xml:space="preserve">. </w:t>
      </w:r>
      <w:r>
        <w:t xml:space="preserve">ANOVA results </w:t>
      </w:r>
      <w:r w:rsidRPr="00B81A63">
        <w:t xml:space="preserve">indicate that </w:t>
      </w:r>
      <w:r w:rsidR="00C753AB">
        <w:t xml:space="preserve">the </w:t>
      </w:r>
      <w:r>
        <w:t xml:space="preserve">CM is </w:t>
      </w:r>
      <w:r w:rsidRPr="00B81A63">
        <w:t xml:space="preserve">generally the </w:t>
      </w:r>
      <w:r w:rsidR="00C753AB">
        <w:rPr>
          <w:rFonts w:eastAsia="PMingLiU"/>
          <w:lang w:eastAsia="zh-TW"/>
        </w:rPr>
        <w:t xml:space="preserve">most </w:t>
      </w:r>
      <w:r w:rsidRPr="00B81A63">
        <w:t xml:space="preserve">dominant contributor to the </w:t>
      </w:r>
      <w:r>
        <w:t>total variance of future runoff projections</w:t>
      </w:r>
      <w:r w:rsidRPr="00CA1227">
        <w:t xml:space="preserve">. The contribution of </w:t>
      </w:r>
      <w:r w:rsidR="005367C2">
        <w:t xml:space="preserve">the </w:t>
      </w:r>
      <w:r>
        <w:t xml:space="preserve">CM </w:t>
      </w:r>
      <w:r w:rsidRPr="00CA1227">
        <w:t xml:space="preserve">is </w:t>
      </w:r>
      <w:r>
        <w:t xml:space="preserve">the </w:t>
      </w:r>
      <w:r w:rsidRPr="00CA1227">
        <w:t xml:space="preserve">highest among all factors </w:t>
      </w:r>
      <w:r>
        <w:t xml:space="preserve">across all </w:t>
      </w:r>
      <w:r w:rsidRPr="00CA1227">
        <w:t xml:space="preserve">WAPA </w:t>
      </w:r>
      <w:r>
        <w:t>areas and can explain up to 44</w:t>
      </w:r>
      <w:r w:rsidR="006D1B45">
        <w:t>%</w:t>
      </w:r>
      <w:r>
        <w:t>–66% of total runoff variance</w:t>
      </w:r>
      <w:r w:rsidRPr="00CA1227">
        <w:t xml:space="preserve">. In WAPA-1, </w:t>
      </w:r>
      <w:r>
        <w:t>WAPA-</w:t>
      </w:r>
      <w:r w:rsidRPr="00CA1227">
        <w:t>3</w:t>
      </w:r>
      <w:r w:rsidR="006D1B45">
        <w:t>,</w:t>
      </w:r>
      <w:r w:rsidRPr="00CA1227">
        <w:t xml:space="preserve"> and </w:t>
      </w:r>
      <w:r>
        <w:t>WAPA-</w:t>
      </w:r>
      <w:r w:rsidRPr="00CA1227">
        <w:t>6</w:t>
      </w:r>
      <w:r>
        <w:t>,</w:t>
      </w:r>
      <w:r w:rsidRPr="00CA1227">
        <w:t xml:space="preserve"> </w:t>
      </w:r>
      <w:r w:rsidR="00C753AB">
        <w:t xml:space="preserve">the </w:t>
      </w:r>
      <w:r>
        <w:t xml:space="preserve">HM is the </w:t>
      </w:r>
      <w:r w:rsidRPr="00CA1227">
        <w:t>second most dominant factor</w:t>
      </w:r>
      <w:r w:rsidR="006D1B45">
        <w:t>,</w:t>
      </w:r>
      <w:r w:rsidRPr="00CA1227">
        <w:t xml:space="preserve"> </w:t>
      </w:r>
      <w:r>
        <w:t>contributing 18.5</w:t>
      </w:r>
      <w:r w:rsidR="006D1B45">
        <w:t>%</w:t>
      </w:r>
      <w:r>
        <w:t xml:space="preserve">–29.4% of total variance, </w:t>
      </w:r>
      <w:r w:rsidRPr="00CA1227">
        <w:t xml:space="preserve">indicating that annual runoff response under future conditions is also sensitive to the choice of </w:t>
      </w:r>
      <w:r w:rsidR="00533D84">
        <w:t>HM</w:t>
      </w:r>
      <w:r w:rsidRPr="00CA1227">
        <w:t xml:space="preserve">. </w:t>
      </w:r>
      <w:r>
        <w:t>I</w:t>
      </w:r>
      <w:r w:rsidRPr="00CA1227">
        <w:t xml:space="preserve">n WAPA-5, contribution from </w:t>
      </w:r>
      <w:r>
        <w:t xml:space="preserve">other </w:t>
      </w:r>
      <w:r w:rsidRPr="00CA1227">
        <w:t xml:space="preserve">factors </w:t>
      </w:r>
      <w:r w:rsidR="006D1B45">
        <w:t xml:space="preserve">such as </w:t>
      </w:r>
      <w:r w:rsidR="00C753AB">
        <w:t xml:space="preserve">the </w:t>
      </w:r>
      <w:r w:rsidRPr="00CA1227">
        <w:t xml:space="preserve">DS and MetF is also important. At </w:t>
      </w:r>
      <w:r>
        <w:t xml:space="preserve">the </w:t>
      </w:r>
      <w:r w:rsidRPr="00CA1227">
        <w:t>seasonal scale</w:t>
      </w:r>
      <w:r>
        <w:t xml:space="preserve"> (</w:t>
      </w:r>
      <w:r w:rsidR="00F9171D">
        <w:rPr>
          <w:color w:val="000000" w:themeColor="text1"/>
        </w:rPr>
        <w:fldChar w:fldCharType="begin"/>
      </w:r>
      <w:r w:rsidR="00F9171D">
        <w:instrText xml:space="preserve"> REF _Ref81739142 \n \h </w:instrText>
      </w:r>
      <w:r w:rsidR="00F9171D">
        <w:rPr>
          <w:color w:val="000000" w:themeColor="text1"/>
        </w:rPr>
      </w:r>
      <w:r w:rsidR="00F9171D">
        <w:rPr>
          <w:color w:val="000000" w:themeColor="text1"/>
        </w:rPr>
        <w:fldChar w:fldCharType="separate"/>
      </w:r>
      <w:r w:rsidR="00EE0BF5">
        <w:t>APPENDIX E</w:t>
      </w:r>
      <w:r w:rsidR="00F9171D">
        <w:rPr>
          <w:color w:val="000000" w:themeColor="text1"/>
        </w:rPr>
        <w:fldChar w:fldCharType="end"/>
      </w:r>
      <w:r>
        <w:t>)</w:t>
      </w:r>
      <w:r w:rsidRPr="00CA1227">
        <w:t>, the ANOVA indicate</w:t>
      </w:r>
      <w:r>
        <w:t>s</w:t>
      </w:r>
      <w:r w:rsidRPr="00CA1227">
        <w:t xml:space="preserve"> that factors other </w:t>
      </w:r>
      <w:r w:rsidR="006D1B45">
        <w:t xml:space="preserve">than </w:t>
      </w:r>
      <w:r w:rsidR="00C753AB">
        <w:t xml:space="preserve">the </w:t>
      </w:r>
      <w:r>
        <w:t xml:space="preserve">CM </w:t>
      </w:r>
      <w:r w:rsidRPr="00CA1227">
        <w:t>may have strong</w:t>
      </w:r>
      <w:r>
        <w:t>er</w:t>
      </w:r>
      <w:r w:rsidRPr="00CA1227">
        <w:t xml:space="preserve"> impact</w:t>
      </w:r>
      <w:r>
        <w:t>s</w:t>
      </w:r>
      <w:r w:rsidRPr="00CA1227">
        <w:t xml:space="preserve"> </w:t>
      </w:r>
      <w:r>
        <w:t xml:space="preserve">than at the annual scale. For instance, </w:t>
      </w:r>
      <w:r w:rsidR="006D1B45">
        <w:t xml:space="preserve">although </w:t>
      </w:r>
      <w:r w:rsidR="00C753AB">
        <w:t xml:space="preserve">the </w:t>
      </w:r>
      <w:r>
        <w:t>CM can explain 50</w:t>
      </w:r>
      <w:r w:rsidR="0003012E">
        <w:t>%</w:t>
      </w:r>
      <w:r>
        <w:t xml:space="preserve">–66% of winter runoff variance </w:t>
      </w:r>
      <w:r>
        <w:lastRenderedPageBreak/>
        <w:t>from WAPA</w:t>
      </w:r>
      <w:r w:rsidR="00906BFB">
        <w:noBreakHyphen/>
      </w:r>
      <w:r>
        <w:t xml:space="preserve">1–5, </w:t>
      </w:r>
      <w:r w:rsidR="00C753AB">
        <w:t xml:space="preserve">the </w:t>
      </w:r>
      <w:r>
        <w:t xml:space="preserve">MetF in WAPA-2, </w:t>
      </w:r>
      <w:r w:rsidR="00C753AB">
        <w:t xml:space="preserve">the </w:t>
      </w:r>
      <w:r>
        <w:t xml:space="preserve">HM in WAPA-1, and a combination of </w:t>
      </w:r>
      <w:r w:rsidR="00C753AB">
        <w:t xml:space="preserve">the </w:t>
      </w:r>
      <w:r>
        <w:t xml:space="preserve">CM and DS in WAPA-4 and WAPA-5 </w:t>
      </w:r>
      <w:r w:rsidR="0003012E">
        <w:t xml:space="preserve">have </w:t>
      </w:r>
      <w:r>
        <w:t xml:space="preserve">a nonnegligible influence. Similarly, </w:t>
      </w:r>
      <w:r w:rsidR="00C753AB">
        <w:t xml:space="preserve">the </w:t>
      </w:r>
      <w:r>
        <w:t xml:space="preserve">HM is found to be the most dominant contributor of spring runoff variance in WAPA-3. The influence of </w:t>
      </w:r>
      <w:r w:rsidR="00C753AB">
        <w:t xml:space="preserve">the </w:t>
      </w:r>
      <w:r>
        <w:t>HM in spring runoff variance in WAPA-1, WAPA-2, WAPA-3</w:t>
      </w:r>
      <w:r w:rsidR="0003012E">
        <w:t>,</w:t>
      </w:r>
      <w:r>
        <w:t xml:space="preserve"> and WAPA-6 also ranges from 25.5</w:t>
      </w:r>
      <w:r w:rsidR="0003012E">
        <w:t xml:space="preserve">% to </w:t>
      </w:r>
      <w:r>
        <w:t xml:space="preserve">42%. </w:t>
      </w:r>
      <w:r w:rsidR="0003012E">
        <w:t xml:space="preserve">Although </w:t>
      </w:r>
      <w:r w:rsidR="00C753AB">
        <w:t xml:space="preserve">the </w:t>
      </w:r>
      <w:r>
        <w:t>CM can primarily contribute to the total variance in summer and fall, other factors also have nonnegligible influences.</w:t>
      </w:r>
    </w:p>
    <w:p w14:paraId="0CE3DB19" w14:textId="5A365D77" w:rsidR="00FE4666" w:rsidRDefault="005A2114" w:rsidP="00050448">
      <w:pPr>
        <w:pStyle w:val="FIGUREposition"/>
      </w:pPr>
      <w:r>
        <w:rPr>
          <w:noProof/>
        </w:rPr>
        <w:drawing>
          <wp:inline distT="0" distB="0" distL="0" distR="0" wp14:anchorId="4521B325" wp14:editId="550A0020">
            <wp:extent cx="5303520" cy="6878506"/>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5">
                      <a:extLst>
                        <a:ext uri="{28A0092B-C50C-407E-A947-70E740481C1C}">
                          <a14:useLocalDpi xmlns:a14="http://schemas.microsoft.com/office/drawing/2010/main" val="0"/>
                        </a:ext>
                      </a:extLst>
                    </a:blip>
                    <a:srcRect t="2728"/>
                    <a:stretch/>
                  </pic:blipFill>
                  <pic:spPr bwMode="auto">
                    <a:xfrm>
                      <a:off x="0" y="0"/>
                      <a:ext cx="5303520" cy="6878506"/>
                    </a:xfrm>
                    <a:prstGeom prst="rect">
                      <a:avLst/>
                    </a:prstGeom>
                    <a:noFill/>
                    <a:ln>
                      <a:noFill/>
                    </a:ln>
                    <a:extLst>
                      <a:ext uri="{53640926-AAD7-44D8-BBD7-CCE9431645EC}">
                        <a14:shadowObscured xmlns:a14="http://schemas.microsoft.com/office/drawing/2010/main"/>
                      </a:ext>
                    </a:extLst>
                  </pic:spPr>
                </pic:pic>
              </a:graphicData>
            </a:graphic>
          </wp:inline>
        </w:drawing>
      </w:r>
    </w:p>
    <w:p w14:paraId="44B2C89A" w14:textId="1837B1A4" w:rsidR="005A2114" w:rsidRDefault="003F6C94" w:rsidP="005A2114">
      <w:pPr>
        <w:pStyle w:val="FigureCaption"/>
        <w:rPr>
          <w:lang w:eastAsia="zh-TW"/>
        </w:rPr>
      </w:pPr>
      <w:bookmarkStart w:id="375" w:name="_Ref72854933"/>
      <w:bookmarkStart w:id="376" w:name="_Toc113380917"/>
      <w:r>
        <w:rPr>
          <w:lang w:eastAsia="zh-TW"/>
        </w:rPr>
        <w:t>Figure</w:t>
      </w:r>
      <w:r w:rsidR="005A2114" w:rsidRPr="00F61532">
        <w:rPr>
          <w:lang w:eastAsia="zh-TW"/>
        </w:rPr>
        <w:t xml:space="preserve"> </w:t>
      </w:r>
      <w:r w:rsidR="005A2114" w:rsidRPr="00F61532">
        <w:rPr>
          <w:lang w:eastAsia="zh-TW"/>
        </w:rPr>
        <w:fldChar w:fldCharType="begin"/>
      </w:r>
      <w:r w:rsidR="005A2114" w:rsidRPr="00F61532">
        <w:rPr>
          <w:lang w:eastAsia="zh-TW"/>
        </w:rPr>
        <w:instrText xml:space="preserve"> STYLEREF 1 \s </w:instrText>
      </w:r>
      <w:r w:rsidR="005A2114" w:rsidRPr="00F61532">
        <w:rPr>
          <w:lang w:eastAsia="zh-TW"/>
        </w:rPr>
        <w:fldChar w:fldCharType="separate"/>
      </w:r>
      <w:r w:rsidR="00EE0BF5">
        <w:rPr>
          <w:noProof/>
          <w:lang w:eastAsia="zh-TW"/>
        </w:rPr>
        <w:t>4</w:t>
      </w:r>
      <w:r w:rsidR="005A2114" w:rsidRPr="00F61532">
        <w:rPr>
          <w:lang w:eastAsia="zh-TW"/>
        </w:rPr>
        <w:fldChar w:fldCharType="end"/>
      </w:r>
      <w:r w:rsidR="005A2114" w:rsidRPr="00F61532">
        <w:rPr>
          <w:lang w:eastAsia="zh-TW"/>
        </w:rPr>
        <w:t>.</w:t>
      </w:r>
      <w:r w:rsidR="005A2114" w:rsidRPr="00F61532">
        <w:rPr>
          <w:lang w:eastAsia="zh-TW"/>
        </w:rPr>
        <w:fldChar w:fldCharType="begin"/>
      </w:r>
      <w:r w:rsidR="005A2114" w:rsidRPr="00F61532">
        <w:rPr>
          <w:lang w:eastAsia="zh-TW"/>
        </w:rPr>
        <w:instrText xml:space="preserve"> SEQ Figure \* ARABIC \s 1 </w:instrText>
      </w:r>
      <w:r w:rsidR="005A2114" w:rsidRPr="00F61532">
        <w:rPr>
          <w:lang w:eastAsia="zh-TW"/>
        </w:rPr>
        <w:fldChar w:fldCharType="separate"/>
      </w:r>
      <w:r w:rsidR="00EE0BF5">
        <w:rPr>
          <w:noProof/>
          <w:lang w:eastAsia="zh-TW"/>
        </w:rPr>
        <w:t>10</w:t>
      </w:r>
      <w:r w:rsidR="005A2114" w:rsidRPr="00F61532">
        <w:rPr>
          <w:lang w:eastAsia="zh-TW"/>
        </w:rPr>
        <w:fldChar w:fldCharType="end"/>
      </w:r>
      <w:bookmarkEnd w:id="375"/>
      <w:r w:rsidR="005A2114" w:rsidRPr="00F61532">
        <w:rPr>
          <w:lang w:eastAsia="zh-TW"/>
        </w:rPr>
        <w:t xml:space="preserve">. </w:t>
      </w:r>
      <w:r w:rsidR="005A2114">
        <w:rPr>
          <w:lang w:eastAsia="zh-TW"/>
        </w:rPr>
        <w:t xml:space="preserve">ANOVA of </w:t>
      </w:r>
      <w:r w:rsidR="005A2114" w:rsidRPr="00F61532">
        <w:rPr>
          <w:lang w:eastAsia="zh-TW"/>
        </w:rPr>
        <w:t xml:space="preserve">annual </w:t>
      </w:r>
      <w:r w:rsidR="005A2114">
        <w:rPr>
          <w:lang w:eastAsia="zh-TW"/>
        </w:rPr>
        <w:t>total runoff</w:t>
      </w:r>
      <w:r w:rsidR="005A2114" w:rsidRPr="00F61532">
        <w:rPr>
          <w:lang w:eastAsia="zh-TW"/>
        </w:rPr>
        <w:t xml:space="preserve"> in </w:t>
      </w:r>
      <w:r w:rsidR="005A2114">
        <w:rPr>
          <w:lang w:eastAsia="zh-TW"/>
        </w:rPr>
        <w:t>the WAPA region.</w:t>
      </w:r>
      <w:bookmarkEnd w:id="376"/>
    </w:p>
    <w:p w14:paraId="73B1819F" w14:textId="228196AB" w:rsidR="00CB569B" w:rsidRPr="00C91C8C" w:rsidRDefault="00CB569B" w:rsidP="00050448">
      <w:pPr>
        <w:pStyle w:val="BodyText"/>
        <w:rPr>
          <w:lang w:eastAsia="zh-TW"/>
        </w:rPr>
      </w:pPr>
      <w:bookmarkStart w:id="377" w:name="_Hlk76012378"/>
      <w:r>
        <w:lastRenderedPageBreak/>
        <w:t xml:space="preserve">The reservoir </w:t>
      </w:r>
      <w:r w:rsidRPr="002E2E19">
        <w:t>evaporation</w:t>
      </w:r>
      <w:r>
        <w:t xml:space="preserve"> loss</w:t>
      </w:r>
      <w:r w:rsidRPr="002E2E19">
        <w:t xml:space="preserve"> </w:t>
      </w:r>
      <w:r>
        <w:t xml:space="preserve">from federal hydropower reservoirs </w:t>
      </w:r>
      <w:r w:rsidRPr="002E2E19">
        <w:t xml:space="preserve">in the </w:t>
      </w:r>
      <w:r>
        <w:t>WAPA</w:t>
      </w:r>
      <w:r w:rsidRPr="002E2E19">
        <w:t xml:space="preserve"> region </w:t>
      </w:r>
      <w:r>
        <w:t>simulated by LEM is shown</w:t>
      </w:r>
      <w:r w:rsidRPr="002E2E19">
        <w:t xml:space="preserve"> in </w:t>
      </w:r>
      <w:r>
        <w:fldChar w:fldCharType="begin"/>
      </w:r>
      <w:r>
        <w:instrText xml:space="preserve"> REF _Ref72854973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11</w:t>
      </w:r>
      <w:r>
        <w:fldChar w:fldCharType="end"/>
      </w:r>
      <w:r>
        <w:t>.</w:t>
      </w:r>
      <w:r w:rsidRPr="002E2E19">
        <w:t xml:space="preserve"> </w:t>
      </w:r>
      <w:r>
        <w:t xml:space="preserve">The </w:t>
      </w:r>
      <w:r>
        <w:rPr>
          <w:lang w:eastAsia="zh-CN"/>
        </w:rPr>
        <w:t>blue</w:t>
      </w:r>
      <w:r w:rsidRPr="002E2E19">
        <w:t xml:space="preserve"> </w:t>
      </w:r>
      <w:r>
        <w:t xml:space="preserve">and green </w:t>
      </w:r>
      <w:r w:rsidRPr="002E2E19">
        <w:t xml:space="preserve">lines </w:t>
      </w:r>
      <w:r>
        <w:t xml:space="preserve">show annual reservoir </w:t>
      </w:r>
      <w:r w:rsidRPr="002E2E19">
        <w:t xml:space="preserve">evaporation </w:t>
      </w:r>
      <w:r>
        <w:t>loss (in units of million acre-feet) from 24 projections</w:t>
      </w:r>
      <w:r w:rsidDel="00B72B69">
        <w:t xml:space="preserve"> </w:t>
      </w:r>
      <w:r>
        <w:t>that were either bias-corrected or trained by Daymet and 24 projections</w:t>
      </w:r>
      <w:r w:rsidDel="00B72B69">
        <w:t xml:space="preserve"> </w:t>
      </w:r>
      <w:r>
        <w:t>that were either bias-corrected or trained by Livneh.</w:t>
      </w:r>
      <w:r w:rsidRPr="002E2E19">
        <w:t xml:space="preserve"> </w:t>
      </w:r>
      <w:r>
        <w:t>The dark blue</w:t>
      </w:r>
      <w:r w:rsidRPr="002E2E19">
        <w:t xml:space="preserve"> </w:t>
      </w:r>
      <w:r>
        <w:t xml:space="preserve">and dark green </w:t>
      </w:r>
      <w:r w:rsidRPr="002E2E19">
        <w:t>line</w:t>
      </w:r>
      <w:r>
        <w:t>s</w:t>
      </w:r>
      <w:r w:rsidRPr="002E2E19">
        <w:t xml:space="preserve"> represen</w:t>
      </w:r>
      <w:r>
        <w:t>t</w:t>
      </w:r>
      <w:r w:rsidRPr="002E2E19">
        <w:t xml:space="preserve"> </w:t>
      </w:r>
      <w:r>
        <w:rPr>
          <w:rFonts w:hint="eastAsia"/>
          <w:lang w:eastAsia="zh-CN"/>
        </w:rPr>
        <w:t>the</w:t>
      </w:r>
      <w:r>
        <w:rPr>
          <w:lang w:eastAsia="zh-CN"/>
        </w:rPr>
        <w:t xml:space="preserve"> </w:t>
      </w:r>
      <w:r>
        <w:t xml:space="preserve">control simulations driven by 1980–2019 Daymet and 1980–2013 Livneh, respectively. </w:t>
      </w:r>
      <w:r>
        <w:rPr>
          <w:rFonts w:hint="eastAsia"/>
          <w:lang w:eastAsia="zh-CN"/>
        </w:rPr>
        <w:t>The</w:t>
      </w:r>
      <w:r>
        <w:rPr>
          <w:lang w:eastAsia="zh-CN"/>
        </w:rPr>
        <w:t xml:space="preserve"> right panel shows the probability density distributions of annual evaporation loss in both baseline (1980–2019) and future (2020–2059) periods.</w:t>
      </w:r>
      <w:bookmarkEnd w:id="377"/>
    </w:p>
    <w:p w14:paraId="40E1CCDE" w14:textId="77777777" w:rsidR="005A4956" w:rsidRDefault="005A4956" w:rsidP="00050448">
      <w:pPr>
        <w:pStyle w:val="FIGUREposition"/>
      </w:pPr>
      <w:r>
        <w:rPr>
          <w:noProof/>
        </w:rPr>
        <w:drawing>
          <wp:inline distT="0" distB="0" distL="0" distR="0" wp14:anchorId="2B312AFB" wp14:editId="6DEB5B80">
            <wp:extent cx="5486390" cy="1828797"/>
            <wp:effectExtent l="0" t="0" r="635" b="63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noChangeArrowheads="1"/>
                    </pic:cNvPicPr>
                  </pic:nvPicPr>
                  <pic:blipFill>
                    <a:blip r:embed="rId156"/>
                    <a:stretch>
                      <a:fillRect/>
                    </a:stretch>
                  </pic:blipFill>
                  <pic:spPr bwMode="auto">
                    <a:xfrm>
                      <a:off x="0" y="0"/>
                      <a:ext cx="5486390" cy="1828797"/>
                    </a:xfrm>
                    <a:prstGeom prst="rect">
                      <a:avLst/>
                    </a:prstGeom>
                    <a:noFill/>
                    <a:ln>
                      <a:noFill/>
                    </a:ln>
                  </pic:spPr>
                </pic:pic>
              </a:graphicData>
            </a:graphic>
          </wp:inline>
        </w:drawing>
      </w:r>
    </w:p>
    <w:p w14:paraId="317D3398" w14:textId="112BA2CB" w:rsidR="005A4956" w:rsidRDefault="005A4956" w:rsidP="005A4956">
      <w:pPr>
        <w:pStyle w:val="FigureCaption"/>
        <w:rPr>
          <w:b w:val="0"/>
        </w:rPr>
      </w:pPr>
      <w:bookmarkStart w:id="378" w:name="_Ref72854973"/>
      <w:bookmarkStart w:id="379" w:name="_Toc113380918"/>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11</w:t>
      </w:r>
      <w:r w:rsidRPr="00F61532">
        <w:rPr>
          <w:lang w:eastAsia="zh-TW"/>
        </w:rPr>
        <w:fldChar w:fldCharType="end"/>
      </w:r>
      <w:bookmarkEnd w:id="378"/>
      <w:r w:rsidRPr="00F61532">
        <w:rPr>
          <w:lang w:eastAsia="zh-TW"/>
        </w:rPr>
        <w:t xml:space="preserve">. Projected annual </w:t>
      </w:r>
      <w:r>
        <w:rPr>
          <w:lang w:eastAsia="zh-TW"/>
        </w:rPr>
        <w:t xml:space="preserve">total reservoir evaporation </w:t>
      </w:r>
      <w:r w:rsidRPr="00F61532">
        <w:rPr>
          <w:lang w:eastAsia="zh-TW"/>
        </w:rPr>
        <w:t xml:space="preserve">in </w:t>
      </w:r>
      <w:r>
        <w:rPr>
          <w:lang w:eastAsia="zh-TW"/>
        </w:rPr>
        <w:t>the WAPA region.</w:t>
      </w:r>
      <w:bookmarkEnd w:id="379"/>
    </w:p>
    <w:p w14:paraId="497773A3" w14:textId="1EB29532" w:rsidR="00AE2C2D" w:rsidRDefault="00AE2C2D" w:rsidP="00050448">
      <w:pPr>
        <w:pStyle w:val="BodyText"/>
      </w:pPr>
      <w:r w:rsidRPr="00FB4622">
        <w:t xml:space="preserve">The high-value group contains </w:t>
      </w:r>
      <w:r>
        <w:t xml:space="preserve">the </w:t>
      </w:r>
      <w:r w:rsidRPr="00FB4622">
        <w:t xml:space="preserve">24 members </w:t>
      </w:r>
      <w:r>
        <w:t xml:space="preserve">that are associated with </w:t>
      </w:r>
      <w:r w:rsidRPr="00FB4622">
        <w:t>Daymet</w:t>
      </w:r>
      <w:r>
        <w:t>, and t</w:t>
      </w:r>
      <w:r w:rsidRPr="00FB4622">
        <w:t xml:space="preserve">he low-value group </w:t>
      </w:r>
      <w:r>
        <w:t>contains</w:t>
      </w:r>
      <w:r w:rsidRPr="00FB4622">
        <w:t xml:space="preserve"> the 24 members </w:t>
      </w:r>
      <w:r>
        <w:t xml:space="preserve">that are associated with </w:t>
      </w:r>
      <w:r w:rsidRPr="00FB4622">
        <w:t xml:space="preserve">Livneh. </w:t>
      </w:r>
      <w:r w:rsidRPr="0097423D">
        <w:t>The significant difference in wind speed between the</w:t>
      </w:r>
      <w:r>
        <w:t>se</w:t>
      </w:r>
      <w:r w:rsidRPr="0097423D">
        <w:t xml:space="preserve"> two groups is the main </w:t>
      </w:r>
      <w:r>
        <w:t xml:space="preserve">cause of the </w:t>
      </w:r>
      <w:r w:rsidRPr="0097423D">
        <w:t>differen</w:t>
      </w:r>
      <w:r>
        <w:t>t</w:t>
      </w:r>
      <w:r w:rsidRPr="0097423D">
        <w:t xml:space="preserve"> evaporation rate</w:t>
      </w:r>
      <w:r>
        <w:t>s</w:t>
      </w:r>
      <w:r w:rsidRPr="0097423D">
        <w:t xml:space="preserve"> </w:t>
      </w:r>
      <w:r>
        <w:t xml:space="preserve">(Section </w:t>
      </w:r>
      <w:r>
        <w:fldChar w:fldCharType="begin"/>
      </w:r>
      <w:r>
        <w:instrText xml:space="preserve"> REF _Ref81829213 \n \h </w:instrText>
      </w:r>
      <w:r>
        <w:fldChar w:fldCharType="separate"/>
      </w:r>
      <w:r w:rsidR="00EE0BF5">
        <w:t>3.2.2</w:t>
      </w:r>
      <w:r>
        <w:fldChar w:fldCharType="end"/>
      </w:r>
      <w:r>
        <w:t>)</w:t>
      </w:r>
      <w:r w:rsidRPr="00FB4622">
        <w:t xml:space="preserve">. </w:t>
      </w:r>
      <w:r>
        <w:t xml:space="preserve">Comparisons with the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t xml:space="preserve"> wind speed measurements (not shown) suggest that </w:t>
      </w:r>
      <w:r w:rsidRPr="00FB4622">
        <w:t xml:space="preserve">the </w:t>
      </w:r>
      <w:r>
        <w:t xml:space="preserve">NCEP1 wind speed used in the </w:t>
      </w:r>
      <w:r w:rsidRPr="00FB4622">
        <w:t>Livneh</w:t>
      </w:r>
      <w:r w:rsidR="005606E5">
        <w:t xml:space="preserve"> data set </w:t>
      </w:r>
      <w:r>
        <w:t xml:space="preserve">tends to </w:t>
      </w:r>
      <w:r w:rsidRPr="00FB4622">
        <w:t xml:space="preserve">underestimate </w:t>
      </w:r>
      <w:r>
        <w:t>more considerably (Moreo et al., 2015)</w:t>
      </w:r>
      <w:r w:rsidRPr="00FB4622">
        <w:t>.</w:t>
      </w:r>
      <w:r>
        <w:t xml:space="preserve"> T</w:t>
      </w:r>
      <w:r w:rsidRPr="00FB4622">
        <w:t xml:space="preserve">he reservoir </w:t>
      </w:r>
      <w:r>
        <w:t xml:space="preserve">evaporation loss also depends on the </w:t>
      </w:r>
      <w:r w:rsidRPr="00FB4622">
        <w:t>projected reservoir area</w:t>
      </w:r>
      <w:r>
        <w:t>,</w:t>
      </w:r>
      <w:r w:rsidRPr="00FB4622">
        <w:t xml:space="preserve"> </w:t>
      </w:r>
      <w:r>
        <w:t>which is inferred from runoff simulated by either VIC or PRMS. T</w:t>
      </w:r>
      <w:r w:rsidRPr="00FB4622">
        <w:t>he</w:t>
      </w:r>
      <w:r>
        <w:t xml:space="preserve"> projected runoff associated with Daymet or Livneh is not significantly different because</w:t>
      </w:r>
      <w:r w:rsidRPr="00F8632C">
        <w:t xml:space="preserve"> the </w:t>
      </w:r>
      <w:r>
        <w:t>HMs were calibrated separately by both MetFs</w:t>
      </w:r>
      <w:r w:rsidRPr="00B70467">
        <w:t xml:space="preserve"> against the same USGS WaterWatch</w:t>
      </w:r>
      <w:r w:rsidR="005606E5">
        <w:t xml:space="preserve"> data set </w:t>
      </w:r>
      <w:r w:rsidRPr="00B70467">
        <w:t>(Section</w:t>
      </w:r>
      <w:r>
        <w:t xml:space="preserve"> </w:t>
      </w:r>
      <w:r>
        <w:fldChar w:fldCharType="begin"/>
      </w:r>
      <w:r>
        <w:instrText xml:space="preserve"> REF _Ref81816912 \n \h </w:instrText>
      </w:r>
      <w:r>
        <w:fldChar w:fldCharType="separate"/>
      </w:r>
      <w:r w:rsidR="00EE0BF5">
        <w:t>2.5.3</w:t>
      </w:r>
      <w:r>
        <w:fldChar w:fldCharType="end"/>
      </w:r>
      <w:r>
        <w:t>) to minimize the impacts of different meteorological forcings on hydrologic projections</w:t>
      </w:r>
      <w:r w:rsidRPr="00F8632C">
        <w:t>.</w:t>
      </w:r>
      <w:r w:rsidRPr="00FB4622">
        <w:t xml:space="preserve"> Therefore,</w:t>
      </w:r>
      <w:r>
        <w:t xml:space="preserve"> </w:t>
      </w:r>
      <w:r w:rsidRPr="00FB4622">
        <w:t xml:space="preserve">the </w:t>
      </w:r>
      <w:r>
        <w:t xml:space="preserve">noticeable systematic </w:t>
      </w:r>
      <w:r w:rsidRPr="00FB4622">
        <w:t>difference</w:t>
      </w:r>
      <w:r>
        <w:t xml:space="preserve"> of reservoir evaporation loss</w:t>
      </w:r>
      <w:r w:rsidRPr="00FB4622">
        <w:t xml:space="preserve"> </w:t>
      </w:r>
      <w:r>
        <w:t xml:space="preserve">in the WAPA region </w:t>
      </w:r>
      <w:r w:rsidRPr="00FB4622">
        <w:t xml:space="preserve">is </w:t>
      </w:r>
      <w:r>
        <w:t xml:space="preserve">likely </w:t>
      </w:r>
      <w:r w:rsidRPr="00FB4622">
        <w:t>mainly caused by the projected evaporation rate</w:t>
      </w:r>
      <w:r>
        <w:t xml:space="preserve"> driven by different meteorological observations</w:t>
      </w:r>
      <w:r w:rsidRPr="0097423D">
        <w:t>.</w:t>
      </w:r>
    </w:p>
    <w:p w14:paraId="7F69CF15" w14:textId="65EC537C" w:rsidR="00FE71CA" w:rsidRDefault="00A975F3" w:rsidP="00FE71CA">
      <w:pPr>
        <w:pStyle w:val="BodyText"/>
      </w:pPr>
      <w:r w:rsidRPr="00562C1D">
        <w:rPr>
          <w:lang w:eastAsia="zh-CN"/>
        </w:rPr>
        <w:t xml:space="preserve">Despite the systematic </w:t>
      </w:r>
      <w:r>
        <w:rPr>
          <w:lang w:eastAsia="zh-CN"/>
        </w:rPr>
        <w:t>differences</w:t>
      </w:r>
      <w:r w:rsidRPr="00562C1D">
        <w:rPr>
          <w:lang w:eastAsia="zh-CN"/>
        </w:rPr>
        <w:t xml:space="preserve"> between the two groups, the</w:t>
      </w:r>
      <w:r>
        <w:rPr>
          <w:lang w:eastAsia="zh-CN"/>
        </w:rPr>
        <w:t>ir estimated</w:t>
      </w:r>
      <w:r w:rsidRPr="00562C1D">
        <w:rPr>
          <w:lang w:eastAsia="zh-CN"/>
        </w:rPr>
        <w:t xml:space="preserve"> reservoir evaporation changes show a clear </w:t>
      </w:r>
      <w:r>
        <w:rPr>
          <w:lang w:eastAsia="zh-CN"/>
        </w:rPr>
        <w:t xml:space="preserve">and consistent </w:t>
      </w:r>
      <w:r w:rsidRPr="00562C1D">
        <w:rPr>
          <w:lang w:eastAsia="zh-CN"/>
        </w:rPr>
        <w:t>increasing trend (</w:t>
      </w:r>
      <w:r>
        <w:rPr>
          <w:lang w:eastAsia="zh-CN"/>
        </w:rPr>
        <w:t xml:space="preserve">as indicated </w:t>
      </w:r>
      <w:r w:rsidRPr="00562C1D">
        <w:rPr>
          <w:lang w:eastAsia="zh-CN"/>
        </w:rPr>
        <w:t xml:space="preserve">by the two-sample Kolmogorov-Smirnov test performed at </w:t>
      </w:r>
      <w:r>
        <w:rPr>
          <w:lang w:eastAsia="zh-CN"/>
        </w:rPr>
        <w:t xml:space="preserve">the </w:t>
      </w:r>
      <w:r w:rsidRPr="00562C1D">
        <w:rPr>
          <w:lang w:eastAsia="zh-CN"/>
        </w:rPr>
        <w:t>5% significance</w:t>
      </w:r>
      <w:r>
        <w:rPr>
          <w:lang w:eastAsia="zh-CN"/>
        </w:rPr>
        <w:t xml:space="preserve"> level</w:t>
      </w:r>
      <w:r w:rsidRPr="00562C1D">
        <w:rPr>
          <w:lang w:eastAsia="zh-CN"/>
        </w:rPr>
        <w:t>). The Livneh</w:t>
      </w:r>
      <w:r>
        <w:rPr>
          <w:lang w:eastAsia="zh-CN"/>
        </w:rPr>
        <w:t xml:space="preserve">-based </w:t>
      </w:r>
      <w:r w:rsidRPr="00562C1D">
        <w:rPr>
          <w:lang w:eastAsia="zh-CN"/>
        </w:rPr>
        <w:t xml:space="preserve">future reservoir evaporation projections increase significantly from </w:t>
      </w:r>
      <w:r>
        <w:rPr>
          <w:lang w:eastAsia="zh-CN"/>
        </w:rPr>
        <w:t>about</w:t>
      </w:r>
      <w:r w:rsidRPr="00562C1D">
        <w:rPr>
          <w:lang w:eastAsia="zh-CN"/>
        </w:rPr>
        <w:t xml:space="preserve"> 5 MAF in 1980 to 5.5 MAF in 2059</w:t>
      </w:r>
      <w:r>
        <w:rPr>
          <w:lang w:eastAsia="zh-CN"/>
        </w:rPr>
        <w:t>,</w:t>
      </w:r>
      <w:r w:rsidRPr="00562C1D">
        <w:rPr>
          <w:lang w:eastAsia="zh-CN"/>
        </w:rPr>
        <w:t xml:space="preserve"> </w:t>
      </w:r>
      <w:r>
        <w:rPr>
          <w:lang w:eastAsia="zh-CN"/>
        </w:rPr>
        <w:t>w</w:t>
      </w:r>
      <w:r w:rsidRPr="00562C1D">
        <w:rPr>
          <w:lang w:eastAsia="zh-CN"/>
        </w:rPr>
        <w:t xml:space="preserve">ith </w:t>
      </w:r>
      <w:r>
        <w:rPr>
          <w:lang w:eastAsia="zh-CN"/>
        </w:rPr>
        <w:t xml:space="preserve">a </w:t>
      </w:r>
      <w:r w:rsidRPr="00562C1D">
        <w:rPr>
          <w:lang w:eastAsia="zh-CN"/>
        </w:rPr>
        <w:t xml:space="preserve">nearly 10% </w:t>
      </w:r>
      <w:r>
        <w:rPr>
          <w:lang w:eastAsia="zh-CN"/>
        </w:rPr>
        <w:t xml:space="preserve">increase </w:t>
      </w:r>
      <w:r w:rsidRPr="00562C1D">
        <w:rPr>
          <w:lang w:eastAsia="zh-CN"/>
        </w:rPr>
        <w:t>over 80 years</w:t>
      </w:r>
      <w:r>
        <w:rPr>
          <w:lang w:eastAsia="zh-CN"/>
        </w:rPr>
        <w:t>.</w:t>
      </w:r>
      <w:r w:rsidRPr="00562C1D">
        <w:rPr>
          <w:lang w:eastAsia="zh-CN"/>
        </w:rPr>
        <w:t xml:space="preserve"> Daymet</w:t>
      </w:r>
      <w:r>
        <w:rPr>
          <w:lang w:eastAsia="zh-CN"/>
        </w:rPr>
        <w:t>-based</w:t>
      </w:r>
      <w:r w:rsidRPr="00562C1D">
        <w:rPr>
          <w:lang w:eastAsia="zh-CN"/>
        </w:rPr>
        <w:t xml:space="preserve"> projections also increase </w:t>
      </w:r>
      <w:r>
        <w:rPr>
          <w:lang w:eastAsia="zh-CN"/>
        </w:rPr>
        <w:t xml:space="preserve">similarly </w:t>
      </w:r>
      <w:r w:rsidRPr="00562C1D">
        <w:rPr>
          <w:lang w:eastAsia="zh-CN"/>
        </w:rPr>
        <w:t>from 5.5 MAF in 1980 to 6 MAF</w:t>
      </w:r>
      <w:r w:rsidRPr="0064585B">
        <w:rPr>
          <w:lang w:eastAsia="zh-CN"/>
        </w:rPr>
        <w:t xml:space="preserve"> </w:t>
      </w:r>
      <w:r w:rsidRPr="00562C1D">
        <w:rPr>
          <w:lang w:eastAsia="zh-CN"/>
        </w:rPr>
        <w:t xml:space="preserve">in 2059. </w:t>
      </w:r>
      <w:r>
        <w:rPr>
          <w:lang w:eastAsia="zh-CN"/>
        </w:rPr>
        <w:t>Overall, t</w:t>
      </w:r>
      <w:r w:rsidRPr="00562C1D">
        <w:rPr>
          <w:lang w:eastAsia="zh-CN"/>
        </w:rPr>
        <w:t>he</w:t>
      </w:r>
      <w:r>
        <w:rPr>
          <w:lang w:eastAsia="zh-CN"/>
        </w:rPr>
        <w:t xml:space="preserve"> reservoir evaporation loss in the WAPA region is the largest</w:t>
      </w:r>
      <w:r w:rsidRPr="00562C1D">
        <w:rPr>
          <w:lang w:eastAsia="zh-CN"/>
        </w:rPr>
        <w:t xml:space="preserve"> across all PMA</w:t>
      </w:r>
      <w:r>
        <w:rPr>
          <w:lang w:eastAsia="zh-CN"/>
        </w:rPr>
        <w:t xml:space="preserve"> region</w:t>
      </w:r>
      <w:r w:rsidRPr="00562C1D">
        <w:rPr>
          <w:lang w:eastAsia="zh-CN"/>
        </w:rPr>
        <w:t xml:space="preserve">s. </w:t>
      </w:r>
      <w:r>
        <w:rPr>
          <w:lang w:eastAsia="zh-CN"/>
        </w:rPr>
        <w:t>In this region,</w:t>
      </w:r>
      <w:r w:rsidRPr="00145E9E">
        <w:rPr>
          <w:lang w:eastAsia="zh-CN"/>
        </w:rPr>
        <w:t xml:space="preserve"> about 19% </w:t>
      </w:r>
      <w:r>
        <w:rPr>
          <w:lang w:eastAsia="zh-CN"/>
        </w:rPr>
        <w:t xml:space="preserve">of the increased evaporation loss </w:t>
      </w:r>
      <w:r w:rsidRPr="00145E9E">
        <w:rPr>
          <w:lang w:eastAsia="zh-CN"/>
        </w:rPr>
        <w:t>is attributed to the higher evaporation rate</w:t>
      </w:r>
      <w:r>
        <w:rPr>
          <w:lang w:eastAsia="zh-CN"/>
        </w:rPr>
        <w:t>,</w:t>
      </w:r>
      <w:r w:rsidRPr="00145E9E">
        <w:rPr>
          <w:lang w:eastAsia="zh-CN"/>
        </w:rPr>
        <w:t xml:space="preserve"> and the rest </w:t>
      </w:r>
      <w:r>
        <w:rPr>
          <w:lang w:eastAsia="zh-CN"/>
        </w:rPr>
        <w:t>(</w:t>
      </w:r>
      <w:r w:rsidRPr="00BE5553">
        <w:rPr>
          <w:lang w:eastAsia="zh-CN"/>
        </w:rPr>
        <w:t>8</w:t>
      </w:r>
      <w:r w:rsidRPr="00145E9E">
        <w:rPr>
          <w:lang w:eastAsia="zh-CN"/>
        </w:rPr>
        <w:t>1%</w:t>
      </w:r>
      <w:r>
        <w:rPr>
          <w:lang w:eastAsia="zh-CN"/>
        </w:rPr>
        <w:t>)</w:t>
      </w:r>
      <w:r w:rsidRPr="00145E9E">
        <w:rPr>
          <w:lang w:eastAsia="zh-CN"/>
        </w:rPr>
        <w:t xml:space="preserve"> is from the increasing reservoir area </w:t>
      </w:r>
      <w:r>
        <w:rPr>
          <w:lang w:eastAsia="zh-CN"/>
        </w:rPr>
        <w:t>caused</w:t>
      </w:r>
      <w:r w:rsidRPr="00145E9E">
        <w:rPr>
          <w:lang w:eastAsia="zh-CN"/>
        </w:rPr>
        <w:t xml:space="preserve"> by </w:t>
      </w:r>
      <w:r>
        <w:rPr>
          <w:lang w:eastAsia="zh-CN"/>
        </w:rPr>
        <w:t>greater</w:t>
      </w:r>
      <w:r w:rsidRPr="00145E9E">
        <w:rPr>
          <w:lang w:eastAsia="zh-CN"/>
        </w:rPr>
        <w:t xml:space="preserve"> runoff.</w:t>
      </w:r>
    </w:p>
    <w:p w14:paraId="6C01D10F" w14:textId="603FBE67" w:rsidR="00FE71CA" w:rsidRDefault="006D5CDC" w:rsidP="00FE71CA">
      <w:pPr>
        <w:pStyle w:val="BodyText"/>
        <w:rPr>
          <w:lang w:eastAsia="zh-CN"/>
        </w:rPr>
      </w:pPr>
      <w:r w:rsidRPr="003E65AF">
        <w:t xml:space="preserve">The annual and seasonal changes of </w:t>
      </w:r>
      <w:r w:rsidR="00A87205">
        <w:t xml:space="preserve">monthly </w:t>
      </w:r>
      <w:r w:rsidRPr="003E65AF">
        <w:t xml:space="preserve">reservoir evaporation </w:t>
      </w:r>
      <w:r w:rsidR="001F6BF0">
        <w:t xml:space="preserve">(in units of </w:t>
      </w:r>
      <w:r w:rsidR="001B7B04">
        <w:t xml:space="preserve">thousand acre-feet per </w:t>
      </w:r>
      <w:r w:rsidR="00A87205">
        <w:t>month</w:t>
      </w:r>
      <w:r w:rsidR="001F6BF0">
        <w:t xml:space="preserve">) </w:t>
      </w:r>
      <w:r w:rsidRPr="003E65AF">
        <w:t xml:space="preserve">from federal hydropower reservoirs in the </w:t>
      </w:r>
      <w:r>
        <w:t>WA</w:t>
      </w:r>
      <w:r w:rsidRPr="003E65AF">
        <w:t xml:space="preserve">PA region </w:t>
      </w:r>
      <w:r>
        <w:t>are depicted</w:t>
      </w:r>
      <w:r w:rsidRPr="003E65AF">
        <w:t xml:space="preserve"> in </w:t>
      </w:r>
      <w:r>
        <w:fldChar w:fldCharType="begin"/>
      </w:r>
      <w:r>
        <w:instrText xml:space="preserve"> REF _Ref72855012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12</w:t>
      </w:r>
      <w:r>
        <w:fldChar w:fldCharType="end"/>
      </w:r>
      <w:r>
        <w:t xml:space="preserve">. The trend of increasing reservoir evaporation is persistent in both the near-term (2020–2039) and mid-term (2040–2059) future </w:t>
      </w:r>
      <w:r w:rsidR="001F6BF0">
        <w:t xml:space="preserve">periods </w:t>
      </w:r>
      <w:r w:rsidR="001F6BF0" w:rsidRPr="00AD27A0">
        <w:t>with respect to the baseline period (1980</w:t>
      </w:r>
      <w:r w:rsidR="001F6BF0">
        <w:t>–</w:t>
      </w:r>
      <w:r w:rsidR="001F6BF0" w:rsidRPr="00AD27A0">
        <w:t>2019)</w:t>
      </w:r>
      <w:r>
        <w:t xml:space="preserve">. The annual ensemble median evaporation loss is projected to increase by about </w:t>
      </w:r>
      <w:r w:rsidR="00A87205">
        <w:t>23</w:t>
      </w:r>
      <w:r>
        <w:t xml:space="preserve"> KAF</w:t>
      </w:r>
      <w:r w:rsidR="00A87205">
        <w:t>/month</w:t>
      </w:r>
      <w:r>
        <w:t xml:space="preserve"> </w:t>
      </w:r>
      <w:r>
        <w:rPr>
          <w:rFonts w:hint="eastAsia"/>
          <w:lang w:eastAsia="zh-CN"/>
        </w:rPr>
        <w:t>during</w:t>
      </w:r>
      <w:r>
        <w:rPr>
          <w:lang w:eastAsia="zh-CN"/>
        </w:rPr>
        <w:t xml:space="preserve"> </w:t>
      </w:r>
      <w:r>
        <w:t xml:space="preserve">the near-term and </w:t>
      </w:r>
      <w:r w:rsidR="00A87205">
        <w:t>42</w:t>
      </w:r>
      <w:r w:rsidRPr="005B5058">
        <w:t xml:space="preserve"> KAF</w:t>
      </w:r>
      <w:r w:rsidR="00A87205">
        <w:t>/month</w:t>
      </w:r>
      <w:r w:rsidRPr="005B5058">
        <w:t xml:space="preserve"> in the mid-term</w:t>
      </w:r>
      <w:r w:rsidR="001F6BF0">
        <w:t xml:space="preserve"> future periods</w:t>
      </w:r>
      <w:r w:rsidRPr="005B5058">
        <w:t xml:space="preserve">. In spring, </w:t>
      </w:r>
      <w:r>
        <w:t>there is little change with the</w:t>
      </w:r>
      <w:r w:rsidRPr="005B5058">
        <w:t xml:space="preserve"> reservoir evaporation </w:t>
      </w:r>
      <w:r>
        <w:t>loss in both near-term and mid-term future</w:t>
      </w:r>
      <w:r w:rsidR="001F6BF0">
        <w:t xml:space="preserve"> periods</w:t>
      </w:r>
      <w:r w:rsidRPr="005B5058">
        <w:t xml:space="preserve">. The reservoir evaporation </w:t>
      </w:r>
      <w:r w:rsidR="001F6BF0">
        <w:t xml:space="preserve">loss </w:t>
      </w:r>
      <w:r w:rsidRPr="005B5058">
        <w:t xml:space="preserve">increases more significantly in summer, winter, and fall. </w:t>
      </w:r>
      <w:r>
        <w:t xml:space="preserve">Summer evaporation loss is expected to increase by </w:t>
      </w:r>
      <w:r w:rsidR="00A87205">
        <w:t>30</w:t>
      </w:r>
      <w:r>
        <w:t xml:space="preserve"> KAF</w:t>
      </w:r>
      <w:r w:rsidR="00A87205">
        <w:t>/month</w:t>
      </w:r>
      <w:r>
        <w:t xml:space="preserve"> in the near-</w:t>
      </w:r>
      <w:r>
        <w:lastRenderedPageBreak/>
        <w:t xml:space="preserve">term and </w:t>
      </w:r>
      <w:r w:rsidR="00A87205">
        <w:t>32</w:t>
      </w:r>
      <w:r>
        <w:t xml:space="preserve"> KAF</w:t>
      </w:r>
      <w:r w:rsidR="00A87205">
        <w:t>/month</w:t>
      </w:r>
      <w:r>
        <w:t xml:space="preserve"> in the mid-term future periods. Winter evaporation loss is expected to increase by </w:t>
      </w:r>
      <w:r w:rsidR="00A87205">
        <w:t>33</w:t>
      </w:r>
      <w:r>
        <w:t xml:space="preserve"> KAF</w:t>
      </w:r>
      <w:r w:rsidR="00A87205">
        <w:t>/month</w:t>
      </w:r>
      <w:r>
        <w:t xml:space="preserve"> in the near-term and </w:t>
      </w:r>
      <w:r w:rsidR="00A87205">
        <w:t>60</w:t>
      </w:r>
      <w:r>
        <w:t xml:space="preserve"> KAF</w:t>
      </w:r>
      <w:r w:rsidR="00A87205">
        <w:t>/month</w:t>
      </w:r>
      <w:r>
        <w:t xml:space="preserve"> in the mid-term</w:t>
      </w:r>
      <w:r w:rsidR="00C10542">
        <w:t xml:space="preserve"> future periods</w:t>
      </w:r>
      <w:r>
        <w:t xml:space="preserve">. </w:t>
      </w:r>
      <w:r w:rsidR="001F6BF0">
        <w:t>T</w:t>
      </w:r>
      <w:r w:rsidRPr="005B5058">
        <w:t>he projected increase is dominant</w:t>
      </w:r>
      <w:r w:rsidR="001F6BF0">
        <w:t xml:space="preserve"> in fall</w:t>
      </w:r>
      <w:r>
        <w:t>—about</w:t>
      </w:r>
      <w:r w:rsidRPr="005B5058">
        <w:t xml:space="preserve"> </w:t>
      </w:r>
      <w:r w:rsidR="00A87205">
        <w:t>43</w:t>
      </w:r>
      <w:r w:rsidRPr="005B5058">
        <w:t xml:space="preserve"> KAF</w:t>
      </w:r>
      <w:r w:rsidR="00FD787D">
        <w:t>/month</w:t>
      </w:r>
      <w:r w:rsidRPr="005B5058">
        <w:t xml:space="preserve"> in the near-term and </w:t>
      </w:r>
      <w:r w:rsidR="00FD787D">
        <w:t>77</w:t>
      </w:r>
      <w:r w:rsidRPr="005B5058">
        <w:t xml:space="preserve"> KAF</w:t>
      </w:r>
      <w:r w:rsidR="00FD787D">
        <w:t>/month</w:t>
      </w:r>
      <w:r w:rsidRPr="005B5058">
        <w:t xml:space="preserve"> in the mid-term</w:t>
      </w:r>
      <w:r w:rsidR="001F6BF0">
        <w:t xml:space="preserve"> future periods</w:t>
      </w:r>
      <w:r w:rsidRPr="005B5058">
        <w:t>. The variance of evaporation change</w:t>
      </w:r>
      <w:r>
        <w:t>s</w:t>
      </w:r>
      <w:r w:rsidRPr="005B5058">
        <w:t xml:space="preserve"> in fall is primarily </w:t>
      </w:r>
      <w:r>
        <w:t>attributed</w:t>
      </w:r>
      <w:r w:rsidRPr="005B5058">
        <w:t xml:space="preserve"> to the </w:t>
      </w:r>
      <w:r>
        <w:t xml:space="preserve">large variance of the </w:t>
      </w:r>
      <w:r w:rsidRPr="005B5058">
        <w:t>projected area</w:t>
      </w:r>
      <w:r>
        <w:t xml:space="preserve"> from different </w:t>
      </w:r>
      <w:r w:rsidR="001F6BF0">
        <w:t>ensemble members</w:t>
      </w:r>
      <w:r w:rsidR="00FE71CA" w:rsidRPr="005B5058">
        <w:t>.</w:t>
      </w:r>
    </w:p>
    <w:p w14:paraId="0C618D8B" w14:textId="77777777" w:rsidR="00385E49" w:rsidRDefault="00385E49" w:rsidP="00050448">
      <w:pPr>
        <w:pStyle w:val="FIGUREposition"/>
      </w:pPr>
      <w:r>
        <w:rPr>
          <w:noProof/>
        </w:rPr>
        <w:drawing>
          <wp:inline distT="0" distB="0" distL="0" distR="0" wp14:anchorId="6317AB3D" wp14:editId="22B27797">
            <wp:extent cx="2743200" cy="18288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pic:cNvPicPr>
                      <a:picLocks noChangeAspect="1" noChangeArrowheads="1"/>
                    </pic:cNvPicPr>
                  </pic:nvPicPr>
                  <pic:blipFill>
                    <a:blip r:embed="rId157"/>
                    <a:stretch>
                      <a:fillRect/>
                    </a:stretch>
                  </pic:blipFill>
                  <pic:spPr bwMode="auto">
                    <a:xfrm>
                      <a:off x="0" y="0"/>
                      <a:ext cx="2743200" cy="1828800"/>
                    </a:xfrm>
                    <a:prstGeom prst="rect">
                      <a:avLst/>
                    </a:prstGeom>
                    <a:noFill/>
                    <a:ln>
                      <a:noFill/>
                    </a:ln>
                  </pic:spPr>
                </pic:pic>
              </a:graphicData>
            </a:graphic>
          </wp:inline>
        </w:drawing>
      </w:r>
    </w:p>
    <w:p w14:paraId="157FCE3D" w14:textId="1DFE74F6" w:rsidR="00385E49" w:rsidRPr="00F61532" w:rsidRDefault="00385E49" w:rsidP="00385E49">
      <w:pPr>
        <w:pStyle w:val="FigureCaption"/>
        <w:rPr>
          <w:b w:val="0"/>
        </w:rPr>
      </w:pPr>
      <w:bookmarkStart w:id="380" w:name="_Ref72855012"/>
      <w:bookmarkStart w:id="381" w:name="_Toc113380919"/>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12</w:t>
      </w:r>
      <w:r w:rsidRPr="00F61532">
        <w:rPr>
          <w:lang w:eastAsia="zh-TW"/>
        </w:rPr>
        <w:fldChar w:fldCharType="end"/>
      </w:r>
      <w:bookmarkEnd w:id="380"/>
      <w:r w:rsidRPr="00F61532">
        <w:rPr>
          <w:lang w:eastAsia="zh-TW"/>
        </w:rPr>
        <w:t xml:space="preserve">. Projected change of annual and seasonal </w:t>
      </w:r>
      <w:r>
        <w:rPr>
          <w:lang w:eastAsia="zh-TW"/>
        </w:rPr>
        <w:t xml:space="preserve">total reservoir evaporation </w:t>
      </w:r>
      <w:r w:rsidRPr="00F61532">
        <w:rPr>
          <w:lang w:eastAsia="zh-TW"/>
        </w:rPr>
        <w:t xml:space="preserve">in </w:t>
      </w:r>
      <w:r>
        <w:rPr>
          <w:lang w:eastAsia="zh-TW"/>
        </w:rPr>
        <w:t>the WAPA region.</w:t>
      </w:r>
      <w:bookmarkEnd w:id="381"/>
    </w:p>
    <w:p w14:paraId="0343E409" w14:textId="03CD2BD7" w:rsidR="000A4ACD" w:rsidRPr="006D5CDC" w:rsidRDefault="000A4ACD" w:rsidP="000A4ACD">
      <w:pPr>
        <w:pStyle w:val="BodyText"/>
      </w:pPr>
      <w:r>
        <w:rPr>
          <w:rFonts w:eastAsia="PMingLiU"/>
          <w:lang w:eastAsia="zh-TW"/>
        </w:rPr>
        <w:t xml:space="preserve">The source of variance in the projected change of annual </w:t>
      </w:r>
      <w:r w:rsidRPr="00434DEB">
        <w:t xml:space="preserve">reservoir evaporation loss </w:t>
      </w:r>
      <w:r>
        <w:t xml:space="preserve">from </w:t>
      </w:r>
      <w:r w:rsidRPr="00434DEB">
        <w:t xml:space="preserve">federal </w:t>
      </w:r>
      <w:r>
        <w:t xml:space="preserve">hydropower </w:t>
      </w:r>
      <w:r w:rsidRPr="00434DEB">
        <w:t>reservoir</w:t>
      </w:r>
      <w:r>
        <w:t>s</w:t>
      </w:r>
      <w:r w:rsidRPr="00434DEB">
        <w:t xml:space="preserve"> </w:t>
      </w:r>
      <w:r>
        <w:t xml:space="preserve">in the WAPA region </w:t>
      </w:r>
      <w:r>
        <w:rPr>
          <w:rFonts w:eastAsia="PMingLiU"/>
          <w:lang w:eastAsia="zh-TW"/>
        </w:rPr>
        <w:t xml:space="preserve">is shown in </w:t>
      </w:r>
      <w:r w:rsidR="006C2B2C">
        <w:fldChar w:fldCharType="begin"/>
      </w:r>
      <w:r w:rsidR="006C2B2C">
        <w:rPr>
          <w:rFonts w:eastAsia="PMingLiU"/>
          <w:lang w:eastAsia="zh-TW"/>
        </w:rPr>
        <w:instrText xml:space="preserve"> REF _Ref83537200 \h </w:instrText>
      </w:r>
      <w:r w:rsidR="006C2B2C">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13</w:t>
      </w:r>
      <w:r w:rsidR="006C2B2C">
        <w:fldChar w:fldCharType="end"/>
      </w:r>
      <w:r w:rsidRPr="00434DEB">
        <w:t xml:space="preserve">. </w:t>
      </w:r>
      <w:r w:rsidRPr="006268D6">
        <w:t>The box</w:t>
      </w:r>
      <w:r w:rsidR="005610E7">
        <w:t xml:space="preserve"> </w:t>
      </w:r>
      <w:r w:rsidRPr="006268D6">
        <w:t>plots show the magnitude of change (future minus baseline)</w:t>
      </w:r>
      <w:r>
        <w:t xml:space="preserve"> </w:t>
      </w:r>
      <w:r w:rsidRPr="006268D6">
        <w:t xml:space="preserve">in median annual </w:t>
      </w:r>
      <w:r w:rsidRPr="00434DEB">
        <w:t xml:space="preserve">reservoir </w:t>
      </w:r>
      <w:r>
        <w:t>evaporation loss</w:t>
      </w:r>
      <w:r w:rsidRPr="006268D6">
        <w:t xml:space="preserve"> </w:t>
      </w:r>
      <w:r>
        <w:t>across</w:t>
      </w:r>
      <w:r w:rsidRPr="006268D6">
        <w:t xml:space="preserve"> 48 ensemble</w:t>
      </w:r>
      <w:r>
        <w:t xml:space="preserve"> member</w:t>
      </w:r>
      <w:r w:rsidRPr="006268D6">
        <w:t xml:space="preserve">s, grouped by each of the four </w:t>
      </w:r>
      <w:r>
        <w:t>modeling choices</w:t>
      </w:r>
      <w:r w:rsidRPr="00434DEB">
        <w:t xml:space="preserve"> (CM, DS, MetF, and HM). The bottom panel shows the portion of variance from the ANOVA for each modeling choice</w:t>
      </w:r>
      <w:r w:rsidRPr="00682E59">
        <w:t>.</w:t>
      </w:r>
    </w:p>
    <w:p w14:paraId="4CAD3090" w14:textId="77777777" w:rsidR="00C10542" w:rsidRDefault="00C10542" w:rsidP="00050448">
      <w:pPr>
        <w:pStyle w:val="FIGUREposition"/>
      </w:pPr>
      <w:r>
        <w:rPr>
          <w:noProof/>
        </w:rPr>
        <w:drawing>
          <wp:inline distT="0" distB="0" distL="0" distR="0" wp14:anchorId="75729765" wp14:editId="2E0D9B03">
            <wp:extent cx="3657600" cy="3391593"/>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pic:cNvPicPr>
                      <a:picLocks noChangeAspect="1" noChangeArrowheads="1"/>
                    </pic:cNvPicPr>
                  </pic:nvPicPr>
                  <pic:blipFill rotWithShape="1">
                    <a:blip r:embed="rId158"/>
                    <a:srcRect t="7273"/>
                    <a:stretch/>
                  </pic:blipFill>
                  <pic:spPr bwMode="auto">
                    <a:xfrm>
                      <a:off x="0" y="0"/>
                      <a:ext cx="3657600" cy="3391593"/>
                    </a:xfrm>
                    <a:prstGeom prst="rect">
                      <a:avLst/>
                    </a:prstGeom>
                    <a:noFill/>
                    <a:ln>
                      <a:noFill/>
                    </a:ln>
                    <a:extLst>
                      <a:ext uri="{53640926-AAD7-44D8-BBD7-CCE9431645EC}">
                        <a14:shadowObscured xmlns:a14="http://schemas.microsoft.com/office/drawing/2010/main"/>
                      </a:ext>
                    </a:extLst>
                  </pic:spPr>
                </pic:pic>
              </a:graphicData>
            </a:graphic>
          </wp:inline>
        </w:drawing>
      </w:r>
    </w:p>
    <w:p w14:paraId="2B2CEC51" w14:textId="5EEB1866" w:rsidR="00C10542" w:rsidRDefault="00C10542" w:rsidP="00C10542">
      <w:pPr>
        <w:pStyle w:val="FigureCaption"/>
        <w:rPr>
          <w:b w:val="0"/>
        </w:rPr>
      </w:pPr>
      <w:bookmarkStart w:id="382" w:name="_Ref83537200"/>
      <w:bookmarkStart w:id="383" w:name="_Toc113380920"/>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13</w:t>
      </w:r>
      <w:r w:rsidRPr="00F61532">
        <w:rPr>
          <w:lang w:eastAsia="zh-TW"/>
        </w:rPr>
        <w:fldChar w:fldCharType="end"/>
      </w:r>
      <w:bookmarkEnd w:id="382"/>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reservoir evaporation </w:t>
      </w:r>
      <w:r w:rsidRPr="00F61532">
        <w:rPr>
          <w:lang w:eastAsia="zh-TW"/>
        </w:rPr>
        <w:t xml:space="preserve">in </w:t>
      </w:r>
      <w:r>
        <w:rPr>
          <w:lang w:eastAsia="zh-TW"/>
        </w:rPr>
        <w:t>the WAPA region.</w:t>
      </w:r>
      <w:bookmarkEnd w:id="383"/>
    </w:p>
    <w:p w14:paraId="5111B5A4" w14:textId="52D6DBBC" w:rsidR="00FE71CA" w:rsidRPr="00682E59" w:rsidRDefault="004B7CB4" w:rsidP="00050448">
      <w:pPr>
        <w:pStyle w:val="BodyText"/>
      </w:pPr>
      <w:r w:rsidRPr="00682E59">
        <w:t xml:space="preserve">ANOVA results indicate that </w:t>
      </w:r>
      <w:r w:rsidR="005367C2">
        <w:t xml:space="preserve">the </w:t>
      </w:r>
      <w:r w:rsidRPr="00682E59">
        <w:t xml:space="preserve">CM is generally the </w:t>
      </w:r>
      <w:r w:rsidR="00C753AB">
        <w:rPr>
          <w:rFonts w:eastAsia="PMingLiU"/>
          <w:lang w:eastAsia="zh-TW"/>
        </w:rPr>
        <w:t xml:space="preserve">most </w:t>
      </w:r>
      <w:r w:rsidRPr="00682E59">
        <w:t xml:space="preserve">dominant contributor to the total variance of future evaporation </w:t>
      </w:r>
      <w:r>
        <w:t xml:space="preserve">change </w:t>
      </w:r>
      <w:r w:rsidRPr="00682E59">
        <w:t xml:space="preserve">projections, </w:t>
      </w:r>
      <w:r>
        <w:t>explaining</w:t>
      </w:r>
      <w:r w:rsidRPr="00682E59">
        <w:t xml:space="preserve"> 58%</w:t>
      </w:r>
      <w:r>
        <w:t xml:space="preserve"> of the variance in the WAPA region</w:t>
      </w:r>
      <w:r w:rsidRPr="00682E59">
        <w:t xml:space="preserve">. The </w:t>
      </w:r>
      <w:r>
        <w:t xml:space="preserve">most </w:t>
      </w:r>
      <w:r>
        <w:lastRenderedPageBreak/>
        <w:t>significant</w:t>
      </w:r>
      <w:r w:rsidRPr="00682E59">
        <w:t xml:space="preserve"> incre</w:t>
      </w:r>
      <w:r>
        <w:t>ment</w:t>
      </w:r>
      <w:r w:rsidRPr="00682E59">
        <w:t xml:space="preserve"> is </w:t>
      </w:r>
      <w:r>
        <w:t>from</w:t>
      </w:r>
      <w:r w:rsidRPr="00682E59">
        <w:t xml:space="preserve"> NorESM2-MM </w:t>
      </w:r>
      <w:r>
        <w:t>(</w:t>
      </w:r>
      <w:r w:rsidRPr="00682E59">
        <w:t>0.46 MAF</w:t>
      </w:r>
      <w:r>
        <w:t>),</w:t>
      </w:r>
      <w:r w:rsidRPr="00682E59">
        <w:t xml:space="preserve"> w</w:t>
      </w:r>
      <w:r>
        <w:t>hich has</w:t>
      </w:r>
      <w:r w:rsidRPr="00682E59">
        <w:t xml:space="preserve"> </w:t>
      </w:r>
      <w:r>
        <w:t xml:space="preserve">a </w:t>
      </w:r>
      <w:r w:rsidRPr="00682E59">
        <w:t>larg</w:t>
      </w:r>
      <w:r>
        <w:t>e</w:t>
      </w:r>
      <w:r w:rsidRPr="00682E59">
        <w:t xml:space="preserve"> ensemble variability</w:t>
      </w:r>
      <w:r>
        <w:t>.</w:t>
      </w:r>
      <w:r w:rsidRPr="00682E59">
        <w:t xml:space="preserve"> </w:t>
      </w:r>
      <w:r>
        <w:t xml:space="preserve">In contrast, </w:t>
      </w:r>
      <w:r w:rsidRPr="00682E59">
        <w:t xml:space="preserve">the </w:t>
      </w:r>
      <w:r>
        <w:t>changes of evaporation loss projected</w:t>
      </w:r>
      <w:r w:rsidRPr="00682E59">
        <w:t xml:space="preserve"> by CNRM-ESM2 and MPI-ESm1 are less than 0.35</w:t>
      </w:r>
      <w:r w:rsidR="00E11D07">
        <w:t> </w:t>
      </w:r>
      <w:r w:rsidRPr="00682E59">
        <w:t xml:space="preserve">MAF. </w:t>
      </w:r>
      <w:r w:rsidR="005367C2">
        <w:t xml:space="preserve">The </w:t>
      </w:r>
      <w:r w:rsidRPr="00682E59">
        <w:t>MetF</w:t>
      </w:r>
      <w:r>
        <w:t xml:space="preserve"> is the second </w:t>
      </w:r>
      <w:r w:rsidR="00F65034">
        <w:t xml:space="preserve">most dominant </w:t>
      </w:r>
      <w:r>
        <w:t>contributor, account</w:t>
      </w:r>
      <w:r w:rsidR="00E11D07">
        <w:t>ing</w:t>
      </w:r>
      <w:r>
        <w:t xml:space="preserve"> for</w:t>
      </w:r>
      <w:r w:rsidRPr="00682E59">
        <w:t xml:space="preserve"> 21% of the total variance</w:t>
      </w:r>
      <w:r>
        <w:t>.</w:t>
      </w:r>
      <w:r w:rsidRPr="00682E59">
        <w:t xml:space="preserve"> Daymet</w:t>
      </w:r>
      <w:r w:rsidR="000A4ACD">
        <w:t>-</w:t>
      </w:r>
      <w:r>
        <w:t xml:space="preserve">based </w:t>
      </w:r>
      <w:r w:rsidRPr="00682E59">
        <w:t>project</w:t>
      </w:r>
      <w:r>
        <w:t>ion</w:t>
      </w:r>
      <w:r w:rsidRPr="00682E59">
        <w:t>s</w:t>
      </w:r>
      <w:r>
        <w:t xml:space="preserve"> show</w:t>
      </w:r>
      <w:r w:rsidRPr="00682E59">
        <w:t xml:space="preserve"> a </w:t>
      </w:r>
      <w:r>
        <w:t>larger</w:t>
      </w:r>
      <w:r w:rsidRPr="00682E59">
        <w:t xml:space="preserve"> increase compared </w:t>
      </w:r>
      <w:r w:rsidRPr="00BE7B54">
        <w:t>with Livneh</w:t>
      </w:r>
      <w:r w:rsidR="000A4ACD">
        <w:t>-based projections</w:t>
      </w:r>
      <w:r w:rsidRPr="00BE7B54">
        <w:t xml:space="preserve">. The combination of </w:t>
      </w:r>
      <w:r w:rsidR="00C753AB">
        <w:t xml:space="preserve">the </w:t>
      </w:r>
      <w:r w:rsidRPr="00BE7B54">
        <w:t xml:space="preserve">CM and </w:t>
      </w:r>
      <w:r w:rsidRPr="0001546A">
        <w:t>DS</w:t>
      </w:r>
      <w:r w:rsidRPr="00BE7B54">
        <w:t xml:space="preserve"> contributes another 8% </w:t>
      </w:r>
      <w:r>
        <w:t>to</w:t>
      </w:r>
      <w:r w:rsidRPr="00BE7B54">
        <w:t xml:space="preserve"> the total variance,</w:t>
      </w:r>
      <w:r w:rsidRPr="006734C7">
        <w:t xml:space="preserve"> </w:t>
      </w:r>
      <w:r w:rsidR="00450055">
        <w:t xml:space="preserve">and </w:t>
      </w:r>
      <w:r w:rsidRPr="006734C7">
        <w:t>the</w:t>
      </w:r>
      <w:r w:rsidRPr="00682E59">
        <w:t xml:space="preserve"> influence of other factors is negligible.</w:t>
      </w:r>
      <w:r>
        <w:t xml:space="preserve"> </w:t>
      </w:r>
      <w:r w:rsidRPr="00682E59">
        <w:t>At the seasonal scale (</w:t>
      </w:r>
      <w:r w:rsidR="007B3D09">
        <w:fldChar w:fldCharType="begin"/>
      </w:r>
      <w:r w:rsidR="007B3D09">
        <w:instrText xml:space="preserve"> REF _Ref81738890 \n \h </w:instrText>
      </w:r>
      <w:r w:rsidR="007B3D09">
        <w:fldChar w:fldCharType="separate"/>
      </w:r>
      <w:r w:rsidR="00EE0BF5">
        <w:t>APPENDIX F</w:t>
      </w:r>
      <w:r w:rsidR="007B3D09">
        <w:fldChar w:fldCharType="end"/>
      </w:r>
      <w:r w:rsidRPr="00682E59">
        <w:t xml:space="preserve">), the ANOVA indicates </w:t>
      </w:r>
      <w:r w:rsidRPr="0001546A">
        <w:t xml:space="preserve">that certain contributing factors </w:t>
      </w:r>
      <w:r w:rsidRPr="00682E59">
        <w:t>may have more substantial impac</w:t>
      </w:r>
      <w:r>
        <w:t>t</w:t>
      </w:r>
      <w:r w:rsidR="00677316">
        <w:t>s</w:t>
      </w:r>
      <w:r w:rsidRPr="00682E59">
        <w:t xml:space="preserve"> than </w:t>
      </w:r>
      <w:r w:rsidR="000A4ACD">
        <w:t>at the</w:t>
      </w:r>
      <w:r w:rsidR="000A4ACD" w:rsidRPr="00682E59">
        <w:t xml:space="preserve"> </w:t>
      </w:r>
      <w:r w:rsidRPr="00682E59">
        <w:t xml:space="preserve">annual scale. For instance, </w:t>
      </w:r>
      <w:r w:rsidR="005367C2">
        <w:t xml:space="preserve">the </w:t>
      </w:r>
      <w:r w:rsidRPr="00682E59">
        <w:t xml:space="preserve">CM </w:t>
      </w:r>
      <w:r>
        <w:t>remains</w:t>
      </w:r>
      <w:r w:rsidRPr="00682E59">
        <w:t xml:space="preserve"> the </w:t>
      </w:r>
      <w:r w:rsidR="005367C2">
        <w:t xml:space="preserve">most </w:t>
      </w:r>
      <w:r w:rsidRPr="00682E59">
        <w:t>dominant variance contributor</w:t>
      </w:r>
      <w:r w:rsidR="000A4ACD">
        <w:t>, which</w:t>
      </w:r>
      <w:r w:rsidRPr="00682E59">
        <w:t xml:space="preserve"> explains 74% of </w:t>
      </w:r>
      <w:r>
        <w:t xml:space="preserve">the </w:t>
      </w:r>
      <w:r w:rsidRPr="00682E59">
        <w:t xml:space="preserve">evaporation loss variance in </w:t>
      </w:r>
      <w:r>
        <w:t xml:space="preserve">the </w:t>
      </w:r>
      <w:r w:rsidRPr="00682E59">
        <w:t>spring</w:t>
      </w:r>
      <w:r w:rsidR="000A4ACD">
        <w:t>. T</w:t>
      </w:r>
      <w:r w:rsidRPr="00682E59">
        <w:t xml:space="preserve">he </w:t>
      </w:r>
      <w:r>
        <w:t>largest</w:t>
      </w:r>
      <w:r w:rsidRPr="00682E59">
        <w:t xml:space="preserve"> </w:t>
      </w:r>
      <w:r w:rsidR="000A4ACD">
        <w:t xml:space="preserve">changes </w:t>
      </w:r>
      <w:r>
        <w:t xml:space="preserve">are associated with </w:t>
      </w:r>
      <w:r w:rsidRPr="00682E59">
        <w:t xml:space="preserve">the NorESM2-MM and MPI-ESM2. As the second </w:t>
      </w:r>
      <w:r w:rsidR="00F65034">
        <w:t>most dominant</w:t>
      </w:r>
      <w:r w:rsidR="00F65034" w:rsidDel="00F65034">
        <w:t xml:space="preserve"> </w:t>
      </w:r>
      <w:r w:rsidRPr="00682E59">
        <w:t xml:space="preserve">contributor, </w:t>
      </w:r>
      <w:r w:rsidR="005367C2">
        <w:t xml:space="preserve">the </w:t>
      </w:r>
      <w:r w:rsidRPr="00682E59">
        <w:t>MetF explain</w:t>
      </w:r>
      <w:r>
        <w:t>s</w:t>
      </w:r>
      <w:r w:rsidRPr="00682E59">
        <w:t xml:space="preserve"> </w:t>
      </w:r>
      <w:r>
        <w:t>about</w:t>
      </w:r>
      <w:r w:rsidRPr="00682E59">
        <w:t xml:space="preserve"> 10% of the total variance. </w:t>
      </w:r>
      <w:r w:rsidR="005367C2">
        <w:t xml:space="preserve">The </w:t>
      </w:r>
      <w:r w:rsidRPr="00682E59">
        <w:t xml:space="preserve">CM is also the </w:t>
      </w:r>
      <w:r w:rsidR="005367C2">
        <w:t xml:space="preserve">most dominant </w:t>
      </w:r>
      <w:r w:rsidRPr="00682E59">
        <w:t xml:space="preserve">contributor in fall and winter. </w:t>
      </w:r>
      <w:r>
        <w:t>T</w:t>
      </w:r>
      <w:r w:rsidRPr="00682E59">
        <w:t xml:space="preserve">he second </w:t>
      </w:r>
      <w:r w:rsidR="00F65034">
        <w:t>most dominant</w:t>
      </w:r>
      <w:r w:rsidR="00F65034" w:rsidDel="00F65034">
        <w:t xml:space="preserve"> </w:t>
      </w:r>
      <w:r w:rsidRPr="00682E59">
        <w:t xml:space="preserve">contributor </w:t>
      </w:r>
      <w:r w:rsidR="000A4ACD" w:rsidRPr="00682E59">
        <w:t xml:space="preserve">in </w:t>
      </w:r>
      <w:r w:rsidR="00F32AA2">
        <w:t xml:space="preserve">the </w:t>
      </w:r>
      <w:r w:rsidR="000A4ACD" w:rsidRPr="00682E59">
        <w:t xml:space="preserve">fall and winter </w:t>
      </w:r>
      <w:r w:rsidRPr="00682E59">
        <w:t xml:space="preserve">is </w:t>
      </w:r>
      <w:r w:rsidR="00F32AA2">
        <w:t xml:space="preserve">the </w:t>
      </w:r>
      <w:r w:rsidRPr="00682E59">
        <w:t xml:space="preserve">DS, which </w:t>
      </w:r>
      <w:r>
        <w:t>can</w:t>
      </w:r>
      <w:r w:rsidRPr="00682E59">
        <w:t xml:space="preserve"> explain 20% of </w:t>
      </w:r>
      <w:r>
        <w:t xml:space="preserve">the </w:t>
      </w:r>
      <w:r w:rsidRPr="00682E59">
        <w:t>evaporation loss variance</w:t>
      </w:r>
      <w:r w:rsidR="00F32AA2">
        <w:t xml:space="preserve"> in the fall, and </w:t>
      </w:r>
      <w:r w:rsidR="00F32AA2" w:rsidRPr="00682E59">
        <w:t>10%</w:t>
      </w:r>
      <w:r w:rsidR="00F32AA2">
        <w:t xml:space="preserve"> in the winter</w:t>
      </w:r>
      <w:r w:rsidRPr="00682E59">
        <w:t xml:space="preserve">. </w:t>
      </w:r>
      <w:r>
        <w:t>During</w:t>
      </w:r>
      <w:r w:rsidRPr="00682E59">
        <w:t xml:space="preserve"> </w:t>
      </w:r>
      <w:r w:rsidR="00F32AA2">
        <w:t xml:space="preserve">the </w:t>
      </w:r>
      <w:r w:rsidRPr="00682E59">
        <w:t xml:space="preserve">fall and winter, DBCCA projects </w:t>
      </w:r>
      <w:r w:rsidR="00450055">
        <w:t xml:space="preserve">a </w:t>
      </w:r>
      <w:r w:rsidRPr="00682E59">
        <w:t xml:space="preserve">higher </w:t>
      </w:r>
      <w:r w:rsidR="000A4ACD">
        <w:t xml:space="preserve">change of </w:t>
      </w:r>
      <w:r w:rsidRPr="00682E59">
        <w:t>reservoir evaporation los</w:t>
      </w:r>
      <w:r>
        <w:t>ses</w:t>
      </w:r>
      <w:r w:rsidRPr="00682E59">
        <w:t xml:space="preserve"> in the future than RegCM. In </w:t>
      </w:r>
      <w:r w:rsidR="00F32AA2">
        <w:t xml:space="preserve">the </w:t>
      </w:r>
      <w:r w:rsidRPr="00682E59">
        <w:t xml:space="preserve">summer, </w:t>
      </w:r>
      <w:r w:rsidR="00F32AA2">
        <w:t xml:space="preserve">the </w:t>
      </w:r>
      <w:r w:rsidRPr="00682E59">
        <w:t>CM and D</w:t>
      </w:r>
      <w:r>
        <w:t>S</w:t>
      </w:r>
      <w:r w:rsidRPr="00682E59">
        <w:t xml:space="preserve"> contribute </w:t>
      </w:r>
      <w:r>
        <w:t xml:space="preserve">about </w:t>
      </w:r>
      <w:r w:rsidRPr="00682E59">
        <w:t>the same amount of total variance, both around 33%</w:t>
      </w:r>
      <w:r>
        <w:t>.</w:t>
      </w:r>
      <w:r w:rsidRPr="00682E59">
        <w:t xml:space="preserve"> </w:t>
      </w:r>
      <w:r>
        <w:t xml:space="preserve">In </w:t>
      </w:r>
      <w:r w:rsidR="00F32AA2">
        <w:t xml:space="preserve">the </w:t>
      </w:r>
      <w:r>
        <w:t xml:space="preserve">summer, </w:t>
      </w:r>
      <w:r w:rsidRPr="00682E59">
        <w:t xml:space="preserve">RegCM </w:t>
      </w:r>
      <w:r w:rsidR="000A4ACD">
        <w:t xml:space="preserve">projects </w:t>
      </w:r>
      <w:r w:rsidRPr="00682E59">
        <w:t xml:space="preserve">a 0.09 MAF increase in summer reservoir evaporation, </w:t>
      </w:r>
      <w:r w:rsidR="00450055">
        <w:t>whereas DBCCA projects</w:t>
      </w:r>
      <w:r w:rsidRPr="00682E59">
        <w:t xml:space="preserve"> </w:t>
      </w:r>
      <w:r w:rsidR="00450055">
        <w:t xml:space="preserve">a </w:t>
      </w:r>
      <w:r w:rsidRPr="00682E59">
        <w:t xml:space="preserve">0.05 MAF </w:t>
      </w:r>
      <w:r w:rsidR="00450055">
        <w:t>increase</w:t>
      </w:r>
      <w:r w:rsidRPr="00682E59">
        <w:t xml:space="preserve">. </w:t>
      </w:r>
      <w:r>
        <w:t>In addition</w:t>
      </w:r>
      <w:r w:rsidRPr="00682E59">
        <w:t xml:space="preserve">, </w:t>
      </w:r>
      <w:r w:rsidR="00F32AA2">
        <w:t xml:space="preserve">the </w:t>
      </w:r>
      <w:r w:rsidRPr="00682E59">
        <w:t>MetF contribute</w:t>
      </w:r>
      <w:r>
        <w:t>s</w:t>
      </w:r>
      <w:r w:rsidRPr="00682E59">
        <w:t xml:space="preserve"> almost 20% of the total variance, with Daymet </w:t>
      </w:r>
      <w:r w:rsidR="000A4ACD">
        <w:t>projecting</w:t>
      </w:r>
      <w:r w:rsidRPr="00682E59">
        <w:t xml:space="preserve"> </w:t>
      </w:r>
      <w:r w:rsidR="00450055">
        <w:t xml:space="preserve">a </w:t>
      </w:r>
      <w:r w:rsidRPr="00682E59">
        <w:t>more significant increase than Livneh</w:t>
      </w:r>
      <w:r>
        <w:t xml:space="preserve"> in summer</w:t>
      </w:r>
      <w:r w:rsidR="00FE71CA" w:rsidRPr="00682E59">
        <w:t>.</w:t>
      </w:r>
      <w:r w:rsidR="00CC0193" w:rsidRPr="00CC0193">
        <w:t xml:space="preserve"> </w:t>
      </w:r>
      <w:r w:rsidR="0066724F">
        <w:t>Although</w:t>
      </w:r>
      <w:r w:rsidR="00CC0193">
        <w:t xml:space="preserve"> the choice of </w:t>
      </w:r>
      <w:r w:rsidR="00410CA5">
        <w:t>MetFs</w:t>
      </w:r>
      <w:r w:rsidR="00CC0193">
        <w:t xml:space="preserve"> (i.e., Daymet or Livneh) may significantly influence the projected value of reservoir evaporation loss (</w:t>
      </w:r>
      <w:r w:rsidR="009F40FE">
        <w:fldChar w:fldCharType="begin"/>
      </w:r>
      <w:r w:rsidR="009F40FE">
        <w:instrText xml:space="preserve"> REF _Ref72854973 \h </w:instrText>
      </w:r>
      <w:r w:rsidR="009F40FE">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11</w:t>
      </w:r>
      <w:r w:rsidR="009F40FE">
        <w:fldChar w:fldCharType="end"/>
      </w:r>
      <w:r w:rsidR="00CC0193">
        <w:t xml:space="preserve">), the difference is systematic and largely reduced when examining the change from baseline to future periods. </w:t>
      </w:r>
      <w:r w:rsidR="0066724F">
        <w:t>This shows</w:t>
      </w:r>
      <w:r w:rsidR="00CC0193">
        <w:t xml:space="preserve"> that even with large model/data bias, the relative change is still considered reliable and used in many hydroclimate impact assessment studies.</w:t>
      </w:r>
    </w:p>
    <w:p w14:paraId="65CC212B" w14:textId="77777777" w:rsidR="00977D1D" w:rsidRPr="00A27865" w:rsidRDefault="00977D1D" w:rsidP="00AD0C1C">
      <w:pPr>
        <w:pStyle w:val="Heading2"/>
      </w:pPr>
      <w:bookmarkStart w:id="384" w:name="_Ref69807768"/>
      <w:bookmarkStart w:id="385" w:name="_Toc113380814"/>
      <w:r w:rsidRPr="00A27865">
        <w:t xml:space="preserve">Climate Effects on Federal Hydropower in </w:t>
      </w:r>
      <w:r>
        <w:t>the WAPA Region</w:t>
      </w:r>
      <w:bookmarkEnd w:id="384"/>
      <w:bookmarkEnd w:id="385"/>
    </w:p>
    <w:p w14:paraId="63214F47" w14:textId="77777777" w:rsidR="00977D1D" w:rsidRPr="00A27865" w:rsidRDefault="00977D1D" w:rsidP="00977D1D">
      <w:pPr>
        <w:pStyle w:val="Heading3"/>
      </w:pPr>
      <w:bookmarkStart w:id="386" w:name="_Ref73457792"/>
      <w:bookmarkStart w:id="387" w:name="_Toc113380815"/>
      <w:r w:rsidRPr="00A27865">
        <w:t>Projection</w:t>
      </w:r>
      <w:r>
        <w:t>s</w:t>
      </w:r>
      <w:r w:rsidRPr="00A27865">
        <w:t xml:space="preserve"> of Hydropower Generation</w:t>
      </w:r>
      <w:bookmarkEnd w:id="386"/>
      <w:bookmarkEnd w:id="387"/>
    </w:p>
    <w:p w14:paraId="0B4E8A6E" w14:textId="207D4309" w:rsidR="002052DE" w:rsidRDefault="002052DE" w:rsidP="002052DE">
      <w:pPr>
        <w:pStyle w:val="BodyText"/>
      </w:pPr>
      <w:bookmarkStart w:id="388" w:name="_Hlk75241519"/>
      <w:r w:rsidRPr="00882352">
        <w:rPr>
          <w:rFonts w:eastAsia="PMingLiU"/>
          <w:lang w:eastAsia="zh-TW"/>
        </w:rPr>
        <w:t>Using</w:t>
      </w:r>
      <w:r w:rsidRPr="00882352">
        <w:rPr>
          <w:rFonts w:eastAsia="PMingLiU" w:hint="eastAsia"/>
          <w:lang w:eastAsia="zh-TW"/>
        </w:rPr>
        <w:t xml:space="preserve"> the </w:t>
      </w:r>
      <w:r>
        <w:rPr>
          <w:rFonts w:eastAsia="PMingLiU"/>
          <w:lang w:eastAsia="zh-TW"/>
        </w:rPr>
        <w:t>two hydropower models</w:t>
      </w:r>
      <w:r w:rsidRPr="00882352">
        <w:rPr>
          <w:rFonts w:eastAsia="PMingLiU" w:hint="eastAsia"/>
          <w:lang w:eastAsia="zh-TW"/>
        </w:rPr>
        <w:t xml:space="preserve"> described in Section</w:t>
      </w:r>
      <w:r>
        <w:rPr>
          <w:rFonts w:eastAsia="PMingLiU"/>
          <w:lang w:eastAsia="zh-TW"/>
        </w:rPr>
        <w:t xml:space="preserve"> </w:t>
      </w:r>
      <w:r>
        <w:rPr>
          <w:rFonts w:eastAsia="PMingLiU"/>
          <w:lang w:eastAsia="zh-TW"/>
        </w:rPr>
        <w:fldChar w:fldCharType="begin"/>
      </w:r>
      <w:r>
        <w:rPr>
          <w:rFonts w:eastAsia="PMingLiU"/>
          <w:lang w:eastAsia="zh-TW"/>
        </w:rPr>
        <w:instrText xml:space="preserve"> REF _Ref425755954 \r \h </w:instrText>
      </w:r>
      <w:r>
        <w:rPr>
          <w:rFonts w:eastAsia="PMingLiU"/>
          <w:lang w:eastAsia="zh-TW"/>
        </w:rPr>
      </w:r>
      <w:r>
        <w:rPr>
          <w:rFonts w:eastAsia="PMingLiU"/>
          <w:lang w:eastAsia="zh-TW"/>
        </w:rPr>
        <w:fldChar w:fldCharType="separate"/>
      </w:r>
      <w:r w:rsidR="00EE0BF5">
        <w:rPr>
          <w:rFonts w:eastAsia="PMingLiU"/>
          <w:lang w:eastAsia="zh-TW"/>
        </w:rPr>
        <w:t>2.6</w:t>
      </w:r>
      <w:r>
        <w:rPr>
          <w:rFonts w:eastAsia="PMingLiU"/>
          <w:lang w:eastAsia="zh-TW"/>
        </w:rPr>
        <w:fldChar w:fldCharType="end"/>
      </w:r>
      <w:r w:rsidRPr="00882352">
        <w:rPr>
          <w:rFonts w:eastAsia="PMingLiU" w:hint="eastAsia"/>
          <w:lang w:eastAsia="zh-TW"/>
        </w:rPr>
        <w:t xml:space="preserve">, </w:t>
      </w:r>
      <w:r>
        <w:rPr>
          <w:rFonts w:eastAsia="PMingLiU"/>
          <w:lang w:eastAsia="zh-TW"/>
        </w:rPr>
        <w:t xml:space="preserve">the </w:t>
      </w:r>
      <w:r w:rsidRPr="00882352">
        <w:rPr>
          <w:rFonts w:eastAsia="PMingLiU" w:hint="eastAsia"/>
          <w:lang w:eastAsia="zh-TW"/>
        </w:rPr>
        <w:t>projection</w:t>
      </w:r>
      <w:r w:rsidR="003F05AD">
        <w:rPr>
          <w:rFonts w:eastAsia="PMingLiU"/>
          <w:lang w:eastAsia="zh-TW"/>
        </w:rPr>
        <w:t>s</w:t>
      </w:r>
      <w:r w:rsidRPr="00882352">
        <w:rPr>
          <w:rFonts w:eastAsia="PMingLiU" w:hint="eastAsia"/>
          <w:lang w:eastAsia="zh-TW"/>
        </w:rPr>
        <w:t xml:space="preserve"> of monthly generation </w:t>
      </w:r>
      <w:r>
        <w:rPr>
          <w:rFonts w:eastAsia="PMingLiU"/>
          <w:lang w:eastAsia="zh-TW"/>
        </w:rPr>
        <w:t>in the WAPA region</w:t>
      </w:r>
      <w:r w:rsidRPr="00882352">
        <w:rPr>
          <w:rFonts w:eastAsia="PMingLiU"/>
          <w:lang w:eastAsia="zh-TW"/>
        </w:rPr>
        <w:t xml:space="preserve"> </w:t>
      </w:r>
      <w:r w:rsidRPr="00882352">
        <w:rPr>
          <w:rFonts w:eastAsia="PMingLiU" w:hint="eastAsia"/>
          <w:lang w:eastAsia="zh-TW"/>
        </w:rPr>
        <w:t xml:space="preserve">are calculated for each of the </w:t>
      </w:r>
      <w:r>
        <w:rPr>
          <w:rFonts w:eastAsia="PMingLiU"/>
          <w:lang w:eastAsia="zh-TW"/>
        </w:rPr>
        <w:t>96</w:t>
      </w:r>
      <w:r w:rsidRPr="00882352">
        <w:rPr>
          <w:rFonts w:eastAsia="PMingLiU" w:hint="eastAsia"/>
          <w:lang w:eastAsia="zh-TW"/>
        </w:rPr>
        <w:t xml:space="preserve"> </w:t>
      </w:r>
      <w:r>
        <w:rPr>
          <w:rFonts w:eastAsia="PMingLiU"/>
          <w:lang w:eastAsia="zh-TW"/>
        </w:rPr>
        <w:t xml:space="preserve">unique combinations of </w:t>
      </w:r>
      <w:r w:rsidR="00131E45">
        <w:rPr>
          <w:rFonts w:eastAsia="PMingLiU"/>
          <w:lang w:eastAsia="zh-TW"/>
        </w:rPr>
        <w:t>CM</w:t>
      </w:r>
      <w:r>
        <w:rPr>
          <w:rFonts w:eastAsia="PMingLiU"/>
          <w:lang w:eastAsia="zh-TW"/>
        </w:rPr>
        <w:t xml:space="preserve">s, </w:t>
      </w:r>
      <w:r w:rsidR="001E1DC5">
        <w:rPr>
          <w:rFonts w:eastAsia="PMingLiU"/>
          <w:lang w:eastAsia="zh-TW"/>
        </w:rPr>
        <w:t>DS</w:t>
      </w:r>
      <w:r>
        <w:rPr>
          <w:rFonts w:eastAsia="PMingLiU"/>
          <w:lang w:eastAsia="zh-TW"/>
        </w:rPr>
        <w:t xml:space="preserve">s, </w:t>
      </w:r>
      <w:r w:rsidR="00410CA5">
        <w:t>MetFs</w:t>
      </w:r>
      <w:r>
        <w:rPr>
          <w:rFonts w:eastAsia="PMingLiU"/>
          <w:lang w:eastAsia="zh-TW"/>
        </w:rPr>
        <w:t xml:space="preserve">, and </w:t>
      </w:r>
      <w:r w:rsidR="00533D84">
        <w:rPr>
          <w:rFonts w:eastAsia="PMingLiU"/>
          <w:lang w:eastAsia="zh-TW"/>
        </w:rPr>
        <w:t xml:space="preserve">HMs </w:t>
      </w:r>
      <w:r>
        <w:rPr>
          <w:rFonts w:eastAsia="PMingLiU"/>
          <w:lang w:eastAsia="zh-TW"/>
        </w:rPr>
        <w:t xml:space="preserve">and </w:t>
      </w:r>
      <w:r w:rsidR="00533D84">
        <w:rPr>
          <w:rFonts w:eastAsia="PMingLiU"/>
          <w:lang w:eastAsia="zh-TW"/>
        </w:rPr>
        <w:t>PM</w:t>
      </w:r>
      <w:r>
        <w:rPr>
          <w:rFonts w:eastAsia="PMingLiU"/>
          <w:lang w:eastAsia="zh-TW"/>
        </w:rPr>
        <w:t>s</w:t>
      </w:r>
      <w:r w:rsidRPr="00882352">
        <w:rPr>
          <w:rFonts w:eastAsia="PMingLiU" w:hint="eastAsia"/>
          <w:lang w:eastAsia="zh-TW"/>
        </w:rPr>
        <w:t xml:space="preserve">. </w:t>
      </w:r>
      <w:r w:rsidRPr="00CC508E">
        <w:t xml:space="preserve">Projections based on </w:t>
      </w:r>
      <w:r w:rsidR="005E23BA">
        <w:t>multimodel</w:t>
      </w:r>
      <w:r w:rsidRPr="00CC508E">
        <w:t xml:space="preserve"> ensemble</w:t>
      </w:r>
      <w:r>
        <w:t>s</w:t>
      </w:r>
      <w:r w:rsidRPr="00CC508E">
        <w:t xml:space="preserve"> are </w:t>
      </w:r>
      <w:r>
        <w:t>summarized in terms of</w:t>
      </w:r>
      <w:r w:rsidRPr="00CC508E">
        <w:t xml:space="preserve"> </w:t>
      </w:r>
      <w:r>
        <w:t xml:space="preserve">the </w:t>
      </w:r>
      <w:r w:rsidRPr="00CC508E">
        <w:t>mean annual</w:t>
      </w:r>
      <w:r>
        <w:t xml:space="preserve"> and </w:t>
      </w:r>
      <w:r w:rsidRPr="00CC508E">
        <w:t xml:space="preserve">seasonal changes for </w:t>
      </w:r>
      <w:r>
        <w:t xml:space="preserve">the </w:t>
      </w:r>
      <w:r w:rsidRPr="00CC508E">
        <w:t>near-term (20</w:t>
      </w:r>
      <w:r>
        <w:t>20</w:t>
      </w:r>
      <w:r w:rsidRPr="00CC508E">
        <w:t>–203</w:t>
      </w:r>
      <w:r>
        <w:t>9</w:t>
      </w:r>
      <w:r w:rsidRPr="00CC508E">
        <w:t xml:space="preserve">) and </w:t>
      </w:r>
      <w:r>
        <w:t>mid-term</w:t>
      </w:r>
      <w:r w:rsidRPr="00CC508E">
        <w:t xml:space="preserve"> (20</w:t>
      </w:r>
      <w:r>
        <w:t>40</w:t>
      </w:r>
      <w:r w:rsidRPr="00CC508E">
        <w:t>–205</w:t>
      </w:r>
      <w:r>
        <w:t>9</w:t>
      </w:r>
      <w:r w:rsidRPr="00CC508E">
        <w:t>)</w:t>
      </w:r>
      <w:r>
        <w:t xml:space="preserve"> future </w:t>
      </w:r>
      <w:r w:rsidRPr="00CC508E">
        <w:t>period</w:t>
      </w:r>
      <w:r>
        <w:t>s</w:t>
      </w:r>
      <w:r w:rsidRPr="00CC508E">
        <w:t xml:space="preserve"> </w:t>
      </w:r>
      <w:r>
        <w:t xml:space="preserve">compared </w:t>
      </w:r>
      <w:r w:rsidR="00DA5123">
        <w:t xml:space="preserve">with </w:t>
      </w:r>
      <w:r w:rsidRPr="00CC508E">
        <w:t>the baseline period (</w:t>
      </w:r>
      <w:r>
        <w:t>1980</w:t>
      </w:r>
      <w:r w:rsidRPr="00CC508E">
        <w:t>–</w:t>
      </w:r>
      <w:r>
        <w:t>2019</w:t>
      </w:r>
      <w:r w:rsidRPr="00CC508E">
        <w:t>).</w:t>
      </w:r>
    </w:p>
    <w:bookmarkEnd w:id="388"/>
    <w:p w14:paraId="2B5E4F99" w14:textId="672DF97E" w:rsidR="002052DE" w:rsidRDefault="002052DE" w:rsidP="002052DE">
      <w:pPr>
        <w:pStyle w:val="BodyText"/>
        <w:rPr>
          <w:rFonts w:eastAsia="PMingLiU"/>
          <w:lang w:eastAsia="zh-TW"/>
        </w:rPr>
      </w:pPr>
      <w:r w:rsidRPr="4AA7083E">
        <w:rPr>
          <w:rFonts w:eastAsia="PMingLiU"/>
          <w:lang w:eastAsia="zh-TW"/>
        </w:rPr>
        <w:t xml:space="preserve">The interannual variability of annual hydropower generation for the baseline and future periods </w:t>
      </w:r>
      <w:r w:rsidR="00DA5123">
        <w:rPr>
          <w:rFonts w:eastAsia="PMingLiU"/>
          <w:lang w:eastAsia="zh-TW"/>
        </w:rPr>
        <w:t>is</w:t>
      </w:r>
      <w:r w:rsidR="00DA5123" w:rsidRPr="4AA7083E">
        <w:rPr>
          <w:rFonts w:eastAsia="PMingLiU"/>
          <w:lang w:eastAsia="zh-TW"/>
        </w:rPr>
        <w:t xml:space="preserve"> </w:t>
      </w:r>
      <w:r w:rsidRPr="4AA7083E">
        <w:rPr>
          <w:rFonts w:eastAsia="PMingLiU"/>
          <w:lang w:eastAsia="zh-TW"/>
        </w:rPr>
        <w:t>shown in</w:t>
      </w:r>
      <w:r>
        <w:t xml:space="preserve"> </w:t>
      </w:r>
      <w:r>
        <w:fldChar w:fldCharType="begin"/>
      </w:r>
      <w:r>
        <w:instrText xml:space="preserve"> REF _Ref72855080 \h </w:instrText>
      </w:r>
      <w: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14</w:t>
      </w:r>
      <w:r>
        <w:fldChar w:fldCharType="end"/>
      </w:r>
      <w:r w:rsidRPr="4AA7083E">
        <w:rPr>
          <w:rFonts w:eastAsia="PMingLiU"/>
          <w:lang w:eastAsia="zh-TW"/>
        </w:rPr>
        <w:t xml:space="preserve">. The gray lines </w:t>
      </w:r>
      <w:r>
        <w:t xml:space="preserve">show the annual total generation </w:t>
      </w:r>
      <w:r w:rsidR="00257748">
        <w:t xml:space="preserve">for all </w:t>
      </w:r>
      <w:r w:rsidR="006A69C2">
        <w:t>96 members of the ensemble hydropower projections</w:t>
      </w:r>
      <w:r w:rsidR="006A69C2" w:rsidRPr="4AA7083E">
        <w:rPr>
          <w:rFonts w:eastAsia="PMingLiU"/>
          <w:lang w:eastAsia="zh-TW"/>
        </w:rPr>
        <w:t>,</w:t>
      </w:r>
      <w:r w:rsidR="006A69C2">
        <w:rPr>
          <w:rFonts w:eastAsia="PMingLiU"/>
          <w:lang w:eastAsia="zh-TW"/>
        </w:rPr>
        <w:t xml:space="preserve"> and</w:t>
      </w:r>
      <w:r w:rsidR="006A69C2" w:rsidRPr="4AA7083E">
        <w:rPr>
          <w:rFonts w:eastAsia="PMingLiU"/>
          <w:lang w:eastAsia="zh-TW"/>
        </w:rPr>
        <w:t xml:space="preserve"> the black line represents the </w:t>
      </w:r>
      <w:r w:rsidR="006A69C2">
        <w:rPr>
          <w:rFonts w:eastAsia="PMingLiU"/>
          <w:lang w:eastAsia="zh-TW"/>
        </w:rPr>
        <w:t>ensemble</w:t>
      </w:r>
      <w:r w:rsidR="006A69C2" w:rsidRPr="4AA7083E">
        <w:rPr>
          <w:rFonts w:eastAsia="PMingLiU"/>
          <w:lang w:eastAsia="zh-TW"/>
        </w:rPr>
        <w:t xml:space="preserve"> median</w:t>
      </w:r>
      <w:r w:rsidR="006A69C2">
        <w:rPr>
          <w:rFonts w:eastAsia="PMingLiU"/>
          <w:lang w:eastAsia="zh-TW"/>
        </w:rPr>
        <w:t>;</w:t>
      </w:r>
      <w:r w:rsidR="006A69C2" w:rsidRPr="4AA7083E">
        <w:rPr>
          <w:rFonts w:eastAsia="PMingLiU"/>
          <w:lang w:eastAsia="zh-TW"/>
        </w:rPr>
        <w:t xml:space="preserve"> the </w:t>
      </w:r>
      <w:r w:rsidR="006A69C2">
        <w:rPr>
          <w:rFonts w:eastAsia="PMingLiU"/>
          <w:lang w:eastAsia="zh-TW"/>
        </w:rPr>
        <w:t>blue</w:t>
      </w:r>
      <w:r w:rsidR="006A69C2" w:rsidRPr="4AA7083E">
        <w:rPr>
          <w:rFonts w:eastAsia="PMingLiU"/>
          <w:lang w:eastAsia="zh-TW"/>
        </w:rPr>
        <w:t xml:space="preserve"> line show</w:t>
      </w:r>
      <w:r w:rsidR="006A69C2">
        <w:rPr>
          <w:rFonts w:eastAsia="PMingLiU"/>
          <w:lang w:eastAsia="zh-TW"/>
        </w:rPr>
        <w:t>s</w:t>
      </w:r>
      <w:r w:rsidR="006A69C2" w:rsidRPr="4AA7083E">
        <w:rPr>
          <w:rFonts w:eastAsia="PMingLiU"/>
          <w:lang w:eastAsia="zh-TW"/>
        </w:rPr>
        <w:t xml:space="preserve"> the 1980–2019 historic observation from EIA and PMAs</w:t>
      </w:r>
      <w:r w:rsidRPr="4AA7083E">
        <w:rPr>
          <w:rFonts w:eastAsia="PMingLiU"/>
          <w:lang w:eastAsia="zh-TW"/>
        </w:rPr>
        <w:t xml:space="preserve">. The corresponding probability distributions </w:t>
      </w:r>
      <w:r>
        <w:rPr>
          <w:rFonts w:eastAsia="PMingLiU"/>
          <w:lang w:eastAsia="zh-TW"/>
        </w:rPr>
        <w:t xml:space="preserve">of annual generation </w:t>
      </w:r>
      <w:r w:rsidRPr="4AA7083E">
        <w:rPr>
          <w:rFonts w:eastAsia="PMingLiU"/>
          <w:lang w:eastAsia="zh-TW"/>
        </w:rPr>
        <w:t xml:space="preserve">in the baseline and future periods are compared in the right panel. A two-sample Kolmogorov-Smirnov test </w:t>
      </w:r>
      <w:r>
        <w:t>at the 5% significance level</w:t>
      </w:r>
      <w:r w:rsidRPr="4AA7083E">
        <w:rPr>
          <w:rFonts w:eastAsia="PMingLiU"/>
          <w:lang w:eastAsia="zh-TW"/>
        </w:rPr>
        <w:t xml:space="preserve"> </w:t>
      </w:r>
      <w:r w:rsidR="00FA280A">
        <w:t>was</w:t>
      </w:r>
      <w:r w:rsidRPr="4AA7083E">
        <w:rPr>
          <w:rFonts w:eastAsia="PMingLiU"/>
          <w:lang w:eastAsia="zh-TW"/>
        </w:rPr>
        <w:t xml:space="preserve"> used to determine </w:t>
      </w:r>
      <w:r w:rsidR="00911BB4">
        <w:rPr>
          <w:rFonts w:eastAsia="PMingLiU"/>
          <w:lang w:eastAsia="zh-TW"/>
        </w:rPr>
        <w:t xml:space="preserve">whether </w:t>
      </w:r>
      <w:r w:rsidRPr="4AA7083E">
        <w:rPr>
          <w:rFonts w:eastAsia="PMingLiU"/>
          <w:lang w:eastAsia="zh-TW"/>
        </w:rPr>
        <w:t>the difference between baseline and future periods is statistically significant.</w:t>
      </w:r>
    </w:p>
    <w:p w14:paraId="68B9A667" w14:textId="0C62F685" w:rsidR="004E16CD" w:rsidRDefault="004E16CD" w:rsidP="004E16CD">
      <w:pPr>
        <w:pStyle w:val="BodyText"/>
        <w:rPr>
          <w:rFonts w:eastAsia="PMingLiU"/>
          <w:lang w:eastAsia="zh-TW"/>
        </w:rPr>
      </w:pPr>
      <w:r>
        <w:rPr>
          <w:rFonts w:eastAsia="PMingLiU"/>
          <w:lang w:eastAsia="zh-TW"/>
        </w:rPr>
        <w:t>The comparison (</w:t>
      </w:r>
      <w:r>
        <w:rPr>
          <w:rFonts w:eastAsia="PMingLiU"/>
          <w:lang w:eastAsia="zh-TW"/>
        </w:rPr>
        <w:fldChar w:fldCharType="begin"/>
      </w:r>
      <w:r>
        <w:rPr>
          <w:rFonts w:eastAsia="PMingLiU"/>
          <w:lang w:eastAsia="zh-TW"/>
        </w:rPr>
        <w:instrText xml:space="preserve"> REF _Ref72855080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14</w:t>
      </w:r>
      <w:r>
        <w:rPr>
          <w:rFonts w:eastAsia="PMingLiU"/>
          <w:lang w:eastAsia="zh-TW"/>
        </w:rPr>
        <w:fldChar w:fldCharType="end"/>
      </w:r>
      <w:r>
        <w:rPr>
          <w:rFonts w:eastAsia="PMingLiU"/>
          <w:lang w:eastAsia="zh-TW"/>
        </w:rPr>
        <w:t xml:space="preserve">, left column) suggests that the range of simulated and observed annual hydropower is generally consistent across all WAPA areas. However, the shapes of the probability </w:t>
      </w:r>
      <w:r>
        <w:t xml:space="preserve">distributions </w:t>
      </w:r>
      <w:r>
        <w:rPr>
          <w:rFonts w:eastAsia="PMingLiU"/>
          <w:lang w:eastAsia="zh-TW"/>
        </w:rPr>
        <w:t>revealed that significant changes in interannual variability will occur in some WAPA areas. Specifically, in WAPA-2, WAPA-3, WAPA-5, and WAPA-6, the future generations show narrower distributions with sharper peaks (</w:t>
      </w:r>
      <w:r>
        <w:rPr>
          <w:rFonts w:eastAsia="PMingLiU"/>
          <w:lang w:eastAsia="zh-TW"/>
        </w:rPr>
        <w:fldChar w:fldCharType="begin"/>
      </w:r>
      <w:r>
        <w:rPr>
          <w:rFonts w:eastAsia="PMingLiU"/>
          <w:lang w:eastAsia="zh-TW"/>
        </w:rPr>
        <w:instrText xml:space="preserve"> REF _Ref72855080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14</w:t>
      </w:r>
      <w:r>
        <w:rPr>
          <w:rFonts w:eastAsia="PMingLiU"/>
          <w:lang w:eastAsia="zh-TW"/>
        </w:rPr>
        <w:fldChar w:fldCharType="end"/>
      </w:r>
      <w:r>
        <w:t>, right column</w:t>
      </w:r>
      <w:r>
        <w:rPr>
          <w:rFonts w:eastAsia="PMingLiU"/>
          <w:lang w:eastAsia="zh-TW"/>
        </w:rPr>
        <w:t xml:space="preserve">). For WAPA-1 and WAPA-4, no noticeable difference was observed in the shape of probability </w:t>
      </w:r>
      <w:r>
        <w:t xml:space="preserve">distributions </w:t>
      </w:r>
      <w:r>
        <w:rPr>
          <w:rFonts w:eastAsia="PMingLiU"/>
          <w:lang w:eastAsia="zh-TW"/>
        </w:rPr>
        <w:t>between baseline and future periods; however, a shift to higher generation is noticeable.</w:t>
      </w:r>
    </w:p>
    <w:p w14:paraId="5582A357" w14:textId="556850B2" w:rsidR="00B611B0" w:rsidRDefault="00B611B0" w:rsidP="00050448">
      <w:pPr>
        <w:pStyle w:val="FIGUREposition"/>
        <w:rPr>
          <w:lang w:eastAsia="zh-TW"/>
        </w:rPr>
      </w:pPr>
      <w:r>
        <w:rPr>
          <w:noProof/>
        </w:rPr>
        <w:lastRenderedPageBreak/>
        <w:drawing>
          <wp:inline distT="0" distB="0" distL="0" distR="0" wp14:anchorId="32EC7689" wp14:editId="158A4A3D">
            <wp:extent cx="5486393" cy="1828798"/>
            <wp:effectExtent l="0" t="0" r="635" b="63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noChangeArrowheads="1"/>
                    </pic:cNvPicPr>
                  </pic:nvPicPr>
                  <pic:blipFill>
                    <a:blip r:embed="rId159"/>
                    <a:stretch>
                      <a:fillRect/>
                    </a:stretch>
                  </pic:blipFill>
                  <pic:spPr bwMode="auto">
                    <a:xfrm>
                      <a:off x="0" y="0"/>
                      <a:ext cx="5486393" cy="1828798"/>
                    </a:xfrm>
                    <a:prstGeom prst="rect">
                      <a:avLst/>
                    </a:prstGeom>
                    <a:noFill/>
                    <a:ln>
                      <a:noFill/>
                    </a:ln>
                  </pic:spPr>
                </pic:pic>
              </a:graphicData>
            </a:graphic>
          </wp:inline>
        </w:drawing>
      </w:r>
      <w:r>
        <w:rPr>
          <w:noProof/>
        </w:rPr>
        <w:drawing>
          <wp:inline distT="0" distB="0" distL="0" distR="0" wp14:anchorId="0510BEFD" wp14:editId="6AC99624">
            <wp:extent cx="5486393" cy="1828798"/>
            <wp:effectExtent l="0" t="0" r="635" b="63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pic:cNvPicPr>
                      <a:picLocks noChangeAspect="1" noChangeArrowheads="1"/>
                    </pic:cNvPicPr>
                  </pic:nvPicPr>
                  <pic:blipFill>
                    <a:blip r:embed="rId160"/>
                    <a:stretch>
                      <a:fillRect/>
                    </a:stretch>
                  </pic:blipFill>
                  <pic:spPr bwMode="auto">
                    <a:xfrm>
                      <a:off x="0" y="0"/>
                      <a:ext cx="5486393" cy="1828798"/>
                    </a:xfrm>
                    <a:prstGeom prst="rect">
                      <a:avLst/>
                    </a:prstGeom>
                    <a:noFill/>
                    <a:ln>
                      <a:noFill/>
                    </a:ln>
                  </pic:spPr>
                </pic:pic>
              </a:graphicData>
            </a:graphic>
          </wp:inline>
        </w:drawing>
      </w:r>
      <w:r>
        <w:rPr>
          <w:noProof/>
        </w:rPr>
        <w:drawing>
          <wp:inline distT="0" distB="0" distL="0" distR="0" wp14:anchorId="30A7342A" wp14:editId="3DA7427F">
            <wp:extent cx="5486393" cy="1828798"/>
            <wp:effectExtent l="0" t="0" r="635" b="63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pic:cNvPicPr>
                      <a:picLocks noChangeAspect="1" noChangeArrowheads="1"/>
                    </pic:cNvPicPr>
                  </pic:nvPicPr>
                  <pic:blipFill>
                    <a:blip r:embed="rId161"/>
                    <a:stretch>
                      <a:fillRect/>
                    </a:stretch>
                  </pic:blipFill>
                  <pic:spPr bwMode="auto">
                    <a:xfrm>
                      <a:off x="0" y="0"/>
                      <a:ext cx="5486393" cy="1828798"/>
                    </a:xfrm>
                    <a:prstGeom prst="rect">
                      <a:avLst/>
                    </a:prstGeom>
                    <a:noFill/>
                    <a:ln>
                      <a:noFill/>
                    </a:ln>
                  </pic:spPr>
                </pic:pic>
              </a:graphicData>
            </a:graphic>
          </wp:inline>
        </w:drawing>
      </w:r>
      <w:r w:rsidR="008B1DAB">
        <w:rPr>
          <w:noProof/>
        </w:rPr>
        <w:drawing>
          <wp:inline distT="0" distB="0" distL="0" distR="0" wp14:anchorId="30C7ED66" wp14:editId="00EB3EE5">
            <wp:extent cx="5486393" cy="1828798"/>
            <wp:effectExtent l="0" t="0" r="635"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pic:cNvPicPr>
                      <a:picLocks noChangeAspect="1" noChangeArrowheads="1"/>
                    </pic:cNvPicPr>
                  </pic:nvPicPr>
                  <pic:blipFill>
                    <a:blip r:embed="rId162"/>
                    <a:stretch>
                      <a:fillRect/>
                    </a:stretch>
                  </pic:blipFill>
                  <pic:spPr bwMode="auto">
                    <a:xfrm>
                      <a:off x="0" y="0"/>
                      <a:ext cx="5486393" cy="1828798"/>
                    </a:xfrm>
                    <a:prstGeom prst="rect">
                      <a:avLst/>
                    </a:prstGeom>
                    <a:noFill/>
                    <a:ln>
                      <a:noFill/>
                    </a:ln>
                  </pic:spPr>
                </pic:pic>
              </a:graphicData>
            </a:graphic>
          </wp:inline>
        </w:drawing>
      </w:r>
      <w:r>
        <w:rPr>
          <w:noProof/>
        </w:rPr>
        <w:lastRenderedPageBreak/>
        <w:drawing>
          <wp:inline distT="0" distB="0" distL="0" distR="0" wp14:anchorId="6909171B" wp14:editId="27E4E876">
            <wp:extent cx="5486393" cy="1828798"/>
            <wp:effectExtent l="0" t="0" r="635" b="63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pic:cNvPicPr>
                      <a:picLocks noChangeAspect="1" noChangeArrowheads="1"/>
                    </pic:cNvPicPr>
                  </pic:nvPicPr>
                  <pic:blipFill>
                    <a:blip r:embed="rId163"/>
                    <a:stretch>
                      <a:fillRect/>
                    </a:stretch>
                  </pic:blipFill>
                  <pic:spPr bwMode="auto">
                    <a:xfrm>
                      <a:off x="0" y="0"/>
                      <a:ext cx="5486393" cy="1828798"/>
                    </a:xfrm>
                    <a:prstGeom prst="rect">
                      <a:avLst/>
                    </a:prstGeom>
                    <a:noFill/>
                    <a:ln>
                      <a:noFill/>
                    </a:ln>
                  </pic:spPr>
                </pic:pic>
              </a:graphicData>
            </a:graphic>
          </wp:inline>
        </w:drawing>
      </w:r>
      <w:r>
        <w:rPr>
          <w:noProof/>
        </w:rPr>
        <w:drawing>
          <wp:inline distT="0" distB="0" distL="0" distR="0" wp14:anchorId="087C5204" wp14:editId="659736C3">
            <wp:extent cx="5486393" cy="1828798"/>
            <wp:effectExtent l="0" t="0" r="635" b="63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pic:cNvPicPr>
                      <a:picLocks noChangeAspect="1" noChangeArrowheads="1"/>
                    </pic:cNvPicPr>
                  </pic:nvPicPr>
                  <pic:blipFill>
                    <a:blip r:embed="rId164"/>
                    <a:stretch>
                      <a:fillRect/>
                    </a:stretch>
                  </pic:blipFill>
                  <pic:spPr bwMode="auto">
                    <a:xfrm>
                      <a:off x="0" y="0"/>
                      <a:ext cx="5486393" cy="1828798"/>
                    </a:xfrm>
                    <a:prstGeom prst="rect">
                      <a:avLst/>
                    </a:prstGeom>
                    <a:noFill/>
                    <a:ln>
                      <a:noFill/>
                    </a:ln>
                  </pic:spPr>
                </pic:pic>
              </a:graphicData>
            </a:graphic>
          </wp:inline>
        </w:drawing>
      </w:r>
    </w:p>
    <w:p w14:paraId="6AC9E30C" w14:textId="50C1E3E7" w:rsidR="00B611B0" w:rsidRDefault="009A50C0" w:rsidP="00050448">
      <w:pPr>
        <w:pStyle w:val="FigureCaption"/>
        <w:rPr>
          <w:lang w:eastAsia="zh-TW"/>
        </w:rPr>
      </w:pPr>
      <w:bookmarkStart w:id="389" w:name="_Ref72855080"/>
      <w:bookmarkStart w:id="390" w:name="_Toc113380921"/>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14</w:t>
      </w:r>
      <w:r w:rsidRPr="00F61532">
        <w:rPr>
          <w:lang w:eastAsia="zh-TW"/>
        </w:rPr>
        <w:fldChar w:fldCharType="end"/>
      </w:r>
      <w:bookmarkEnd w:id="389"/>
      <w:r w:rsidR="00B611B0" w:rsidRPr="002B0001">
        <w:rPr>
          <w:lang w:eastAsia="zh-TW"/>
        </w:rPr>
        <w:t xml:space="preserve">. </w:t>
      </w:r>
      <w:r w:rsidR="00B611B0" w:rsidRPr="00F61532">
        <w:rPr>
          <w:lang w:eastAsia="zh-TW"/>
        </w:rPr>
        <w:t xml:space="preserve">Projected annual </w:t>
      </w:r>
      <w:r w:rsidR="00B611B0">
        <w:rPr>
          <w:lang w:eastAsia="zh-TW"/>
        </w:rPr>
        <w:t>total</w:t>
      </w:r>
      <w:r w:rsidR="00B611B0" w:rsidRPr="00F61532">
        <w:rPr>
          <w:lang w:eastAsia="zh-TW"/>
        </w:rPr>
        <w:t xml:space="preserve"> </w:t>
      </w:r>
      <w:r w:rsidR="00B611B0">
        <w:rPr>
          <w:lang w:eastAsia="zh-TW"/>
        </w:rPr>
        <w:t>generation</w:t>
      </w:r>
      <w:r w:rsidR="00B611B0" w:rsidRPr="00F61532">
        <w:rPr>
          <w:lang w:eastAsia="zh-TW"/>
        </w:rPr>
        <w:t xml:space="preserve"> in</w:t>
      </w:r>
      <w:r w:rsidR="00B611B0">
        <w:rPr>
          <w:lang w:eastAsia="zh-TW"/>
        </w:rPr>
        <w:t xml:space="preserve"> the WAPA region</w:t>
      </w:r>
      <w:r w:rsidR="00B611B0" w:rsidRPr="00F61532">
        <w:rPr>
          <w:lang w:eastAsia="zh-TW"/>
        </w:rPr>
        <w:t>.</w:t>
      </w:r>
      <w:bookmarkEnd w:id="390"/>
    </w:p>
    <w:p w14:paraId="3C4E02B5" w14:textId="77777777" w:rsidR="006B4973" w:rsidRDefault="006B4973" w:rsidP="0043509C">
      <w:pPr>
        <w:pStyle w:val="BodyText"/>
        <w:rPr>
          <w:rFonts w:eastAsia="PMingLiU"/>
          <w:lang w:eastAsia="zh-TW"/>
        </w:rPr>
      </w:pPr>
    </w:p>
    <w:p w14:paraId="6531B95C" w14:textId="79F466FD" w:rsidR="0043509C" w:rsidRDefault="0043509C" w:rsidP="0043509C">
      <w:pPr>
        <w:pStyle w:val="BodyText"/>
        <w:rPr>
          <w:rFonts w:eastAsia="PMingLiU"/>
          <w:lang w:eastAsia="zh-TW"/>
        </w:rPr>
      </w:pPr>
      <w:r w:rsidRPr="4AA7083E">
        <w:rPr>
          <w:rFonts w:eastAsia="PMingLiU"/>
          <w:lang w:eastAsia="zh-TW"/>
        </w:rPr>
        <w:t>The annual and seasonal change in hydropower generation is further summarized in</w:t>
      </w:r>
      <w:r>
        <w:t xml:space="preserve"> </w:t>
      </w:r>
      <w:r>
        <w:fldChar w:fldCharType="begin"/>
      </w:r>
      <w:r>
        <w:instrText xml:space="preserve"> REF _Ref72855133 \h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15</w:t>
      </w:r>
      <w:r>
        <w:fldChar w:fldCharType="end"/>
      </w:r>
      <w:r w:rsidRPr="4AA7083E">
        <w:rPr>
          <w:rFonts w:eastAsia="PMingLiU"/>
          <w:lang w:eastAsia="zh-TW"/>
        </w:rPr>
        <w:t xml:space="preserve">. The change in </w:t>
      </w:r>
      <w:r>
        <w:fldChar w:fldCharType="begin"/>
      </w:r>
      <w:r w:rsidRPr="4AA7083E">
        <w:rPr>
          <w:rFonts w:eastAsia="PMingLiU"/>
          <w:lang w:eastAsia="zh-TW"/>
        </w:rPr>
        <w:instrText xml:space="preserve"> REF _Ref72855133 \h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15</w:t>
      </w:r>
      <w:r>
        <w:fldChar w:fldCharType="end"/>
      </w:r>
      <w:r>
        <w:t xml:space="preserve"> </w:t>
      </w:r>
      <w:r w:rsidRPr="4AA7083E">
        <w:rPr>
          <w:rFonts w:eastAsia="PMingLiU"/>
          <w:lang w:eastAsia="zh-TW"/>
        </w:rPr>
        <w:t xml:space="preserve">is defined as the percentage difference of future periods (2020–2039 and 2040–2059) compared </w:t>
      </w:r>
      <w:r>
        <w:t>with</w:t>
      </w:r>
      <w:r w:rsidRPr="4AA7083E">
        <w:rPr>
          <w:rFonts w:eastAsia="PMingLiU"/>
          <w:lang w:eastAsia="zh-TW"/>
        </w:rPr>
        <w:t xml:space="preserve"> the baseline period</w:t>
      </w:r>
      <w:r>
        <w:rPr>
          <w:rFonts w:eastAsia="PMingLiU"/>
          <w:lang w:eastAsia="zh-TW"/>
        </w:rPr>
        <w:t xml:space="preserve"> (</w:t>
      </w:r>
      <w:r w:rsidRPr="4AA7083E">
        <w:rPr>
          <w:rFonts w:eastAsia="PMingLiU"/>
          <w:lang w:eastAsia="zh-TW"/>
        </w:rPr>
        <w:t>1980–2019</w:t>
      </w:r>
      <w:r>
        <w:rPr>
          <w:rFonts w:eastAsia="PMingLiU"/>
          <w:lang w:eastAsia="zh-TW"/>
        </w:rPr>
        <w:t>)</w:t>
      </w:r>
      <w:r w:rsidRPr="4AA7083E">
        <w:rPr>
          <w:rFonts w:eastAsia="PMingLiU"/>
          <w:lang w:eastAsia="zh-TW"/>
        </w:rPr>
        <w:t xml:space="preserve">. Each box plot shows the spread across 96 </w:t>
      </w:r>
      <w:r>
        <w:rPr>
          <w:rFonts w:eastAsia="PMingLiU"/>
          <w:lang w:eastAsia="zh-TW"/>
        </w:rPr>
        <w:t>multimodel combinations;</w:t>
      </w:r>
      <w:r w:rsidRPr="4AA7083E">
        <w:rPr>
          <w:rFonts w:eastAsia="PMingLiU"/>
          <w:lang w:eastAsia="zh-TW"/>
        </w:rPr>
        <w:t xml:space="preserve"> the central mark </w:t>
      </w:r>
      <w:r>
        <w:t xml:space="preserve">indicates </w:t>
      </w:r>
      <w:r w:rsidRPr="4AA7083E">
        <w:rPr>
          <w:rFonts w:eastAsia="PMingLiU"/>
          <w:lang w:eastAsia="zh-TW"/>
        </w:rPr>
        <w:t xml:space="preserve">the </w:t>
      </w:r>
      <w:r>
        <w:rPr>
          <w:rFonts w:eastAsia="PMingLiU"/>
          <w:lang w:eastAsia="zh-TW"/>
        </w:rPr>
        <w:t>multimodel</w:t>
      </w:r>
      <w:r w:rsidRPr="4AA7083E">
        <w:rPr>
          <w:rFonts w:eastAsia="PMingLiU"/>
          <w:lang w:eastAsia="zh-TW"/>
        </w:rPr>
        <w:t xml:space="preserve"> median, </w:t>
      </w:r>
      <w:r>
        <w:rPr>
          <w:rFonts w:eastAsia="PMingLiU"/>
          <w:lang w:eastAsia="zh-TW"/>
        </w:rPr>
        <w:t xml:space="preserve">and </w:t>
      </w:r>
      <w:r w:rsidRPr="4AA7083E">
        <w:rPr>
          <w:rFonts w:eastAsia="PMingLiU"/>
          <w:lang w:eastAsia="zh-TW"/>
        </w:rPr>
        <w:t xml:space="preserve">the edges of box </w:t>
      </w:r>
      <w:r>
        <w:t xml:space="preserve">indicate </w:t>
      </w:r>
      <w:r w:rsidRPr="4AA7083E">
        <w:rPr>
          <w:rFonts w:eastAsia="PMingLiU"/>
          <w:lang w:eastAsia="zh-TW"/>
        </w:rPr>
        <w:t xml:space="preserve">the </w:t>
      </w:r>
      <w:r>
        <w:rPr>
          <w:rFonts w:eastAsia="PMingLiU"/>
          <w:lang w:eastAsia="zh-TW"/>
        </w:rPr>
        <w:t>25</w:t>
      </w:r>
      <w:r w:rsidR="00FA458A" w:rsidRPr="00FA458A">
        <w:rPr>
          <w:rFonts w:eastAsia="PMingLiU"/>
          <w:lang w:eastAsia="zh-TW"/>
        </w:rPr>
        <w:t>th</w:t>
      </w:r>
      <w:r w:rsidRPr="4AA7083E">
        <w:rPr>
          <w:rFonts w:eastAsia="PMingLiU"/>
          <w:lang w:eastAsia="zh-TW"/>
        </w:rPr>
        <w:t xml:space="preserve"> and </w:t>
      </w:r>
      <w:r>
        <w:rPr>
          <w:rFonts w:eastAsia="PMingLiU"/>
          <w:lang w:eastAsia="zh-TW"/>
        </w:rPr>
        <w:t>75</w:t>
      </w:r>
      <w:r w:rsidR="00FA458A" w:rsidRPr="00FA458A">
        <w:rPr>
          <w:rFonts w:eastAsia="PMingLiU"/>
          <w:lang w:eastAsia="zh-TW"/>
        </w:rPr>
        <w:t>th</w:t>
      </w:r>
      <w:r>
        <w:rPr>
          <w:rFonts w:eastAsia="PMingLiU"/>
          <w:lang w:eastAsia="zh-TW"/>
        </w:rPr>
        <w:t xml:space="preserve"> </w:t>
      </w:r>
      <w:r w:rsidRPr="4AA7083E">
        <w:rPr>
          <w:rFonts w:eastAsia="PMingLiU"/>
          <w:lang w:eastAsia="zh-TW"/>
        </w:rPr>
        <w:t xml:space="preserve">percentiles. The maximum whisker length is 1.5 times </w:t>
      </w:r>
      <w:r>
        <w:rPr>
          <w:rFonts w:eastAsia="PMingLiU"/>
          <w:lang w:eastAsia="zh-TW"/>
        </w:rPr>
        <w:t xml:space="preserve">the </w:t>
      </w:r>
      <w:r w:rsidRPr="4AA7083E">
        <w:rPr>
          <w:rFonts w:eastAsia="PMingLiU"/>
          <w:lang w:eastAsia="zh-TW"/>
        </w:rPr>
        <w:t>box height (</w:t>
      </w:r>
      <w:r>
        <w:rPr>
          <w:rFonts w:eastAsia="PMingLiU"/>
          <w:lang w:eastAsia="zh-TW"/>
        </w:rPr>
        <w:t>25</w:t>
      </w:r>
      <w:r w:rsidR="00FA458A" w:rsidRPr="00FA458A">
        <w:rPr>
          <w:rFonts w:eastAsia="PMingLiU"/>
          <w:lang w:eastAsia="zh-TW"/>
        </w:rPr>
        <w:t>th</w:t>
      </w:r>
      <w:r>
        <w:rPr>
          <w:rFonts w:eastAsia="PMingLiU"/>
          <w:lang w:eastAsia="zh-TW"/>
        </w:rPr>
        <w:t xml:space="preserve"> </w:t>
      </w:r>
      <w:r w:rsidRPr="4AA7083E">
        <w:rPr>
          <w:rFonts w:eastAsia="PMingLiU"/>
          <w:lang w:eastAsia="zh-TW"/>
        </w:rPr>
        <w:t xml:space="preserve">to </w:t>
      </w:r>
      <w:r>
        <w:rPr>
          <w:rFonts w:eastAsia="PMingLiU"/>
          <w:lang w:eastAsia="zh-TW"/>
        </w:rPr>
        <w:t>75</w:t>
      </w:r>
      <w:r w:rsidR="00FA458A" w:rsidRPr="00FA458A">
        <w:rPr>
          <w:rFonts w:eastAsia="PMingLiU"/>
          <w:lang w:eastAsia="zh-TW"/>
        </w:rPr>
        <w:t>th</w:t>
      </w:r>
      <w:r>
        <w:rPr>
          <w:rFonts w:eastAsia="PMingLiU"/>
          <w:lang w:eastAsia="zh-TW"/>
        </w:rPr>
        <w:t xml:space="preserve"> </w:t>
      </w:r>
      <w:r w:rsidRPr="4AA7083E">
        <w:rPr>
          <w:rFonts w:eastAsia="PMingLiU"/>
          <w:lang w:eastAsia="zh-TW"/>
        </w:rPr>
        <w:t xml:space="preserve">percentiles). Ensemble members outside of the maximum whisker length are considered </w:t>
      </w:r>
      <w:r>
        <w:rPr>
          <w:rFonts w:eastAsia="PMingLiU"/>
          <w:lang w:eastAsia="zh-TW"/>
        </w:rPr>
        <w:t>statistical outliers (but should not be excluded in the context of climate change)</w:t>
      </w:r>
      <w:r w:rsidRPr="4AA7083E">
        <w:rPr>
          <w:rFonts w:eastAsia="PMingLiU"/>
          <w:lang w:eastAsia="zh-TW"/>
        </w:rPr>
        <w:t>.</w:t>
      </w:r>
    </w:p>
    <w:p w14:paraId="502DF144" w14:textId="51070C46" w:rsidR="006B4973" w:rsidRDefault="006B4973" w:rsidP="006B4973">
      <w:pPr>
        <w:pStyle w:val="BodyText"/>
        <w:rPr>
          <w:lang w:eastAsia="zh-TW"/>
        </w:rPr>
      </w:pPr>
      <w:r>
        <w:t xml:space="preserve">The annual hydropower generation is projected to increase significantly in most of the WAPA areas. </w:t>
      </w:r>
      <w:r>
        <w:rPr>
          <w:lang w:eastAsia="zh-TW"/>
        </w:rPr>
        <w:t>More specifically, the annual hydropower generation in the near-term (2020–2039) future period is projected to increase from 2% to 7%</w:t>
      </w:r>
      <w:r w:rsidRPr="00E367B2">
        <w:rPr>
          <w:lang w:eastAsia="zh-TW"/>
        </w:rPr>
        <w:t xml:space="preserve"> </w:t>
      </w:r>
      <w:r>
        <w:rPr>
          <w:lang w:eastAsia="zh-TW"/>
        </w:rPr>
        <w:t>(</w:t>
      </w:r>
      <w:r w:rsidRPr="00E367B2">
        <w:rPr>
          <w:lang w:eastAsia="zh-TW"/>
        </w:rPr>
        <w:t xml:space="preserve">in terms of </w:t>
      </w:r>
      <w:r>
        <w:rPr>
          <w:lang w:eastAsia="zh-TW"/>
        </w:rPr>
        <w:t>multimodel</w:t>
      </w:r>
      <w:r w:rsidRPr="00E367B2">
        <w:rPr>
          <w:lang w:eastAsia="zh-TW"/>
        </w:rPr>
        <w:t xml:space="preserve"> median)</w:t>
      </w:r>
      <w:r>
        <w:rPr>
          <w:lang w:eastAsia="zh-TW"/>
        </w:rPr>
        <w:t xml:space="preserve"> in all WAPA study areas, except for WAPA-5, where the annual generation is expected to remain stable (</w:t>
      </w:r>
      <w:r>
        <w:fldChar w:fldCharType="begin"/>
      </w:r>
      <w:r>
        <w:rPr>
          <w:lang w:eastAsia="zh-TW"/>
        </w:rPr>
        <w:instrText xml:space="preserve"> REF _Ref72855133 \h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15</w:t>
      </w:r>
      <w:r>
        <w:fldChar w:fldCharType="end"/>
      </w:r>
      <w:r>
        <w:t>)</w:t>
      </w:r>
      <w:r>
        <w:rPr>
          <w:lang w:eastAsia="zh-TW"/>
        </w:rPr>
        <w:t xml:space="preserve">. Similarly, the annual hydropower generation in the mid-term (2040–2059) future period is projected to </w:t>
      </w:r>
      <w:r w:rsidRPr="00E367B2">
        <w:rPr>
          <w:lang w:eastAsia="zh-TW"/>
        </w:rPr>
        <w:t>increase</w:t>
      </w:r>
      <w:r>
        <w:rPr>
          <w:lang w:eastAsia="zh-TW"/>
        </w:rPr>
        <w:t xml:space="preserve"> by 10% in all WAPA study areas,</w:t>
      </w:r>
      <w:r w:rsidRPr="00E367B2">
        <w:rPr>
          <w:lang w:eastAsia="zh-TW"/>
        </w:rPr>
        <w:t xml:space="preserve"> </w:t>
      </w:r>
      <w:r>
        <w:rPr>
          <w:lang w:eastAsia="zh-TW"/>
        </w:rPr>
        <w:t>except for WAPA-5, where the annual generation will increase slightly (2%).</w:t>
      </w:r>
    </w:p>
    <w:p w14:paraId="0D8DABA0" w14:textId="77777777" w:rsidR="006B4973" w:rsidRDefault="006B4973" w:rsidP="006B4973">
      <w:pPr>
        <w:pStyle w:val="BodyText"/>
        <w:rPr>
          <w:rFonts w:eastAsia="PMingLiU"/>
          <w:lang w:eastAsia="zh-TW"/>
        </w:rPr>
      </w:pPr>
      <w:r>
        <w:rPr>
          <w:rFonts w:eastAsia="PMingLiU"/>
          <w:lang w:eastAsia="zh-TW"/>
        </w:rPr>
        <w:t>The WAPA study areas cover vast regions from Upper Missouri to California with diverse climate features, and this diversity is also reflected in the future seasonal hydropower generation projections. In WAPA-1, seasonal generation is expected to increase by 4%–8% in the near-term and 8%–14% in the mid-term future periods. The highest increase is projected in spring (8% and 14% in the two respective future periods), and the lowest increase is projected in summer (4% and 8% in the two respective future periods). The increase in hydropower generation in WAPA-1 is mostly caused by the precipitation increase in the Upper Missouri River basin, especially during winter and spring.</w:t>
      </w:r>
    </w:p>
    <w:p w14:paraId="7D4B6350" w14:textId="77777777" w:rsidR="006B4973" w:rsidRDefault="006B4973" w:rsidP="0043509C">
      <w:pPr>
        <w:pStyle w:val="BodyText"/>
        <w:rPr>
          <w:rFonts w:eastAsia="PMingLiU"/>
          <w:lang w:eastAsia="zh-TW"/>
        </w:rPr>
      </w:pPr>
    </w:p>
    <w:p w14:paraId="3AB8300E" w14:textId="77777777" w:rsidR="009868FB" w:rsidRDefault="009868FB" w:rsidP="009868FB">
      <w:pPr>
        <w:pStyle w:val="FIGUREposition"/>
        <w:rPr>
          <w:lang w:eastAsia="zh-TW"/>
        </w:rPr>
      </w:pPr>
      <w:r>
        <w:rPr>
          <w:noProof/>
        </w:rPr>
        <w:lastRenderedPageBreak/>
        <w:drawing>
          <wp:inline distT="0" distB="0" distL="0" distR="0" wp14:anchorId="0D9DAF84" wp14:editId="756305BC">
            <wp:extent cx="2743200" cy="18288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a:picLocks noChangeAspect="1" noChangeArrowheads="1"/>
                    </pic:cNvPicPr>
                  </pic:nvPicPr>
                  <pic:blipFill>
                    <a:blip r:embed="rId165"/>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2DFF2A2" wp14:editId="146C1C14">
            <wp:extent cx="2743200" cy="18288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noChangeArrowheads="1"/>
                    </pic:cNvPicPr>
                  </pic:nvPicPr>
                  <pic:blipFill>
                    <a:blip r:embed="rId166"/>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27DDC0C" wp14:editId="016F755B">
            <wp:extent cx="2743200" cy="18288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noChangeArrowheads="1"/>
                    </pic:cNvPicPr>
                  </pic:nvPicPr>
                  <pic:blipFill>
                    <a:blip r:embed="rId167"/>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2BF5D1FE" wp14:editId="1085BE04">
            <wp:extent cx="2743200" cy="18288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a:picLocks noChangeAspect="1" noChangeArrowheads="1"/>
                    </pic:cNvPicPr>
                  </pic:nvPicPr>
                  <pic:blipFill>
                    <a:blip r:embed="rId168"/>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5D75C08" wp14:editId="61F2866B">
            <wp:extent cx="2743200" cy="18288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a:picLocks noChangeAspect="1" noChangeArrowheads="1"/>
                    </pic:cNvPicPr>
                  </pic:nvPicPr>
                  <pic:blipFill>
                    <a:blip r:embed="rId169"/>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301BA17F" wp14:editId="2F0F4AD2">
            <wp:extent cx="2743200" cy="182880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170"/>
                    <a:stretch>
                      <a:fillRect/>
                    </a:stretch>
                  </pic:blipFill>
                  <pic:spPr bwMode="auto">
                    <a:xfrm>
                      <a:off x="0" y="0"/>
                      <a:ext cx="2743200" cy="1828800"/>
                    </a:xfrm>
                    <a:prstGeom prst="rect">
                      <a:avLst/>
                    </a:prstGeom>
                    <a:noFill/>
                    <a:ln>
                      <a:noFill/>
                    </a:ln>
                  </pic:spPr>
                </pic:pic>
              </a:graphicData>
            </a:graphic>
          </wp:inline>
        </w:drawing>
      </w:r>
    </w:p>
    <w:p w14:paraId="47186313" w14:textId="6C6772C5" w:rsidR="009868FB" w:rsidRPr="002B0001" w:rsidRDefault="009868FB" w:rsidP="009868FB">
      <w:pPr>
        <w:pStyle w:val="FigureCaption"/>
        <w:rPr>
          <w:lang w:eastAsia="zh-TW"/>
        </w:rPr>
      </w:pPr>
      <w:bookmarkStart w:id="391" w:name="_Ref72855133"/>
      <w:bookmarkStart w:id="392" w:name="_Toc113380922"/>
      <w:r>
        <w:rPr>
          <w:lang w:eastAsia="zh-TW"/>
        </w:rPr>
        <w:t>Figure</w:t>
      </w:r>
      <w:r w:rsidRPr="002B0001">
        <w:rPr>
          <w:lang w:eastAsia="zh-TW"/>
        </w:rPr>
        <w:t xml:space="preserve"> </w:t>
      </w:r>
      <w:r w:rsidRPr="002B0001">
        <w:rPr>
          <w:lang w:eastAsia="zh-TW"/>
        </w:rPr>
        <w:fldChar w:fldCharType="begin"/>
      </w:r>
      <w:r w:rsidRPr="002B0001">
        <w:rPr>
          <w:lang w:eastAsia="zh-TW"/>
        </w:rPr>
        <w:instrText xml:space="preserve"> STYLEREF 1 \s </w:instrText>
      </w:r>
      <w:r w:rsidRPr="002B0001">
        <w:rPr>
          <w:lang w:eastAsia="zh-TW"/>
        </w:rPr>
        <w:fldChar w:fldCharType="separate"/>
      </w:r>
      <w:r w:rsidR="00EE0BF5">
        <w:rPr>
          <w:noProof/>
          <w:lang w:eastAsia="zh-TW"/>
        </w:rPr>
        <w:t>4</w:t>
      </w:r>
      <w:r w:rsidRPr="002B0001">
        <w:rPr>
          <w:lang w:eastAsia="zh-TW"/>
        </w:rPr>
        <w:fldChar w:fldCharType="end"/>
      </w:r>
      <w:r w:rsidRPr="002B0001">
        <w:rPr>
          <w:lang w:eastAsia="zh-TW"/>
        </w:rPr>
        <w:t>.</w:t>
      </w:r>
      <w:r w:rsidRPr="002B0001">
        <w:rPr>
          <w:lang w:eastAsia="zh-TW"/>
        </w:rPr>
        <w:fldChar w:fldCharType="begin"/>
      </w:r>
      <w:r w:rsidRPr="002B0001">
        <w:rPr>
          <w:lang w:eastAsia="zh-TW"/>
        </w:rPr>
        <w:instrText xml:space="preserve"> SEQ Figure \* ARABIC \s 1 </w:instrText>
      </w:r>
      <w:r w:rsidRPr="002B0001">
        <w:rPr>
          <w:lang w:eastAsia="zh-TW"/>
        </w:rPr>
        <w:fldChar w:fldCharType="separate"/>
      </w:r>
      <w:r w:rsidR="00EE0BF5">
        <w:rPr>
          <w:noProof/>
          <w:lang w:eastAsia="zh-TW"/>
        </w:rPr>
        <w:t>15</w:t>
      </w:r>
      <w:r w:rsidRPr="002B0001">
        <w:rPr>
          <w:lang w:eastAsia="zh-TW"/>
        </w:rPr>
        <w:fldChar w:fldCharType="end"/>
      </w:r>
      <w:bookmarkEnd w:id="391"/>
      <w:r w:rsidRPr="002B0001">
        <w:rPr>
          <w:lang w:eastAsia="zh-TW"/>
        </w:rPr>
        <w:t xml:space="preserve">. </w:t>
      </w:r>
      <w:r w:rsidRPr="00F61532">
        <w:rPr>
          <w:lang w:eastAsia="zh-TW"/>
        </w:rPr>
        <w:t xml:space="preserve">Projected change of annual and seasonal </w:t>
      </w:r>
      <w:r>
        <w:rPr>
          <w:lang w:eastAsia="zh-TW"/>
        </w:rPr>
        <w:t>total generation</w:t>
      </w:r>
      <w:r w:rsidRPr="00F61532">
        <w:rPr>
          <w:lang w:eastAsia="zh-TW"/>
        </w:rPr>
        <w:t xml:space="preserve"> in </w:t>
      </w:r>
      <w:r>
        <w:rPr>
          <w:lang w:eastAsia="zh-TW"/>
        </w:rPr>
        <w:t>the WAPA region</w:t>
      </w:r>
      <w:r w:rsidRPr="00F61532">
        <w:rPr>
          <w:lang w:eastAsia="zh-TW"/>
        </w:rPr>
        <w:t>.</w:t>
      </w:r>
      <w:bookmarkEnd w:id="392"/>
    </w:p>
    <w:p w14:paraId="1A727E8C" w14:textId="7E8AACC8" w:rsidR="0043509C" w:rsidRPr="00952F69" w:rsidRDefault="0043509C" w:rsidP="0043509C">
      <w:pPr>
        <w:pStyle w:val="BodyText"/>
        <w:rPr>
          <w:lang w:eastAsia="zh-TW"/>
        </w:rPr>
      </w:pPr>
      <w:r>
        <w:rPr>
          <w:rFonts w:eastAsia="PMingLiU"/>
          <w:lang w:eastAsia="zh-TW"/>
        </w:rPr>
        <w:t>WAPA-2 and WAPA-3 are in the snowmelt-dominated upper Colorado River basin, and these areas are projected to have an even larger spring generation percentage increase than WAPA-1. Spring generation is expected to increase by 10% in both WAPA-2 and WAPA-3 in the near-term future period, and by 18% (WAPA-2) and 16% (WAPA-3) in the mid-term future period. Winter generation is also expected to increase by 5% in the near-term and 10% in the mid-term future periods. By contrast, summer and fall generation only increase modestly for the two areas: 1%–3% in the near-term and 3%–7% in the mid-term future periods. The overall annual generation increase and the seasonal generation shift are the result of the winter and spring precipitation increase (</w:t>
      </w:r>
      <w:r>
        <w:rPr>
          <w:rFonts w:eastAsia="PMingLiU"/>
          <w:lang w:eastAsia="zh-TW"/>
        </w:rPr>
        <w:fldChar w:fldCharType="begin"/>
      </w:r>
      <w:r>
        <w:rPr>
          <w:rFonts w:eastAsia="PMingLiU"/>
          <w:lang w:eastAsia="zh-TW"/>
        </w:rPr>
        <w:instrText xml:space="preserve"> REF _Ref72854606 \h </w:instrText>
      </w:r>
      <w:r>
        <w:rPr>
          <w:rFonts w:eastAsia="PMingLiU"/>
          <w:lang w:eastAsia="zh-TW"/>
        </w:rPr>
      </w:r>
      <w:r>
        <w:rPr>
          <w:rFonts w:eastAsia="PMingLiU"/>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5</w:t>
      </w:r>
      <w:r>
        <w:rPr>
          <w:rFonts w:eastAsia="PMingLiU"/>
          <w:lang w:eastAsia="zh-TW"/>
        </w:rPr>
        <w:fldChar w:fldCharType="end"/>
      </w:r>
      <w:r>
        <w:rPr>
          <w:rFonts w:eastAsia="PMingLiU"/>
          <w:lang w:eastAsia="zh-TW"/>
        </w:rPr>
        <w:t>) and an earlier snowmelt process. The projected runoff (</w:t>
      </w:r>
      <w:r>
        <w:rPr>
          <w:rFonts w:eastAsia="PMingLiU"/>
          <w:lang w:eastAsia="zh-TW"/>
        </w:rPr>
        <w:fldChar w:fldCharType="begin"/>
      </w:r>
      <w:r>
        <w:rPr>
          <w:rFonts w:eastAsia="PMingLiU"/>
          <w:lang w:eastAsia="zh-TW"/>
        </w:rPr>
        <w:instrText xml:space="preserve"> REF _Ref72854665 \h </w:instrText>
      </w:r>
      <w:r>
        <w:rPr>
          <w:rFonts w:eastAsia="PMingLiU"/>
          <w:lang w:eastAsia="zh-TW"/>
        </w:rPr>
      </w:r>
      <w:r>
        <w:rPr>
          <w:rFonts w:eastAsia="PMingLiU"/>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7</w:t>
      </w:r>
      <w:r>
        <w:rPr>
          <w:rFonts w:eastAsia="PMingLiU"/>
          <w:lang w:eastAsia="zh-TW"/>
        </w:rPr>
        <w:fldChar w:fldCharType="end"/>
      </w:r>
      <w:r>
        <w:rPr>
          <w:rFonts w:eastAsia="PMingLiU"/>
          <w:lang w:eastAsia="zh-TW"/>
        </w:rPr>
        <w:t>) shows a similar seasonal pattern to generation changes but at larger magnitude, which is caused by runoff being mitigated by the large storage capacity reservoir systems in the area.</w:t>
      </w:r>
    </w:p>
    <w:p w14:paraId="461AAB6D" w14:textId="2BA88355" w:rsidR="00A118A7" w:rsidRDefault="00A118A7" w:rsidP="00A118A7">
      <w:pPr>
        <w:pStyle w:val="BodyText"/>
        <w:rPr>
          <w:rFonts w:eastAsia="PMingLiU"/>
          <w:lang w:eastAsia="zh-TW"/>
        </w:rPr>
      </w:pPr>
      <w:r>
        <w:rPr>
          <w:rFonts w:eastAsia="PMingLiU"/>
          <w:lang w:eastAsia="zh-TW"/>
        </w:rPr>
        <w:t xml:space="preserve">WAPA-4 in the lower Colorado </w:t>
      </w:r>
      <w:r w:rsidR="00515E1D">
        <w:rPr>
          <w:rFonts w:eastAsia="PMingLiU"/>
          <w:lang w:eastAsia="zh-TW"/>
        </w:rPr>
        <w:t xml:space="preserve">River </w:t>
      </w:r>
      <w:r>
        <w:rPr>
          <w:rFonts w:eastAsia="PMingLiU"/>
          <w:lang w:eastAsia="zh-TW"/>
        </w:rPr>
        <w:t>basin is projected to have nearly even</w:t>
      </w:r>
      <w:r w:rsidR="00756B0F">
        <w:rPr>
          <w:rFonts w:eastAsia="PMingLiU"/>
          <w:lang w:eastAsia="zh-TW"/>
        </w:rPr>
        <w:t xml:space="preserve">ly </w:t>
      </w:r>
      <w:r>
        <w:rPr>
          <w:rFonts w:eastAsia="PMingLiU"/>
          <w:lang w:eastAsia="zh-TW"/>
        </w:rPr>
        <w:t>distributed seasonal generation increase, with spring, summer</w:t>
      </w:r>
      <w:r w:rsidR="00756B0F">
        <w:rPr>
          <w:rFonts w:eastAsia="PMingLiU"/>
          <w:lang w:eastAsia="zh-TW"/>
        </w:rPr>
        <w:t>,</w:t>
      </w:r>
      <w:r>
        <w:rPr>
          <w:rFonts w:eastAsia="PMingLiU"/>
          <w:lang w:eastAsia="zh-TW"/>
        </w:rPr>
        <w:t xml:space="preserve"> and fall generation increas</w:t>
      </w:r>
      <w:r w:rsidR="00756B0F">
        <w:rPr>
          <w:rFonts w:eastAsia="PMingLiU"/>
          <w:lang w:eastAsia="zh-TW"/>
        </w:rPr>
        <w:t>ing</w:t>
      </w:r>
      <w:r>
        <w:rPr>
          <w:rFonts w:eastAsia="PMingLiU"/>
          <w:lang w:eastAsia="zh-TW"/>
        </w:rPr>
        <w:t xml:space="preserve"> by 7% in the near-term and by around 11% in the mid-term future periods. Winter generation is projected to increase by 8% in both near-</w:t>
      </w:r>
      <w:r>
        <w:rPr>
          <w:rFonts w:eastAsia="PMingLiU"/>
          <w:lang w:eastAsia="zh-TW"/>
        </w:rPr>
        <w:lastRenderedPageBreak/>
        <w:t>term and mid-term future periods. The generation response is slightly different from the runoff response, which shows spring runoff in the near-term to decrease (</w:t>
      </w:r>
      <w:r>
        <w:rPr>
          <w:rFonts w:eastAsia="PMingLiU"/>
          <w:lang w:eastAsia="zh-TW"/>
        </w:rPr>
        <w:fldChar w:fldCharType="begin"/>
      </w:r>
      <w:r>
        <w:rPr>
          <w:rFonts w:eastAsia="PMingLiU"/>
          <w:lang w:eastAsia="zh-TW"/>
        </w:rPr>
        <w:instrText xml:space="preserve"> REF _Ref72854665 \h </w:instrText>
      </w:r>
      <w:r>
        <w:rPr>
          <w:rFonts w:eastAsia="PMingLiU"/>
          <w:lang w:eastAsia="zh-TW"/>
        </w:rPr>
      </w:r>
      <w:r>
        <w:rPr>
          <w:rFonts w:eastAsia="PMingLiU"/>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7</w:t>
      </w:r>
      <w:r>
        <w:rPr>
          <w:rFonts w:eastAsia="PMingLiU"/>
          <w:lang w:eastAsia="zh-TW"/>
        </w:rPr>
        <w:fldChar w:fldCharType="end"/>
      </w:r>
      <w:r>
        <w:rPr>
          <w:rFonts w:eastAsia="PMingLiU"/>
          <w:lang w:eastAsia="zh-TW"/>
        </w:rPr>
        <w:t>). The generation response is even more different from the precipitation projections, which indicates both winter and spring precipitation in the near-term to decrease (</w:t>
      </w:r>
      <w:r>
        <w:rPr>
          <w:rFonts w:eastAsia="PMingLiU"/>
          <w:lang w:eastAsia="zh-TW"/>
        </w:rPr>
        <w:fldChar w:fldCharType="begin"/>
      </w:r>
      <w:r>
        <w:rPr>
          <w:rFonts w:eastAsia="PMingLiU"/>
          <w:lang w:eastAsia="zh-TW"/>
        </w:rPr>
        <w:instrText xml:space="preserve"> REF _Ref72854606 \h </w:instrText>
      </w:r>
      <w:r>
        <w:rPr>
          <w:rFonts w:eastAsia="PMingLiU"/>
          <w:lang w:eastAsia="zh-TW"/>
        </w:rPr>
      </w:r>
      <w:r>
        <w:rPr>
          <w:rFonts w:eastAsia="PMingLiU"/>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5</w:t>
      </w:r>
      <w:r>
        <w:rPr>
          <w:rFonts w:eastAsia="PMingLiU"/>
          <w:lang w:eastAsia="zh-TW"/>
        </w:rPr>
        <w:fldChar w:fldCharType="end"/>
      </w:r>
      <w:r>
        <w:rPr>
          <w:rFonts w:eastAsia="PMingLiU"/>
          <w:lang w:eastAsia="zh-TW"/>
        </w:rPr>
        <w:t xml:space="preserve">). The stable seasonal generation response is likely </w:t>
      </w:r>
      <w:r w:rsidR="00756B0F">
        <w:rPr>
          <w:rFonts w:eastAsia="PMingLiU"/>
          <w:lang w:eastAsia="zh-TW"/>
        </w:rPr>
        <w:t xml:space="preserve">because of </w:t>
      </w:r>
      <w:r>
        <w:rPr>
          <w:rFonts w:eastAsia="PMingLiU"/>
          <w:lang w:eastAsia="zh-TW"/>
        </w:rPr>
        <w:t xml:space="preserve">the large storage capacity </w:t>
      </w:r>
      <w:r w:rsidRPr="00F60991">
        <w:rPr>
          <w:rFonts w:eastAsia="PMingLiU"/>
          <w:lang w:eastAsia="zh-TW"/>
        </w:rPr>
        <w:t>provided by Hoover Dam and Lake Mead</w:t>
      </w:r>
      <w:r>
        <w:rPr>
          <w:rFonts w:eastAsia="PMingLiU"/>
          <w:lang w:eastAsia="zh-TW"/>
        </w:rPr>
        <w:t xml:space="preserve">, and because this region receives a </w:t>
      </w:r>
      <w:r w:rsidR="00BF5DA5">
        <w:rPr>
          <w:rFonts w:eastAsia="PMingLiU"/>
          <w:lang w:eastAsia="zh-TW"/>
        </w:rPr>
        <w:t>substantial</w:t>
      </w:r>
      <w:r>
        <w:rPr>
          <w:rFonts w:eastAsia="PMingLiU"/>
          <w:lang w:eastAsia="zh-TW"/>
        </w:rPr>
        <w:t>ly managed upstream flow.</w:t>
      </w:r>
    </w:p>
    <w:p w14:paraId="082F3F9B" w14:textId="4D835957" w:rsidR="00A118A7" w:rsidRDefault="00756B0F" w:rsidP="00A118A7">
      <w:pPr>
        <w:pStyle w:val="BodyText"/>
        <w:rPr>
          <w:rFonts w:eastAsia="PMingLiU"/>
          <w:lang w:eastAsia="zh-TW"/>
        </w:rPr>
      </w:pPr>
      <w:r>
        <w:rPr>
          <w:rFonts w:eastAsia="PMingLiU"/>
          <w:lang w:eastAsia="zh-TW"/>
        </w:rPr>
        <w:t xml:space="preserve">Although </w:t>
      </w:r>
      <w:r w:rsidR="00A118A7">
        <w:rPr>
          <w:rFonts w:eastAsia="PMingLiU"/>
          <w:lang w:eastAsia="zh-TW"/>
        </w:rPr>
        <w:t>little change is projected in annual generation in WAPA-5, some seasonal shift is projected. In the near-term future period, winter and spring generation is projected to increase (4%)</w:t>
      </w:r>
      <w:r>
        <w:rPr>
          <w:rFonts w:eastAsia="PMingLiU"/>
          <w:lang w:eastAsia="zh-TW"/>
        </w:rPr>
        <w:t>,</w:t>
      </w:r>
      <w:r w:rsidR="00A118A7">
        <w:rPr>
          <w:rFonts w:eastAsia="PMingLiU"/>
          <w:lang w:eastAsia="zh-TW"/>
        </w:rPr>
        <w:t xml:space="preserve"> </w:t>
      </w:r>
      <w:r>
        <w:rPr>
          <w:rFonts w:eastAsia="PMingLiU"/>
          <w:lang w:eastAsia="zh-TW"/>
        </w:rPr>
        <w:t xml:space="preserve">whereas </w:t>
      </w:r>
      <w:r w:rsidR="00A118A7">
        <w:rPr>
          <w:rFonts w:eastAsia="PMingLiU"/>
          <w:lang w:eastAsia="zh-TW"/>
        </w:rPr>
        <w:t>summer and fall generation is projected to decrease (8</w:t>
      </w:r>
      <w:r>
        <w:rPr>
          <w:rFonts w:eastAsia="PMingLiU"/>
          <w:lang w:eastAsia="zh-TW"/>
        </w:rPr>
        <w:t>%</w:t>
      </w:r>
      <w:r w:rsidR="00A118A7">
        <w:rPr>
          <w:rFonts w:eastAsia="PMingLiU"/>
          <w:lang w:eastAsia="zh-TW"/>
        </w:rPr>
        <w:t xml:space="preserve">–9%). In the mid-term future period, winter generation is projected to increase by 6%, </w:t>
      </w:r>
      <w:r>
        <w:rPr>
          <w:rFonts w:eastAsia="PMingLiU"/>
          <w:lang w:eastAsia="zh-TW"/>
        </w:rPr>
        <w:t xml:space="preserve">whereas </w:t>
      </w:r>
      <w:r w:rsidR="00A118A7">
        <w:rPr>
          <w:rFonts w:eastAsia="PMingLiU"/>
          <w:lang w:eastAsia="zh-TW"/>
        </w:rPr>
        <w:t>spring to fall generation is projected to decrease by 1</w:t>
      </w:r>
      <w:r>
        <w:rPr>
          <w:rFonts w:eastAsia="PMingLiU"/>
          <w:lang w:eastAsia="zh-TW"/>
        </w:rPr>
        <w:t>%</w:t>
      </w:r>
      <w:r w:rsidR="00A118A7">
        <w:rPr>
          <w:rFonts w:eastAsia="PMingLiU"/>
          <w:lang w:eastAsia="zh-TW"/>
        </w:rPr>
        <w:t xml:space="preserve">–6%. The projected seasonal generation change pattern differs </w:t>
      </w:r>
      <w:r w:rsidR="00BF5DA5">
        <w:rPr>
          <w:rFonts w:eastAsia="PMingLiU"/>
          <w:lang w:eastAsia="zh-TW"/>
        </w:rPr>
        <w:t>substantial</w:t>
      </w:r>
      <w:r w:rsidR="00A118A7">
        <w:rPr>
          <w:rFonts w:eastAsia="PMingLiU"/>
          <w:lang w:eastAsia="zh-TW"/>
        </w:rPr>
        <w:t>ly from that of runoff change (</w:t>
      </w:r>
      <w:r w:rsidR="00A118A7">
        <w:rPr>
          <w:rFonts w:eastAsia="PMingLiU"/>
          <w:lang w:eastAsia="zh-TW"/>
        </w:rPr>
        <w:fldChar w:fldCharType="begin"/>
      </w:r>
      <w:r w:rsidR="00A118A7">
        <w:rPr>
          <w:rFonts w:eastAsia="PMingLiU"/>
          <w:lang w:eastAsia="zh-TW"/>
        </w:rPr>
        <w:instrText xml:space="preserve"> REF _Ref72854665 \h </w:instrText>
      </w:r>
      <w:r w:rsidR="00A118A7">
        <w:rPr>
          <w:rFonts w:eastAsia="PMingLiU"/>
          <w:lang w:eastAsia="zh-TW"/>
        </w:rPr>
      </w:r>
      <w:r w:rsidR="00A118A7">
        <w:rPr>
          <w:rFonts w:eastAsia="PMingLiU"/>
          <w:lang w:eastAsia="zh-TW"/>
        </w:rP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7</w:t>
      </w:r>
      <w:r w:rsidR="00A118A7">
        <w:rPr>
          <w:rFonts w:eastAsia="PMingLiU"/>
          <w:lang w:eastAsia="zh-TW"/>
        </w:rPr>
        <w:fldChar w:fldCharType="end"/>
      </w:r>
      <w:r w:rsidR="00A118A7">
        <w:rPr>
          <w:rFonts w:eastAsia="PMingLiU"/>
          <w:lang w:eastAsia="zh-TW"/>
        </w:rPr>
        <w:t xml:space="preserve">). In both future periods, summer and fall runoff are expected to increase, </w:t>
      </w:r>
      <w:r>
        <w:rPr>
          <w:rFonts w:eastAsia="PMingLiU"/>
          <w:lang w:eastAsia="zh-TW"/>
        </w:rPr>
        <w:t xml:space="preserve">whereas </w:t>
      </w:r>
      <w:r w:rsidR="00A118A7">
        <w:rPr>
          <w:rFonts w:eastAsia="PMingLiU"/>
          <w:lang w:eastAsia="zh-TW"/>
        </w:rPr>
        <w:t xml:space="preserve">generation is projected to decrease, which is associated with uncertainty in the </w:t>
      </w:r>
      <w:r w:rsidR="00533D84">
        <w:rPr>
          <w:rFonts w:eastAsia="PMingLiU"/>
          <w:lang w:eastAsia="zh-TW"/>
        </w:rPr>
        <w:t>PM</w:t>
      </w:r>
      <w:r w:rsidR="00A118A7">
        <w:rPr>
          <w:rFonts w:eastAsia="PMingLiU"/>
          <w:lang w:eastAsia="zh-TW"/>
        </w:rPr>
        <w:t>s.</w:t>
      </w:r>
    </w:p>
    <w:p w14:paraId="17A7C9F8" w14:textId="28E2DC2D" w:rsidR="00A118A7" w:rsidRDefault="00756B0F" w:rsidP="00A118A7">
      <w:pPr>
        <w:pStyle w:val="BodyText"/>
        <w:rPr>
          <w:rFonts w:eastAsia="PMingLiU"/>
          <w:lang w:eastAsia="zh-TW"/>
        </w:rPr>
      </w:pPr>
      <w:r>
        <w:rPr>
          <w:rFonts w:eastAsia="PMingLiU"/>
          <w:lang w:eastAsia="zh-TW"/>
        </w:rPr>
        <w:t xml:space="preserve">Similar to </w:t>
      </w:r>
      <w:r w:rsidR="00A118A7">
        <w:rPr>
          <w:rFonts w:eastAsia="PMingLiU"/>
          <w:lang w:eastAsia="zh-TW"/>
        </w:rPr>
        <w:t xml:space="preserve">annual generation, seasonal generation in WAPA-6 in California is expected to remain relatively stable in the near-term future period (ranging from </w:t>
      </w:r>
      <w:r w:rsidR="00E32E6F">
        <w:rPr>
          <w:rFonts w:eastAsia="PMingLiU"/>
          <w:lang w:eastAsia="zh-TW"/>
        </w:rPr>
        <w:t>−</w:t>
      </w:r>
      <w:r w:rsidR="00A118A7">
        <w:rPr>
          <w:rFonts w:eastAsia="PMingLiU"/>
          <w:lang w:eastAsia="zh-TW"/>
        </w:rPr>
        <w:t>1% in spring to 3% in summer). In the mid-term future period, generation is expected to increase in all seasons (ranging from 8% in summer to 15% in winter). Compar</w:t>
      </w:r>
      <w:r w:rsidR="00E32E6F">
        <w:rPr>
          <w:rFonts w:eastAsia="PMingLiU"/>
          <w:lang w:eastAsia="zh-TW"/>
        </w:rPr>
        <w:t>ed with</w:t>
      </w:r>
      <w:r w:rsidR="00A118A7">
        <w:rPr>
          <w:rFonts w:eastAsia="PMingLiU"/>
          <w:lang w:eastAsia="zh-TW"/>
        </w:rPr>
        <w:t xml:space="preserve"> seasonal runoff change, the seasonal generation change is more evenly distributed </w:t>
      </w:r>
      <w:r w:rsidR="00E32E6F">
        <w:rPr>
          <w:rFonts w:eastAsia="PMingLiU"/>
          <w:lang w:eastAsia="zh-TW"/>
        </w:rPr>
        <w:t xml:space="preserve">because </w:t>
      </w:r>
      <w:r w:rsidR="00A118A7">
        <w:rPr>
          <w:rFonts w:eastAsia="PMingLiU"/>
          <w:lang w:eastAsia="zh-TW"/>
        </w:rPr>
        <w:t>large storage reservoirs substantially smooth the seasonal variability in natural runoff and projected changes in seasonality.</w:t>
      </w:r>
    </w:p>
    <w:p w14:paraId="222581CB" w14:textId="31682F71" w:rsidR="00AB77C1" w:rsidRPr="00E367B2" w:rsidRDefault="00AB77C1" w:rsidP="00A118A7">
      <w:pPr>
        <w:pStyle w:val="BodyText"/>
        <w:rPr>
          <w:rFonts w:eastAsia="PMingLiU"/>
          <w:lang w:eastAsia="zh-TW"/>
        </w:rPr>
      </w:pPr>
      <w:r>
        <w:rPr>
          <w:lang w:bidi="en-US"/>
        </w:rPr>
        <w:t xml:space="preserve">As stated previously, these increases in annual inflow and generation only </w:t>
      </w:r>
      <w:r>
        <w:t>represent the projections from six GCMs</w:t>
      </w:r>
      <w:r>
        <w:rPr>
          <w:lang w:bidi="en-US"/>
        </w:rPr>
        <w:t xml:space="preserve">, so large uncertainty, either due to GCM selection or model limitations, may exist. The increase of inflows will not be steady and will likely accompany more extreme hydrologic events (i.e., both floods and droughts). Parts of the WAPA regions (e.g., Colorado River Basin) are experiencing </w:t>
      </w:r>
      <w:r w:rsidR="00C117DF">
        <w:rPr>
          <w:lang w:bidi="en-US"/>
        </w:rPr>
        <w:t xml:space="preserve">a more than </w:t>
      </w:r>
      <w:r>
        <w:rPr>
          <w:lang w:bidi="en-US"/>
        </w:rPr>
        <w:t xml:space="preserve">20-year drought that is interrupting regional water supply and hydropower generation. </w:t>
      </w:r>
      <w:r>
        <w:t xml:space="preserve">The results shown in </w:t>
      </w:r>
      <w:r>
        <w:rPr>
          <w:rFonts w:eastAsia="PMingLiU"/>
          <w:lang w:eastAsia="zh-TW"/>
        </w:rPr>
        <w:fldChar w:fldCharType="begin"/>
      </w:r>
      <w:r>
        <w:rPr>
          <w:rFonts w:eastAsia="PMingLiU"/>
          <w:lang w:eastAsia="zh-TW"/>
        </w:rPr>
        <w:instrText xml:space="preserve"> REF _Ref72855080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14</w:t>
      </w:r>
      <w:r>
        <w:rPr>
          <w:rFonts w:eastAsia="PMingLiU"/>
          <w:lang w:eastAsia="zh-TW"/>
        </w:rPr>
        <w:fldChar w:fldCharType="end"/>
      </w:r>
      <w:r>
        <w:rPr>
          <w:rFonts w:eastAsia="PMingLiU"/>
          <w:lang w:eastAsia="zh-TW"/>
        </w:rPr>
        <w:t xml:space="preserve"> and </w:t>
      </w:r>
      <w:r>
        <w:fldChar w:fldCharType="begin"/>
      </w:r>
      <w:r w:rsidRPr="4AA7083E">
        <w:rPr>
          <w:rFonts w:eastAsia="PMingLiU"/>
          <w:lang w:eastAsia="zh-TW"/>
        </w:rPr>
        <w:instrText xml:space="preserve"> REF _Ref72855133 \h </w:instrText>
      </w:r>
      <w:r>
        <w:fldChar w:fldCharType="separate"/>
      </w:r>
      <w:r w:rsidR="00EE0BF5">
        <w:rPr>
          <w:lang w:eastAsia="zh-TW"/>
        </w:rPr>
        <w:t>Figure</w:t>
      </w:r>
      <w:r w:rsidR="00EE0BF5" w:rsidRPr="002B0001">
        <w:rPr>
          <w:lang w:eastAsia="zh-TW"/>
        </w:rPr>
        <w:t xml:space="preserve"> </w:t>
      </w:r>
      <w:r w:rsidR="00EE0BF5">
        <w:rPr>
          <w:noProof/>
          <w:lang w:eastAsia="zh-TW"/>
        </w:rPr>
        <w:t>4</w:t>
      </w:r>
      <w:r w:rsidR="00EE0BF5" w:rsidRPr="002B0001">
        <w:rPr>
          <w:lang w:eastAsia="zh-TW"/>
        </w:rPr>
        <w:t>.</w:t>
      </w:r>
      <w:r w:rsidR="00EE0BF5">
        <w:rPr>
          <w:noProof/>
          <w:lang w:eastAsia="zh-TW"/>
        </w:rPr>
        <w:t>15</w:t>
      </w:r>
      <w:r>
        <w:fldChar w:fldCharType="end"/>
      </w:r>
      <w:r>
        <w:t xml:space="preserve"> are long-term averages computed over 40 years and do not capture extreme hydrologic events, sub-seasonal variations, or complex hydrologic processes over mountainous terrain which dominate water availability and hydropower generation in the </w:t>
      </w:r>
      <w:r w:rsidR="006C6778">
        <w:t>w</w:t>
      </w:r>
      <w:r>
        <w:t xml:space="preserve">estern </w:t>
      </w:r>
      <w:r w:rsidR="006C6778">
        <w:t>United States</w:t>
      </w:r>
      <w:r>
        <w:t>.</w:t>
      </w:r>
    </w:p>
    <w:p w14:paraId="1AFBEC76" w14:textId="112210A4" w:rsidR="00A118A7" w:rsidRDefault="00A118A7" w:rsidP="00A118A7">
      <w:pPr>
        <w:pStyle w:val="BodyText"/>
        <w:rPr>
          <w:rFonts w:eastAsia="PMingLiU"/>
          <w:lang w:eastAsia="zh-TW"/>
        </w:rPr>
      </w:pPr>
      <w:r>
        <w:rPr>
          <w:rFonts w:eastAsia="PMingLiU"/>
          <w:lang w:eastAsia="zh-TW"/>
        </w:rPr>
        <w:t xml:space="preserve">The source of variance in the projected annual hydropower generation change between the baseline and future periods </w:t>
      </w:r>
      <w:r w:rsidR="00694FEF">
        <w:rPr>
          <w:rFonts w:eastAsia="PMingLiU"/>
          <w:lang w:eastAsia="zh-TW"/>
        </w:rPr>
        <w:t xml:space="preserve">is </w:t>
      </w:r>
      <w:r>
        <w:rPr>
          <w:rFonts w:eastAsia="PMingLiU"/>
          <w:lang w:eastAsia="zh-TW"/>
        </w:rPr>
        <w:t xml:space="preserve">shown in </w:t>
      </w:r>
      <w:r w:rsidR="006C2B2C">
        <w:rPr>
          <w:rFonts w:eastAsia="PMingLiU"/>
          <w:lang w:eastAsia="zh-TW"/>
        </w:rPr>
        <w:fldChar w:fldCharType="begin"/>
      </w:r>
      <w:r w:rsidR="006C2B2C">
        <w:rPr>
          <w:rFonts w:eastAsia="PMingLiU"/>
          <w:lang w:eastAsia="zh-TW"/>
        </w:rPr>
        <w:instrText xml:space="preserve"> REF _Ref83537226 \h </w:instrText>
      </w:r>
      <w:r w:rsidR="006C2B2C">
        <w:rPr>
          <w:rFonts w:eastAsia="PMingLiU"/>
          <w:lang w:eastAsia="zh-TW"/>
        </w:rPr>
      </w:r>
      <w:r w:rsidR="006C2B2C">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16</w:t>
      </w:r>
      <w:r w:rsidR="006C2B2C">
        <w:rPr>
          <w:rFonts w:eastAsia="PMingLiU"/>
          <w:lang w:eastAsia="zh-TW"/>
        </w:rPr>
        <w:fldChar w:fldCharType="end"/>
      </w:r>
      <w:r>
        <w:rPr>
          <w:rFonts w:eastAsia="PMingLiU"/>
          <w:lang w:eastAsia="zh-TW"/>
        </w:rPr>
        <w:t>. The box</w:t>
      </w:r>
      <w:r w:rsidR="005610E7">
        <w:rPr>
          <w:rFonts w:eastAsia="PMingLiU"/>
          <w:lang w:eastAsia="zh-TW"/>
        </w:rPr>
        <w:t xml:space="preserve"> </w:t>
      </w:r>
      <w:r>
        <w:rPr>
          <w:rFonts w:eastAsia="PMingLiU"/>
          <w:lang w:eastAsia="zh-TW"/>
        </w:rPr>
        <w:t xml:space="preserve">plots in the top panels show the </w:t>
      </w:r>
      <w:r w:rsidRPr="006268D6">
        <w:t>magnitude of change (future minus baseline)</w:t>
      </w:r>
      <w:r>
        <w:t xml:space="preserve"> </w:t>
      </w:r>
      <w:r w:rsidRPr="006268D6">
        <w:t xml:space="preserve">in annual </w:t>
      </w:r>
      <w:r>
        <w:t>hydropower generation across</w:t>
      </w:r>
      <w:r w:rsidRPr="006268D6">
        <w:t xml:space="preserve"> </w:t>
      </w:r>
      <w:r>
        <w:t xml:space="preserve">96 </w:t>
      </w:r>
      <w:r w:rsidRPr="006268D6">
        <w:t>ensemble</w:t>
      </w:r>
      <w:r>
        <w:t xml:space="preserve"> member</w:t>
      </w:r>
      <w:r w:rsidRPr="006268D6">
        <w:t>s</w:t>
      </w:r>
      <w:r w:rsidDel="007F13CC">
        <w:rPr>
          <w:rFonts w:eastAsia="PMingLiU"/>
          <w:lang w:eastAsia="zh-TW"/>
        </w:rPr>
        <w:t xml:space="preserve"> </w:t>
      </w:r>
      <w:r>
        <w:rPr>
          <w:rFonts w:eastAsia="PMingLiU"/>
          <w:lang w:eastAsia="zh-TW"/>
        </w:rPr>
        <w:t>when grouped by the five modeling choices (CM, DS, MetF, HM, and PM). The bottom panel shows the fraction of variance from the ANOVA for each modeling choice.</w:t>
      </w:r>
    </w:p>
    <w:p w14:paraId="06135F6D" w14:textId="6529CE51" w:rsidR="00952F69" w:rsidRPr="001D023E" w:rsidRDefault="00952F69" w:rsidP="00952F69">
      <w:pPr>
        <w:pStyle w:val="BodyText"/>
        <w:rPr>
          <w:rFonts w:eastAsia="PMingLiU"/>
          <w:lang w:eastAsia="zh-TW"/>
        </w:rPr>
      </w:pPr>
      <w:r>
        <w:rPr>
          <w:rFonts w:eastAsia="PMingLiU"/>
          <w:lang w:eastAsia="zh-TW"/>
        </w:rPr>
        <w:t xml:space="preserve">The diversity in individual factors and their combinations were further evaluated to understand their contributions to the spread of hydropower generation projections. The results suggest that </w:t>
      </w:r>
      <w:r w:rsidR="00F32AA2">
        <w:rPr>
          <w:rFonts w:eastAsia="PMingLiU"/>
          <w:lang w:eastAsia="zh-TW"/>
        </w:rPr>
        <w:t xml:space="preserve">the </w:t>
      </w:r>
      <w:r>
        <w:rPr>
          <w:rFonts w:eastAsia="PMingLiU"/>
          <w:lang w:eastAsia="zh-TW"/>
        </w:rPr>
        <w:t xml:space="preserve">CM </w:t>
      </w:r>
      <w:r w:rsidRPr="00976454">
        <w:rPr>
          <w:rFonts w:eastAsia="PMingLiU"/>
          <w:lang w:eastAsia="zh-TW"/>
        </w:rPr>
        <w:t xml:space="preserve">is generally the </w:t>
      </w:r>
      <w:r>
        <w:rPr>
          <w:rFonts w:eastAsia="PMingLiU"/>
          <w:lang w:eastAsia="zh-TW"/>
        </w:rPr>
        <w:t xml:space="preserve">most </w:t>
      </w:r>
      <w:r w:rsidRPr="00976454">
        <w:rPr>
          <w:rFonts w:eastAsia="PMingLiU"/>
          <w:lang w:eastAsia="zh-TW"/>
        </w:rPr>
        <w:t xml:space="preserve">dominant contributor to the variance of </w:t>
      </w:r>
      <w:r>
        <w:rPr>
          <w:rFonts w:eastAsia="PMingLiU"/>
          <w:lang w:eastAsia="zh-TW"/>
        </w:rPr>
        <w:t xml:space="preserve">annual </w:t>
      </w:r>
      <w:r w:rsidRPr="00976454">
        <w:rPr>
          <w:rFonts w:eastAsia="PMingLiU"/>
          <w:lang w:eastAsia="zh-TW"/>
        </w:rPr>
        <w:t xml:space="preserve">hydropower generation in all </w:t>
      </w:r>
      <w:r>
        <w:rPr>
          <w:rFonts w:eastAsia="PMingLiU"/>
          <w:lang w:eastAsia="zh-TW"/>
        </w:rPr>
        <w:t xml:space="preserve">WAPA </w:t>
      </w:r>
      <w:r w:rsidRPr="00976454">
        <w:rPr>
          <w:rFonts w:eastAsia="PMingLiU"/>
          <w:lang w:eastAsia="zh-TW"/>
        </w:rPr>
        <w:t xml:space="preserve">study areas (range from </w:t>
      </w:r>
      <w:r>
        <w:rPr>
          <w:rFonts w:eastAsia="PMingLiU"/>
          <w:lang w:eastAsia="zh-TW"/>
        </w:rPr>
        <w:t xml:space="preserve">43% to </w:t>
      </w:r>
      <w:r w:rsidRPr="00976454">
        <w:rPr>
          <w:rFonts w:eastAsia="PMingLiU"/>
          <w:lang w:eastAsia="zh-TW"/>
        </w:rPr>
        <w:t>52%)</w:t>
      </w:r>
      <w:r>
        <w:rPr>
          <w:rFonts w:eastAsia="PMingLiU"/>
          <w:lang w:eastAsia="zh-TW"/>
        </w:rPr>
        <w:t>,</w:t>
      </w:r>
      <w:r w:rsidRPr="00976454">
        <w:rPr>
          <w:rFonts w:eastAsia="PMingLiU"/>
          <w:lang w:eastAsia="zh-TW"/>
        </w:rPr>
        <w:t xml:space="preserve"> </w:t>
      </w:r>
      <w:r>
        <w:rPr>
          <w:rFonts w:eastAsia="PMingLiU"/>
          <w:lang w:eastAsia="zh-TW"/>
        </w:rPr>
        <w:t xml:space="preserve">except for WAPA-5 and WAPA-6, where </w:t>
      </w:r>
      <w:r w:rsidR="00F32AA2">
        <w:rPr>
          <w:rFonts w:eastAsia="PMingLiU"/>
          <w:lang w:eastAsia="zh-TW"/>
        </w:rPr>
        <w:t xml:space="preserve">the </w:t>
      </w:r>
      <w:r>
        <w:rPr>
          <w:rFonts w:eastAsia="PMingLiU"/>
          <w:lang w:eastAsia="zh-TW"/>
        </w:rPr>
        <w:t xml:space="preserve">CM is the second most dominant contributor (25% and 39%, respectively). </w:t>
      </w:r>
      <w:r w:rsidR="00F32AA2">
        <w:rPr>
          <w:rFonts w:eastAsia="PMingLiU"/>
          <w:lang w:eastAsia="zh-TW"/>
        </w:rPr>
        <w:t xml:space="preserve">The </w:t>
      </w:r>
      <w:r>
        <w:rPr>
          <w:rFonts w:eastAsia="PMingLiU"/>
          <w:lang w:eastAsia="zh-TW"/>
        </w:rPr>
        <w:t xml:space="preserve">PM is the </w:t>
      </w:r>
      <w:r w:rsidR="00C753AB">
        <w:rPr>
          <w:rFonts w:eastAsia="PMingLiU"/>
          <w:lang w:eastAsia="zh-TW"/>
        </w:rPr>
        <w:t xml:space="preserve">most </w:t>
      </w:r>
      <w:r>
        <w:rPr>
          <w:rFonts w:eastAsia="PMingLiU"/>
          <w:lang w:eastAsia="zh-TW"/>
        </w:rPr>
        <w:t>dominant contributor in WAPA-5 (31%) and the second</w:t>
      </w:r>
      <w:r w:rsidRPr="00015B17">
        <w:rPr>
          <w:rFonts w:eastAsia="PMingLiU"/>
          <w:lang w:eastAsia="zh-TW"/>
        </w:rPr>
        <w:t xml:space="preserve"> most</w:t>
      </w:r>
      <w:r w:rsidRPr="00B71546">
        <w:rPr>
          <w:rFonts w:eastAsia="PMingLiU"/>
          <w:lang w:eastAsia="zh-TW"/>
        </w:rPr>
        <w:t xml:space="preserve"> </w:t>
      </w:r>
      <w:r>
        <w:rPr>
          <w:rFonts w:eastAsia="PMingLiU"/>
          <w:lang w:eastAsia="zh-TW"/>
        </w:rPr>
        <w:t>dominant</w:t>
      </w:r>
      <w:r w:rsidRPr="00015B17">
        <w:rPr>
          <w:rFonts w:eastAsia="PMingLiU"/>
          <w:lang w:eastAsia="zh-TW"/>
        </w:rPr>
        <w:t xml:space="preserve"> </w:t>
      </w:r>
      <w:r w:rsidRPr="00976454">
        <w:rPr>
          <w:rFonts w:eastAsia="PMingLiU"/>
          <w:lang w:eastAsia="zh-TW"/>
        </w:rPr>
        <w:t xml:space="preserve">contributor </w:t>
      </w:r>
      <w:r w:rsidRPr="00015B17">
        <w:rPr>
          <w:rFonts w:eastAsia="PMingLiU"/>
          <w:lang w:eastAsia="zh-TW"/>
        </w:rPr>
        <w:t>in WAPA-1 (23%)</w:t>
      </w:r>
      <w:r>
        <w:rPr>
          <w:rFonts w:eastAsia="PMingLiU"/>
          <w:lang w:eastAsia="zh-TW"/>
        </w:rPr>
        <w:t xml:space="preserve">. </w:t>
      </w:r>
      <w:r w:rsidR="00F32AA2">
        <w:rPr>
          <w:rFonts w:eastAsia="PMingLiU"/>
          <w:lang w:eastAsia="zh-TW"/>
        </w:rPr>
        <w:t xml:space="preserve">The </w:t>
      </w:r>
      <w:r>
        <w:rPr>
          <w:rFonts w:eastAsia="PMingLiU"/>
          <w:lang w:eastAsia="zh-TW"/>
        </w:rPr>
        <w:t xml:space="preserve">HM is the </w:t>
      </w:r>
      <w:r w:rsidR="00C753AB">
        <w:rPr>
          <w:rFonts w:eastAsia="PMingLiU"/>
          <w:lang w:eastAsia="zh-TW"/>
        </w:rPr>
        <w:t xml:space="preserve">most </w:t>
      </w:r>
      <w:r>
        <w:rPr>
          <w:rFonts w:eastAsia="PMingLiU"/>
          <w:lang w:eastAsia="zh-TW"/>
        </w:rPr>
        <w:t xml:space="preserve">dominant </w:t>
      </w:r>
      <w:r w:rsidRPr="00976454">
        <w:rPr>
          <w:rFonts w:eastAsia="PMingLiU"/>
          <w:lang w:eastAsia="zh-TW"/>
        </w:rPr>
        <w:t xml:space="preserve">contributor </w:t>
      </w:r>
      <w:r>
        <w:rPr>
          <w:rFonts w:eastAsia="PMingLiU"/>
          <w:lang w:eastAsia="zh-TW"/>
        </w:rPr>
        <w:t>in</w:t>
      </w:r>
      <w:r w:rsidRPr="00015B17">
        <w:rPr>
          <w:rFonts w:eastAsia="PMingLiU"/>
          <w:lang w:eastAsia="zh-TW"/>
        </w:rPr>
        <w:t xml:space="preserve"> WAPA</w:t>
      </w:r>
      <w:r>
        <w:rPr>
          <w:rFonts w:eastAsia="PMingLiU"/>
          <w:lang w:eastAsia="zh-TW"/>
        </w:rPr>
        <w:noBreakHyphen/>
      </w:r>
      <w:r w:rsidRPr="00015B17">
        <w:rPr>
          <w:rFonts w:eastAsia="PMingLiU"/>
          <w:lang w:eastAsia="zh-TW"/>
        </w:rPr>
        <w:t xml:space="preserve">6 (43%). The combination of </w:t>
      </w:r>
      <w:r w:rsidR="00C753AB">
        <w:rPr>
          <w:rFonts w:eastAsia="PMingLiU"/>
          <w:lang w:eastAsia="zh-TW"/>
        </w:rPr>
        <w:t xml:space="preserve">the </w:t>
      </w:r>
      <w:r>
        <w:rPr>
          <w:rFonts w:eastAsia="PMingLiU"/>
          <w:lang w:eastAsia="zh-TW"/>
        </w:rPr>
        <w:t xml:space="preserve">CM </w:t>
      </w:r>
      <w:r w:rsidRPr="00015B17">
        <w:rPr>
          <w:rFonts w:eastAsia="PMingLiU"/>
          <w:lang w:eastAsia="zh-TW"/>
        </w:rPr>
        <w:t xml:space="preserve">and </w:t>
      </w:r>
      <w:r>
        <w:rPr>
          <w:rFonts w:eastAsia="PMingLiU"/>
          <w:lang w:eastAsia="zh-TW"/>
        </w:rPr>
        <w:t xml:space="preserve">DS </w:t>
      </w:r>
      <w:r w:rsidRPr="00015B17">
        <w:rPr>
          <w:rFonts w:eastAsia="PMingLiU"/>
          <w:lang w:eastAsia="zh-TW"/>
        </w:rPr>
        <w:t>is a</w:t>
      </w:r>
      <w:r>
        <w:rPr>
          <w:rFonts w:eastAsia="PMingLiU"/>
          <w:lang w:eastAsia="zh-TW"/>
        </w:rPr>
        <w:t>nother substantial</w:t>
      </w:r>
      <w:r w:rsidRPr="00015B17">
        <w:rPr>
          <w:rFonts w:eastAsia="PMingLiU"/>
          <w:lang w:eastAsia="zh-TW"/>
        </w:rPr>
        <w:t xml:space="preserve"> </w:t>
      </w:r>
      <w:r>
        <w:rPr>
          <w:rFonts w:eastAsia="PMingLiU"/>
          <w:lang w:eastAsia="zh-TW"/>
        </w:rPr>
        <w:t xml:space="preserve">source of </w:t>
      </w:r>
      <w:r w:rsidRPr="00015B17">
        <w:rPr>
          <w:rFonts w:eastAsia="PMingLiU"/>
          <w:lang w:eastAsia="zh-TW"/>
        </w:rPr>
        <w:t>variance in WAPA</w:t>
      </w:r>
      <w:r>
        <w:rPr>
          <w:rFonts w:eastAsia="PMingLiU"/>
          <w:lang w:eastAsia="zh-TW"/>
        </w:rPr>
        <w:t>-</w:t>
      </w:r>
      <w:r w:rsidRPr="00015B17">
        <w:rPr>
          <w:rFonts w:eastAsia="PMingLiU"/>
          <w:lang w:eastAsia="zh-TW"/>
        </w:rPr>
        <w:t>1–4</w:t>
      </w:r>
      <w:r>
        <w:rPr>
          <w:rFonts w:eastAsia="PMingLiU"/>
          <w:lang w:eastAsia="zh-TW"/>
        </w:rPr>
        <w:t>,</w:t>
      </w:r>
      <w:r w:rsidRPr="00015B17">
        <w:rPr>
          <w:rFonts w:eastAsia="PMingLiU"/>
          <w:lang w:eastAsia="zh-TW"/>
        </w:rPr>
        <w:t xml:space="preserve"> ranging from 11</w:t>
      </w:r>
      <w:r>
        <w:rPr>
          <w:rFonts w:eastAsia="PMingLiU"/>
          <w:lang w:eastAsia="zh-TW"/>
        </w:rPr>
        <w:t xml:space="preserve">% to </w:t>
      </w:r>
      <w:r w:rsidRPr="00015B17">
        <w:rPr>
          <w:rFonts w:eastAsia="PMingLiU"/>
          <w:lang w:eastAsia="zh-TW"/>
        </w:rPr>
        <w:t xml:space="preserve">16%. </w:t>
      </w:r>
      <w:r>
        <w:rPr>
          <w:rFonts w:eastAsia="PMingLiU"/>
          <w:lang w:eastAsia="zh-TW"/>
        </w:rPr>
        <w:t xml:space="preserve">In all WAPA study areas, </w:t>
      </w:r>
      <w:r w:rsidR="00F32AA2">
        <w:rPr>
          <w:rFonts w:eastAsia="PMingLiU"/>
          <w:lang w:eastAsia="zh-TW"/>
        </w:rPr>
        <w:t xml:space="preserve">the </w:t>
      </w:r>
      <w:r>
        <w:rPr>
          <w:rFonts w:eastAsia="PMingLiU"/>
          <w:lang w:eastAsia="zh-TW"/>
        </w:rPr>
        <w:t xml:space="preserve">DS </w:t>
      </w:r>
      <w:r w:rsidRPr="00015B17">
        <w:rPr>
          <w:rFonts w:eastAsia="PMingLiU"/>
          <w:lang w:eastAsia="zh-TW"/>
        </w:rPr>
        <w:t xml:space="preserve">or </w:t>
      </w:r>
      <w:r>
        <w:rPr>
          <w:rFonts w:eastAsia="PMingLiU"/>
          <w:lang w:eastAsia="zh-TW"/>
        </w:rPr>
        <w:t xml:space="preserve">MetF </w:t>
      </w:r>
      <w:r w:rsidRPr="00015B17">
        <w:rPr>
          <w:rFonts w:eastAsia="PMingLiU"/>
          <w:lang w:eastAsia="zh-TW"/>
        </w:rPr>
        <w:t xml:space="preserve">alone </w:t>
      </w:r>
      <w:r>
        <w:rPr>
          <w:rFonts w:eastAsia="PMingLiU"/>
          <w:lang w:eastAsia="zh-TW"/>
        </w:rPr>
        <w:t>are not a substantial</w:t>
      </w:r>
      <w:r w:rsidRPr="00015B17">
        <w:rPr>
          <w:rFonts w:eastAsia="PMingLiU"/>
          <w:lang w:eastAsia="zh-TW"/>
        </w:rPr>
        <w:t xml:space="preserve"> variance contributor.</w:t>
      </w:r>
      <w:r>
        <w:rPr>
          <w:rFonts w:eastAsia="PMingLiU"/>
          <w:lang w:eastAsia="zh-TW"/>
        </w:rPr>
        <w:t xml:space="preserve"> As shown in </w:t>
      </w:r>
      <w:r w:rsidR="006C2B2C">
        <w:rPr>
          <w:rFonts w:eastAsia="PMingLiU"/>
          <w:lang w:eastAsia="zh-TW"/>
        </w:rPr>
        <w:fldChar w:fldCharType="begin"/>
      </w:r>
      <w:r w:rsidR="006C2B2C">
        <w:rPr>
          <w:rFonts w:eastAsia="PMingLiU"/>
          <w:lang w:eastAsia="zh-TW"/>
        </w:rPr>
        <w:instrText xml:space="preserve"> REF _Ref83537226 \h </w:instrText>
      </w:r>
      <w:r w:rsidR="006C2B2C">
        <w:rPr>
          <w:rFonts w:eastAsia="PMingLiU"/>
          <w:lang w:eastAsia="zh-TW"/>
        </w:rPr>
      </w:r>
      <w:r w:rsidR="006C2B2C">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16</w:t>
      </w:r>
      <w:r w:rsidR="006C2B2C">
        <w:rPr>
          <w:rFonts w:eastAsia="PMingLiU"/>
          <w:lang w:eastAsia="zh-TW"/>
        </w:rPr>
        <w:fldChar w:fldCharType="end"/>
      </w:r>
      <w:r>
        <w:rPr>
          <w:rFonts w:eastAsia="PMingLiU"/>
          <w:lang w:eastAsia="zh-TW"/>
        </w:rPr>
        <w:t>, w</w:t>
      </w:r>
      <w:r w:rsidRPr="001D023E">
        <w:rPr>
          <w:rFonts w:eastAsia="PMingLiU"/>
          <w:lang w:eastAsia="zh-TW"/>
        </w:rPr>
        <w:t xml:space="preserve">hen grouped by </w:t>
      </w:r>
      <w:r>
        <w:rPr>
          <w:rFonts w:eastAsia="PMingLiU"/>
          <w:lang w:eastAsia="zh-TW"/>
        </w:rPr>
        <w:t>CM</w:t>
      </w:r>
      <w:r w:rsidRPr="001D023E">
        <w:rPr>
          <w:rFonts w:eastAsia="PMingLiU"/>
          <w:lang w:eastAsia="zh-TW"/>
        </w:rPr>
        <w:t xml:space="preserve">, the median change of projected generation is mostly positive across all </w:t>
      </w:r>
      <w:r>
        <w:rPr>
          <w:rFonts w:eastAsia="PMingLiU"/>
          <w:lang w:eastAsia="zh-TW"/>
        </w:rPr>
        <w:t>CM</w:t>
      </w:r>
      <w:r w:rsidRPr="001D023E">
        <w:rPr>
          <w:rFonts w:eastAsia="PMingLiU"/>
          <w:lang w:eastAsia="zh-TW"/>
        </w:rPr>
        <w:t xml:space="preserve">s in all </w:t>
      </w:r>
      <w:r>
        <w:rPr>
          <w:rFonts w:eastAsia="PMingLiU"/>
          <w:lang w:eastAsia="zh-TW"/>
        </w:rPr>
        <w:t xml:space="preserve">WAPA </w:t>
      </w:r>
      <w:r w:rsidRPr="001D023E">
        <w:rPr>
          <w:rFonts w:eastAsia="PMingLiU"/>
          <w:lang w:eastAsia="zh-TW"/>
        </w:rPr>
        <w:t>study areas, although the median and the spread of projected change var</w:t>
      </w:r>
      <w:r>
        <w:rPr>
          <w:rFonts w:eastAsia="PMingLiU"/>
          <w:lang w:eastAsia="zh-TW"/>
        </w:rPr>
        <w:t>y</w:t>
      </w:r>
      <w:r w:rsidRPr="001D023E">
        <w:rPr>
          <w:rFonts w:eastAsia="PMingLiU"/>
          <w:lang w:eastAsia="zh-TW"/>
        </w:rPr>
        <w:t xml:space="preserve"> </w:t>
      </w:r>
      <w:r w:rsidR="008C72D4">
        <w:rPr>
          <w:rFonts w:eastAsia="PMingLiU"/>
          <w:lang w:eastAsia="zh-TW"/>
        </w:rPr>
        <w:t>substantial</w:t>
      </w:r>
      <w:r>
        <w:rPr>
          <w:rFonts w:eastAsia="PMingLiU"/>
          <w:lang w:eastAsia="zh-TW"/>
        </w:rPr>
        <w:t>ly</w:t>
      </w:r>
      <w:r w:rsidRPr="001D023E">
        <w:rPr>
          <w:rFonts w:eastAsia="PMingLiU"/>
          <w:lang w:eastAsia="zh-TW"/>
        </w:rPr>
        <w:t xml:space="preserve"> among </w:t>
      </w:r>
      <w:r>
        <w:rPr>
          <w:rFonts w:eastAsia="PMingLiU"/>
          <w:lang w:eastAsia="zh-TW"/>
        </w:rPr>
        <w:t>different CM</w:t>
      </w:r>
      <w:r w:rsidRPr="001D023E">
        <w:rPr>
          <w:rFonts w:eastAsia="PMingLiU"/>
          <w:lang w:eastAsia="zh-TW"/>
        </w:rPr>
        <w:t xml:space="preserve">s. When grouped by </w:t>
      </w:r>
      <w:r>
        <w:rPr>
          <w:rFonts w:eastAsia="PMingLiU"/>
          <w:lang w:eastAsia="zh-TW"/>
        </w:rPr>
        <w:t>PM</w:t>
      </w:r>
      <w:r w:rsidRPr="001D023E">
        <w:rPr>
          <w:rFonts w:eastAsia="PMingLiU"/>
          <w:lang w:eastAsia="zh-TW"/>
        </w:rPr>
        <w:t xml:space="preserve">, WRES </w:t>
      </w:r>
      <w:r>
        <w:rPr>
          <w:rFonts w:eastAsia="PMingLiU"/>
          <w:lang w:eastAsia="zh-TW"/>
        </w:rPr>
        <w:t>projects larger</w:t>
      </w:r>
      <w:r w:rsidRPr="001D023E">
        <w:rPr>
          <w:rFonts w:eastAsia="PMingLiU"/>
          <w:lang w:eastAsia="zh-TW"/>
        </w:rPr>
        <w:t xml:space="preserve"> median change </w:t>
      </w:r>
      <w:r>
        <w:rPr>
          <w:rFonts w:eastAsia="PMingLiU"/>
          <w:lang w:eastAsia="zh-TW"/>
        </w:rPr>
        <w:t>of annual hydropower generation</w:t>
      </w:r>
      <w:r w:rsidRPr="001D023E">
        <w:rPr>
          <w:rFonts w:eastAsia="PMingLiU"/>
          <w:lang w:eastAsia="zh-TW"/>
        </w:rPr>
        <w:t>.</w:t>
      </w:r>
      <w:r>
        <w:rPr>
          <w:rFonts w:eastAsia="PMingLiU"/>
          <w:lang w:eastAsia="zh-TW"/>
        </w:rPr>
        <w:t xml:space="preserve"> The change projected by WMP shows a wider spread than WRES.</w:t>
      </w:r>
      <w:r w:rsidRPr="001D023E">
        <w:rPr>
          <w:rFonts w:eastAsia="PMingLiU"/>
          <w:lang w:eastAsia="zh-TW"/>
        </w:rPr>
        <w:t xml:space="preserve"> Several differences between WRES and WMP may </w:t>
      </w:r>
      <w:r w:rsidRPr="001D023E">
        <w:rPr>
          <w:rFonts w:eastAsia="PMingLiU"/>
          <w:lang w:eastAsia="zh-TW"/>
        </w:rPr>
        <w:lastRenderedPageBreak/>
        <w:t xml:space="preserve">contribute to the variance, including the differences in reservoir storage, water demand, </w:t>
      </w:r>
      <w:r>
        <w:rPr>
          <w:rFonts w:eastAsia="PMingLiU"/>
          <w:lang w:eastAsia="zh-TW"/>
        </w:rPr>
        <w:t xml:space="preserve">and </w:t>
      </w:r>
      <w:r w:rsidRPr="001D023E">
        <w:rPr>
          <w:rFonts w:eastAsia="PMingLiU"/>
          <w:lang w:eastAsia="zh-TW"/>
        </w:rPr>
        <w:t xml:space="preserve">flow regulation as represented in the two models as </w:t>
      </w:r>
      <w:r w:rsidRPr="001D023E">
        <w:rPr>
          <w:rFonts w:eastAsia="PMingLiU" w:hint="eastAsia"/>
          <w:lang w:eastAsia="zh-TW"/>
        </w:rPr>
        <w:t>described in Section</w:t>
      </w:r>
      <w:r w:rsidRPr="001D023E">
        <w:rPr>
          <w:rFonts w:eastAsia="PMingLiU"/>
          <w:lang w:eastAsia="zh-TW"/>
        </w:rPr>
        <w:t xml:space="preserve"> </w:t>
      </w:r>
      <w:r w:rsidRPr="001D023E">
        <w:rPr>
          <w:rFonts w:eastAsia="PMingLiU"/>
          <w:lang w:eastAsia="zh-TW"/>
        </w:rPr>
        <w:fldChar w:fldCharType="begin"/>
      </w:r>
      <w:r w:rsidRPr="001D023E">
        <w:rPr>
          <w:rFonts w:eastAsia="PMingLiU"/>
          <w:lang w:eastAsia="zh-TW"/>
        </w:rPr>
        <w:instrText xml:space="preserve"> REF _Ref425755954 \r \h  \* MERGEFORMAT </w:instrText>
      </w:r>
      <w:r w:rsidRPr="001D023E">
        <w:rPr>
          <w:rFonts w:eastAsia="PMingLiU"/>
          <w:lang w:eastAsia="zh-TW"/>
        </w:rPr>
      </w:r>
      <w:r w:rsidRPr="001D023E">
        <w:rPr>
          <w:rFonts w:eastAsia="PMingLiU"/>
          <w:lang w:eastAsia="zh-TW"/>
        </w:rPr>
        <w:fldChar w:fldCharType="separate"/>
      </w:r>
      <w:r w:rsidR="00EE0BF5">
        <w:rPr>
          <w:rFonts w:eastAsia="PMingLiU"/>
          <w:lang w:eastAsia="zh-TW"/>
        </w:rPr>
        <w:t>2.6</w:t>
      </w:r>
      <w:r w:rsidRPr="001D023E">
        <w:rPr>
          <w:rFonts w:eastAsia="PMingLiU"/>
          <w:lang w:eastAsia="zh-TW"/>
        </w:rPr>
        <w:fldChar w:fldCharType="end"/>
      </w:r>
      <w:r w:rsidRPr="001D023E">
        <w:rPr>
          <w:rFonts w:eastAsia="PMingLiU"/>
          <w:lang w:eastAsia="zh-TW"/>
        </w:rPr>
        <w:t>.</w:t>
      </w:r>
    </w:p>
    <w:p w14:paraId="2508D70E" w14:textId="77777777" w:rsidR="00E32E6F" w:rsidRPr="00050448" w:rsidRDefault="00E32E6F" w:rsidP="00050448">
      <w:pPr>
        <w:pStyle w:val="FIGUREposition"/>
      </w:pPr>
      <w:r w:rsidRPr="00050448">
        <w:rPr>
          <w:noProof/>
        </w:rPr>
        <w:drawing>
          <wp:inline distT="0" distB="0" distL="0" distR="0" wp14:anchorId="271FBDD9" wp14:editId="5E95898A">
            <wp:extent cx="5486400" cy="7117738"/>
            <wp:effectExtent l="0" t="0" r="0" b="698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1">
                      <a:extLst>
                        <a:ext uri="{28A0092B-C50C-407E-A947-70E740481C1C}">
                          <a14:useLocalDpi xmlns:a14="http://schemas.microsoft.com/office/drawing/2010/main" val="0"/>
                        </a:ext>
                      </a:extLst>
                    </a:blip>
                    <a:srcRect t="2728"/>
                    <a:stretch/>
                  </pic:blipFill>
                  <pic:spPr bwMode="auto">
                    <a:xfrm>
                      <a:off x="0" y="0"/>
                      <a:ext cx="5486400" cy="7117738"/>
                    </a:xfrm>
                    <a:prstGeom prst="rect">
                      <a:avLst/>
                    </a:prstGeom>
                    <a:noFill/>
                    <a:ln>
                      <a:noFill/>
                    </a:ln>
                    <a:extLst>
                      <a:ext uri="{53640926-AAD7-44D8-BBD7-CCE9431645EC}">
                        <a14:shadowObscured xmlns:a14="http://schemas.microsoft.com/office/drawing/2010/main"/>
                      </a:ext>
                    </a:extLst>
                  </pic:spPr>
                </pic:pic>
              </a:graphicData>
            </a:graphic>
          </wp:inline>
        </w:drawing>
      </w:r>
    </w:p>
    <w:p w14:paraId="5F2EF2A6" w14:textId="049E3E02" w:rsidR="00E32E6F" w:rsidRDefault="00E32E6F" w:rsidP="00050448">
      <w:pPr>
        <w:pStyle w:val="FigureCaption"/>
        <w:rPr>
          <w:lang w:eastAsia="zh-TW"/>
        </w:rPr>
      </w:pPr>
      <w:bookmarkStart w:id="393" w:name="_Ref83537226"/>
      <w:bookmarkStart w:id="394" w:name="_Toc113380923"/>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4</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16</w:t>
      </w:r>
      <w:r w:rsidRPr="00F61532">
        <w:rPr>
          <w:lang w:eastAsia="zh-TW"/>
        </w:rPr>
        <w:fldChar w:fldCharType="end"/>
      </w:r>
      <w:bookmarkEnd w:id="393"/>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generation </w:t>
      </w:r>
      <w:r w:rsidRPr="00F61532">
        <w:rPr>
          <w:lang w:eastAsia="zh-TW"/>
        </w:rPr>
        <w:t xml:space="preserve">in </w:t>
      </w:r>
      <w:r>
        <w:rPr>
          <w:lang w:eastAsia="zh-TW"/>
        </w:rPr>
        <w:t>the WAPA region.</w:t>
      </w:r>
      <w:bookmarkEnd w:id="394"/>
    </w:p>
    <w:p w14:paraId="24E2F31E" w14:textId="270EB8F4" w:rsidR="00AB77C1" w:rsidRDefault="00AB77C1" w:rsidP="00AB77C1">
      <w:pPr>
        <w:pStyle w:val="BodyText"/>
        <w:rPr>
          <w:lang w:eastAsia="zh-TW"/>
        </w:rPr>
      </w:pPr>
      <w:r w:rsidRPr="001B7AEE">
        <w:rPr>
          <w:rFonts w:eastAsia="PMingLiU"/>
          <w:lang w:eastAsia="zh-TW"/>
        </w:rPr>
        <w:lastRenderedPageBreak/>
        <w:t xml:space="preserve">At </w:t>
      </w:r>
      <w:r>
        <w:rPr>
          <w:rFonts w:eastAsia="PMingLiU"/>
          <w:lang w:eastAsia="zh-TW"/>
        </w:rPr>
        <w:t xml:space="preserve">the </w:t>
      </w:r>
      <w:r w:rsidRPr="001B7AEE">
        <w:rPr>
          <w:rFonts w:eastAsia="PMingLiU"/>
          <w:lang w:eastAsia="zh-TW"/>
        </w:rPr>
        <w:t>seasonal scale (</w:t>
      </w:r>
      <w:r>
        <w:rPr>
          <w:rFonts w:eastAsia="PMingLiU"/>
          <w:lang w:eastAsia="zh-TW"/>
        </w:rPr>
        <w:fldChar w:fldCharType="begin"/>
      </w:r>
      <w:r>
        <w:rPr>
          <w:rFonts w:eastAsia="PMingLiU"/>
          <w:lang w:eastAsia="zh-TW"/>
        </w:rPr>
        <w:instrText xml:space="preserve"> REF _Ref81738613 \n \h </w:instrText>
      </w:r>
      <w:r>
        <w:rPr>
          <w:rFonts w:eastAsia="PMingLiU"/>
          <w:lang w:eastAsia="zh-TW"/>
        </w:rPr>
      </w:r>
      <w:r>
        <w:rPr>
          <w:rFonts w:eastAsia="PMingLiU"/>
          <w:lang w:eastAsia="zh-TW"/>
        </w:rPr>
        <w:fldChar w:fldCharType="separate"/>
      </w:r>
      <w:r w:rsidR="00EE0BF5">
        <w:rPr>
          <w:rFonts w:eastAsia="PMingLiU"/>
          <w:lang w:eastAsia="zh-TW"/>
        </w:rPr>
        <w:t>APPENDIX G</w:t>
      </w:r>
      <w:r>
        <w:rPr>
          <w:rFonts w:eastAsia="PMingLiU"/>
          <w:lang w:eastAsia="zh-TW"/>
        </w:rPr>
        <w:fldChar w:fldCharType="end"/>
      </w:r>
      <w:r w:rsidRPr="001B7AEE">
        <w:rPr>
          <w:rFonts w:eastAsia="PMingLiU"/>
          <w:lang w:eastAsia="zh-TW"/>
        </w:rPr>
        <w:t xml:space="preserve">), </w:t>
      </w:r>
      <w:r w:rsidR="00F32AA2">
        <w:rPr>
          <w:rFonts w:eastAsia="PMingLiU"/>
          <w:lang w:eastAsia="zh-TW"/>
        </w:rPr>
        <w:t xml:space="preserve">the </w:t>
      </w:r>
      <w:r>
        <w:rPr>
          <w:rFonts w:eastAsia="PMingLiU"/>
          <w:lang w:eastAsia="zh-TW"/>
        </w:rPr>
        <w:t xml:space="preserve">CM </w:t>
      </w:r>
      <w:r w:rsidRPr="001B7AEE">
        <w:rPr>
          <w:rFonts w:eastAsia="PMingLiU"/>
          <w:lang w:eastAsia="zh-TW"/>
        </w:rPr>
        <w:t xml:space="preserve">remains the </w:t>
      </w:r>
      <w:r w:rsidR="00C753AB">
        <w:rPr>
          <w:rFonts w:eastAsia="PMingLiU"/>
          <w:lang w:eastAsia="zh-TW"/>
        </w:rPr>
        <w:t xml:space="preserve">most </w:t>
      </w:r>
      <w:r w:rsidRPr="001B7AEE">
        <w:rPr>
          <w:rFonts w:eastAsia="PMingLiU"/>
          <w:lang w:eastAsia="zh-TW"/>
        </w:rPr>
        <w:t>dominant contributor to variance, except for</w:t>
      </w:r>
      <w:r w:rsidR="00F32AA2">
        <w:rPr>
          <w:rFonts w:eastAsia="PMingLiU"/>
          <w:lang w:eastAsia="zh-TW"/>
        </w:rPr>
        <w:t xml:space="preserve"> in</w:t>
      </w:r>
      <w:r w:rsidRPr="001B7AEE">
        <w:rPr>
          <w:rFonts w:eastAsia="PMingLiU"/>
          <w:lang w:eastAsia="zh-TW"/>
        </w:rPr>
        <w:t xml:space="preserve"> the spring</w:t>
      </w:r>
      <w:r>
        <w:rPr>
          <w:rFonts w:eastAsia="PMingLiU"/>
          <w:lang w:eastAsia="zh-TW"/>
        </w:rPr>
        <w:t>,</w:t>
      </w:r>
      <w:r w:rsidRPr="001B7AEE">
        <w:rPr>
          <w:rFonts w:eastAsia="PMingLiU"/>
          <w:lang w:eastAsia="zh-TW"/>
        </w:rPr>
        <w:t xml:space="preserve"> when </w:t>
      </w:r>
      <w:r w:rsidR="00F32AA2">
        <w:rPr>
          <w:rFonts w:eastAsia="PMingLiU"/>
          <w:lang w:eastAsia="zh-TW"/>
        </w:rPr>
        <w:t xml:space="preserve">the </w:t>
      </w:r>
      <w:r>
        <w:rPr>
          <w:rFonts w:eastAsia="PMingLiU"/>
          <w:lang w:eastAsia="zh-TW"/>
        </w:rPr>
        <w:t xml:space="preserve">PM </w:t>
      </w:r>
      <w:r w:rsidRPr="001B7AEE">
        <w:rPr>
          <w:rFonts w:eastAsia="PMingLiU"/>
          <w:lang w:eastAsia="zh-TW"/>
        </w:rPr>
        <w:t xml:space="preserve">is the </w:t>
      </w:r>
      <w:r w:rsidR="005367C2">
        <w:rPr>
          <w:rFonts w:eastAsia="PMingLiU"/>
          <w:lang w:eastAsia="zh-TW"/>
        </w:rPr>
        <w:t xml:space="preserve">most </w:t>
      </w:r>
      <w:r w:rsidRPr="001B7AEE">
        <w:rPr>
          <w:rFonts w:eastAsia="PMingLiU"/>
          <w:lang w:eastAsia="zh-TW"/>
        </w:rPr>
        <w:t>dominant variance contributor in WAPA-1 (53%), WAPA-2 (32%)</w:t>
      </w:r>
      <w:r>
        <w:rPr>
          <w:rFonts w:eastAsia="PMingLiU"/>
          <w:lang w:eastAsia="zh-TW"/>
        </w:rPr>
        <w:t>,</w:t>
      </w:r>
      <w:r w:rsidRPr="001B7AEE">
        <w:rPr>
          <w:rFonts w:eastAsia="PMingLiU"/>
          <w:lang w:eastAsia="zh-TW"/>
        </w:rPr>
        <w:t xml:space="preserve"> and WAPA-5 (43%). </w:t>
      </w:r>
      <w:r>
        <w:rPr>
          <w:rFonts w:eastAsia="PMingLiU"/>
          <w:lang w:eastAsia="zh-TW"/>
        </w:rPr>
        <w:t xml:space="preserve">On the other hand, </w:t>
      </w:r>
      <w:r w:rsidR="00F32AA2">
        <w:rPr>
          <w:rFonts w:eastAsia="PMingLiU"/>
          <w:lang w:eastAsia="zh-TW"/>
        </w:rPr>
        <w:t xml:space="preserve">the </w:t>
      </w:r>
      <w:r>
        <w:rPr>
          <w:rFonts w:eastAsia="PMingLiU"/>
          <w:lang w:eastAsia="zh-TW"/>
        </w:rPr>
        <w:t xml:space="preserve">HM </w:t>
      </w:r>
      <w:r w:rsidRPr="001B7AEE">
        <w:rPr>
          <w:rFonts w:eastAsia="PMingLiU"/>
          <w:lang w:eastAsia="zh-TW"/>
        </w:rPr>
        <w:t xml:space="preserve">is the </w:t>
      </w:r>
      <w:r w:rsidR="005367C2">
        <w:rPr>
          <w:rFonts w:eastAsia="PMingLiU"/>
          <w:lang w:eastAsia="zh-TW"/>
        </w:rPr>
        <w:t xml:space="preserve">most </w:t>
      </w:r>
      <w:r w:rsidRPr="001B7AEE">
        <w:rPr>
          <w:rFonts w:eastAsia="PMingLiU"/>
          <w:lang w:eastAsia="zh-TW"/>
        </w:rPr>
        <w:t xml:space="preserve">dominant variance contributor in WAPA-6 </w:t>
      </w:r>
      <w:r>
        <w:rPr>
          <w:rFonts w:eastAsia="PMingLiU"/>
          <w:lang w:eastAsia="zh-TW"/>
        </w:rPr>
        <w:t xml:space="preserve">during </w:t>
      </w:r>
      <w:r w:rsidR="00F32AA2">
        <w:rPr>
          <w:rFonts w:eastAsia="PMingLiU"/>
          <w:lang w:eastAsia="zh-TW"/>
        </w:rPr>
        <w:t xml:space="preserve">the </w:t>
      </w:r>
      <w:r w:rsidRPr="001B7AEE">
        <w:rPr>
          <w:rFonts w:eastAsia="PMingLiU"/>
          <w:lang w:eastAsia="zh-TW"/>
        </w:rPr>
        <w:t>spring (36%), summer (37%), and fall (40%).</w:t>
      </w:r>
    </w:p>
    <w:p w14:paraId="07D379A7" w14:textId="0347BF26" w:rsidR="0043509C" w:rsidRPr="0043509C" w:rsidRDefault="0043509C" w:rsidP="0043509C">
      <w:pPr>
        <w:pStyle w:val="BodyText"/>
        <w:rPr>
          <w:lang w:eastAsia="zh-TW"/>
        </w:rPr>
      </w:pPr>
      <w:r w:rsidRPr="003228BC">
        <w:rPr>
          <w:rFonts w:eastAsia="PMingLiU"/>
          <w:lang w:eastAsia="zh-TW"/>
        </w:rPr>
        <w:t xml:space="preserve">In summary, for federal hydropower in the </w:t>
      </w:r>
      <w:r>
        <w:rPr>
          <w:rFonts w:eastAsia="PMingLiU"/>
          <w:lang w:eastAsia="zh-TW"/>
        </w:rPr>
        <w:t>WAPA</w:t>
      </w:r>
      <w:r w:rsidRPr="003228BC">
        <w:rPr>
          <w:rFonts w:eastAsia="PMingLiU"/>
          <w:lang w:eastAsia="zh-TW"/>
        </w:rPr>
        <w:t xml:space="preserve"> region, the most important climate change impact includes the overall increase in annual and seasonal generation in </w:t>
      </w:r>
      <w:r>
        <w:rPr>
          <w:rFonts w:eastAsia="PMingLiU"/>
          <w:lang w:eastAsia="zh-TW"/>
        </w:rPr>
        <w:t>all</w:t>
      </w:r>
      <w:r w:rsidRPr="003228BC">
        <w:rPr>
          <w:rFonts w:eastAsia="PMingLiU"/>
          <w:lang w:eastAsia="zh-TW"/>
        </w:rPr>
        <w:t xml:space="preserve"> study areas except WAPA-5. The </w:t>
      </w:r>
      <w:r>
        <w:rPr>
          <w:rFonts w:eastAsia="PMingLiU"/>
          <w:lang w:eastAsia="zh-TW"/>
        </w:rPr>
        <w:t xml:space="preserve">seasonal change in </w:t>
      </w:r>
      <w:r w:rsidRPr="003228BC">
        <w:rPr>
          <w:rFonts w:eastAsia="PMingLiU"/>
          <w:lang w:eastAsia="zh-TW"/>
        </w:rPr>
        <w:t xml:space="preserve">generation differs among study areas </w:t>
      </w:r>
      <w:r>
        <w:rPr>
          <w:rFonts w:eastAsia="PMingLiU"/>
          <w:lang w:eastAsia="zh-TW"/>
        </w:rPr>
        <w:t>because of</w:t>
      </w:r>
      <w:r w:rsidRPr="003228BC">
        <w:rPr>
          <w:rFonts w:eastAsia="PMingLiU"/>
          <w:lang w:eastAsia="zh-TW"/>
        </w:rPr>
        <w:t xml:space="preserve"> regional climate features</w:t>
      </w:r>
      <w:r>
        <w:rPr>
          <w:rFonts w:eastAsia="PMingLiU"/>
          <w:lang w:eastAsia="zh-TW"/>
        </w:rPr>
        <w:t>.</w:t>
      </w:r>
      <w:r w:rsidRPr="003228BC">
        <w:rPr>
          <w:rFonts w:eastAsia="PMingLiU"/>
          <w:lang w:eastAsia="zh-TW"/>
        </w:rPr>
        <w:t xml:space="preserve"> </w:t>
      </w:r>
      <w:r>
        <w:rPr>
          <w:rFonts w:eastAsia="PMingLiU"/>
          <w:lang w:eastAsia="zh-TW"/>
        </w:rPr>
        <w:t>H</w:t>
      </w:r>
      <w:r w:rsidRPr="003228BC">
        <w:rPr>
          <w:rFonts w:eastAsia="PMingLiU"/>
          <w:lang w:eastAsia="zh-TW"/>
        </w:rPr>
        <w:t>owever</w:t>
      </w:r>
      <w:r>
        <w:rPr>
          <w:rFonts w:eastAsia="PMingLiU"/>
          <w:lang w:eastAsia="zh-TW"/>
        </w:rPr>
        <w:t>,</w:t>
      </w:r>
      <w:r w:rsidRPr="003228BC">
        <w:rPr>
          <w:rFonts w:eastAsia="PMingLiU"/>
          <w:lang w:eastAsia="zh-TW"/>
        </w:rPr>
        <w:t xml:space="preserve"> the </w:t>
      </w:r>
      <w:r>
        <w:rPr>
          <w:rFonts w:eastAsia="PMingLiU"/>
          <w:lang w:eastAsia="zh-TW"/>
        </w:rPr>
        <w:t xml:space="preserve">seasonal </w:t>
      </w:r>
      <w:r w:rsidRPr="003228BC">
        <w:rPr>
          <w:rFonts w:eastAsia="PMingLiU"/>
          <w:lang w:eastAsia="zh-TW"/>
        </w:rPr>
        <w:t xml:space="preserve">hydropower generation in general has </w:t>
      </w:r>
      <w:r>
        <w:rPr>
          <w:rFonts w:eastAsia="PMingLiU"/>
          <w:lang w:eastAsia="zh-TW"/>
        </w:rPr>
        <w:t>seasonally uniform response</w:t>
      </w:r>
      <w:r w:rsidRPr="003228BC">
        <w:rPr>
          <w:rFonts w:eastAsia="PMingLiU"/>
          <w:lang w:eastAsia="zh-TW"/>
        </w:rPr>
        <w:t xml:space="preserve"> to climate change, indicating </w:t>
      </w:r>
      <w:r>
        <w:rPr>
          <w:rFonts w:eastAsia="PMingLiU"/>
          <w:lang w:eastAsia="zh-TW"/>
        </w:rPr>
        <w:t xml:space="preserve">that </w:t>
      </w:r>
      <w:r w:rsidRPr="003228BC">
        <w:rPr>
          <w:rFonts w:eastAsia="PMingLiU"/>
          <w:lang w:eastAsia="zh-TW"/>
        </w:rPr>
        <w:t xml:space="preserve">the </w:t>
      </w:r>
      <w:r>
        <w:rPr>
          <w:rFonts w:eastAsia="PMingLiU"/>
          <w:lang w:eastAsia="zh-TW"/>
        </w:rPr>
        <w:t xml:space="preserve">existing </w:t>
      </w:r>
      <w:r w:rsidRPr="003228BC">
        <w:rPr>
          <w:rFonts w:eastAsia="PMingLiU"/>
          <w:lang w:eastAsia="zh-TW"/>
        </w:rPr>
        <w:t xml:space="preserve">reservoir storage systems and water management practices </w:t>
      </w:r>
      <w:r>
        <w:rPr>
          <w:rFonts w:eastAsia="PMingLiU"/>
          <w:lang w:eastAsia="zh-TW"/>
        </w:rPr>
        <w:t xml:space="preserve">may help </w:t>
      </w:r>
      <w:r w:rsidRPr="003228BC">
        <w:rPr>
          <w:rFonts w:eastAsia="PMingLiU"/>
          <w:lang w:eastAsia="zh-TW"/>
        </w:rPr>
        <w:t xml:space="preserve">absorb part of the </w:t>
      </w:r>
      <w:r>
        <w:rPr>
          <w:rFonts w:eastAsia="PMingLiU"/>
          <w:lang w:eastAsia="zh-TW"/>
        </w:rPr>
        <w:t xml:space="preserve">increasing future </w:t>
      </w:r>
      <w:r w:rsidRPr="003228BC">
        <w:rPr>
          <w:rFonts w:eastAsia="PMingLiU"/>
          <w:lang w:eastAsia="zh-TW"/>
        </w:rPr>
        <w:t xml:space="preserve">runoff variability. The sources of uncertainty also differ among study areas, with </w:t>
      </w:r>
      <w:r w:rsidR="00F32AA2">
        <w:rPr>
          <w:rFonts w:eastAsia="PMingLiU"/>
          <w:lang w:eastAsia="zh-TW"/>
        </w:rPr>
        <w:t xml:space="preserve">the </w:t>
      </w:r>
      <w:r>
        <w:rPr>
          <w:rFonts w:eastAsia="PMingLiU"/>
          <w:lang w:eastAsia="zh-TW"/>
        </w:rPr>
        <w:t>CM</w:t>
      </w:r>
      <w:r w:rsidRPr="003228BC">
        <w:rPr>
          <w:rFonts w:eastAsia="PMingLiU"/>
          <w:lang w:eastAsia="zh-TW"/>
        </w:rPr>
        <w:t xml:space="preserve">, </w:t>
      </w:r>
      <w:r>
        <w:rPr>
          <w:rFonts w:eastAsia="PMingLiU"/>
          <w:lang w:eastAsia="zh-TW"/>
        </w:rPr>
        <w:t>HM</w:t>
      </w:r>
      <w:r w:rsidRPr="003228BC">
        <w:rPr>
          <w:rFonts w:eastAsia="PMingLiU"/>
          <w:lang w:eastAsia="zh-TW"/>
        </w:rPr>
        <w:t xml:space="preserve">, and </w:t>
      </w:r>
      <w:r>
        <w:rPr>
          <w:rFonts w:eastAsia="PMingLiU"/>
          <w:lang w:eastAsia="zh-TW"/>
        </w:rPr>
        <w:t xml:space="preserve">PM </w:t>
      </w:r>
      <w:r w:rsidRPr="003228BC">
        <w:rPr>
          <w:rFonts w:eastAsia="PMingLiU"/>
          <w:lang w:eastAsia="zh-TW"/>
        </w:rPr>
        <w:t xml:space="preserve">each </w:t>
      </w:r>
      <w:r>
        <w:rPr>
          <w:rFonts w:eastAsia="PMingLiU"/>
          <w:lang w:eastAsia="zh-TW"/>
        </w:rPr>
        <w:t>having</w:t>
      </w:r>
      <w:r w:rsidRPr="003228BC">
        <w:rPr>
          <w:rFonts w:eastAsia="PMingLiU"/>
          <w:lang w:eastAsia="zh-TW"/>
        </w:rPr>
        <w:t xml:space="preserve"> strong impacts in different areas.</w:t>
      </w:r>
      <w:r>
        <w:rPr>
          <w:rFonts w:eastAsia="PMingLiU"/>
          <w:lang w:eastAsia="zh-TW"/>
        </w:rPr>
        <w:t xml:space="preserve"> The diversity of regional generation response to different modeling choices again shows the benefits of an ensemble-based multimodel approach.</w:t>
      </w:r>
    </w:p>
    <w:p w14:paraId="39C7C7A4" w14:textId="2FB1746C" w:rsidR="00A27865" w:rsidRPr="00A27865" w:rsidRDefault="00E7709C" w:rsidP="00A27865">
      <w:pPr>
        <w:pStyle w:val="Heading3"/>
      </w:pPr>
      <w:bookmarkStart w:id="395" w:name="_Toc113380816"/>
      <w:r w:rsidRPr="00DE36AC">
        <w:t xml:space="preserve">Climate Change Impacts on </w:t>
      </w:r>
      <w:r>
        <w:t>Regional Electricity Demand</w:t>
      </w:r>
      <w:bookmarkEnd w:id="395"/>
    </w:p>
    <w:p w14:paraId="2D53DABF" w14:textId="1E7245AF" w:rsidR="00925CB0" w:rsidRDefault="00925CB0" w:rsidP="0069600C">
      <w:pPr>
        <w:pStyle w:val="BodyText"/>
      </w:pPr>
      <w:r>
        <w:t>This section summarizes the results from the statistical analysis, exploring the effects of projected temperature trends on the electricity sales of WAPA</w:t>
      </w:r>
      <w:r w:rsidR="00805545">
        <w:t>’</w:t>
      </w:r>
      <w:r>
        <w:t>s preference customers to their end-use (residential, commercial, industrial) customers. As described in</w:t>
      </w:r>
      <w:r w:rsidRPr="00925CB0">
        <w:t xml:space="preserve"> </w:t>
      </w:r>
      <w:r>
        <w:t xml:space="preserve">Section </w:t>
      </w:r>
      <w:r>
        <w:fldChar w:fldCharType="begin"/>
      </w:r>
      <w:r>
        <w:instrText xml:space="preserve"> REF _Ref95319436 \n \h </w:instrText>
      </w:r>
      <w:r>
        <w:fldChar w:fldCharType="separate"/>
      </w:r>
      <w:r w:rsidR="00EE0BF5">
        <w:t>4.1.2</w:t>
      </w:r>
      <w:r>
        <w:fldChar w:fldCharType="end"/>
      </w:r>
      <w:r>
        <w:t xml:space="preserve">, </w:t>
      </w:r>
      <w:r w:rsidR="00F60D9F">
        <w:t>WAPA markets the output from 58 hydropower plants through long-term contracts with preference customers, such as municipalities, Native American tribes, cooperatives, and irrigation districts. Depending on the marketing subregion, WAPA guarantees the preference customers a number of hours of firm power or a fraction of the hydroelectricity generated by the federal hydropower plants. Typically, the federal hydropower allocation that preference customers receive from WAPA is a small fraction of the portfolio of generation resources they use to serve their end-use customers. Any load growth projected by WAPA</w:t>
      </w:r>
      <w:r w:rsidR="00805545">
        <w:t>’</w:t>
      </w:r>
      <w:r w:rsidR="00F60D9F">
        <w:t>s preference customers, due to climate trends or other drivers, would have to be met through generation sources other than federal hydropower.</w:t>
      </w:r>
    </w:p>
    <w:p w14:paraId="4515AB0E" w14:textId="0424878C" w:rsidR="00925CB0" w:rsidRDefault="00BA7595" w:rsidP="0069600C">
      <w:pPr>
        <w:pStyle w:val="BodyText"/>
      </w:pPr>
      <w:r>
        <w:t>Power scheduling in the WAPA regions is primarily driven by non-power purposes provided by the hydropower dams, such as water supply and irrigation. WAPA</w:t>
      </w:r>
      <w:r w:rsidR="00805545">
        <w:t>’</w:t>
      </w:r>
      <w:r>
        <w:t>s preference customers may have some limited flexibility regarding the time of the year in which they receive their energy allocation (within the seasonal or monthly volume ranges specified in the contracts), but only if the requested timing does not conflict with the aforementioned non-power purposes or other federal hydropower operational constraints.</w:t>
      </w:r>
    </w:p>
    <w:p w14:paraId="6CC280A2" w14:textId="5891C44F" w:rsidR="0069600C" w:rsidRDefault="0069600C" w:rsidP="0069600C">
      <w:pPr>
        <w:pStyle w:val="BodyText"/>
      </w:pPr>
      <w:r>
        <w:fldChar w:fldCharType="begin"/>
      </w:r>
      <w:r>
        <w:instrText xml:space="preserve"> REF _Ref72854301 \h </w:instrText>
      </w:r>
      <w:r>
        <w:fldChar w:fldCharType="separate"/>
      </w:r>
      <w:r w:rsidR="00EE0BF5" w:rsidRPr="004C5793">
        <w:rPr>
          <w:rFonts w:eastAsia="PMingLiU"/>
          <w:lang w:bidi="en-US"/>
        </w:rPr>
        <w:t xml:space="preserve">Table </w:t>
      </w:r>
      <w:r w:rsidR="00EE0BF5">
        <w:rPr>
          <w:rFonts w:eastAsia="PMingLiU"/>
          <w:noProof/>
          <w:lang w:bidi="en-US"/>
        </w:rPr>
        <w:t>4</w:t>
      </w:r>
      <w:r w:rsidR="00EE0BF5">
        <w:rPr>
          <w:rFonts w:eastAsia="PMingLiU"/>
          <w:lang w:bidi="en-US"/>
        </w:rPr>
        <w:t>.</w:t>
      </w:r>
      <w:r w:rsidR="00EE0BF5">
        <w:rPr>
          <w:rFonts w:eastAsia="PMingLiU"/>
          <w:noProof/>
          <w:lang w:bidi="en-US"/>
        </w:rPr>
        <w:t>3</w:t>
      </w:r>
      <w:r>
        <w:fldChar w:fldCharType="end"/>
      </w:r>
      <w:r>
        <w:t xml:space="preserve"> s</w:t>
      </w:r>
      <w:r w:rsidR="00BA7595">
        <w:t xml:space="preserve">ummarizes the elasticities of preference customer sales with respect to degree days for the sample of 200 WAPA preference customers included in EIA Form 861. The regression analysis was conducted separately for four </w:t>
      </w:r>
      <w:r w:rsidR="00BA7595" w:rsidRPr="0043151A">
        <w:t xml:space="preserve">marketing </w:t>
      </w:r>
      <w:r w:rsidR="00BA7595">
        <w:t>sub</w:t>
      </w:r>
      <w:r w:rsidR="00BA7595" w:rsidRPr="0043151A">
        <w:t>regions</w:t>
      </w:r>
      <w:r w:rsidR="00BA7595">
        <w:t xml:space="preserve"> within the WAPA footprint: WAPA-UGP, WAPA-CRSP, WAPA-SN/RM, and WAPA-DSW. The correspondence among these four marketing subregions and the study areas used elsewhere in this document is presented in</w:t>
      </w:r>
      <w:r>
        <w:t xml:space="preserve"> </w:t>
      </w:r>
      <w:r w:rsidR="00DB5955">
        <w:rPr>
          <w:lang w:eastAsia="zh-TW"/>
        </w:rPr>
        <w:fldChar w:fldCharType="begin"/>
      </w:r>
      <w:r w:rsidR="00DB5955">
        <w:rPr>
          <w:lang w:eastAsia="zh-TW"/>
        </w:rPr>
        <w:instrText xml:space="preserve"> REF _Ref81737985 \n \h </w:instrText>
      </w:r>
      <w:r w:rsidR="00DB5955">
        <w:rPr>
          <w:lang w:eastAsia="zh-TW"/>
        </w:rPr>
      </w:r>
      <w:r w:rsidR="00DB5955">
        <w:rPr>
          <w:lang w:eastAsia="zh-TW"/>
        </w:rPr>
        <w:fldChar w:fldCharType="separate"/>
      </w:r>
      <w:r w:rsidR="00EE0BF5">
        <w:rPr>
          <w:lang w:eastAsia="zh-TW"/>
        </w:rPr>
        <w:t>APPENDIX H</w:t>
      </w:r>
      <w:r w:rsidR="00DB5955">
        <w:rPr>
          <w:lang w:eastAsia="zh-TW"/>
        </w:rPr>
        <w:fldChar w:fldCharType="end"/>
      </w:r>
      <w:r w:rsidRPr="0043151A">
        <w:t>.</w:t>
      </w:r>
      <w:r>
        <w:t xml:space="preserve"> The complete output from the regression equations is also shown in</w:t>
      </w:r>
      <w:r w:rsidR="00141B0A">
        <w:t xml:space="preserve"> </w:t>
      </w:r>
      <w:r w:rsidR="00DB5955">
        <w:rPr>
          <w:lang w:eastAsia="zh-TW"/>
        </w:rPr>
        <w:fldChar w:fldCharType="begin"/>
      </w:r>
      <w:r w:rsidR="00DB5955">
        <w:rPr>
          <w:lang w:eastAsia="zh-TW"/>
        </w:rPr>
        <w:instrText xml:space="preserve"> REF _Ref81737985 \n \h </w:instrText>
      </w:r>
      <w:r w:rsidR="00DB5955">
        <w:rPr>
          <w:lang w:eastAsia="zh-TW"/>
        </w:rPr>
      </w:r>
      <w:r w:rsidR="00DB5955">
        <w:rPr>
          <w:lang w:eastAsia="zh-TW"/>
        </w:rPr>
        <w:fldChar w:fldCharType="separate"/>
      </w:r>
      <w:r w:rsidR="00EE0BF5">
        <w:rPr>
          <w:lang w:eastAsia="zh-TW"/>
        </w:rPr>
        <w:t>APPENDIX H</w:t>
      </w:r>
      <w:r w:rsidR="00DB5955">
        <w:rPr>
          <w:lang w:eastAsia="zh-TW"/>
        </w:rPr>
        <w:fldChar w:fldCharType="end"/>
      </w:r>
      <w:r>
        <w:t>.</w:t>
      </w:r>
    </w:p>
    <w:p w14:paraId="48E9C879" w14:textId="77777777" w:rsidR="00045F48" w:rsidRDefault="00045F48" w:rsidP="00045F48">
      <w:pPr>
        <w:pStyle w:val="BodyText"/>
      </w:pPr>
      <w:r>
        <w:t>In the WAPA-UGP subregion, electricity sales by the PMA preference customers to their end-use customers display a positive and statistically significant relationship to both HDDs and CDDs. The elasticity of annual sales to HDDs (i.e., the number and intensity of cold days triggering heating demand) is much larger than the elasticity with respect to CDDs (i.e., the number and intensity of warm days triggering air conditioning use) for utilities receiving federal hydropower allocations from WAPA-UGP. All else equal, a 1% increase in annual HDDs leads to a 0.12%</w:t>
      </w:r>
      <w:r>
        <w:rPr>
          <w:rFonts w:cstheme="minorHAnsi"/>
        </w:rPr>
        <w:t>–</w:t>
      </w:r>
      <w:r>
        <w:t>0.13% increase in sales. In contrast, a 1% increase in annual CDDs leads to a 0.03% increase in sales. Importantly, a 1% increase in HDDs is a much higher absolute number of additional degree days than a 1% increase in CDDs, given the average values for the two variables in this region during the baseline period.</w:t>
      </w:r>
    </w:p>
    <w:p w14:paraId="1C748FA0" w14:textId="3604FA0E" w:rsidR="00591A24" w:rsidRPr="00FB708B" w:rsidRDefault="009F5B8F" w:rsidP="009F5B8F">
      <w:pPr>
        <w:pStyle w:val="TableCaption"/>
        <w:rPr>
          <w:b w:val="0"/>
          <w:bCs/>
          <w:szCs w:val="20"/>
        </w:rPr>
      </w:pPr>
      <w:bookmarkStart w:id="396" w:name="_Ref72854301"/>
      <w:bookmarkStart w:id="397" w:name="_Toc113380981"/>
      <w:r w:rsidRPr="004C5793">
        <w:rPr>
          <w:rFonts w:eastAsia="PMingLiU"/>
          <w:lang w:bidi="en-US"/>
        </w:rPr>
        <w:lastRenderedPageBreak/>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4</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3</w:t>
      </w:r>
      <w:r w:rsidRPr="004C5793">
        <w:rPr>
          <w:rFonts w:eastAsia="PMingLiU"/>
          <w:lang w:bidi="en-US"/>
        </w:rPr>
        <w:fldChar w:fldCharType="end"/>
      </w:r>
      <w:bookmarkEnd w:id="396"/>
      <w:r w:rsidRPr="004C5793">
        <w:rPr>
          <w:rFonts w:eastAsia="PMingLiU"/>
          <w:lang w:bidi="en-US"/>
        </w:rPr>
        <w:t>.</w:t>
      </w:r>
      <w:r w:rsidRPr="004C5793">
        <w:rPr>
          <w:rFonts w:eastAsia="PMingLiU"/>
          <w:b w:val="0"/>
          <w:lang w:bidi="en-US"/>
        </w:rPr>
        <w:t xml:space="preserve"> </w:t>
      </w:r>
      <w:r w:rsidRPr="009F5B8F">
        <w:rPr>
          <w:rFonts w:eastAsia="PMingLiU"/>
          <w:lang w:eastAsia="zh-TW" w:bidi="en-US"/>
        </w:rPr>
        <w:t>Estimated responsiveness of electricity sales by WAPA preference customers to degree days</w:t>
      </w:r>
      <w:bookmarkEnd w:id="397"/>
    </w:p>
    <w:tbl>
      <w:tblPr>
        <w:tblStyle w:val="PlainTable2"/>
        <w:tblW w:w="9350" w:type="dxa"/>
        <w:jc w:val="center"/>
        <w:tblLayout w:type="fixed"/>
        <w:tblCellMar>
          <w:top w:w="29" w:type="dxa"/>
          <w:left w:w="58" w:type="dxa"/>
          <w:bottom w:w="29" w:type="dxa"/>
          <w:right w:w="58" w:type="dxa"/>
        </w:tblCellMar>
        <w:tblLook w:val="04A0" w:firstRow="1" w:lastRow="0" w:firstColumn="1" w:lastColumn="0" w:noHBand="0" w:noVBand="1"/>
      </w:tblPr>
      <w:tblGrid>
        <w:gridCol w:w="1870"/>
        <w:gridCol w:w="1870"/>
        <w:gridCol w:w="1870"/>
        <w:gridCol w:w="1870"/>
        <w:gridCol w:w="1870"/>
      </w:tblGrid>
      <w:tr w:rsidR="00591A24" w14:paraId="2FE8CD28" w14:textId="77777777" w:rsidTr="00C117D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12" w:space="0" w:color="auto"/>
              <w:bottom w:val="single" w:sz="12" w:space="0" w:color="auto"/>
            </w:tcBorders>
            <w:vAlign w:val="center"/>
          </w:tcPr>
          <w:p w14:paraId="3EB6BA00" w14:textId="6B179DC5" w:rsidR="00591A24" w:rsidRPr="00987A34" w:rsidRDefault="00591A24" w:rsidP="00050448">
            <w:pPr>
              <w:pStyle w:val="BodyText"/>
              <w:spacing w:after="0"/>
              <w:jc w:val="center"/>
              <w:rPr>
                <w:sz w:val="20"/>
                <w:szCs w:val="20"/>
              </w:rPr>
            </w:pPr>
            <w:r w:rsidRPr="00987A34">
              <w:rPr>
                <w:sz w:val="20"/>
                <w:szCs w:val="20"/>
              </w:rPr>
              <w:t xml:space="preserve">Marketing </w:t>
            </w:r>
            <w:r w:rsidR="00E86E42">
              <w:rPr>
                <w:sz w:val="20"/>
                <w:szCs w:val="20"/>
              </w:rPr>
              <w:t>r</w:t>
            </w:r>
            <w:r w:rsidRPr="00987A34">
              <w:rPr>
                <w:sz w:val="20"/>
                <w:szCs w:val="20"/>
              </w:rPr>
              <w:t>egion</w:t>
            </w:r>
          </w:p>
        </w:tc>
        <w:tc>
          <w:tcPr>
            <w:tcW w:w="1870" w:type="dxa"/>
            <w:tcBorders>
              <w:top w:val="single" w:sz="12" w:space="0" w:color="auto"/>
              <w:bottom w:val="single" w:sz="12" w:space="0" w:color="auto"/>
            </w:tcBorders>
            <w:vAlign w:val="center"/>
          </w:tcPr>
          <w:p w14:paraId="030A79C8" w14:textId="6903F95D" w:rsidR="00591A24" w:rsidRPr="00987A34" w:rsidRDefault="00CD7DB6" w:rsidP="00050448">
            <w:pPr>
              <w:pStyle w:val="BodyText"/>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Meteorologic</w:t>
            </w:r>
            <w:r w:rsidR="00C420F9">
              <w:rPr>
                <w:sz w:val="20"/>
                <w:szCs w:val="20"/>
              </w:rPr>
              <w:t>al</w:t>
            </w:r>
            <w:r w:rsidRPr="00987A34">
              <w:rPr>
                <w:sz w:val="20"/>
                <w:szCs w:val="20"/>
              </w:rPr>
              <w:t xml:space="preserve"> </w:t>
            </w:r>
            <w:r>
              <w:rPr>
                <w:sz w:val="20"/>
                <w:szCs w:val="20"/>
              </w:rPr>
              <w:t>observation</w:t>
            </w:r>
          </w:p>
        </w:tc>
        <w:tc>
          <w:tcPr>
            <w:tcW w:w="1870" w:type="dxa"/>
            <w:tcBorders>
              <w:top w:val="single" w:sz="12" w:space="0" w:color="auto"/>
              <w:bottom w:val="single" w:sz="12" w:space="0" w:color="auto"/>
            </w:tcBorders>
            <w:vAlign w:val="center"/>
          </w:tcPr>
          <w:p w14:paraId="43EE90B9" w14:textId="77777777" w:rsidR="00591A24" w:rsidRPr="00987A34" w:rsidRDefault="00591A24" w:rsidP="00050448">
            <w:pPr>
              <w:pStyle w:val="BodyText"/>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87A34">
              <w:rPr>
                <w:sz w:val="20"/>
                <w:szCs w:val="20"/>
              </w:rPr>
              <w:t>Dependent variable</w:t>
            </w:r>
          </w:p>
        </w:tc>
        <w:tc>
          <w:tcPr>
            <w:tcW w:w="1870" w:type="dxa"/>
            <w:tcBorders>
              <w:top w:val="single" w:sz="12" w:space="0" w:color="auto"/>
              <w:bottom w:val="single" w:sz="12" w:space="0" w:color="auto"/>
            </w:tcBorders>
            <w:vAlign w:val="center"/>
          </w:tcPr>
          <w:p w14:paraId="3232E359" w14:textId="77777777" w:rsidR="00591A24" w:rsidRPr="00987A34" w:rsidRDefault="00591A24" w:rsidP="00050448">
            <w:pPr>
              <w:pStyle w:val="BodyText"/>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87A34">
              <w:rPr>
                <w:sz w:val="20"/>
                <w:szCs w:val="20"/>
              </w:rPr>
              <w:t>Elasticity with respect to HDDs</w:t>
            </w:r>
          </w:p>
        </w:tc>
        <w:tc>
          <w:tcPr>
            <w:tcW w:w="1870" w:type="dxa"/>
            <w:tcBorders>
              <w:top w:val="single" w:sz="12" w:space="0" w:color="auto"/>
              <w:bottom w:val="single" w:sz="12" w:space="0" w:color="auto"/>
            </w:tcBorders>
            <w:vAlign w:val="center"/>
          </w:tcPr>
          <w:p w14:paraId="6548AB84" w14:textId="77777777" w:rsidR="00591A24" w:rsidRPr="00987A34" w:rsidRDefault="00591A24" w:rsidP="00050448">
            <w:pPr>
              <w:pStyle w:val="BodyText"/>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87A34">
              <w:rPr>
                <w:sz w:val="20"/>
                <w:szCs w:val="20"/>
              </w:rPr>
              <w:t>Elasticity with respect to CDDs</w:t>
            </w:r>
          </w:p>
        </w:tc>
      </w:tr>
      <w:tr w:rsidR="00823805" w14:paraId="14A8F246"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5CE7BB1C" w14:textId="77777777" w:rsidR="00823805" w:rsidRPr="00E86E42" w:rsidRDefault="00823805" w:rsidP="00050448">
            <w:pPr>
              <w:pStyle w:val="BodyText"/>
              <w:spacing w:after="0"/>
              <w:rPr>
                <w:b w:val="0"/>
                <w:bCs w:val="0"/>
                <w:sz w:val="20"/>
                <w:szCs w:val="20"/>
              </w:rPr>
            </w:pPr>
            <w:r w:rsidRPr="00E86E42">
              <w:rPr>
                <w:b w:val="0"/>
                <w:bCs w:val="0"/>
                <w:sz w:val="20"/>
                <w:szCs w:val="20"/>
              </w:rPr>
              <w:t>WAPA-UGP</w:t>
            </w:r>
          </w:p>
        </w:tc>
        <w:tc>
          <w:tcPr>
            <w:tcW w:w="1870" w:type="dxa"/>
            <w:tcBorders>
              <w:top w:val="single" w:sz="4" w:space="0" w:color="auto"/>
              <w:bottom w:val="single" w:sz="4" w:space="0" w:color="auto"/>
            </w:tcBorders>
            <w:vAlign w:val="center"/>
          </w:tcPr>
          <w:p w14:paraId="4101F684" w14:textId="77777777"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Daymet</w:t>
            </w:r>
          </w:p>
        </w:tc>
        <w:tc>
          <w:tcPr>
            <w:tcW w:w="1870" w:type="dxa"/>
            <w:tcBorders>
              <w:top w:val="single" w:sz="4" w:space="0" w:color="auto"/>
              <w:bottom w:val="single" w:sz="4" w:space="0" w:color="auto"/>
            </w:tcBorders>
            <w:vAlign w:val="center"/>
          </w:tcPr>
          <w:p w14:paraId="035AFB86" w14:textId="3694718B"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547007CA" w14:textId="77777777" w:rsidR="00823805" w:rsidRDefault="00823805"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987A34">
              <w:rPr>
                <w:b/>
                <w:bCs/>
                <w:sz w:val="20"/>
                <w:szCs w:val="20"/>
              </w:rPr>
              <w:t>0.1154</w:t>
            </w:r>
          </w:p>
          <w:p w14:paraId="68E7AE7E" w14:textId="77777777" w:rsidR="00823805" w:rsidRPr="00987A34" w:rsidRDefault="00823805"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987A34">
              <w:rPr>
                <w:sz w:val="20"/>
                <w:szCs w:val="20"/>
              </w:rPr>
              <w:t>(0.015)</w:t>
            </w:r>
          </w:p>
        </w:tc>
        <w:tc>
          <w:tcPr>
            <w:tcW w:w="1870" w:type="dxa"/>
            <w:tcBorders>
              <w:top w:val="single" w:sz="4" w:space="0" w:color="auto"/>
              <w:bottom w:val="single" w:sz="4" w:space="0" w:color="auto"/>
            </w:tcBorders>
            <w:vAlign w:val="center"/>
          </w:tcPr>
          <w:p w14:paraId="1B1DF703" w14:textId="77777777" w:rsidR="00823805" w:rsidRPr="00987A34" w:rsidRDefault="00823805" w:rsidP="00C117DF">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987A34">
              <w:rPr>
                <w:b/>
                <w:bCs/>
                <w:sz w:val="20"/>
                <w:szCs w:val="20"/>
              </w:rPr>
              <w:t>0.0271</w:t>
            </w:r>
          </w:p>
          <w:p w14:paraId="6799DC65" w14:textId="77777777" w:rsidR="00823805" w:rsidRPr="00987A34" w:rsidRDefault="00823805" w:rsidP="00C117DF">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987A34">
              <w:rPr>
                <w:sz w:val="20"/>
                <w:szCs w:val="20"/>
              </w:rPr>
              <w:t>(0.0083)</w:t>
            </w:r>
          </w:p>
        </w:tc>
      </w:tr>
      <w:tr w:rsidR="00823805" w:rsidRPr="00987A34" w14:paraId="1EEC73AD" w14:textId="77777777" w:rsidTr="00050448">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30632A44" w14:textId="77777777" w:rsidR="00823805" w:rsidRPr="00E86E42" w:rsidRDefault="00823805" w:rsidP="00050448">
            <w:pPr>
              <w:pStyle w:val="BodyText"/>
              <w:spacing w:after="0"/>
              <w:rPr>
                <w:b w:val="0"/>
                <w:bCs w:val="0"/>
                <w:sz w:val="20"/>
                <w:szCs w:val="20"/>
              </w:rPr>
            </w:pPr>
            <w:r w:rsidRPr="00E86E42">
              <w:rPr>
                <w:b w:val="0"/>
                <w:bCs w:val="0"/>
                <w:sz w:val="20"/>
                <w:szCs w:val="20"/>
              </w:rPr>
              <w:t>WAPA-UGP</w:t>
            </w:r>
          </w:p>
        </w:tc>
        <w:tc>
          <w:tcPr>
            <w:tcW w:w="1870" w:type="dxa"/>
            <w:tcBorders>
              <w:top w:val="single" w:sz="4" w:space="0" w:color="auto"/>
              <w:bottom w:val="single" w:sz="4" w:space="0" w:color="auto"/>
            </w:tcBorders>
            <w:vAlign w:val="center"/>
          </w:tcPr>
          <w:p w14:paraId="67594D70" w14:textId="77777777"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Livneh</w:t>
            </w:r>
          </w:p>
        </w:tc>
        <w:tc>
          <w:tcPr>
            <w:tcW w:w="1870" w:type="dxa"/>
            <w:tcBorders>
              <w:top w:val="single" w:sz="4" w:space="0" w:color="auto"/>
              <w:bottom w:val="single" w:sz="4" w:space="0" w:color="auto"/>
            </w:tcBorders>
            <w:vAlign w:val="center"/>
          </w:tcPr>
          <w:p w14:paraId="67FCC09D" w14:textId="38A7B275"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66763BB2" w14:textId="77777777" w:rsidR="00823805" w:rsidRPr="00987A34" w:rsidRDefault="00823805"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987A34">
              <w:rPr>
                <w:b/>
                <w:bCs/>
                <w:sz w:val="20"/>
                <w:szCs w:val="20"/>
              </w:rPr>
              <w:t>0.1315</w:t>
            </w:r>
          </w:p>
          <w:p w14:paraId="60DD14BF" w14:textId="77777777" w:rsidR="00823805" w:rsidRPr="00987A34" w:rsidRDefault="00823805" w:rsidP="00C117DF">
            <w:pPr>
              <w:pStyle w:val="BodyText"/>
              <w:tabs>
                <w:tab w:val="decimal" w:pos="72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(0.0188)</w:t>
            </w:r>
          </w:p>
        </w:tc>
        <w:tc>
          <w:tcPr>
            <w:tcW w:w="1870" w:type="dxa"/>
            <w:tcBorders>
              <w:top w:val="single" w:sz="4" w:space="0" w:color="auto"/>
              <w:bottom w:val="single" w:sz="4" w:space="0" w:color="auto"/>
            </w:tcBorders>
            <w:vAlign w:val="center"/>
          </w:tcPr>
          <w:p w14:paraId="1C71D19C" w14:textId="77777777" w:rsidR="00823805" w:rsidRPr="00987A34" w:rsidRDefault="00823805"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987A34">
              <w:rPr>
                <w:b/>
                <w:bCs/>
                <w:sz w:val="20"/>
                <w:szCs w:val="20"/>
              </w:rPr>
              <w:t>0.0264</w:t>
            </w:r>
          </w:p>
          <w:p w14:paraId="55830891" w14:textId="77777777" w:rsidR="00823805" w:rsidRPr="00987A34" w:rsidRDefault="00823805" w:rsidP="00C117DF">
            <w:pPr>
              <w:pStyle w:val="BodyText"/>
              <w:tabs>
                <w:tab w:val="decimal" w:pos="63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(0.0082)</w:t>
            </w:r>
          </w:p>
        </w:tc>
      </w:tr>
      <w:tr w:rsidR="00823805" w14:paraId="39FA15AA"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5896D953" w14:textId="77777777" w:rsidR="00823805" w:rsidRPr="00E86E42" w:rsidRDefault="00823805" w:rsidP="00050448">
            <w:pPr>
              <w:pStyle w:val="BodyText"/>
              <w:spacing w:after="0"/>
              <w:rPr>
                <w:b w:val="0"/>
                <w:bCs w:val="0"/>
                <w:sz w:val="20"/>
                <w:szCs w:val="20"/>
              </w:rPr>
            </w:pPr>
            <w:r w:rsidRPr="00E86E42">
              <w:rPr>
                <w:b w:val="0"/>
                <w:bCs w:val="0"/>
                <w:sz w:val="20"/>
                <w:szCs w:val="20"/>
              </w:rPr>
              <w:t>WAPA-CRSP</w:t>
            </w:r>
          </w:p>
        </w:tc>
        <w:tc>
          <w:tcPr>
            <w:tcW w:w="1870" w:type="dxa"/>
            <w:tcBorders>
              <w:top w:val="single" w:sz="4" w:space="0" w:color="auto"/>
              <w:bottom w:val="single" w:sz="4" w:space="0" w:color="auto"/>
            </w:tcBorders>
            <w:vAlign w:val="center"/>
          </w:tcPr>
          <w:p w14:paraId="2E1C31BA" w14:textId="77777777"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Daymet</w:t>
            </w:r>
          </w:p>
        </w:tc>
        <w:tc>
          <w:tcPr>
            <w:tcW w:w="1870" w:type="dxa"/>
            <w:tcBorders>
              <w:top w:val="single" w:sz="4" w:space="0" w:color="auto"/>
              <w:bottom w:val="single" w:sz="4" w:space="0" w:color="auto"/>
            </w:tcBorders>
            <w:vAlign w:val="center"/>
          </w:tcPr>
          <w:p w14:paraId="0AAC679E" w14:textId="0CD33F87"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130FD0F9" w14:textId="247C87E5" w:rsidR="00823805" w:rsidRPr="00987A34" w:rsidRDefault="00C117DF"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23805" w:rsidRPr="00987A34">
              <w:rPr>
                <w:sz w:val="20"/>
                <w:szCs w:val="20"/>
              </w:rPr>
              <w:t>0.0073</w:t>
            </w:r>
          </w:p>
          <w:p w14:paraId="60D09940" w14:textId="77777777" w:rsidR="00823805" w:rsidRPr="00987A34" w:rsidRDefault="00823805" w:rsidP="00C117DF">
            <w:pPr>
              <w:pStyle w:val="BodyText"/>
              <w:tabs>
                <w:tab w:val="decimal" w:pos="72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(0.0449)</w:t>
            </w:r>
          </w:p>
        </w:tc>
        <w:tc>
          <w:tcPr>
            <w:tcW w:w="1870" w:type="dxa"/>
            <w:tcBorders>
              <w:top w:val="single" w:sz="4" w:space="0" w:color="auto"/>
              <w:bottom w:val="single" w:sz="4" w:space="0" w:color="auto"/>
            </w:tcBorders>
            <w:vAlign w:val="center"/>
          </w:tcPr>
          <w:p w14:paraId="3D942050" w14:textId="03360149" w:rsidR="00823805" w:rsidRPr="00987A34" w:rsidRDefault="00C117DF" w:rsidP="00C117DF">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00823805" w:rsidRPr="00987A34">
              <w:rPr>
                <w:sz w:val="20"/>
                <w:szCs w:val="20"/>
              </w:rPr>
              <w:t>0.0096</w:t>
            </w:r>
          </w:p>
          <w:p w14:paraId="76A884C3" w14:textId="77777777" w:rsidR="00823805" w:rsidRPr="00987A34" w:rsidRDefault="00823805" w:rsidP="00C117DF">
            <w:pPr>
              <w:pStyle w:val="BodyText"/>
              <w:tabs>
                <w:tab w:val="decimal" w:pos="63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(0.0103)</w:t>
            </w:r>
          </w:p>
        </w:tc>
      </w:tr>
      <w:tr w:rsidR="00823805" w14:paraId="1BFA23FE" w14:textId="77777777" w:rsidTr="00050448">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4A1DF918" w14:textId="77777777" w:rsidR="00823805" w:rsidRPr="00E86E42" w:rsidRDefault="00823805" w:rsidP="00050448">
            <w:pPr>
              <w:pStyle w:val="BodyText"/>
              <w:keepNext/>
              <w:spacing w:after="0"/>
              <w:rPr>
                <w:b w:val="0"/>
                <w:bCs w:val="0"/>
                <w:sz w:val="20"/>
                <w:szCs w:val="20"/>
              </w:rPr>
            </w:pPr>
            <w:r w:rsidRPr="00E86E42">
              <w:rPr>
                <w:b w:val="0"/>
                <w:bCs w:val="0"/>
                <w:sz w:val="20"/>
                <w:szCs w:val="20"/>
              </w:rPr>
              <w:t>WAPA-CRSP</w:t>
            </w:r>
          </w:p>
        </w:tc>
        <w:tc>
          <w:tcPr>
            <w:tcW w:w="1870" w:type="dxa"/>
            <w:tcBorders>
              <w:top w:val="single" w:sz="4" w:space="0" w:color="auto"/>
              <w:bottom w:val="single" w:sz="4" w:space="0" w:color="auto"/>
            </w:tcBorders>
            <w:vAlign w:val="center"/>
          </w:tcPr>
          <w:p w14:paraId="7AE9DB7E" w14:textId="77777777"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Livneh</w:t>
            </w:r>
          </w:p>
        </w:tc>
        <w:tc>
          <w:tcPr>
            <w:tcW w:w="1870" w:type="dxa"/>
            <w:tcBorders>
              <w:top w:val="single" w:sz="4" w:space="0" w:color="auto"/>
              <w:bottom w:val="single" w:sz="4" w:space="0" w:color="auto"/>
            </w:tcBorders>
            <w:vAlign w:val="center"/>
          </w:tcPr>
          <w:p w14:paraId="78965F70" w14:textId="628E2431"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3BD856D4" w14:textId="77777777" w:rsidR="00823805" w:rsidRPr="00987A34" w:rsidRDefault="00823805"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0.0128</w:t>
            </w:r>
          </w:p>
          <w:p w14:paraId="7587E8B1" w14:textId="77777777" w:rsidR="00823805" w:rsidRPr="00987A34" w:rsidRDefault="00823805" w:rsidP="00C117DF">
            <w:pPr>
              <w:pStyle w:val="BodyText"/>
              <w:tabs>
                <w:tab w:val="decimal" w:pos="72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(0.0444)</w:t>
            </w:r>
          </w:p>
        </w:tc>
        <w:tc>
          <w:tcPr>
            <w:tcW w:w="1870" w:type="dxa"/>
            <w:tcBorders>
              <w:top w:val="single" w:sz="4" w:space="0" w:color="auto"/>
              <w:bottom w:val="single" w:sz="4" w:space="0" w:color="auto"/>
            </w:tcBorders>
            <w:vAlign w:val="center"/>
          </w:tcPr>
          <w:p w14:paraId="79F6BACB" w14:textId="267C8092" w:rsidR="00823805" w:rsidRPr="00987A34" w:rsidRDefault="00C117DF"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00823805" w:rsidRPr="00987A34">
              <w:rPr>
                <w:sz w:val="20"/>
                <w:szCs w:val="20"/>
              </w:rPr>
              <w:t>0.0018</w:t>
            </w:r>
          </w:p>
          <w:p w14:paraId="0968FE8D" w14:textId="77777777" w:rsidR="00823805" w:rsidRPr="00987A34" w:rsidRDefault="00823805" w:rsidP="00C117DF">
            <w:pPr>
              <w:pStyle w:val="BodyText"/>
              <w:tabs>
                <w:tab w:val="decimal" w:pos="63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(0.0069)</w:t>
            </w:r>
          </w:p>
        </w:tc>
      </w:tr>
      <w:tr w:rsidR="00823805" w14:paraId="3DF1ACB3"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17B10144" w14:textId="77777777" w:rsidR="00823805" w:rsidRPr="00E86E42" w:rsidRDefault="00823805" w:rsidP="00050448">
            <w:pPr>
              <w:pStyle w:val="BodyText"/>
              <w:spacing w:after="0"/>
              <w:rPr>
                <w:b w:val="0"/>
                <w:bCs w:val="0"/>
                <w:sz w:val="20"/>
                <w:szCs w:val="20"/>
              </w:rPr>
            </w:pPr>
            <w:r w:rsidRPr="00E86E42">
              <w:rPr>
                <w:b w:val="0"/>
                <w:bCs w:val="0"/>
                <w:sz w:val="20"/>
                <w:szCs w:val="20"/>
              </w:rPr>
              <w:t>WAPA-DSW</w:t>
            </w:r>
          </w:p>
        </w:tc>
        <w:tc>
          <w:tcPr>
            <w:tcW w:w="1870" w:type="dxa"/>
            <w:tcBorders>
              <w:top w:val="single" w:sz="4" w:space="0" w:color="auto"/>
              <w:bottom w:val="single" w:sz="4" w:space="0" w:color="auto"/>
            </w:tcBorders>
            <w:vAlign w:val="center"/>
          </w:tcPr>
          <w:p w14:paraId="7C8A5C73" w14:textId="77777777"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Daymet</w:t>
            </w:r>
          </w:p>
        </w:tc>
        <w:tc>
          <w:tcPr>
            <w:tcW w:w="1870" w:type="dxa"/>
            <w:tcBorders>
              <w:top w:val="single" w:sz="4" w:space="0" w:color="auto"/>
              <w:bottom w:val="single" w:sz="4" w:space="0" w:color="auto"/>
            </w:tcBorders>
            <w:vAlign w:val="center"/>
          </w:tcPr>
          <w:p w14:paraId="6309A44E" w14:textId="22DD88FD"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03F14059" w14:textId="77777777" w:rsidR="00823805" w:rsidRPr="00987A34" w:rsidRDefault="00823805"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0.0029</w:t>
            </w:r>
          </w:p>
          <w:p w14:paraId="593E3B0C" w14:textId="77777777" w:rsidR="00823805" w:rsidRPr="00987A34" w:rsidRDefault="00823805" w:rsidP="00C117DF">
            <w:pPr>
              <w:pStyle w:val="BodyText"/>
              <w:tabs>
                <w:tab w:val="decimal" w:pos="72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(0.029)</w:t>
            </w:r>
          </w:p>
        </w:tc>
        <w:tc>
          <w:tcPr>
            <w:tcW w:w="1870" w:type="dxa"/>
            <w:tcBorders>
              <w:top w:val="single" w:sz="4" w:space="0" w:color="auto"/>
              <w:bottom w:val="single" w:sz="4" w:space="0" w:color="auto"/>
            </w:tcBorders>
            <w:vAlign w:val="center"/>
          </w:tcPr>
          <w:p w14:paraId="436C1559" w14:textId="77777777" w:rsidR="00823805" w:rsidRPr="00987A34" w:rsidRDefault="00823805" w:rsidP="00C117DF">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987A34">
              <w:rPr>
                <w:b/>
                <w:bCs/>
                <w:sz w:val="20"/>
                <w:szCs w:val="20"/>
              </w:rPr>
              <w:t>0.1532</w:t>
            </w:r>
          </w:p>
          <w:p w14:paraId="247BD6F1" w14:textId="77777777" w:rsidR="00823805" w:rsidRPr="00987A34" w:rsidRDefault="00823805" w:rsidP="00C117DF">
            <w:pPr>
              <w:pStyle w:val="BodyText"/>
              <w:tabs>
                <w:tab w:val="decimal" w:pos="63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(0.0994)</w:t>
            </w:r>
          </w:p>
        </w:tc>
      </w:tr>
      <w:tr w:rsidR="00823805" w14:paraId="3E2C5AAC" w14:textId="77777777" w:rsidTr="00050448">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7B7B1E00" w14:textId="77777777" w:rsidR="00823805" w:rsidRPr="00E86E42" w:rsidRDefault="00823805" w:rsidP="00050448">
            <w:pPr>
              <w:pStyle w:val="BodyText"/>
              <w:spacing w:after="0"/>
              <w:rPr>
                <w:b w:val="0"/>
                <w:bCs w:val="0"/>
                <w:sz w:val="20"/>
                <w:szCs w:val="20"/>
              </w:rPr>
            </w:pPr>
            <w:r w:rsidRPr="00E86E42">
              <w:rPr>
                <w:b w:val="0"/>
                <w:bCs w:val="0"/>
                <w:sz w:val="20"/>
                <w:szCs w:val="20"/>
              </w:rPr>
              <w:t>WAPA-DSW</w:t>
            </w:r>
          </w:p>
        </w:tc>
        <w:tc>
          <w:tcPr>
            <w:tcW w:w="1870" w:type="dxa"/>
            <w:tcBorders>
              <w:top w:val="single" w:sz="4" w:space="0" w:color="auto"/>
              <w:bottom w:val="single" w:sz="4" w:space="0" w:color="auto"/>
            </w:tcBorders>
            <w:vAlign w:val="center"/>
          </w:tcPr>
          <w:p w14:paraId="3D3AD113" w14:textId="77777777"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Livneh</w:t>
            </w:r>
          </w:p>
        </w:tc>
        <w:tc>
          <w:tcPr>
            <w:tcW w:w="1870" w:type="dxa"/>
            <w:tcBorders>
              <w:top w:val="single" w:sz="4" w:space="0" w:color="auto"/>
              <w:bottom w:val="single" w:sz="4" w:space="0" w:color="auto"/>
            </w:tcBorders>
            <w:vAlign w:val="center"/>
          </w:tcPr>
          <w:p w14:paraId="14738F1C" w14:textId="676375C6"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3045EA68" w14:textId="77777777" w:rsidR="00823805" w:rsidRPr="00987A34" w:rsidRDefault="00823805"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0.0444</w:t>
            </w:r>
          </w:p>
          <w:p w14:paraId="053E6B55" w14:textId="77777777" w:rsidR="00823805" w:rsidRPr="00987A34" w:rsidRDefault="00823805" w:rsidP="00C117DF">
            <w:pPr>
              <w:pStyle w:val="BodyText"/>
              <w:tabs>
                <w:tab w:val="decimal" w:pos="72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(0.0309)</w:t>
            </w:r>
          </w:p>
        </w:tc>
        <w:tc>
          <w:tcPr>
            <w:tcW w:w="1870" w:type="dxa"/>
            <w:tcBorders>
              <w:top w:val="single" w:sz="4" w:space="0" w:color="auto"/>
              <w:bottom w:val="single" w:sz="4" w:space="0" w:color="auto"/>
            </w:tcBorders>
            <w:vAlign w:val="center"/>
          </w:tcPr>
          <w:p w14:paraId="46A83D4C" w14:textId="77777777" w:rsidR="00823805" w:rsidRPr="00987A34" w:rsidRDefault="00823805"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0.0798</w:t>
            </w:r>
          </w:p>
          <w:p w14:paraId="3F4466E6" w14:textId="77777777" w:rsidR="00823805" w:rsidRPr="00987A34" w:rsidRDefault="00823805" w:rsidP="00C117DF">
            <w:pPr>
              <w:pStyle w:val="BodyText"/>
              <w:tabs>
                <w:tab w:val="decimal" w:pos="63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(0.0721)</w:t>
            </w:r>
          </w:p>
        </w:tc>
      </w:tr>
      <w:tr w:rsidR="00823805" w14:paraId="7118118C"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4" w:space="0" w:color="auto"/>
            </w:tcBorders>
            <w:vAlign w:val="center"/>
          </w:tcPr>
          <w:p w14:paraId="7036D26D" w14:textId="77777777" w:rsidR="00823805" w:rsidRPr="00E86E42" w:rsidRDefault="00823805" w:rsidP="00050448">
            <w:pPr>
              <w:pStyle w:val="BodyText"/>
              <w:spacing w:after="0"/>
              <w:rPr>
                <w:b w:val="0"/>
                <w:bCs w:val="0"/>
                <w:sz w:val="20"/>
                <w:szCs w:val="20"/>
              </w:rPr>
            </w:pPr>
            <w:r w:rsidRPr="00E86E42">
              <w:rPr>
                <w:b w:val="0"/>
                <w:bCs w:val="0"/>
                <w:sz w:val="20"/>
                <w:szCs w:val="20"/>
              </w:rPr>
              <w:t>WAPA-SN/RM</w:t>
            </w:r>
          </w:p>
        </w:tc>
        <w:tc>
          <w:tcPr>
            <w:tcW w:w="1870" w:type="dxa"/>
            <w:tcBorders>
              <w:top w:val="single" w:sz="4" w:space="0" w:color="auto"/>
              <w:bottom w:val="single" w:sz="4" w:space="0" w:color="auto"/>
            </w:tcBorders>
            <w:vAlign w:val="center"/>
          </w:tcPr>
          <w:p w14:paraId="0233953D" w14:textId="77777777"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Daymet</w:t>
            </w:r>
          </w:p>
        </w:tc>
        <w:tc>
          <w:tcPr>
            <w:tcW w:w="1870" w:type="dxa"/>
            <w:tcBorders>
              <w:top w:val="single" w:sz="4" w:space="0" w:color="auto"/>
              <w:bottom w:val="single" w:sz="4" w:space="0" w:color="auto"/>
            </w:tcBorders>
            <w:vAlign w:val="center"/>
          </w:tcPr>
          <w:p w14:paraId="0FF0FF88" w14:textId="305C5386" w:rsidR="00823805" w:rsidRPr="00987A34" w:rsidRDefault="00823805" w:rsidP="00050448">
            <w:pPr>
              <w:pStyle w:val="BodyText"/>
              <w:spacing w:after="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4" w:space="0" w:color="auto"/>
            </w:tcBorders>
            <w:vAlign w:val="center"/>
          </w:tcPr>
          <w:p w14:paraId="2B87CAFE" w14:textId="77777777" w:rsidR="00823805" w:rsidRPr="00987A34" w:rsidRDefault="00823805"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0.055</w:t>
            </w:r>
          </w:p>
          <w:p w14:paraId="138340CD" w14:textId="77777777" w:rsidR="00823805" w:rsidRPr="00987A34" w:rsidRDefault="00823805" w:rsidP="00C117DF">
            <w:pPr>
              <w:pStyle w:val="BodyText"/>
              <w:tabs>
                <w:tab w:val="decimal" w:pos="72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(0.0475)</w:t>
            </w:r>
          </w:p>
        </w:tc>
        <w:tc>
          <w:tcPr>
            <w:tcW w:w="1870" w:type="dxa"/>
            <w:tcBorders>
              <w:top w:val="single" w:sz="4" w:space="0" w:color="auto"/>
              <w:bottom w:val="single" w:sz="4" w:space="0" w:color="auto"/>
            </w:tcBorders>
            <w:vAlign w:val="center"/>
          </w:tcPr>
          <w:p w14:paraId="2D59B9BD" w14:textId="77777777" w:rsidR="00823805" w:rsidRPr="00987A34" w:rsidRDefault="00823805" w:rsidP="00C117DF">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0.0198</w:t>
            </w:r>
          </w:p>
          <w:p w14:paraId="66374327" w14:textId="77777777" w:rsidR="00823805" w:rsidRPr="00987A34" w:rsidRDefault="00823805" w:rsidP="00C117DF">
            <w:pPr>
              <w:pStyle w:val="BodyText"/>
              <w:tabs>
                <w:tab w:val="decimal" w:pos="630"/>
              </w:tabs>
              <w:spacing w:after="0"/>
              <w:cnfStyle w:val="000000100000" w:firstRow="0" w:lastRow="0" w:firstColumn="0" w:lastColumn="0" w:oddVBand="0" w:evenVBand="0" w:oddHBand="1" w:evenHBand="0" w:firstRowFirstColumn="0" w:firstRowLastColumn="0" w:lastRowFirstColumn="0" w:lastRowLastColumn="0"/>
              <w:rPr>
                <w:sz w:val="20"/>
                <w:szCs w:val="20"/>
              </w:rPr>
            </w:pPr>
            <w:r w:rsidRPr="00987A34">
              <w:rPr>
                <w:sz w:val="20"/>
                <w:szCs w:val="20"/>
              </w:rPr>
              <w:t>(0.0482)</w:t>
            </w:r>
          </w:p>
        </w:tc>
      </w:tr>
      <w:tr w:rsidR="00823805" w14:paraId="0ED273A3" w14:textId="77777777" w:rsidTr="00050448">
        <w:trPr>
          <w:jc w:val="center"/>
        </w:trPr>
        <w:tc>
          <w:tcPr>
            <w:cnfStyle w:val="001000000000" w:firstRow="0" w:lastRow="0" w:firstColumn="1" w:lastColumn="0" w:oddVBand="0" w:evenVBand="0" w:oddHBand="0" w:evenHBand="0" w:firstRowFirstColumn="0" w:firstRowLastColumn="0" w:lastRowFirstColumn="0" w:lastRowLastColumn="0"/>
            <w:tcW w:w="1870" w:type="dxa"/>
            <w:tcBorders>
              <w:top w:val="single" w:sz="4" w:space="0" w:color="auto"/>
              <w:bottom w:val="single" w:sz="12" w:space="0" w:color="auto"/>
            </w:tcBorders>
            <w:vAlign w:val="center"/>
          </w:tcPr>
          <w:p w14:paraId="436614A8" w14:textId="77777777" w:rsidR="00823805" w:rsidRPr="00E86E42" w:rsidRDefault="00823805" w:rsidP="00050448">
            <w:pPr>
              <w:pStyle w:val="BodyText"/>
              <w:spacing w:after="0"/>
              <w:rPr>
                <w:b w:val="0"/>
                <w:bCs w:val="0"/>
                <w:sz w:val="20"/>
                <w:szCs w:val="20"/>
              </w:rPr>
            </w:pPr>
            <w:r w:rsidRPr="00E86E42">
              <w:rPr>
                <w:b w:val="0"/>
                <w:bCs w:val="0"/>
                <w:sz w:val="20"/>
                <w:szCs w:val="20"/>
              </w:rPr>
              <w:t>WAPA-SN/RM</w:t>
            </w:r>
          </w:p>
        </w:tc>
        <w:tc>
          <w:tcPr>
            <w:tcW w:w="1870" w:type="dxa"/>
            <w:tcBorders>
              <w:top w:val="single" w:sz="4" w:space="0" w:color="auto"/>
              <w:bottom w:val="single" w:sz="12" w:space="0" w:color="auto"/>
            </w:tcBorders>
            <w:vAlign w:val="center"/>
          </w:tcPr>
          <w:p w14:paraId="3E3340FB" w14:textId="77777777"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Livneh</w:t>
            </w:r>
          </w:p>
        </w:tc>
        <w:tc>
          <w:tcPr>
            <w:tcW w:w="1870" w:type="dxa"/>
            <w:tcBorders>
              <w:top w:val="single" w:sz="4" w:space="0" w:color="auto"/>
              <w:bottom w:val="single" w:sz="12" w:space="0" w:color="auto"/>
            </w:tcBorders>
            <w:vAlign w:val="center"/>
          </w:tcPr>
          <w:p w14:paraId="4F50AFC1" w14:textId="64021118" w:rsidR="00823805" w:rsidRPr="00987A34" w:rsidRDefault="00823805" w:rsidP="00050448">
            <w:pPr>
              <w:pStyle w:val="BodyText"/>
              <w:spacing w:after="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987A34">
              <w:rPr>
                <w:sz w:val="20"/>
                <w:szCs w:val="20"/>
              </w:rPr>
              <w:t>lectricity sales</w:t>
            </w:r>
          </w:p>
        </w:tc>
        <w:tc>
          <w:tcPr>
            <w:tcW w:w="1870" w:type="dxa"/>
            <w:tcBorders>
              <w:top w:val="single" w:sz="4" w:space="0" w:color="auto"/>
              <w:bottom w:val="single" w:sz="12" w:space="0" w:color="auto"/>
            </w:tcBorders>
            <w:vAlign w:val="center"/>
          </w:tcPr>
          <w:p w14:paraId="65735F65" w14:textId="77777777" w:rsidR="00823805" w:rsidRPr="00987A34" w:rsidRDefault="00823805"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0.0069</w:t>
            </w:r>
          </w:p>
          <w:p w14:paraId="161F8F31" w14:textId="77777777" w:rsidR="00823805" w:rsidRPr="00987A34" w:rsidRDefault="00823805" w:rsidP="00C117DF">
            <w:pPr>
              <w:pStyle w:val="BodyText"/>
              <w:tabs>
                <w:tab w:val="decimal" w:pos="72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(0.0391)</w:t>
            </w:r>
          </w:p>
        </w:tc>
        <w:tc>
          <w:tcPr>
            <w:tcW w:w="1870" w:type="dxa"/>
            <w:tcBorders>
              <w:top w:val="single" w:sz="4" w:space="0" w:color="auto"/>
              <w:bottom w:val="single" w:sz="12" w:space="0" w:color="auto"/>
            </w:tcBorders>
            <w:vAlign w:val="center"/>
          </w:tcPr>
          <w:p w14:paraId="53C51B0C" w14:textId="77777777" w:rsidR="00823805" w:rsidRPr="00987A34" w:rsidRDefault="00823805"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0.0154</w:t>
            </w:r>
          </w:p>
          <w:p w14:paraId="4BAB89CE" w14:textId="77777777" w:rsidR="00823805" w:rsidRPr="00987A34" w:rsidRDefault="00823805" w:rsidP="00C117DF">
            <w:pPr>
              <w:pStyle w:val="BodyText"/>
              <w:tabs>
                <w:tab w:val="decimal" w:pos="630"/>
              </w:tabs>
              <w:spacing w:after="0"/>
              <w:cnfStyle w:val="000000000000" w:firstRow="0" w:lastRow="0" w:firstColumn="0" w:lastColumn="0" w:oddVBand="0" w:evenVBand="0" w:oddHBand="0" w:evenHBand="0" w:firstRowFirstColumn="0" w:firstRowLastColumn="0" w:lastRowFirstColumn="0" w:lastRowLastColumn="0"/>
              <w:rPr>
                <w:sz w:val="20"/>
                <w:szCs w:val="20"/>
              </w:rPr>
            </w:pPr>
            <w:r w:rsidRPr="00987A34">
              <w:rPr>
                <w:sz w:val="20"/>
                <w:szCs w:val="20"/>
              </w:rPr>
              <w:t>(0.0424)</w:t>
            </w:r>
          </w:p>
        </w:tc>
      </w:tr>
    </w:tbl>
    <w:p w14:paraId="3AAAF8DA" w14:textId="580D3A3F" w:rsidR="00591A24" w:rsidRPr="004108CB" w:rsidRDefault="00591A24" w:rsidP="00C84722">
      <w:pPr>
        <w:spacing w:before="120"/>
        <w:ind w:firstLine="0"/>
        <w:rPr>
          <w:sz w:val="18"/>
          <w:szCs w:val="18"/>
        </w:rPr>
      </w:pPr>
      <w:r w:rsidRPr="004108CB">
        <w:rPr>
          <w:sz w:val="18"/>
          <w:szCs w:val="18"/>
        </w:rPr>
        <w:t>Note: Numbers in parenthes</w:t>
      </w:r>
      <w:r w:rsidR="004A6B0B">
        <w:rPr>
          <w:sz w:val="18"/>
          <w:szCs w:val="18"/>
        </w:rPr>
        <w:t>e</w:t>
      </w:r>
      <w:r w:rsidRPr="004108CB">
        <w:rPr>
          <w:sz w:val="18"/>
          <w:szCs w:val="18"/>
        </w:rPr>
        <w:t xml:space="preserve">s are standard errors. Bolded values indicate that the estimated elasticity is statistically significant at </w:t>
      </w:r>
      <w:r w:rsidR="004A6B0B">
        <w:rPr>
          <w:sz w:val="18"/>
          <w:szCs w:val="18"/>
        </w:rPr>
        <w:t xml:space="preserve">the </w:t>
      </w:r>
      <w:r w:rsidRPr="004108CB">
        <w:rPr>
          <w:sz w:val="18"/>
          <w:szCs w:val="18"/>
        </w:rPr>
        <w:t>10% level.</w:t>
      </w:r>
    </w:p>
    <w:p w14:paraId="02822876" w14:textId="5656FA4D" w:rsidR="00045F48" w:rsidRDefault="00045F48" w:rsidP="00045F48">
      <w:pPr>
        <w:pStyle w:val="BodyText"/>
      </w:pPr>
      <w:bookmarkStart w:id="398" w:name="_Hlk94533363"/>
      <w:r>
        <w:t>The only other statistically significant elasticity result is the one with respect to the CDDs in the WAPA-DSW subregion using the Daymet meteorological observations (0.1532). This result is partially explained by this region being the southernmost WAPA subregion, which already had the highest number of CDDs in the baseline period, such that a 1% increase in CDDs is much larger in absolute value than in the rest of subregions.</w:t>
      </w:r>
    </w:p>
    <w:p w14:paraId="13CA58EB" w14:textId="0476920F" w:rsidR="008D4D3C" w:rsidRDefault="00F60D9F" w:rsidP="00050448">
      <w:pPr>
        <w:pStyle w:val="BodyText"/>
      </w:pPr>
      <w:r>
        <w:t>The lack of statistical significance in the rest of estimated elasticities means that the available data do not show conclusive evidence of degree days driving preference customer sales to their end-use customers. The lack of statistical significance for some of the elasticity estimates may arise due to insufficient data. For instance, the regressions for WAPA-DSW and WAPA-SN/RM have the fewest observations because the electricity sales data were only available in EIA Form 861 for 18 out of a total number of 52 preference customers in the WAPA-DSW subregion, and 18 out of 121 preference customers in the WAPA-SN/RM subregion.</w:t>
      </w:r>
      <w:r>
        <w:rPr>
          <w:rStyle w:val="FootnoteReference"/>
        </w:rPr>
        <w:footnoteReference w:id="28"/>
      </w:r>
      <w:r>
        <w:t xml:space="preserve"> They are also the two subregions with lowest percentages of residential sales (33% for WAPA-DSW and 36% for WAPA-SN/RM) and have many irrigation districts among their preference customers. </w:t>
      </w:r>
      <w:bookmarkEnd w:id="398"/>
      <w:r>
        <w:t>The relationship between temperature and electricity sales for irrigation activities has been less researched than for residential sales, and it might not be well captured by the linear demand equations estimated in this analysis.</w:t>
      </w:r>
    </w:p>
    <w:p w14:paraId="1D9454B4" w14:textId="11CDA19A" w:rsidR="00591A24" w:rsidRDefault="0023300D" w:rsidP="00050448">
      <w:pPr>
        <w:pStyle w:val="BodyText"/>
      </w:pPr>
      <w:r>
        <w:t>T</w:t>
      </w:r>
      <w:r w:rsidR="008D4D3C">
        <w:t xml:space="preserve">he estimated elasticities with respect to degree days </w:t>
      </w:r>
      <w:r>
        <w:t xml:space="preserve">were combined </w:t>
      </w:r>
      <w:r w:rsidR="008D4D3C">
        <w:t xml:space="preserve">with the projected changed in degree days derived from climate simulations </w:t>
      </w:r>
      <w:r w:rsidR="00700DB0">
        <w:t xml:space="preserve">to </w:t>
      </w:r>
      <w:r w:rsidR="008D4D3C">
        <w:t xml:space="preserve">produce an estimate of the temperature-driven changes in demand for WAPA preference customers. </w:t>
      </w:r>
      <w:r w:rsidR="008D4D3C">
        <w:fldChar w:fldCharType="begin"/>
      </w:r>
      <w:r w:rsidR="008D4D3C">
        <w:instrText xml:space="preserve"> REF _Ref72855426 \h </w:instrText>
      </w:r>
      <w:r w:rsidR="008D4D3C">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17</w:t>
      </w:r>
      <w:r w:rsidR="008D4D3C">
        <w:fldChar w:fldCharType="end"/>
      </w:r>
      <w:r w:rsidR="008D4D3C">
        <w:t xml:space="preserve"> and </w:t>
      </w:r>
      <w:r w:rsidR="008D4D3C">
        <w:fldChar w:fldCharType="begin"/>
      </w:r>
      <w:r w:rsidR="008D4D3C">
        <w:instrText xml:space="preserve"> REF _Ref72855437 \h </w:instrText>
      </w:r>
      <w:r w:rsidR="008D4D3C">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18</w:t>
      </w:r>
      <w:r w:rsidR="008D4D3C">
        <w:fldChar w:fldCharType="end"/>
      </w:r>
      <w:r w:rsidR="008D4D3C">
        <w:t xml:space="preserve"> show the projected degree days from 24 simulations (the six CMIP-6 models described in Section </w:t>
      </w:r>
      <w:r w:rsidR="00F60D9F">
        <w:fldChar w:fldCharType="begin"/>
      </w:r>
      <w:r w:rsidR="00F60D9F">
        <w:instrText xml:space="preserve"> REF _Ref75810029 \n \h </w:instrText>
      </w:r>
      <w:r w:rsidR="00F60D9F">
        <w:fldChar w:fldCharType="separate"/>
      </w:r>
      <w:r w:rsidR="00EE0BF5">
        <w:t>2.3</w:t>
      </w:r>
      <w:r w:rsidR="00F60D9F">
        <w:fldChar w:fldCharType="end"/>
      </w:r>
      <w:r w:rsidR="008D4D3C">
        <w:t xml:space="preserve"> combined with two </w:t>
      </w:r>
      <w:r w:rsidR="00BD380C">
        <w:t>MetF</w:t>
      </w:r>
      <w:r w:rsidR="008D4D3C">
        <w:t xml:space="preserve">s and two </w:t>
      </w:r>
      <w:r w:rsidR="00BD380C">
        <w:t>DSs</w:t>
      </w:r>
      <w:r w:rsidR="008D4D3C">
        <w:t>)</w:t>
      </w:r>
      <w:r w:rsidR="00E50B7D">
        <w:t>,</w:t>
      </w:r>
      <w:r w:rsidR="008D4D3C">
        <w:t xml:space="preserve"> as well as the ensemble median projection</w:t>
      </w:r>
      <w:r w:rsidR="00591A24">
        <w:t>.</w:t>
      </w:r>
    </w:p>
    <w:p w14:paraId="44983EA3" w14:textId="1838AC5A" w:rsidR="00FA11CC" w:rsidRDefault="00047E7F" w:rsidP="00050448">
      <w:pPr>
        <w:pStyle w:val="FIGUREposition"/>
        <w:rPr>
          <w:rFonts w:eastAsia="PMingLiU"/>
          <w:lang w:eastAsia="zh-TW"/>
        </w:rPr>
      </w:pPr>
      <w:r>
        <w:rPr>
          <w:noProof/>
        </w:rPr>
        <w:lastRenderedPageBreak/>
        <w:drawing>
          <wp:inline distT="0" distB="0" distL="0" distR="0" wp14:anchorId="0F0B4CC4" wp14:editId="6CCC05AD">
            <wp:extent cx="5486396" cy="1828799"/>
            <wp:effectExtent l="0" t="0" r="635" b="63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pic:cNvPicPr>
                      <a:picLocks noChangeAspect="1" noChangeArrowheads="1"/>
                    </pic:cNvPicPr>
                  </pic:nvPicPr>
                  <pic:blipFill>
                    <a:blip r:embed="rId172"/>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5138AF2B" wp14:editId="04FFD8F5">
            <wp:extent cx="5486396" cy="1828799"/>
            <wp:effectExtent l="0" t="0" r="635" b="63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pic:cNvPicPr>
                      <a:picLocks noChangeAspect="1" noChangeArrowheads="1"/>
                    </pic:cNvPicPr>
                  </pic:nvPicPr>
                  <pic:blipFill>
                    <a:blip r:embed="rId173"/>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24633F93" wp14:editId="4A4F6D09">
            <wp:extent cx="5486396" cy="1828799"/>
            <wp:effectExtent l="0" t="0" r="635" b="63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pic:cNvPicPr>
                      <a:picLocks noChangeAspect="1" noChangeArrowheads="1"/>
                    </pic:cNvPicPr>
                  </pic:nvPicPr>
                  <pic:blipFill>
                    <a:blip r:embed="rId174"/>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751C7792" wp14:editId="593104E3">
            <wp:extent cx="5486396" cy="1828799"/>
            <wp:effectExtent l="0" t="0" r="635"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noChangeArrowheads="1"/>
                    </pic:cNvPicPr>
                  </pic:nvPicPr>
                  <pic:blipFill>
                    <a:blip r:embed="rId175"/>
                    <a:stretch>
                      <a:fillRect/>
                    </a:stretch>
                  </pic:blipFill>
                  <pic:spPr bwMode="auto">
                    <a:xfrm>
                      <a:off x="0" y="0"/>
                      <a:ext cx="5486396" cy="1828799"/>
                    </a:xfrm>
                    <a:prstGeom prst="rect">
                      <a:avLst/>
                    </a:prstGeom>
                    <a:noFill/>
                    <a:ln>
                      <a:noFill/>
                    </a:ln>
                  </pic:spPr>
                </pic:pic>
              </a:graphicData>
            </a:graphic>
          </wp:inline>
        </w:drawing>
      </w:r>
    </w:p>
    <w:p w14:paraId="1FA7C62A" w14:textId="0827A7DB" w:rsidR="00FA11CC" w:rsidRDefault="003F6C94" w:rsidP="00FA11CC">
      <w:pPr>
        <w:pStyle w:val="FigureCaption"/>
        <w:rPr>
          <w:b w:val="0"/>
        </w:rPr>
      </w:pPr>
      <w:bookmarkStart w:id="399" w:name="_Ref72855426"/>
      <w:bookmarkStart w:id="400" w:name="_Toc113380924"/>
      <w:r>
        <w:rPr>
          <w:lang w:eastAsia="zh-TW"/>
        </w:rPr>
        <w:t>Figure</w:t>
      </w:r>
      <w:r w:rsidR="00FA11CC" w:rsidRPr="00F61532">
        <w:rPr>
          <w:lang w:eastAsia="zh-TW"/>
        </w:rPr>
        <w:t xml:space="preserve"> </w:t>
      </w:r>
      <w:r w:rsidR="00FA11CC" w:rsidRPr="00F61532">
        <w:rPr>
          <w:lang w:eastAsia="zh-TW"/>
        </w:rPr>
        <w:fldChar w:fldCharType="begin"/>
      </w:r>
      <w:r w:rsidR="00FA11CC" w:rsidRPr="00F61532">
        <w:rPr>
          <w:lang w:eastAsia="zh-TW"/>
        </w:rPr>
        <w:instrText xml:space="preserve"> STYLEREF 1 \s </w:instrText>
      </w:r>
      <w:r w:rsidR="00FA11CC" w:rsidRPr="00F61532">
        <w:rPr>
          <w:lang w:eastAsia="zh-TW"/>
        </w:rPr>
        <w:fldChar w:fldCharType="separate"/>
      </w:r>
      <w:r w:rsidR="00EE0BF5">
        <w:rPr>
          <w:noProof/>
          <w:lang w:eastAsia="zh-TW"/>
        </w:rPr>
        <w:t>4</w:t>
      </w:r>
      <w:r w:rsidR="00FA11CC" w:rsidRPr="00F61532">
        <w:rPr>
          <w:lang w:eastAsia="zh-TW"/>
        </w:rPr>
        <w:fldChar w:fldCharType="end"/>
      </w:r>
      <w:r w:rsidR="00FA11CC" w:rsidRPr="00F61532">
        <w:rPr>
          <w:lang w:eastAsia="zh-TW"/>
        </w:rPr>
        <w:t>.</w:t>
      </w:r>
      <w:r w:rsidR="00FA11CC" w:rsidRPr="00F61532">
        <w:rPr>
          <w:lang w:eastAsia="zh-TW"/>
        </w:rPr>
        <w:fldChar w:fldCharType="begin"/>
      </w:r>
      <w:r w:rsidR="00FA11CC" w:rsidRPr="00F61532">
        <w:rPr>
          <w:lang w:eastAsia="zh-TW"/>
        </w:rPr>
        <w:instrText xml:space="preserve"> SEQ Figure \* ARABIC \s 1 </w:instrText>
      </w:r>
      <w:r w:rsidR="00FA11CC" w:rsidRPr="00F61532">
        <w:rPr>
          <w:lang w:eastAsia="zh-TW"/>
        </w:rPr>
        <w:fldChar w:fldCharType="separate"/>
      </w:r>
      <w:r w:rsidR="00EE0BF5">
        <w:rPr>
          <w:noProof/>
          <w:lang w:eastAsia="zh-TW"/>
        </w:rPr>
        <w:t>17</w:t>
      </w:r>
      <w:r w:rsidR="00FA11CC" w:rsidRPr="00F61532">
        <w:rPr>
          <w:lang w:eastAsia="zh-TW"/>
        </w:rPr>
        <w:fldChar w:fldCharType="end"/>
      </w:r>
      <w:bookmarkEnd w:id="399"/>
      <w:r w:rsidR="00FA11CC" w:rsidRPr="00F61532">
        <w:rPr>
          <w:lang w:eastAsia="zh-TW"/>
        </w:rPr>
        <w:t xml:space="preserve">. Projected annual </w:t>
      </w:r>
      <w:r w:rsidR="00190E22">
        <w:rPr>
          <w:lang w:eastAsia="zh-TW"/>
        </w:rPr>
        <w:t>HDD</w:t>
      </w:r>
      <w:r w:rsidR="00DD4CA2">
        <w:rPr>
          <w:lang w:eastAsia="zh-TW"/>
        </w:rPr>
        <w:t>s</w:t>
      </w:r>
      <w:r w:rsidR="00FA11CC">
        <w:rPr>
          <w:lang w:eastAsia="zh-TW"/>
        </w:rPr>
        <w:t xml:space="preserve"> </w:t>
      </w:r>
      <w:r w:rsidR="00FA11CC" w:rsidRPr="00F61532">
        <w:rPr>
          <w:lang w:eastAsia="zh-TW"/>
        </w:rPr>
        <w:t xml:space="preserve">in </w:t>
      </w:r>
      <w:r w:rsidR="00FA11CC">
        <w:rPr>
          <w:lang w:eastAsia="zh-TW"/>
        </w:rPr>
        <w:t>the WAPA region.</w:t>
      </w:r>
      <w:bookmarkEnd w:id="400"/>
    </w:p>
    <w:p w14:paraId="0269EFA9" w14:textId="09F7F4B5" w:rsidR="00FA11CC" w:rsidRDefault="00047E7F" w:rsidP="00050448">
      <w:pPr>
        <w:pStyle w:val="FIGUREposition"/>
        <w:rPr>
          <w:rFonts w:eastAsia="PMingLiU"/>
          <w:lang w:eastAsia="zh-TW"/>
        </w:rPr>
      </w:pPr>
      <w:r>
        <w:rPr>
          <w:noProof/>
        </w:rPr>
        <w:lastRenderedPageBreak/>
        <w:drawing>
          <wp:inline distT="0" distB="0" distL="0" distR="0" wp14:anchorId="695539B9" wp14:editId="2488E03E">
            <wp:extent cx="5486396" cy="1828799"/>
            <wp:effectExtent l="0" t="0" r="635" b="63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pic:cNvPicPr>
                      <a:picLocks noChangeAspect="1" noChangeArrowheads="1"/>
                    </pic:cNvPicPr>
                  </pic:nvPicPr>
                  <pic:blipFill>
                    <a:blip r:embed="rId176"/>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08738AC8" wp14:editId="13CF4994">
            <wp:extent cx="5486396" cy="1828799"/>
            <wp:effectExtent l="0" t="0" r="635"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pic:cNvPicPr>
                      <a:picLocks noChangeAspect="1" noChangeArrowheads="1"/>
                    </pic:cNvPicPr>
                  </pic:nvPicPr>
                  <pic:blipFill>
                    <a:blip r:embed="rId177"/>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5FB1E970" wp14:editId="336837B4">
            <wp:extent cx="5486396" cy="1828799"/>
            <wp:effectExtent l="0" t="0" r="635" b="63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pic:cNvPicPr>
                      <a:picLocks noChangeAspect="1" noChangeArrowheads="1"/>
                    </pic:cNvPicPr>
                  </pic:nvPicPr>
                  <pic:blipFill>
                    <a:blip r:embed="rId178"/>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730FDF9D" wp14:editId="362877CF">
            <wp:extent cx="5486396" cy="1828799"/>
            <wp:effectExtent l="0" t="0" r="635" b="63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pic:cNvPicPr>
                      <a:picLocks noChangeAspect="1" noChangeArrowheads="1"/>
                    </pic:cNvPicPr>
                  </pic:nvPicPr>
                  <pic:blipFill>
                    <a:blip r:embed="rId179"/>
                    <a:stretch>
                      <a:fillRect/>
                    </a:stretch>
                  </pic:blipFill>
                  <pic:spPr bwMode="auto">
                    <a:xfrm>
                      <a:off x="0" y="0"/>
                      <a:ext cx="5486396" cy="1828799"/>
                    </a:xfrm>
                    <a:prstGeom prst="rect">
                      <a:avLst/>
                    </a:prstGeom>
                    <a:noFill/>
                    <a:ln>
                      <a:noFill/>
                    </a:ln>
                  </pic:spPr>
                </pic:pic>
              </a:graphicData>
            </a:graphic>
          </wp:inline>
        </w:drawing>
      </w:r>
    </w:p>
    <w:p w14:paraId="351BD4ED" w14:textId="5ECC3B93" w:rsidR="00FA11CC" w:rsidRDefault="003F6C94" w:rsidP="00FA11CC">
      <w:pPr>
        <w:pStyle w:val="FigureCaption"/>
        <w:rPr>
          <w:lang w:eastAsia="zh-TW"/>
        </w:rPr>
      </w:pPr>
      <w:bookmarkStart w:id="401" w:name="_Ref72855437"/>
      <w:bookmarkStart w:id="402" w:name="_Toc113380925"/>
      <w:r>
        <w:rPr>
          <w:lang w:eastAsia="zh-TW"/>
        </w:rPr>
        <w:t>Figure</w:t>
      </w:r>
      <w:r w:rsidR="00FA11CC" w:rsidRPr="00F61532">
        <w:rPr>
          <w:lang w:eastAsia="zh-TW"/>
        </w:rPr>
        <w:t xml:space="preserve"> </w:t>
      </w:r>
      <w:r w:rsidR="00FA11CC" w:rsidRPr="00F61532">
        <w:rPr>
          <w:lang w:eastAsia="zh-TW"/>
        </w:rPr>
        <w:fldChar w:fldCharType="begin"/>
      </w:r>
      <w:r w:rsidR="00FA11CC" w:rsidRPr="00F61532">
        <w:rPr>
          <w:lang w:eastAsia="zh-TW"/>
        </w:rPr>
        <w:instrText xml:space="preserve"> STYLEREF 1 \s </w:instrText>
      </w:r>
      <w:r w:rsidR="00FA11CC" w:rsidRPr="00F61532">
        <w:rPr>
          <w:lang w:eastAsia="zh-TW"/>
        </w:rPr>
        <w:fldChar w:fldCharType="separate"/>
      </w:r>
      <w:r w:rsidR="00EE0BF5">
        <w:rPr>
          <w:noProof/>
          <w:lang w:eastAsia="zh-TW"/>
        </w:rPr>
        <w:t>4</w:t>
      </w:r>
      <w:r w:rsidR="00FA11CC" w:rsidRPr="00F61532">
        <w:rPr>
          <w:lang w:eastAsia="zh-TW"/>
        </w:rPr>
        <w:fldChar w:fldCharType="end"/>
      </w:r>
      <w:r w:rsidR="00FA11CC" w:rsidRPr="00F61532">
        <w:rPr>
          <w:lang w:eastAsia="zh-TW"/>
        </w:rPr>
        <w:t>.</w:t>
      </w:r>
      <w:r w:rsidR="00FA11CC" w:rsidRPr="00F61532">
        <w:rPr>
          <w:lang w:eastAsia="zh-TW"/>
        </w:rPr>
        <w:fldChar w:fldCharType="begin"/>
      </w:r>
      <w:r w:rsidR="00FA11CC" w:rsidRPr="00F61532">
        <w:rPr>
          <w:lang w:eastAsia="zh-TW"/>
        </w:rPr>
        <w:instrText xml:space="preserve"> SEQ Figure \* ARABIC \s 1 </w:instrText>
      </w:r>
      <w:r w:rsidR="00FA11CC" w:rsidRPr="00F61532">
        <w:rPr>
          <w:lang w:eastAsia="zh-TW"/>
        </w:rPr>
        <w:fldChar w:fldCharType="separate"/>
      </w:r>
      <w:r w:rsidR="00EE0BF5">
        <w:rPr>
          <w:noProof/>
          <w:lang w:eastAsia="zh-TW"/>
        </w:rPr>
        <w:t>18</w:t>
      </w:r>
      <w:r w:rsidR="00FA11CC" w:rsidRPr="00F61532">
        <w:rPr>
          <w:lang w:eastAsia="zh-TW"/>
        </w:rPr>
        <w:fldChar w:fldCharType="end"/>
      </w:r>
      <w:bookmarkEnd w:id="401"/>
      <w:r w:rsidR="00FA11CC" w:rsidRPr="00F61532">
        <w:rPr>
          <w:lang w:eastAsia="zh-TW"/>
        </w:rPr>
        <w:t xml:space="preserve">. Projected annual </w:t>
      </w:r>
      <w:r w:rsidR="00190E22">
        <w:rPr>
          <w:lang w:eastAsia="zh-TW"/>
        </w:rPr>
        <w:t>CDD</w:t>
      </w:r>
      <w:r w:rsidR="00DD4CA2">
        <w:rPr>
          <w:lang w:eastAsia="zh-TW"/>
        </w:rPr>
        <w:t>s</w:t>
      </w:r>
      <w:r w:rsidR="00FA11CC">
        <w:rPr>
          <w:lang w:eastAsia="zh-TW"/>
        </w:rPr>
        <w:t xml:space="preserve"> </w:t>
      </w:r>
      <w:r w:rsidR="00FA11CC" w:rsidRPr="00F61532">
        <w:rPr>
          <w:lang w:eastAsia="zh-TW"/>
        </w:rPr>
        <w:t xml:space="preserve">in </w:t>
      </w:r>
      <w:r w:rsidR="00FA11CC">
        <w:rPr>
          <w:lang w:eastAsia="zh-TW"/>
        </w:rPr>
        <w:t>the WAPA region.</w:t>
      </w:r>
      <w:bookmarkEnd w:id="402"/>
    </w:p>
    <w:p w14:paraId="295C925F" w14:textId="4BCBE209" w:rsidR="00FF3E71" w:rsidRDefault="00FF3E71" w:rsidP="00F76FAE">
      <w:pPr>
        <w:spacing w:before="0" w:line="240" w:lineRule="auto"/>
        <w:ind w:firstLine="0"/>
      </w:pPr>
      <w:r>
        <w:t>WAPA has the largest footprint out of the four PMAs. The marketing subregions displayed large differences in the average number of HDDs and CDDs experienced during the baseline period (1980</w:t>
      </w:r>
      <w:r>
        <w:rPr>
          <w:rFonts w:cstheme="minorHAnsi"/>
        </w:rPr>
        <w:t>–</w:t>
      </w:r>
      <w:r>
        <w:t xml:space="preserve">2019). The southernmost subregion (WAPA-DSW) experienced the lowest average annual HDDs (752) </w:t>
      </w:r>
      <w:r>
        <w:lastRenderedPageBreak/>
        <w:t xml:space="preserve">and highest average annual CDDs (2,300). In contrast, the northernmost subregion (WAPA-UGP) experienced the highest average annual HDDs (5,654) and lowest average annual CDDs (871). </w:t>
      </w:r>
      <w:r>
        <w:fldChar w:fldCharType="begin"/>
      </w:r>
      <w:r>
        <w:instrText xml:space="preserve"> REF _Ref72855525 \h </w:instrText>
      </w:r>
      <w:r>
        <w:fldChar w:fldCharType="separate"/>
      </w:r>
      <w:r w:rsidR="00EE0BF5" w:rsidRPr="006869CA">
        <w:rPr>
          <w:lang w:eastAsia="zh-TW"/>
        </w:rPr>
        <w:t>Fig</w:t>
      </w:r>
      <w:r w:rsidR="00EE0BF5">
        <w:rPr>
          <w:lang w:eastAsia="zh-TW"/>
        </w:rPr>
        <w:t xml:space="preserve">ure </w:t>
      </w:r>
      <w:r w:rsidR="00EE0BF5">
        <w:rPr>
          <w:noProof/>
          <w:lang w:eastAsia="zh-TW"/>
        </w:rPr>
        <w:t>4</w:t>
      </w:r>
      <w:r w:rsidR="00EE0BF5">
        <w:rPr>
          <w:lang w:eastAsia="zh-TW"/>
        </w:rPr>
        <w:t>.</w:t>
      </w:r>
      <w:r w:rsidR="00EE0BF5">
        <w:rPr>
          <w:noProof/>
          <w:lang w:eastAsia="zh-TW"/>
        </w:rPr>
        <w:t>19</w:t>
      </w:r>
      <w:r>
        <w:fldChar w:fldCharType="end"/>
      </w:r>
      <w:r>
        <w:t xml:space="preserve"> shows that annual HDDs are projected to decrease and annual CDDs are projected to increase in every region. In the future period (2020</w:t>
      </w:r>
      <w:r>
        <w:rPr>
          <w:rFonts w:cstheme="minorHAnsi"/>
        </w:rPr>
        <w:t xml:space="preserve">–2059), the ensemble median trajectory shows average annual CDDs in the 1,300–1,600 range in every region except for WAPA-DSW, where they will be closer to 3,000. Average annual HDDs in that same period are projected to range from 503 in WAPA-DSW to 4,720 in WAPA-UGP. </w:t>
      </w:r>
      <w:r>
        <w:t xml:space="preserve">The projected changes in sales driven by these degree day trends are presented in </w:t>
      </w:r>
      <w:r>
        <w:fldChar w:fldCharType="begin"/>
      </w:r>
      <w:r>
        <w:instrText xml:space="preserve"> REF _Ref72855525 \h </w:instrText>
      </w:r>
      <w:r>
        <w:fldChar w:fldCharType="separate"/>
      </w:r>
      <w:r w:rsidR="00EE0BF5" w:rsidRPr="006869CA">
        <w:rPr>
          <w:lang w:eastAsia="zh-TW"/>
        </w:rPr>
        <w:t>Fig</w:t>
      </w:r>
      <w:r w:rsidR="00EE0BF5">
        <w:rPr>
          <w:lang w:eastAsia="zh-TW"/>
        </w:rPr>
        <w:t xml:space="preserve">ure </w:t>
      </w:r>
      <w:r w:rsidR="00EE0BF5">
        <w:rPr>
          <w:noProof/>
          <w:lang w:eastAsia="zh-TW"/>
        </w:rPr>
        <w:t>4</w:t>
      </w:r>
      <w:r w:rsidR="00EE0BF5">
        <w:rPr>
          <w:lang w:eastAsia="zh-TW"/>
        </w:rPr>
        <w:t>.</w:t>
      </w:r>
      <w:r w:rsidR="00EE0BF5">
        <w:rPr>
          <w:noProof/>
          <w:lang w:eastAsia="zh-TW"/>
        </w:rPr>
        <w:t>19</w:t>
      </w:r>
      <w:r>
        <w:fldChar w:fldCharType="end"/>
      </w:r>
      <w:r>
        <w:t>.</w:t>
      </w:r>
    </w:p>
    <w:p w14:paraId="683D5A5E" w14:textId="562A36FF" w:rsidR="00591A24" w:rsidRDefault="007A1B9E" w:rsidP="00050448">
      <w:pPr>
        <w:pStyle w:val="FIGUREposition"/>
      </w:pPr>
      <w:r>
        <w:rPr>
          <w:noProof/>
        </w:rPr>
        <w:drawing>
          <wp:inline distT="0" distB="0" distL="0" distR="0" wp14:anchorId="2C8CC747" wp14:editId="5489A549">
            <wp:extent cx="5943600" cy="2743200"/>
            <wp:effectExtent l="0" t="0" r="0" b="0"/>
            <wp:docPr id="233" name="Picture 23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Chart, box and whisker chart&#10;&#10;Description automatically generated"/>
                    <pic:cNvPicPr/>
                  </pic:nvPicPr>
                  <pic:blipFill>
                    <a:blip r:embed="rId180"/>
                    <a:stretch>
                      <a:fillRect/>
                    </a:stretch>
                  </pic:blipFill>
                  <pic:spPr>
                    <a:xfrm>
                      <a:off x="0" y="0"/>
                      <a:ext cx="5943600" cy="2743200"/>
                    </a:xfrm>
                    <a:prstGeom prst="rect">
                      <a:avLst/>
                    </a:prstGeom>
                  </pic:spPr>
                </pic:pic>
              </a:graphicData>
            </a:graphic>
          </wp:inline>
        </w:drawing>
      </w:r>
    </w:p>
    <w:p w14:paraId="703B9957" w14:textId="1FE33771" w:rsidR="009B1DC6" w:rsidRPr="0044307D" w:rsidRDefault="00D2217E" w:rsidP="00050448">
      <w:pPr>
        <w:pStyle w:val="FigureCaption"/>
      </w:pPr>
      <w:bookmarkStart w:id="403" w:name="_Ref72855525"/>
      <w:bookmarkStart w:id="404" w:name="_Toc436744714"/>
      <w:bookmarkStart w:id="405" w:name="_Toc113380926"/>
      <w:r w:rsidRPr="006869CA">
        <w:rPr>
          <w:lang w:eastAsia="zh-TW"/>
        </w:rPr>
        <w:t>Fig</w:t>
      </w:r>
      <w:r>
        <w:rPr>
          <w:lang w:eastAsia="zh-TW"/>
        </w:rPr>
        <w:t xml:space="preserve">ure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4</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19</w:t>
      </w:r>
      <w:r w:rsidRPr="006869CA">
        <w:rPr>
          <w:lang w:eastAsia="zh-TW"/>
        </w:rPr>
        <w:fldChar w:fldCharType="end"/>
      </w:r>
      <w:bookmarkEnd w:id="403"/>
      <w:r w:rsidR="009B1DC6" w:rsidRPr="006869CA">
        <w:rPr>
          <w:lang w:eastAsia="zh-TW"/>
        </w:rPr>
        <w:t xml:space="preserve">. </w:t>
      </w:r>
      <w:r w:rsidR="009B1DC6" w:rsidRPr="009B1DC6">
        <w:rPr>
          <w:lang w:eastAsia="zh-TW"/>
        </w:rPr>
        <w:t xml:space="preserve">Estimated changes in WAPA preference customer electricity sales relative to </w:t>
      </w:r>
      <w:r w:rsidR="00A2463C">
        <w:rPr>
          <w:lang w:eastAsia="zh-TW"/>
        </w:rPr>
        <w:t xml:space="preserve">the </w:t>
      </w:r>
      <w:r w:rsidR="009B1DC6" w:rsidRPr="009B1DC6">
        <w:rPr>
          <w:lang w:eastAsia="zh-TW"/>
        </w:rPr>
        <w:t>baseline period due to projected changes in degree days</w:t>
      </w:r>
      <w:r w:rsidR="009B1DC6" w:rsidRPr="00D410BA">
        <w:rPr>
          <w:lang w:eastAsia="zh-TW"/>
        </w:rPr>
        <w:t>.</w:t>
      </w:r>
      <w:bookmarkEnd w:id="404"/>
      <w:bookmarkEnd w:id="405"/>
    </w:p>
    <w:p w14:paraId="580C842B" w14:textId="00DC2525" w:rsidR="007A1B9E" w:rsidRDefault="007A1B9E" w:rsidP="00050448">
      <w:pPr>
        <w:pStyle w:val="BodyText"/>
      </w:pPr>
      <w:r>
        <w:t>Changes in sales driven by HDDs and CDDs will take place during the winter and summer, respectively. Electricity sales by WAPA preference customers, except in some of the WAPA-CRSP projections, are expected to decrease in the winter months and increase in the summer months because of the trends in degree days summarized in</w:t>
      </w:r>
      <w:r w:rsidR="00F80C85">
        <w:t xml:space="preserve"> </w:t>
      </w:r>
      <w:r w:rsidR="00F80C85">
        <w:fldChar w:fldCharType="begin"/>
      </w:r>
      <w:r w:rsidR="00F80C85">
        <w:instrText xml:space="preserve"> REF _Ref72855426 \h </w:instrText>
      </w:r>
      <w:r w:rsidR="00F80C85">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17</w:t>
      </w:r>
      <w:r w:rsidR="00F80C85">
        <w:fldChar w:fldCharType="end"/>
      </w:r>
      <w:r w:rsidR="00F80C85">
        <w:t xml:space="preserve"> and </w:t>
      </w:r>
      <w:r w:rsidR="00F80C85">
        <w:fldChar w:fldCharType="begin"/>
      </w:r>
      <w:r w:rsidR="00F80C85">
        <w:instrText xml:space="preserve"> REF _Ref72855437 \h </w:instrText>
      </w:r>
      <w:r w:rsidR="00F80C85">
        <w:fldChar w:fldCharType="separate"/>
      </w:r>
      <w:r w:rsidR="00EE0BF5">
        <w:rPr>
          <w:lang w:eastAsia="zh-TW"/>
        </w:rPr>
        <w:t>Figure</w:t>
      </w:r>
      <w:r w:rsidR="00EE0BF5" w:rsidRPr="00F61532">
        <w:rPr>
          <w:lang w:eastAsia="zh-TW"/>
        </w:rPr>
        <w:t xml:space="preserve"> </w:t>
      </w:r>
      <w:r w:rsidR="00EE0BF5">
        <w:rPr>
          <w:noProof/>
          <w:lang w:eastAsia="zh-TW"/>
        </w:rPr>
        <w:t>4</w:t>
      </w:r>
      <w:r w:rsidR="00EE0BF5" w:rsidRPr="00F61532">
        <w:rPr>
          <w:lang w:eastAsia="zh-TW"/>
        </w:rPr>
        <w:t>.</w:t>
      </w:r>
      <w:r w:rsidR="00EE0BF5">
        <w:rPr>
          <w:noProof/>
          <w:lang w:eastAsia="zh-TW"/>
        </w:rPr>
        <w:t>18</w:t>
      </w:r>
      <w:r w:rsidR="00F80C85">
        <w:fldChar w:fldCharType="end"/>
      </w:r>
      <w:r w:rsidR="00F80C85">
        <w:t>.</w:t>
      </w:r>
    </w:p>
    <w:p w14:paraId="205E1EBF" w14:textId="77777777" w:rsidR="00E022DF" w:rsidRPr="00FE71CA" w:rsidRDefault="00E022DF" w:rsidP="00050448">
      <w:pPr>
        <w:pStyle w:val="BodyText"/>
        <w:rPr>
          <w:lang w:eastAsia="zh-TW"/>
        </w:rPr>
      </w:pPr>
      <w:r>
        <w:t>The sign and magnitude of the net effect on annual sales varies by subregion. For example, the WAPA-UGP preference customer annual sales are projected to decrease overall because the drop in winter sales caused by less HDDs is larger than the increase in summer sales caused by higher CDDs. The median projected decrease in annual sales for WAPA-UGP customers relative to the 1980</w:t>
      </w:r>
      <w:r>
        <w:rPr>
          <w:rFonts w:cstheme="minorHAnsi"/>
        </w:rPr>
        <w:t>–</w:t>
      </w:r>
      <w:r>
        <w:t>2019 baseline period is 0.4% in 2020</w:t>
      </w:r>
      <w:r>
        <w:rPr>
          <w:rFonts w:cstheme="minorHAnsi"/>
        </w:rPr>
        <w:t>–</w:t>
      </w:r>
      <w:r>
        <w:t>2039 and 0.7% in 2040</w:t>
      </w:r>
      <w:r>
        <w:rPr>
          <w:rFonts w:cstheme="minorHAnsi"/>
        </w:rPr>
        <w:t xml:space="preserve">–2059. On the other hand, annual sales are projected to increase for preference customers receiving power from WAPA-DSW. For customers in that region, the dominant effect is an increase in summer sales driven by higher annual CDDs. The projected net increase in sales is 1.7% in </w:t>
      </w:r>
      <w:r>
        <w:t>2020</w:t>
      </w:r>
      <w:r>
        <w:rPr>
          <w:rFonts w:cstheme="minorHAnsi"/>
        </w:rPr>
        <w:t>–</w:t>
      </w:r>
      <w:r>
        <w:t xml:space="preserve">2039 and </w:t>
      </w:r>
      <w:r>
        <w:rPr>
          <w:rFonts w:cstheme="minorHAnsi"/>
        </w:rPr>
        <w:t>3.6% in 2040–</w:t>
      </w:r>
      <w:r>
        <w:t>2059</w:t>
      </w:r>
      <w:r>
        <w:rPr>
          <w:rFonts w:cstheme="minorHAnsi"/>
        </w:rPr>
        <w:t xml:space="preserve"> (</w:t>
      </w:r>
      <w:r>
        <w:t>based on the ensemble median degree day projections).</w:t>
      </w:r>
    </w:p>
    <w:p w14:paraId="0EFA4FEE" w14:textId="78760E86" w:rsidR="00F80C85" w:rsidRPr="00FE71CA" w:rsidRDefault="00E022DF" w:rsidP="00050448">
      <w:pPr>
        <w:pStyle w:val="BodyText"/>
        <w:rPr>
          <w:lang w:eastAsia="zh-TW"/>
        </w:rPr>
      </w:pPr>
      <w:r>
        <w:t>In the other two subregions (WAPA-CRSP and WAPA-SN/RM), the estimated temperature-driven changes in sales are smaller and must be interpreted with caution because the elasticities were not precisely estimated. Data from more preference customers in those subregions or at higher frequency could be helpful in improving the precision of these.</w:t>
      </w:r>
    </w:p>
    <w:p w14:paraId="56DC2B7D" w14:textId="4A907944" w:rsidR="002D7084" w:rsidRDefault="002540E9" w:rsidP="00050448">
      <w:pPr>
        <w:pStyle w:val="BodyText"/>
      </w:pPr>
      <w:r>
        <w:t>In summary, heating-related demands are expected to decrease, and electricity demands for air conditioning are expected to increase. As a result, WAPA</w:t>
      </w:r>
      <w:r w:rsidR="00805545">
        <w:t>’</w:t>
      </w:r>
      <w:r>
        <w:t xml:space="preserve">s preference customers may request scheduling </w:t>
      </w:r>
      <w:r>
        <w:lastRenderedPageBreak/>
        <w:t>a larger share of their allocation during the summer. However, WAPA can only accommodate these requests to the extent that they don</w:t>
      </w:r>
      <w:r w:rsidR="00805545">
        <w:t>’</w:t>
      </w:r>
      <w:r>
        <w:t>t conflict with other operational constraints.</w:t>
      </w:r>
    </w:p>
    <w:p w14:paraId="37682EAA" w14:textId="749C0E23" w:rsidR="00591A24" w:rsidRDefault="002D7084" w:rsidP="00050448">
      <w:pPr>
        <w:pStyle w:val="BodyText"/>
      </w:pPr>
      <w:r>
        <w:t xml:space="preserve">The results presented in Section </w:t>
      </w:r>
      <w:r>
        <w:fldChar w:fldCharType="begin"/>
      </w:r>
      <w:r>
        <w:instrText xml:space="preserve"> REF _Ref73457792 \r \h </w:instrText>
      </w:r>
      <w:r>
        <w:fldChar w:fldCharType="separate"/>
      </w:r>
      <w:r w:rsidR="00EE0BF5">
        <w:t>4.3.1</w:t>
      </w:r>
      <w:r>
        <w:fldChar w:fldCharType="end"/>
      </w:r>
      <w:r>
        <w:t xml:space="preserve"> </w:t>
      </w:r>
      <w:r w:rsidR="002540E9">
        <w:t>show projected increases in generation from the federal fleet marketed by WAPA at the annual time scale in all study areas except WAPA-5 (the lower Colorado facilities marketed as part of the CRSP subregion). On the other hand, WAPA-DSW is the only subregion where a net annual increase in load due to temperature is projected. Taken together, these results suggest that WAPA will on average be able to fulfill the capacity and energy allocations in its current long-term contracts.</w:t>
      </w:r>
    </w:p>
    <w:p w14:paraId="18309A36" w14:textId="77777777" w:rsidR="00F209D9" w:rsidRDefault="00F209D9">
      <w:pPr>
        <w:spacing w:before="0" w:after="0" w:line="240" w:lineRule="auto"/>
        <w:ind w:firstLine="0"/>
      </w:pPr>
    </w:p>
    <w:p w14:paraId="3E7259B4" w14:textId="77777777" w:rsidR="0029487F" w:rsidRDefault="0029487F" w:rsidP="0029487F">
      <w:pPr>
        <w:pStyle w:val="BodyText"/>
      </w:pPr>
    </w:p>
    <w:p w14:paraId="7E919946" w14:textId="77777777" w:rsidR="00D33A66" w:rsidRDefault="00D33A66" w:rsidP="00D33A66">
      <w:pPr>
        <w:pStyle w:val="BodyText"/>
        <w:sectPr w:rsidR="00D33A66" w:rsidSect="00B121A5">
          <w:pgSz w:w="12240" w:h="15840" w:code="1"/>
          <w:pgMar w:top="1440" w:right="1440" w:bottom="1440" w:left="1440" w:header="720" w:footer="720" w:gutter="0"/>
          <w:cols w:space="720"/>
          <w:docGrid w:linePitch="360"/>
        </w:sectPr>
      </w:pPr>
    </w:p>
    <w:p w14:paraId="32B21435" w14:textId="77777777" w:rsidR="00D33A66" w:rsidRDefault="00D33A66" w:rsidP="00D33A66">
      <w:pPr>
        <w:pStyle w:val="BodyText"/>
        <w:jc w:val="center"/>
      </w:pPr>
      <w:r>
        <w:lastRenderedPageBreak/>
        <w:t>(This page intentionally left blank)</w:t>
      </w:r>
    </w:p>
    <w:p w14:paraId="74BDFFCE" w14:textId="77777777" w:rsidR="00D33A66" w:rsidRDefault="00D33A66" w:rsidP="00D33A66">
      <w:pPr>
        <w:pStyle w:val="BodyText"/>
      </w:pPr>
    </w:p>
    <w:p w14:paraId="380B77C6" w14:textId="77777777" w:rsidR="00D33A66" w:rsidRDefault="00D33A66" w:rsidP="00D33A66">
      <w:pPr>
        <w:pStyle w:val="BodyText"/>
        <w:sectPr w:rsidR="00D33A66" w:rsidSect="00093CC9">
          <w:pgSz w:w="12240" w:h="15840" w:code="1"/>
          <w:pgMar w:top="1440" w:right="1440" w:bottom="1440" w:left="1440" w:header="720" w:footer="720" w:gutter="0"/>
          <w:cols w:space="720"/>
          <w:vAlign w:val="center"/>
          <w:docGrid w:linePitch="360"/>
        </w:sectPr>
      </w:pPr>
    </w:p>
    <w:p w14:paraId="135A868B" w14:textId="0668035A" w:rsidR="00591093" w:rsidRDefault="009F65EE" w:rsidP="00050448">
      <w:pPr>
        <w:pStyle w:val="Heading1"/>
      </w:pPr>
      <w:bookmarkStart w:id="406" w:name="_Ref425755874"/>
      <w:bookmarkStart w:id="407" w:name="_Ref425756432"/>
      <w:bookmarkStart w:id="408" w:name="_Ref425756672"/>
      <w:bookmarkStart w:id="409" w:name="_Toc113380817"/>
      <w:r w:rsidRPr="00591093">
        <w:lastRenderedPageBreak/>
        <w:t xml:space="preserve">THE </w:t>
      </w:r>
      <w:r w:rsidR="008C3834">
        <w:t>SWPA</w:t>
      </w:r>
      <w:r>
        <w:t xml:space="preserve"> </w:t>
      </w:r>
      <w:r w:rsidRPr="00591093">
        <w:t>REGION</w:t>
      </w:r>
      <w:bookmarkEnd w:id="406"/>
      <w:bookmarkEnd w:id="407"/>
      <w:bookmarkEnd w:id="408"/>
      <w:bookmarkEnd w:id="409"/>
    </w:p>
    <w:p w14:paraId="66A3CE4B" w14:textId="67E290FB" w:rsidR="00833516" w:rsidRDefault="00B81F34" w:rsidP="00833516">
      <w:pPr>
        <w:pStyle w:val="BodyText"/>
      </w:pPr>
      <w:r>
        <w:t>Following the methodology</w:t>
      </w:r>
      <w:r w:rsidR="00833516">
        <w:t xml:space="preserve"> described in Section </w:t>
      </w:r>
      <w:r w:rsidR="00833516">
        <w:fldChar w:fldCharType="begin"/>
      </w:r>
      <w:r w:rsidR="00833516">
        <w:instrText xml:space="preserve"> REF _Ref425756108 \n \h </w:instrText>
      </w:r>
      <w:r w:rsidR="00833516">
        <w:fldChar w:fldCharType="separate"/>
      </w:r>
      <w:r w:rsidR="00EE0BF5">
        <w:t>2</w:t>
      </w:r>
      <w:r w:rsidR="00833516">
        <w:fldChar w:fldCharType="end"/>
      </w:r>
      <w:r w:rsidR="00833516">
        <w:t xml:space="preserve">, the results for federal hydropower plants marketed by the </w:t>
      </w:r>
      <w:r w:rsidR="00833516" w:rsidRPr="00591093">
        <w:rPr>
          <w:rFonts w:eastAsia="PMingLiU" w:hint="eastAsia"/>
          <w:lang w:eastAsia="zh-TW"/>
        </w:rPr>
        <w:t>SWPA</w:t>
      </w:r>
      <w:r w:rsidR="00833516">
        <w:t xml:space="preserve"> are summarized in this section. Descriptions of the SWPA study areas, federal hydropower system</w:t>
      </w:r>
      <w:r w:rsidR="00FD3B5D">
        <w:t>s</w:t>
      </w:r>
      <w:r w:rsidR="00833516">
        <w:t xml:space="preserve">, and power marketing practices are described in Section </w:t>
      </w:r>
      <w:r w:rsidR="00833516">
        <w:fldChar w:fldCharType="begin"/>
      </w:r>
      <w:r w:rsidR="00833516">
        <w:instrText xml:space="preserve"> REF _Ref69807837 \r \h </w:instrText>
      </w:r>
      <w:r w:rsidR="00833516">
        <w:fldChar w:fldCharType="separate"/>
      </w:r>
      <w:r w:rsidR="00EE0BF5">
        <w:t>5.1</w:t>
      </w:r>
      <w:r w:rsidR="00833516">
        <w:fldChar w:fldCharType="end"/>
      </w:r>
      <w:r w:rsidR="00833516">
        <w:t>.</w:t>
      </w:r>
      <w:r w:rsidR="00833516" w:rsidRPr="008F7AA7">
        <w:rPr>
          <w:rFonts w:hint="eastAsia"/>
        </w:rPr>
        <w:t xml:space="preserve"> </w:t>
      </w:r>
      <w:r w:rsidR="00833516">
        <w:t xml:space="preserve">The projected future atmospheric and hydrologic conditions in the SWPA region are discussed in </w:t>
      </w:r>
      <w:r w:rsidR="00833516" w:rsidRPr="008F7AA7">
        <w:t>Section</w:t>
      </w:r>
      <w:r w:rsidR="00833516">
        <w:t xml:space="preserve"> </w:t>
      </w:r>
      <w:r w:rsidR="00833516">
        <w:fldChar w:fldCharType="begin"/>
      </w:r>
      <w:r w:rsidR="00833516">
        <w:instrText xml:space="preserve"> REF _Ref69807840 \r \h </w:instrText>
      </w:r>
      <w:r w:rsidR="00833516">
        <w:fldChar w:fldCharType="separate"/>
      </w:r>
      <w:r w:rsidR="00EE0BF5">
        <w:t>5.2</w:t>
      </w:r>
      <w:r w:rsidR="00833516">
        <w:fldChar w:fldCharType="end"/>
      </w:r>
      <w:r w:rsidR="00833516">
        <w:t xml:space="preserve">. </w:t>
      </w:r>
      <w:r w:rsidR="00833516" w:rsidRPr="008F7AA7">
        <w:rPr>
          <w:rFonts w:hint="eastAsia"/>
        </w:rPr>
        <w:t xml:space="preserve">The potential </w:t>
      </w:r>
      <w:r w:rsidR="00833516">
        <w:t xml:space="preserve">climate change </w:t>
      </w:r>
      <w:r w:rsidR="00833516" w:rsidRPr="008F7AA7">
        <w:rPr>
          <w:rFonts w:hint="eastAsia"/>
        </w:rPr>
        <w:t xml:space="preserve">impacts on federal hydropower generation and </w:t>
      </w:r>
      <w:r w:rsidR="00833516">
        <w:t xml:space="preserve">SWPA regional energy demands </w:t>
      </w:r>
      <w:r w:rsidR="00833516" w:rsidRPr="008F7AA7">
        <w:rPr>
          <w:rFonts w:hint="eastAsia"/>
        </w:rPr>
        <w:t xml:space="preserve">are discussed in </w:t>
      </w:r>
      <w:r w:rsidR="00833516" w:rsidRPr="008F7AA7">
        <w:t xml:space="preserve">Section </w:t>
      </w:r>
      <w:r w:rsidR="00833516">
        <w:fldChar w:fldCharType="begin"/>
      </w:r>
      <w:r w:rsidR="00833516">
        <w:instrText xml:space="preserve"> REF _Ref69807841 \r \h </w:instrText>
      </w:r>
      <w:r w:rsidR="00833516">
        <w:fldChar w:fldCharType="separate"/>
      </w:r>
      <w:r w:rsidR="00EE0BF5">
        <w:t>5.3</w:t>
      </w:r>
      <w:r w:rsidR="00833516">
        <w:fldChar w:fldCharType="end"/>
      </w:r>
      <w:r w:rsidR="00833516" w:rsidRPr="008F7AA7">
        <w:t>.</w:t>
      </w:r>
    </w:p>
    <w:p w14:paraId="70491030" w14:textId="72B14280" w:rsidR="00591093" w:rsidRPr="00591093" w:rsidRDefault="00174ED0" w:rsidP="00AD0C1C">
      <w:pPr>
        <w:pStyle w:val="Heading2"/>
      </w:pPr>
      <w:bookmarkStart w:id="410" w:name="_Ref69807837"/>
      <w:bookmarkStart w:id="411" w:name="_Toc113380818"/>
      <w:r>
        <w:t xml:space="preserve">SWPA </w:t>
      </w:r>
      <w:r w:rsidR="00591093" w:rsidRPr="00591093">
        <w:t>Regional Characteristics</w:t>
      </w:r>
      <w:bookmarkEnd w:id="410"/>
      <w:bookmarkEnd w:id="411"/>
    </w:p>
    <w:p w14:paraId="3DFEFB6C" w14:textId="369B1FCC" w:rsidR="00591093" w:rsidRPr="00591093" w:rsidRDefault="005B19AC" w:rsidP="00591093">
      <w:pPr>
        <w:pStyle w:val="Heading3"/>
      </w:pPr>
      <w:bookmarkStart w:id="412" w:name="_Toc113380819"/>
      <w:r w:rsidRPr="006A3A0F">
        <w:t xml:space="preserve">Federal Hydropower </w:t>
      </w:r>
      <w:r>
        <w:t xml:space="preserve">in </w:t>
      </w:r>
      <w:r w:rsidR="004C5FCF">
        <w:t xml:space="preserve">the </w:t>
      </w:r>
      <w:r>
        <w:t>SWPA</w:t>
      </w:r>
      <w:r w:rsidR="004C5FCF">
        <w:t xml:space="preserve"> Region</w:t>
      </w:r>
      <w:bookmarkEnd w:id="412"/>
    </w:p>
    <w:p w14:paraId="5D15CE03" w14:textId="7FD9D8B5" w:rsidR="00F558D3" w:rsidRDefault="00F558D3" w:rsidP="00F558D3">
      <w:pPr>
        <w:pStyle w:val="BodyText"/>
      </w:pPr>
      <w:r w:rsidRPr="006D5217">
        <w:t xml:space="preserve">The </w:t>
      </w:r>
      <w:r w:rsidR="0098624C">
        <w:t>SWPA</w:t>
      </w:r>
      <w:r w:rsidRPr="006D5217">
        <w:t xml:space="preserve"> region </w:t>
      </w:r>
      <w:r>
        <w:t>includes</w:t>
      </w:r>
      <w:r w:rsidRPr="006D5217">
        <w:t xml:space="preserve"> rivers that run through the Ozark Plateau, </w:t>
      </w:r>
      <w:r>
        <w:t xml:space="preserve">the </w:t>
      </w:r>
      <w:r w:rsidRPr="006D5217">
        <w:t xml:space="preserve">southern Great Plains, and </w:t>
      </w:r>
      <w:r>
        <w:t xml:space="preserve">the </w:t>
      </w:r>
      <w:r w:rsidRPr="006D5217">
        <w:t xml:space="preserve">Texas coastal plains. There are 24 </w:t>
      </w:r>
      <w:r w:rsidR="0098624C">
        <w:t xml:space="preserve">federal </w:t>
      </w:r>
      <w:r w:rsidRPr="006D5217">
        <w:t xml:space="preserve">hydropower </w:t>
      </w:r>
      <w:r>
        <w:t>plants</w:t>
      </w:r>
      <w:r w:rsidRPr="006D5217">
        <w:t xml:space="preserve"> in this region, all of which are owned and operated by USACE. The</w:t>
      </w:r>
      <w:r w:rsidR="0098624C">
        <w:t>se USACE federal hydropower plants</w:t>
      </w:r>
      <w:r w:rsidRPr="006D5217">
        <w:t xml:space="preserve"> have a total </w:t>
      </w:r>
      <w:r w:rsidR="0098624C">
        <w:t xml:space="preserve">of 2,256 MW </w:t>
      </w:r>
      <w:r w:rsidRPr="006D5217">
        <w:t xml:space="preserve">capacity and </w:t>
      </w:r>
      <w:r w:rsidR="0098624C">
        <w:t xml:space="preserve">5.6 </w:t>
      </w:r>
      <w:r w:rsidR="0098624C" w:rsidRPr="00591093">
        <w:rPr>
          <w:rFonts w:eastAsia="PMingLiU" w:hint="eastAsia"/>
          <w:lang w:eastAsia="zh-TW"/>
        </w:rPr>
        <w:t>T</w:t>
      </w:r>
      <w:r w:rsidR="0098624C" w:rsidRPr="005E28A1">
        <w:t>Wh</w:t>
      </w:r>
      <w:r w:rsidR="0098624C" w:rsidRPr="00591093">
        <w:rPr>
          <w:rFonts w:eastAsia="PMingLiU" w:hint="eastAsia"/>
          <w:lang w:eastAsia="zh-TW"/>
        </w:rPr>
        <w:t>/year</w:t>
      </w:r>
      <w:r w:rsidR="0098624C" w:rsidRPr="006D5217" w:rsidDel="00FE342A">
        <w:t xml:space="preserve"> </w:t>
      </w:r>
      <w:r w:rsidR="0098624C">
        <w:t xml:space="preserve">average </w:t>
      </w:r>
      <w:r w:rsidRPr="006D5217">
        <w:t>annual generation (</w:t>
      </w:r>
      <w:r w:rsidR="0098624C">
        <w:fldChar w:fldCharType="begin"/>
      </w:r>
      <w:r w:rsidR="0098624C">
        <w:instrText xml:space="preserve"> REF _Ref425351711 \h </w:instrText>
      </w:r>
      <w:r w:rsidR="0098624C">
        <w:fldChar w:fldCharType="separate"/>
      </w:r>
      <w:r w:rsidR="00EE0BF5" w:rsidRPr="00485D84">
        <w:rPr>
          <w:rFonts w:eastAsia="PMingLiU"/>
          <w:lang w:bidi="en-US"/>
        </w:rPr>
        <w:t xml:space="preserve">Table </w:t>
      </w:r>
      <w:r w:rsidR="00EE0BF5">
        <w:rPr>
          <w:rFonts w:eastAsia="PMingLiU"/>
          <w:noProof/>
          <w:lang w:bidi="en-US"/>
        </w:rPr>
        <w:t>5</w:t>
      </w:r>
      <w:r w:rsidR="00EE0BF5" w:rsidRPr="00485D84">
        <w:rPr>
          <w:rFonts w:eastAsia="PMingLiU"/>
          <w:lang w:bidi="en-US"/>
        </w:rPr>
        <w:t>.</w:t>
      </w:r>
      <w:r w:rsidR="00EE0BF5">
        <w:rPr>
          <w:rFonts w:eastAsia="PMingLiU"/>
          <w:noProof/>
          <w:lang w:bidi="en-US"/>
        </w:rPr>
        <w:t>1</w:t>
      </w:r>
      <w:r w:rsidR="0098624C">
        <w:fldChar w:fldCharType="end"/>
      </w:r>
      <w:r w:rsidRPr="006D5217">
        <w:t>).</w:t>
      </w:r>
    </w:p>
    <w:p w14:paraId="3C5E234B" w14:textId="17A450B6" w:rsidR="00F558D3" w:rsidRPr="00485D84" w:rsidRDefault="00F558D3" w:rsidP="00F558D3">
      <w:pPr>
        <w:pStyle w:val="TableCaption"/>
        <w:rPr>
          <w:rFonts w:eastAsia="PMingLiU"/>
          <w:lang w:bidi="en-US"/>
        </w:rPr>
      </w:pPr>
      <w:bookmarkStart w:id="413" w:name="_Ref425351711"/>
      <w:bookmarkStart w:id="414" w:name="_Toc113380982"/>
      <w:r w:rsidRPr="00485D84">
        <w:rPr>
          <w:rFonts w:eastAsia="PMingLiU"/>
          <w:lang w:bidi="en-US"/>
        </w:rPr>
        <w:t xml:space="preserve">Table </w:t>
      </w:r>
      <w:r w:rsidRPr="00485D84">
        <w:rPr>
          <w:rFonts w:eastAsia="PMingLiU"/>
          <w:lang w:bidi="en-US"/>
        </w:rPr>
        <w:fldChar w:fldCharType="begin"/>
      </w:r>
      <w:r w:rsidRPr="00485D84">
        <w:rPr>
          <w:rFonts w:eastAsia="PMingLiU"/>
          <w:lang w:bidi="en-US"/>
        </w:rPr>
        <w:instrText xml:space="preserve"> STYLEREF 1 \s </w:instrText>
      </w:r>
      <w:r w:rsidRPr="00485D84">
        <w:rPr>
          <w:rFonts w:eastAsia="PMingLiU"/>
          <w:lang w:bidi="en-US"/>
        </w:rPr>
        <w:fldChar w:fldCharType="separate"/>
      </w:r>
      <w:r w:rsidR="00EE0BF5">
        <w:rPr>
          <w:rFonts w:eastAsia="PMingLiU"/>
          <w:noProof/>
          <w:lang w:bidi="en-US"/>
        </w:rPr>
        <w:t>5</w:t>
      </w:r>
      <w:r w:rsidRPr="00485D84">
        <w:rPr>
          <w:rFonts w:eastAsia="PMingLiU"/>
          <w:lang w:bidi="en-US"/>
        </w:rPr>
        <w:fldChar w:fldCharType="end"/>
      </w:r>
      <w:r w:rsidRPr="00485D84">
        <w:rPr>
          <w:rFonts w:eastAsia="PMingLiU"/>
          <w:lang w:bidi="en-US"/>
        </w:rPr>
        <w:t>.</w:t>
      </w:r>
      <w:r w:rsidRPr="00485D84">
        <w:rPr>
          <w:rFonts w:eastAsia="PMingLiU"/>
          <w:lang w:bidi="en-US"/>
        </w:rPr>
        <w:fldChar w:fldCharType="begin"/>
      </w:r>
      <w:r w:rsidRPr="00485D84">
        <w:rPr>
          <w:rFonts w:eastAsia="PMingLiU"/>
          <w:lang w:bidi="en-US"/>
        </w:rPr>
        <w:instrText xml:space="preserve"> SEQ Table \* ARABIC \s 1 </w:instrText>
      </w:r>
      <w:r w:rsidRPr="00485D84">
        <w:rPr>
          <w:rFonts w:eastAsia="PMingLiU"/>
          <w:lang w:bidi="en-US"/>
        </w:rPr>
        <w:fldChar w:fldCharType="separate"/>
      </w:r>
      <w:r w:rsidR="00EE0BF5">
        <w:rPr>
          <w:rFonts w:eastAsia="PMingLiU"/>
          <w:noProof/>
          <w:lang w:bidi="en-US"/>
        </w:rPr>
        <w:t>1</w:t>
      </w:r>
      <w:r w:rsidRPr="00485D84">
        <w:rPr>
          <w:rFonts w:eastAsia="PMingLiU"/>
          <w:lang w:bidi="en-US"/>
        </w:rPr>
        <w:fldChar w:fldCharType="end"/>
      </w:r>
      <w:bookmarkEnd w:id="413"/>
      <w:r w:rsidRPr="00485D84">
        <w:rPr>
          <w:rFonts w:eastAsia="PMingLiU"/>
          <w:lang w:bidi="en-US"/>
        </w:rPr>
        <w:t xml:space="preserve">. </w:t>
      </w:r>
      <w:r w:rsidRPr="00485D84">
        <w:rPr>
          <w:rFonts w:eastAsia="PMingLiU" w:hint="eastAsia"/>
          <w:lang w:bidi="en-US"/>
        </w:rPr>
        <w:t>Summary of federal h</w:t>
      </w:r>
      <w:r w:rsidRPr="00485D84">
        <w:rPr>
          <w:rFonts w:eastAsia="PMingLiU"/>
          <w:lang w:bidi="en-US"/>
        </w:rPr>
        <w:t xml:space="preserve">ydropower </w:t>
      </w:r>
      <w:r w:rsidRPr="00485D84">
        <w:rPr>
          <w:rFonts w:eastAsia="PMingLiU" w:hint="eastAsia"/>
          <w:lang w:bidi="en-US"/>
        </w:rPr>
        <w:t xml:space="preserve">plants </w:t>
      </w:r>
      <w:r w:rsidRPr="00485D84">
        <w:rPr>
          <w:rFonts w:eastAsia="PMingLiU"/>
          <w:lang w:bidi="en-US"/>
        </w:rPr>
        <w:t xml:space="preserve">in </w:t>
      </w:r>
      <w:r>
        <w:rPr>
          <w:rFonts w:eastAsia="PMingLiU"/>
          <w:lang w:bidi="en-US"/>
        </w:rPr>
        <w:t>the SWPA</w:t>
      </w:r>
      <w:r w:rsidRPr="00485D84">
        <w:rPr>
          <w:rFonts w:eastAsia="PMingLiU"/>
          <w:lang w:bidi="en-US"/>
        </w:rPr>
        <w:t xml:space="preserve"> </w:t>
      </w:r>
      <w:r>
        <w:rPr>
          <w:rFonts w:eastAsia="PMingLiU"/>
          <w:lang w:bidi="en-US"/>
        </w:rPr>
        <w:t>region</w:t>
      </w:r>
      <w:bookmarkEnd w:id="414"/>
    </w:p>
    <w:tbl>
      <w:tblPr>
        <w:tblW w:w="9576" w:type="dxa"/>
        <w:jc w:val="center"/>
        <w:tblBorders>
          <w:top w:val="single" w:sz="12" w:space="0" w:color="000000"/>
          <w:bottom w:val="single" w:sz="12" w:space="0" w:color="000000"/>
        </w:tblBorders>
        <w:tblLayout w:type="fixed"/>
        <w:tblCellMar>
          <w:top w:w="29" w:type="dxa"/>
          <w:left w:w="58" w:type="dxa"/>
          <w:bottom w:w="29" w:type="dxa"/>
          <w:right w:w="58" w:type="dxa"/>
        </w:tblCellMar>
        <w:tblLook w:val="00A0" w:firstRow="1" w:lastRow="0" w:firstColumn="1" w:lastColumn="0" w:noHBand="0" w:noVBand="0"/>
      </w:tblPr>
      <w:tblGrid>
        <w:gridCol w:w="1098"/>
        <w:gridCol w:w="2880"/>
        <w:gridCol w:w="1710"/>
        <w:gridCol w:w="1620"/>
        <w:gridCol w:w="2268"/>
      </w:tblGrid>
      <w:tr w:rsidR="00F558D3" w:rsidRPr="00A632BC" w14:paraId="46C71D6B" w14:textId="77777777" w:rsidTr="00050448">
        <w:trPr>
          <w:jc w:val="center"/>
        </w:trPr>
        <w:tc>
          <w:tcPr>
            <w:tcW w:w="1098" w:type="dxa"/>
            <w:tcBorders>
              <w:top w:val="single" w:sz="12" w:space="0" w:color="000000"/>
              <w:bottom w:val="single" w:sz="12" w:space="0" w:color="auto"/>
              <w:right w:val="nil"/>
            </w:tcBorders>
            <w:vAlign w:val="center"/>
          </w:tcPr>
          <w:p w14:paraId="027CBCA2" w14:textId="77777777" w:rsidR="00F558D3" w:rsidRPr="002C7116" w:rsidRDefault="00F558D3" w:rsidP="00050448">
            <w:pPr>
              <w:pStyle w:val="TableHeading"/>
              <w:spacing w:before="0" w:after="0"/>
              <w:jc w:val="left"/>
              <w:rPr>
                <w:caps/>
              </w:rPr>
            </w:pPr>
            <w:r w:rsidRPr="002C7116">
              <w:t>Area</w:t>
            </w:r>
          </w:p>
        </w:tc>
        <w:tc>
          <w:tcPr>
            <w:tcW w:w="2880" w:type="dxa"/>
            <w:tcBorders>
              <w:top w:val="single" w:sz="12" w:space="0" w:color="000000"/>
              <w:left w:val="nil"/>
              <w:bottom w:val="single" w:sz="12" w:space="0" w:color="auto"/>
              <w:right w:val="nil"/>
            </w:tcBorders>
            <w:vAlign w:val="center"/>
          </w:tcPr>
          <w:p w14:paraId="065D31CD" w14:textId="77777777" w:rsidR="00F558D3" w:rsidRPr="002C7116" w:rsidRDefault="00F558D3" w:rsidP="00050448">
            <w:pPr>
              <w:pStyle w:val="TableHeading"/>
              <w:spacing w:before="0" w:after="0"/>
              <w:jc w:val="left"/>
              <w:rPr>
                <w:caps/>
              </w:rPr>
            </w:pPr>
            <w:r w:rsidRPr="00591093">
              <w:rPr>
                <w:rFonts w:eastAsia="PMingLiU" w:hint="eastAsia"/>
                <w:lang w:eastAsia="zh-TW"/>
              </w:rPr>
              <w:t>Area name</w:t>
            </w:r>
          </w:p>
        </w:tc>
        <w:tc>
          <w:tcPr>
            <w:tcW w:w="1710" w:type="dxa"/>
            <w:tcBorders>
              <w:top w:val="single" w:sz="12" w:space="0" w:color="000000"/>
              <w:left w:val="nil"/>
              <w:bottom w:val="single" w:sz="12" w:space="0" w:color="auto"/>
              <w:right w:val="nil"/>
            </w:tcBorders>
            <w:vAlign w:val="center"/>
          </w:tcPr>
          <w:p w14:paraId="404C39A0" w14:textId="77777777" w:rsidR="00F558D3" w:rsidRPr="002C7116" w:rsidRDefault="00F558D3" w:rsidP="00050448">
            <w:pPr>
              <w:pStyle w:val="TableHeading"/>
              <w:spacing w:before="0" w:after="0"/>
              <w:rPr>
                <w:caps/>
                <w:lang w:val="pt-BR"/>
              </w:rPr>
            </w:pPr>
            <w:r w:rsidRPr="002C7116">
              <w:rPr>
                <w:lang w:val="pt-BR"/>
              </w:rPr>
              <w:t xml:space="preserve">Number of </w:t>
            </w:r>
            <w:r>
              <w:rPr>
                <w:lang w:val="pt-BR"/>
              </w:rPr>
              <w:t>USACE p</w:t>
            </w:r>
            <w:r w:rsidRPr="002C7116">
              <w:rPr>
                <w:lang w:val="pt-BR"/>
              </w:rPr>
              <w:t>lants</w:t>
            </w:r>
          </w:p>
        </w:tc>
        <w:tc>
          <w:tcPr>
            <w:tcW w:w="1620" w:type="dxa"/>
            <w:tcBorders>
              <w:top w:val="single" w:sz="12" w:space="0" w:color="000000"/>
              <w:left w:val="nil"/>
              <w:bottom w:val="single" w:sz="12" w:space="0" w:color="auto"/>
              <w:right w:val="nil"/>
            </w:tcBorders>
            <w:vAlign w:val="center"/>
          </w:tcPr>
          <w:p w14:paraId="474B89C7" w14:textId="77777777" w:rsidR="00F558D3" w:rsidRPr="002C7116" w:rsidRDefault="00F558D3" w:rsidP="00050448">
            <w:pPr>
              <w:pStyle w:val="TableHeading"/>
              <w:spacing w:before="0" w:after="0"/>
              <w:rPr>
                <w:caps/>
                <w:lang w:val="pt-BR"/>
              </w:rPr>
            </w:pPr>
            <w:r>
              <w:rPr>
                <w:lang w:val="pt-BR"/>
              </w:rPr>
              <w:t>C</w:t>
            </w:r>
            <w:r w:rsidRPr="002C7116">
              <w:rPr>
                <w:lang w:val="pt-BR"/>
              </w:rPr>
              <w:t>apacity</w:t>
            </w:r>
            <w:r w:rsidRPr="002C7116">
              <w:rPr>
                <w:i/>
                <w:vertAlign w:val="superscript"/>
                <w:lang w:val="pt-BR"/>
              </w:rPr>
              <w:t>a</w:t>
            </w:r>
            <w:r w:rsidRPr="002C7116">
              <w:rPr>
                <w:lang w:val="pt-BR"/>
              </w:rPr>
              <w:t xml:space="preserve"> (MW)</w:t>
            </w:r>
          </w:p>
        </w:tc>
        <w:tc>
          <w:tcPr>
            <w:tcW w:w="2268" w:type="dxa"/>
            <w:tcBorders>
              <w:top w:val="single" w:sz="12" w:space="0" w:color="000000"/>
              <w:left w:val="nil"/>
              <w:bottom w:val="single" w:sz="12" w:space="0" w:color="auto"/>
            </w:tcBorders>
            <w:vAlign w:val="center"/>
          </w:tcPr>
          <w:p w14:paraId="37F17FF8" w14:textId="77777777" w:rsidR="00F558D3" w:rsidRPr="00EE0E54" w:rsidRDefault="00F558D3" w:rsidP="00050448">
            <w:pPr>
              <w:pStyle w:val="TableHeading"/>
              <w:spacing w:before="0" w:after="0"/>
              <w:rPr>
                <w:caps/>
                <w:lang w:val="pt-BR"/>
              </w:rPr>
            </w:pPr>
            <w:r>
              <w:t xml:space="preserve">1980–2019 </w:t>
            </w:r>
            <w:r w:rsidRPr="00EE0E54">
              <w:rPr>
                <w:lang w:val="pt-BR"/>
              </w:rPr>
              <w:t>generation</w:t>
            </w:r>
            <w:r w:rsidRPr="00EE0E54">
              <w:rPr>
                <w:i/>
                <w:vertAlign w:val="superscript"/>
                <w:lang w:val="pt-BR"/>
              </w:rPr>
              <w:t>b</w:t>
            </w:r>
            <w:r w:rsidRPr="00EE0E54">
              <w:rPr>
                <w:lang w:val="pt-BR"/>
              </w:rPr>
              <w:t xml:space="preserve"> (</w:t>
            </w:r>
            <w:r w:rsidRPr="00591093">
              <w:rPr>
                <w:rFonts w:eastAsia="PMingLiU" w:hint="eastAsia"/>
                <w:lang w:val="pt-BR" w:eastAsia="zh-TW"/>
              </w:rPr>
              <w:t>G</w:t>
            </w:r>
            <w:r w:rsidRPr="00EE0E54">
              <w:rPr>
                <w:lang w:val="pt-BR"/>
              </w:rPr>
              <w:t>Wh/year)</w:t>
            </w:r>
          </w:p>
        </w:tc>
      </w:tr>
      <w:tr w:rsidR="00F558D3" w:rsidRPr="00B85EA0" w14:paraId="7210FBCE" w14:textId="77777777" w:rsidTr="00050448">
        <w:trPr>
          <w:jc w:val="center"/>
        </w:trPr>
        <w:tc>
          <w:tcPr>
            <w:tcW w:w="1098" w:type="dxa"/>
            <w:tcBorders>
              <w:top w:val="single" w:sz="12" w:space="0" w:color="auto"/>
              <w:bottom w:val="single" w:sz="4" w:space="0" w:color="auto"/>
              <w:right w:val="nil"/>
            </w:tcBorders>
            <w:vAlign w:val="center"/>
          </w:tcPr>
          <w:p w14:paraId="5FC060EB" w14:textId="77777777" w:rsidR="00F558D3" w:rsidRPr="007C440B" w:rsidRDefault="00F558D3" w:rsidP="00050448">
            <w:pPr>
              <w:pStyle w:val="TableText"/>
              <w:rPr>
                <w:rFonts w:eastAsia="Calibri"/>
              </w:rPr>
            </w:pPr>
            <w:r w:rsidRPr="007C440B">
              <w:rPr>
                <w:rFonts w:eastAsia="Calibri"/>
              </w:rPr>
              <w:t>SWPA-1</w:t>
            </w:r>
          </w:p>
        </w:tc>
        <w:tc>
          <w:tcPr>
            <w:tcW w:w="2880" w:type="dxa"/>
            <w:tcBorders>
              <w:top w:val="single" w:sz="12" w:space="0" w:color="auto"/>
              <w:left w:val="nil"/>
              <w:bottom w:val="single" w:sz="4" w:space="0" w:color="auto"/>
              <w:right w:val="nil"/>
            </w:tcBorders>
            <w:vAlign w:val="center"/>
          </w:tcPr>
          <w:p w14:paraId="72530969" w14:textId="5514E948" w:rsidR="00F558D3" w:rsidRPr="007C440B" w:rsidRDefault="00F558D3" w:rsidP="00050448">
            <w:pPr>
              <w:pStyle w:val="TableText"/>
              <w:rPr>
                <w:rFonts w:eastAsia="Calibri"/>
              </w:rPr>
            </w:pPr>
            <w:r w:rsidRPr="007C440B">
              <w:rPr>
                <w:rFonts w:eastAsia="Calibri"/>
              </w:rPr>
              <w:t>Upper White, Osage</w:t>
            </w:r>
            <w:r w:rsidR="00A37431">
              <w:rPr>
                <w:rFonts w:eastAsia="Calibri"/>
              </w:rPr>
              <w:t>,</w:t>
            </w:r>
            <w:r w:rsidRPr="007C440B">
              <w:rPr>
                <w:rFonts w:eastAsia="Calibri"/>
              </w:rPr>
              <w:t xml:space="preserve"> and Salt</w:t>
            </w:r>
          </w:p>
        </w:tc>
        <w:tc>
          <w:tcPr>
            <w:tcW w:w="1710" w:type="dxa"/>
            <w:tcBorders>
              <w:top w:val="single" w:sz="12" w:space="0" w:color="auto"/>
              <w:left w:val="nil"/>
              <w:bottom w:val="single" w:sz="4" w:space="0" w:color="auto"/>
              <w:right w:val="nil"/>
            </w:tcBorders>
            <w:vAlign w:val="center"/>
          </w:tcPr>
          <w:p w14:paraId="769CEC84" w14:textId="77777777" w:rsidR="00F558D3" w:rsidRPr="007C440B" w:rsidRDefault="00F558D3" w:rsidP="00050448">
            <w:pPr>
              <w:pStyle w:val="TableText"/>
              <w:jc w:val="center"/>
              <w:rPr>
                <w:rFonts w:eastAsia="Calibri"/>
              </w:rPr>
            </w:pPr>
            <w:r w:rsidRPr="007C440B">
              <w:rPr>
                <w:rFonts w:eastAsia="Calibri"/>
              </w:rPr>
              <w:t>8</w:t>
            </w:r>
          </w:p>
        </w:tc>
        <w:tc>
          <w:tcPr>
            <w:tcW w:w="1620" w:type="dxa"/>
            <w:tcBorders>
              <w:top w:val="single" w:sz="12" w:space="0" w:color="auto"/>
              <w:left w:val="nil"/>
              <w:bottom w:val="single" w:sz="4" w:space="0" w:color="auto"/>
              <w:right w:val="nil"/>
            </w:tcBorders>
            <w:vAlign w:val="center"/>
          </w:tcPr>
          <w:p w14:paraId="7D2A6907" w14:textId="77777777" w:rsidR="00F558D3" w:rsidRPr="007C440B" w:rsidRDefault="00F558D3" w:rsidP="00050448">
            <w:pPr>
              <w:pStyle w:val="TableText"/>
              <w:jc w:val="center"/>
              <w:rPr>
                <w:rFonts w:eastAsia="Calibri"/>
              </w:rPr>
            </w:pPr>
            <w:r w:rsidRPr="007C440B">
              <w:rPr>
                <w:rFonts w:eastAsia="Calibri"/>
                <w:color w:val="000000"/>
                <w:szCs w:val="20"/>
              </w:rPr>
              <w:t>1,100</w:t>
            </w:r>
          </w:p>
        </w:tc>
        <w:tc>
          <w:tcPr>
            <w:tcW w:w="2268" w:type="dxa"/>
            <w:tcBorders>
              <w:top w:val="single" w:sz="12" w:space="0" w:color="auto"/>
              <w:left w:val="nil"/>
              <w:bottom w:val="single" w:sz="4" w:space="0" w:color="auto"/>
            </w:tcBorders>
            <w:vAlign w:val="center"/>
          </w:tcPr>
          <w:p w14:paraId="5F0C3318" w14:textId="77777777" w:rsidR="00F558D3" w:rsidRPr="007C440B" w:rsidRDefault="00F558D3" w:rsidP="00050448">
            <w:pPr>
              <w:pStyle w:val="TableText"/>
              <w:jc w:val="center"/>
              <w:rPr>
                <w:rFonts w:eastAsia="Calibri"/>
              </w:rPr>
            </w:pPr>
            <w:r w:rsidRPr="007C440B">
              <w:rPr>
                <w:rFonts w:eastAsia="Calibri"/>
                <w:color w:val="000000"/>
                <w:szCs w:val="20"/>
              </w:rPr>
              <w:t>2,255</w:t>
            </w:r>
          </w:p>
        </w:tc>
      </w:tr>
      <w:tr w:rsidR="00F558D3" w:rsidRPr="00B85EA0" w14:paraId="21F91BD9" w14:textId="77777777" w:rsidTr="00050448">
        <w:trPr>
          <w:jc w:val="center"/>
        </w:trPr>
        <w:tc>
          <w:tcPr>
            <w:tcW w:w="1098" w:type="dxa"/>
            <w:tcBorders>
              <w:top w:val="single" w:sz="4" w:space="0" w:color="auto"/>
              <w:bottom w:val="single" w:sz="4" w:space="0" w:color="auto"/>
              <w:right w:val="nil"/>
            </w:tcBorders>
            <w:vAlign w:val="center"/>
          </w:tcPr>
          <w:p w14:paraId="1098F0BF" w14:textId="77777777" w:rsidR="00F558D3" w:rsidRPr="007C440B" w:rsidRDefault="00F558D3" w:rsidP="00050448">
            <w:pPr>
              <w:pStyle w:val="TableText"/>
              <w:rPr>
                <w:rFonts w:eastAsia="Calibri"/>
              </w:rPr>
            </w:pPr>
            <w:r w:rsidRPr="007C440B">
              <w:rPr>
                <w:rFonts w:eastAsia="Calibri"/>
              </w:rPr>
              <w:t>SWPA-2</w:t>
            </w:r>
          </w:p>
        </w:tc>
        <w:tc>
          <w:tcPr>
            <w:tcW w:w="2880" w:type="dxa"/>
            <w:tcBorders>
              <w:top w:val="single" w:sz="4" w:space="0" w:color="auto"/>
              <w:left w:val="nil"/>
              <w:bottom w:val="single" w:sz="4" w:space="0" w:color="auto"/>
              <w:right w:val="nil"/>
            </w:tcBorders>
            <w:vAlign w:val="center"/>
          </w:tcPr>
          <w:p w14:paraId="565879DF" w14:textId="77777777" w:rsidR="00F558D3" w:rsidRPr="007C440B" w:rsidRDefault="00F558D3" w:rsidP="00050448">
            <w:pPr>
              <w:pStyle w:val="TableText"/>
              <w:rPr>
                <w:rFonts w:eastAsia="Calibri"/>
              </w:rPr>
            </w:pPr>
            <w:r w:rsidRPr="007C440B">
              <w:rPr>
                <w:rFonts w:eastAsia="Calibri"/>
              </w:rPr>
              <w:t>Arkansas</w:t>
            </w:r>
          </w:p>
        </w:tc>
        <w:tc>
          <w:tcPr>
            <w:tcW w:w="1710" w:type="dxa"/>
            <w:tcBorders>
              <w:top w:val="single" w:sz="4" w:space="0" w:color="auto"/>
              <w:left w:val="nil"/>
              <w:bottom w:val="single" w:sz="4" w:space="0" w:color="auto"/>
              <w:right w:val="nil"/>
            </w:tcBorders>
            <w:vAlign w:val="center"/>
          </w:tcPr>
          <w:p w14:paraId="1B48397B" w14:textId="0024B98E" w:rsidR="00F558D3" w:rsidRPr="007C440B" w:rsidRDefault="00F558D3" w:rsidP="00050448">
            <w:pPr>
              <w:pStyle w:val="TableText"/>
              <w:jc w:val="center"/>
              <w:rPr>
                <w:rFonts w:eastAsia="Calibri"/>
              </w:rPr>
            </w:pPr>
            <w:r w:rsidRPr="007C440B">
              <w:rPr>
                <w:rFonts w:eastAsia="Calibri"/>
              </w:rPr>
              <w:t>9</w:t>
            </w:r>
            <w:r w:rsidR="00B41438" w:rsidRPr="007A39BF">
              <w:rPr>
                <w:rFonts w:eastAsia="Calibri"/>
                <w:i/>
                <w:iCs/>
                <w:vertAlign w:val="superscript"/>
              </w:rPr>
              <w:t>c</w:t>
            </w:r>
          </w:p>
        </w:tc>
        <w:tc>
          <w:tcPr>
            <w:tcW w:w="1620" w:type="dxa"/>
            <w:tcBorders>
              <w:top w:val="single" w:sz="4" w:space="0" w:color="auto"/>
              <w:left w:val="nil"/>
              <w:bottom w:val="single" w:sz="4" w:space="0" w:color="auto"/>
              <w:right w:val="nil"/>
            </w:tcBorders>
            <w:vAlign w:val="center"/>
          </w:tcPr>
          <w:p w14:paraId="3CD1D284" w14:textId="77777777" w:rsidR="00F558D3" w:rsidRPr="007C440B" w:rsidRDefault="00F558D3" w:rsidP="00050448">
            <w:pPr>
              <w:pStyle w:val="TableText"/>
              <w:jc w:val="center"/>
              <w:rPr>
                <w:rFonts w:eastAsia="Calibri"/>
              </w:rPr>
            </w:pPr>
            <w:r w:rsidRPr="007C440B">
              <w:rPr>
                <w:rFonts w:eastAsia="Calibri"/>
                <w:color w:val="000000"/>
                <w:szCs w:val="20"/>
              </w:rPr>
              <w:t>785</w:t>
            </w:r>
          </w:p>
        </w:tc>
        <w:tc>
          <w:tcPr>
            <w:tcW w:w="2268" w:type="dxa"/>
            <w:tcBorders>
              <w:top w:val="single" w:sz="4" w:space="0" w:color="auto"/>
              <w:left w:val="nil"/>
              <w:bottom w:val="single" w:sz="4" w:space="0" w:color="auto"/>
            </w:tcBorders>
            <w:vAlign w:val="center"/>
          </w:tcPr>
          <w:p w14:paraId="5885D995" w14:textId="77777777" w:rsidR="00F558D3" w:rsidRPr="007C440B" w:rsidRDefault="00F558D3" w:rsidP="00050448">
            <w:pPr>
              <w:pStyle w:val="TableText"/>
              <w:jc w:val="center"/>
              <w:rPr>
                <w:rFonts w:eastAsia="Calibri"/>
              </w:rPr>
            </w:pPr>
            <w:r w:rsidRPr="007C440B">
              <w:rPr>
                <w:rFonts w:eastAsia="Calibri"/>
                <w:color w:val="000000"/>
                <w:szCs w:val="20"/>
              </w:rPr>
              <w:t>2,653</w:t>
            </w:r>
          </w:p>
        </w:tc>
      </w:tr>
      <w:tr w:rsidR="00F558D3" w:rsidRPr="00B85EA0" w14:paraId="0AE1BFD7" w14:textId="77777777" w:rsidTr="00050448">
        <w:trPr>
          <w:jc w:val="center"/>
        </w:trPr>
        <w:tc>
          <w:tcPr>
            <w:tcW w:w="1098" w:type="dxa"/>
            <w:tcBorders>
              <w:top w:val="single" w:sz="4" w:space="0" w:color="auto"/>
              <w:bottom w:val="single" w:sz="4" w:space="0" w:color="auto"/>
              <w:right w:val="nil"/>
            </w:tcBorders>
            <w:vAlign w:val="center"/>
          </w:tcPr>
          <w:p w14:paraId="6CAE0AD4" w14:textId="77777777" w:rsidR="00F558D3" w:rsidRPr="007C440B" w:rsidRDefault="00F558D3" w:rsidP="00050448">
            <w:pPr>
              <w:pStyle w:val="TableText"/>
              <w:rPr>
                <w:rFonts w:eastAsia="Calibri"/>
              </w:rPr>
            </w:pPr>
            <w:r w:rsidRPr="007C440B">
              <w:rPr>
                <w:rFonts w:eastAsia="Calibri"/>
              </w:rPr>
              <w:t>SWPA-3</w:t>
            </w:r>
          </w:p>
        </w:tc>
        <w:tc>
          <w:tcPr>
            <w:tcW w:w="2880" w:type="dxa"/>
            <w:tcBorders>
              <w:top w:val="single" w:sz="4" w:space="0" w:color="auto"/>
              <w:left w:val="nil"/>
              <w:bottom w:val="single" w:sz="4" w:space="0" w:color="auto"/>
              <w:right w:val="nil"/>
            </w:tcBorders>
            <w:vAlign w:val="center"/>
          </w:tcPr>
          <w:p w14:paraId="6BE24D4A" w14:textId="77777777" w:rsidR="00F558D3" w:rsidRPr="007C440B" w:rsidRDefault="00F558D3" w:rsidP="00050448">
            <w:pPr>
              <w:pStyle w:val="TableText"/>
              <w:rPr>
                <w:rFonts w:eastAsia="PMingLiU"/>
                <w:lang w:eastAsia="zh-TW"/>
              </w:rPr>
            </w:pPr>
            <w:r w:rsidRPr="007C440B">
              <w:rPr>
                <w:rFonts w:eastAsia="Calibri"/>
              </w:rPr>
              <w:t>Ouachita</w:t>
            </w:r>
            <w:r w:rsidRPr="007C440B">
              <w:rPr>
                <w:rFonts w:eastAsia="PMingLiU" w:hint="eastAsia"/>
                <w:lang w:eastAsia="zh-TW"/>
              </w:rPr>
              <w:t>,</w:t>
            </w:r>
            <w:r w:rsidRPr="007C440B">
              <w:rPr>
                <w:rFonts w:eastAsia="Calibri"/>
              </w:rPr>
              <w:t xml:space="preserve"> Red,</w:t>
            </w:r>
            <w:r w:rsidRPr="007C440B">
              <w:rPr>
                <w:rFonts w:eastAsia="PMingLiU" w:hint="eastAsia"/>
                <w:lang w:eastAsia="zh-TW"/>
              </w:rPr>
              <w:t xml:space="preserve"> and</w:t>
            </w:r>
            <w:r w:rsidRPr="007C440B">
              <w:rPr>
                <w:rFonts w:eastAsia="Calibri"/>
              </w:rPr>
              <w:t xml:space="preserve"> Brazos</w:t>
            </w:r>
          </w:p>
        </w:tc>
        <w:tc>
          <w:tcPr>
            <w:tcW w:w="1710" w:type="dxa"/>
            <w:tcBorders>
              <w:top w:val="single" w:sz="4" w:space="0" w:color="auto"/>
              <w:left w:val="nil"/>
              <w:bottom w:val="single" w:sz="4" w:space="0" w:color="auto"/>
              <w:right w:val="nil"/>
            </w:tcBorders>
            <w:vAlign w:val="center"/>
          </w:tcPr>
          <w:p w14:paraId="63BC0DD6" w14:textId="77777777" w:rsidR="00F558D3" w:rsidRPr="007C440B" w:rsidRDefault="00F558D3" w:rsidP="00050448">
            <w:pPr>
              <w:pStyle w:val="TableText"/>
              <w:jc w:val="center"/>
              <w:rPr>
                <w:rFonts w:eastAsia="Calibri"/>
              </w:rPr>
            </w:pPr>
            <w:r w:rsidRPr="007C440B">
              <w:rPr>
                <w:rFonts w:eastAsia="Calibri"/>
              </w:rPr>
              <w:t>5</w:t>
            </w:r>
          </w:p>
        </w:tc>
        <w:tc>
          <w:tcPr>
            <w:tcW w:w="1620" w:type="dxa"/>
            <w:tcBorders>
              <w:top w:val="single" w:sz="4" w:space="0" w:color="auto"/>
              <w:left w:val="nil"/>
              <w:bottom w:val="single" w:sz="4" w:space="0" w:color="auto"/>
              <w:right w:val="nil"/>
            </w:tcBorders>
            <w:vAlign w:val="center"/>
          </w:tcPr>
          <w:p w14:paraId="406BB19E" w14:textId="77777777" w:rsidR="00F558D3" w:rsidRPr="007C440B" w:rsidRDefault="00F558D3" w:rsidP="00050448">
            <w:pPr>
              <w:pStyle w:val="TableText"/>
              <w:jc w:val="center"/>
              <w:rPr>
                <w:rFonts w:eastAsia="Calibri"/>
              </w:rPr>
            </w:pPr>
            <w:r w:rsidRPr="007C440B">
              <w:rPr>
                <w:rFonts w:eastAsia="Calibri"/>
                <w:color w:val="000000"/>
                <w:szCs w:val="20"/>
              </w:rPr>
              <w:t>312</w:t>
            </w:r>
          </w:p>
        </w:tc>
        <w:tc>
          <w:tcPr>
            <w:tcW w:w="2268" w:type="dxa"/>
            <w:tcBorders>
              <w:top w:val="single" w:sz="4" w:space="0" w:color="auto"/>
              <w:left w:val="nil"/>
              <w:bottom w:val="single" w:sz="4" w:space="0" w:color="auto"/>
            </w:tcBorders>
            <w:vAlign w:val="center"/>
          </w:tcPr>
          <w:p w14:paraId="7E89E34B" w14:textId="77777777" w:rsidR="00F558D3" w:rsidRPr="007C440B" w:rsidRDefault="00F558D3" w:rsidP="00050448">
            <w:pPr>
              <w:pStyle w:val="TableText"/>
              <w:jc w:val="center"/>
              <w:rPr>
                <w:rFonts w:eastAsia="Calibri"/>
              </w:rPr>
            </w:pPr>
            <w:r w:rsidRPr="007C440B">
              <w:rPr>
                <w:rFonts w:eastAsia="Calibri"/>
                <w:color w:val="000000"/>
                <w:szCs w:val="20"/>
              </w:rPr>
              <w:t>590</w:t>
            </w:r>
          </w:p>
        </w:tc>
      </w:tr>
      <w:tr w:rsidR="00F558D3" w:rsidRPr="00B85EA0" w14:paraId="5EF271DC" w14:textId="77777777" w:rsidTr="00050448">
        <w:trPr>
          <w:jc w:val="center"/>
        </w:trPr>
        <w:tc>
          <w:tcPr>
            <w:tcW w:w="1098" w:type="dxa"/>
            <w:tcBorders>
              <w:top w:val="single" w:sz="4" w:space="0" w:color="auto"/>
              <w:bottom w:val="single" w:sz="4" w:space="0" w:color="auto"/>
              <w:right w:val="nil"/>
            </w:tcBorders>
            <w:vAlign w:val="center"/>
          </w:tcPr>
          <w:p w14:paraId="11895DDF" w14:textId="77777777" w:rsidR="00F558D3" w:rsidRPr="007C440B" w:rsidRDefault="00F558D3" w:rsidP="00050448">
            <w:pPr>
              <w:pStyle w:val="TableText"/>
              <w:rPr>
                <w:rFonts w:eastAsia="Calibri"/>
              </w:rPr>
            </w:pPr>
            <w:r w:rsidRPr="007C440B">
              <w:rPr>
                <w:rFonts w:eastAsia="Calibri"/>
              </w:rPr>
              <w:t>SWPA-4</w:t>
            </w:r>
          </w:p>
        </w:tc>
        <w:tc>
          <w:tcPr>
            <w:tcW w:w="2880" w:type="dxa"/>
            <w:tcBorders>
              <w:top w:val="single" w:sz="4" w:space="0" w:color="auto"/>
              <w:left w:val="nil"/>
              <w:bottom w:val="single" w:sz="4" w:space="0" w:color="auto"/>
              <w:right w:val="nil"/>
            </w:tcBorders>
            <w:vAlign w:val="center"/>
          </w:tcPr>
          <w:p w14:paraId="5DE2E16B" w14:textId="77777777" w:rsidR="00F558D3" w:rsidRPr="007C440B" w:rsidRDefault="00F558D3" w:rsidP="00050448">
            <w:pPr>
              <w:pStyle w:val="TableText"/>
              <w:rPr>
                <w:rFonts w:eastAsia="Calibri"/>
              </w:rPr>
            </w:pPr>
            <w:r w:rsidRPr="007C440B">
              <w:rPr>
                <w:rFonts w:eastAsia="Calibri"/>
              </w:rPr>
              <w:t>Neches</w:t>
            </w:r>
          </w:p>
        </w:tc>
        <w:tc>
          <w:tcPr>
            <w:tcW w:w="1710" w:type="dxa"/>
            <w:tcBorders>
              <w:top w:val="single" w:sz="4" w:space="0" w:color="auto"/>
              <w:left w:val="nil"/>
              <w:bottom w:val="single" w:sz="4" w:space="0" w:color="auto"/>
              <w:right w:val="nil"/>
            </w:tcBorders>
            <w:vAlign w:val="center"/>
          </w:tcPr>
          <w:p w14:paraId="63EEA28E" w14:textId="77777777" w:rsidR="00F558D3" w:rsidRPr="007C440B" w:rsidRDefault="00F558D3" w:rsidP="00050448">
            <w:pPr>
              <w:pStyle w:val="TableText"/>
              <w:jc w:val="center"/>
              <w:rPr>
                <w:rFonts w:eastAsia="Calibri"/>
              </w:rPr>
            </w:pPr>
            <w:r w:rsidRPr="007C440B">
              <w:rPr>
                <w:rFonts w:eastAsia="Calibri"/>
              </w:rPr>
              <w:t>2</w:t>
            </w:r>
          </w:p>
        </w:tc>
        <w:tc>
          <w:tcPr>
            <w:tcW w:w="1620" w:type="dxa"/>
            <w:tcBorders>
              <w:top w:val="single" w:sz="4" w:space="0" w:color="auto"/>
              <w:left w:val="nil"/>
              <w:bottom w:val="single" w:sz="4" w:space="0" w:color="auto"/>
              <w:right w:val="nil"/>
            </w:tcBorders>
            <w:vAlign w:val="center"/>
          </w:tcPr>
          <w:p w14:paraId="54DF15E0" w14:textId="77777777" w:rsidR="00F558D3" w:rsidRPr="007C440B" w:rsidRDefault="00F558D3" w:rsidP="00050448">
            <w:pPr>
              <w:pStyle w:val="TableText"/>
              <w:jc w:val="center"/>
              <w:rPr>
                <w:rFonts w:eastAsia="Calibri"/>
              </w:rPr>
            </w:pPr>
            <w:r w:rsidRPr="007C440B">
              <w:rPr>
                <w:rFonts w:eastAsia="Calibri"/>
                <w:color w:val="000000"/>
                <w:szCs w:val="20"/>
              </w:rPr>
              <w:t>60</w:t>
            </w:r>
          </w:p>
        </w:tc>
        <w:tc>
          <w:tcPr>
            <w:tcW w:w="2268" w:type="dxa"/>
            <w:tcBorders>
              <w:top w:val="single" w:sz="4" w:space="0" w:color="auto"/>
              <w:left w:val="nil"/>
              <w:bottom w:val="single" w:sz="4" w:space="0" w:color="auto"/>
            </w:tcBorders>
            <w:vAlign w:val="center"/>
          </w:tcPr>
          <w:p w14:paraId="0D57089F" w14:textId="77777777" w:rsidR="00F558D3" w:rsidRPr="007C440B" w:rsidRDefault="00F558D3" w:rsidP="00050448">
            <w:pPr>
              <w:pStyle w:val="TableText"/>
              <w:jc w:val="center"/>
              <w:rPr>
                <w:rFonts w:eastAsia="Calibri"/>
              </w:rPr>
            </w:pPr>
            <w:r w:rsidRPr="007C440B">
              <w:rPr>
                <w:rFonts w:eastAsia="Calibri"/>
                <w:color w:val="000000"/>
                <w:szCs w:val="20"/>
              </w:rPr>
              <w:t>145</w:t>
            </w:r>
          </w:p>
        </w:tc>
      </w:tr>
      <w:tr w:rsidR="00F558D3" w:rsidRPr="00A632BC" w14:paraId="2668BA9C" w14:textId="77777777" w:rsidTr="00050448">
        <w:trPr>
          <w:jc w:val="center"/>
        </w:trPr>
        <w:tc>
          <w:tcPr>
            <w:tcW w:w="1098" w:type="dxa"/>
            <w:tcBorders>
              <w:top w:val="single" w:sz="4" w:space="0" w:color="auto"/>
              <w:bottom w:val="single" w:sz="12" w:space="0" w:color="auto"/>
              <w:right w:val="nil"/>
            </w:tcBorders>
            <w:vAlign w:val="center"/>
          </w:tcPr>
          <w:p w14:paraId="1606E44F" w14:textId="77777777" w:rsidR="00F558D3" w:rsidRPr="007C440B" w:rsidRDefault="00F558D3" w:rsidP="00050448">
            <w:pPr>
              <w:pStyle w:val="TableText"/>
              <w:rPr>
                <w:rFonts w:eastAsia="Calibri"/>
              </w:rPr>
            </w:pPr>
            <w:r w:rsidRPr="007C440B">
              <w:rPr>
                <w:rFonts w:eastAsia="Calibri"/>
              </w:rPr>
              <w:t>Total</w:t>
            </w:r>
          </w:p>
        </w:tc>
        <w:tc>
          <w:tcPr>
            <w:tcW w:w="2880" w:type="dxa"/>
            <w:tcBorders>
              <w:top w:val="single" w:sz="4" w:space="0" w:color="auto"/>
              <w:left w:val="nil"/>
              <w:bottom w:val="single" w:sz="12" w:space="0" w:color="auto"/>
              <w:right w:val="nil"/>
            </w:tcBorders>
            <w:vAlign w:val="center"/>
          </w:tcPr>
          <w:p w14:paraId="217166F2" w14:textId="77777777" w:rsidR="00F558D3" w:rsidRPr="007C440B" w:rsidRDefault="00F558D3" w:rsidP="00050448">
            <w:pPr>
              <w:pStyle w:val="TableText"/>
              <w:rPr>
                <w:rFonts w:eastAsia="Calibri"/>
              </w:rPr>
            </w:pPr>
            <w:r w:rsidRPr="007C440B">
              <w:rPr>
                <w:rFonts w:eastAsia="Calibri"/>
              </w:rPr>
              <w:t> </w:t>
            </w:r>
          </w:p>
        </w:tc>
        <w:tc>
          <w:tcPr>
            <w:tcW w:w="1710" w:type="dxa"/>
            <w:tcBorders>
              <w:top w:val="single" w:sz="4" w:space="0" w:color="auto"/>
              <w:left w:val="nil"/>
              <w:bottom w:val="single" w:sz="12" w:space="0" w:color="auto"/>
              <w:right w:val="nil"/>
            </w:tcBorders>
            <w:vAlign w:val="center"/>
          </w:tcPr>
          <w:p w14:paraId="168706E4" w14:textId="77777777" w:rsidR="00F558D3" w:rsidRPr="007C440B" w:rsidRDefault="00F558D3" w:rsidP="00050448">
            <w:pPr>
              <w:pStyle w:val="TableText"/>
              <w:jc w:val="center"/>
              <w:rPr>
                <w:rFonts w:eastAsia="Calibri"/>
              </w:rPr>
            </w:pPr>
            <w:r w:rsidRPr="007C440B">
              <w:rPr>
                <w:rFonts w:eastAsia="Calibri"/>
              </w:rPr>
              <w:t>24</w:t>
            </w:r>
          </w:p>
        </w:tc>
        <w:tc>
          <w:tcPr>
            <w:tcW w:w="1620" w:type="dxa"/>
            <w:tcBorders>
              <w:top w:val="single" w:sz="4" w:space="0" w:color="auto"/>
              <w:left w:val="nil"/>
              <w:bottom w:val="single" w:sz="12" w:space="0" w:color="auto"/>
              <w:right w:val="nil"/>
            </w:tcBorders>
            <w:vAlign w:val="center"/>
          </w:tcPr>
          <w:p w14:paraId="55201C6A" w14:textId="77777777" w:rsidR="00F558D3" w:rsidRPr="007C440B" w:rsidRDefault="00F558D3" w:rsidP="00050448">
            <w:pPr>
              <w:pStyle w:val="TableText"/>
              <w:jc w:val="center"/>
              <w:rPr>
                <w:rFonts w:eastAsia="Calibri"/>
              </w:rPr>
            </w:pPr>
            <w:r w:rsidRPr="007C440B">
              <w:rPr>
                <w:rFonts w:eastAsia="Calibri"/>
                <w:color w:val="000000"/>
                <w:szCs w:val="20"/>
              </w:rPr>
              <w:t>2,256</w:t>
            </w:r>
          </w:p>
        </w:tc>
        <w:tc>
          <w:tcPr>
            <w:tcW w:w="2268" w:type="dxa"/>
            <w:tcBorders>
              <w:top w:val="single" w:sz="4" w:space="0" w:color="auto"/>
              <w:left w:val="nil"/>
              <w:bottom w:val="single" w:sz="12" w:space="0" w:color="auto"/>
            </w:tcBorders>
            <w:vAlign w:val="center"/>
          </w:tcPr>
          <w:p w14:paraId="4BEEE234" w14:textId="77777777" w:rsidR="00F558D3" w:rsidRPr="007C440B" w:rsidRDefault="00F558D3" w:rsidP="00050448">
            <w:pPr>
              <w:pStyle w:val="TableText"/>
              <w:jc w:val="center"/>
              <w:rPr>
                <w:rFonts w:eastAsia="Calibri"/>
              </w:rPr>
            </w:pPr>
            <w:r w:rsidRPr="007C440B">
              <w:rPr>
                <w:rFonts w:eastAsia="Calibri"/>
                <w:color w:val="000000"/>
                <w:szCs w:val="20"/>
              </w:rPr>
              <w:t>5,643</w:t>
            </w:r>
          </w:p>
        </w:tc>
      </w:tr>
    </w:tbl>
    <w:p w14:paraId="53588112" w14:textId="77777777" w:rsidR="00737CF6" w:rsidRPr="00591093" w:rsidRDefault="00737CF6" w:rsidP="00737CF6">
      <w:pPr>
        <w:pStyle w:val="TableFootnote"/>
        <w:widowControl/>
        <w:rPr>
          <w:sz w:val="18"/>
        </w:rPr>
      </w:pPr>
      <w:r w:rsidRPr="00591093">
        <w:rPr>
          <w:i/>
          <w:sz w:val="18"/>
          <w:vertAlign w:val="superscript"/>
        </w:rPr>
        <w:t>a</w:t>
      </w:r>
      <w:r w:rsidRPr="00591093">
        <w:rPr>
          <w:sz w:val="18"/>
        </w:rPr>
        <w:t xml:space="preserve"> </w:t>
      </w:r>
      <w:r w:rsidRPr="00A27865">
        <w:rPr>
          <w:sz w:val="18"/>
        </w:rPr>
        <w:t>EIA 20</w:t>
      </w:r>
      <w:r w:rsidRPr="00A27865">
        <w:rPr>
          <w:rFonts w:hint="eastAsia"/>
          <w:sz w:val="18"/>
          <w:lang w:eastAsia="zh-TW"/>
        </w:rPr>
        <w:t>1</w:t>
      </w:r>
      <w:r>
        <w:rPr>
          <w:sz w:val="18"/>
          <w:lang w:eastAsia="zh-TW"/>
        </w:rPr>
        <w:t>9</w:t>
      </w:r>
      <w:r w:rsidRPr="00A27865">
        <w:rPr>
          <w:sz w:val="18"/>
        </w:rPr>
        <w:t xml:space="preserve"> total nameplate capacity, including both conventional hydro and </w:t>
      </w:r>
      <w:r w:rsidRPr="00591093">
        <w:rPr>
          <w:sz w:val="18"/>
        </w:rPr>
        <w:t>reversible (pumpback capability).</w:t>
      </w:r>
    </w:p>
    <w:p w14:paraId="49C7A234" w14:textId="0A47A9A7" w:rsidR="00B41438" w:rsidRDefault="00B41438" w:rsidP="00B41438">
      <w:pPr>
        <w:pStyle w:val="BodyText"/>
        <w:spacing w:after="0"/>
        <w:rPr>
          <w:sz w:val="18"/>
        </w:rPr>
      </w:pPr>
      <w:r>
        <w:rPr>
          <w:i/>
          <w:sz w:val="18"/>
          <w:vertAlign w:val="superscript"/>
        </w:rPr>
        <w:t>b</w:t>
      </w:r>
      <w:r w:rsidRPr="00591093">
        <w:rPr>
          <w:sz w:val="18"/>
        </w:rPr>
        <w:t xml:space="preserve"> </w:t>
      </w:r>
      <w:r w:rsidRPr="006A3A0F">
        <w:rPr>
          <w:sz w:val="18"/>
        </w:rPr>
        <w:t xml:space="preserve">EIA and </w:t>
      </w:r>
      <w:r>
        <w:rPr>
          <w:sz w:val="18"/>
          <w:lang w:eastAsia="zh-TW"/>
        </w:rPr>
        <w:t>SWPA</w:t>
      </w:r>
      <w:r w:rsidRPr="006A3A0F">
        <w:rPr>
          <w:rFonts w:hint="eastAsia"/>
          <w:sz w:val="18"/>
          <w:lang w:eastAsia="zh-TW"/>
        </w:rPr>
        <w:t xml:space="preserve"> </w:t>
      </w:r>
      <w:r w:rsidRPr="006A3A0F">
        <w:rPr>
          <w:sz w:val="18"/>
        </w:rPr>
        <w:t>average annual generation from 19</w:t>
      </w:r>
      <w:r>
        <w:rPr>
          <w:sz w:val="18"/>
        </w:rPr>
        <w:t>8</w:t>
      </w:r>
      <w:r w:rsidRPr="006A3A0F">
        <w:rPr>
          <w:sz w:val="18"/>
        </w:rPr>
        <w:t>0 to 20</w:t>
      </w:r>
      <w:r w:rsidRPr="006A3A0F">
        <w:rPr>
          <w:rFonts w:hint="eastAsia"/>
          <w:sz w:val="18"/>
          <w:lang w:eastAsia="zh-TW"/>
        </w:rPr>
        <w:t>1</w:t>
      </w:r>
      <w:r>
        <w:rPr>
          <w:sz w:val="18"/>
          <w:lang w:eastAsia="zh-TW"/>
        </w:rPr>
        <w:t>9</w:t>
      </w:r>
      <w:r w:rsidRPr="006A3A0F">
        <w:rPr>
          <w:rFonts w:hint="eastAsia"/>
          <w:sz w:val="18"/>
          <w:lang w:eastAsia="zh-TW"/>
        </w:rPr>
        <w:t>,</w:t>
      </w:r>
      <w:r w:rsidRPr="006A3A0F">
        <w:rPr>
          <w:sz w:val="18"/>
        </w:rPr>
        <w:t xml:space="preserve"> </w:t>
      </w:r>
      <w:r w:rsidRPr="006A3A0F">
        <w:rPr>
          <w:rFonts w:hint="eastAsia"/>
          <w:sz w:val="18"/>
          <w:lang w:eastAsia="zh-TW"/>
        </w:rPr>
        <w:t>c</w:t>
      </w:r>
      <w:r w:rsidRPr="006A3A0F">
        <w:rPr>
          <w:sz w:val="18"/>
        </w:rPr>
        <w:t>onventional hydro only.</w:t>
      </w:r>
    </w:p>
    <w:p w14:paraId="5F51219F" w14:textId="0F31AD67" w:rsidR="00F558D3" w:rsidRDefault="00B41438" w:rsidP="00737CF6">
      <w:pPr>
        <w:pStyle w:val="BodyText"/>
      </w:pPr>
      <w:r>
        <w:rPr>
          <w:i/>
          <w:sz w:val="18"/>
          <w:vertAlign w:val="superscript"/>
        </w:rPr>
        <w:t>c</w:t>
      </w:r>
      <w:r w:rsidR="00737CF6" w:rsidRPr="00591093">
        <w:rPr>
          <w:sz w:val="18"/>
        </w:rPr>
        <w:t xml:space="preserve"> </w:t>
      </w:r>
      <w:bookmarkStart w:id="415" w:name="_Hlk97129863"/>
      <w:r w:rsidRPr="00B41438">
        <w:rPr>
          <w:sz w:val="18"/>
        </w:rPr>
        <w:t xml:space="preserve">Broken Bow in the Red River Basin is included in SWPA-2 </w:t>
      </w:r>
      <w:r w:rsidR="004B1670">
        <w:rPr>
          <w:sz w:val="18"/>
        </w:rPr>
        <w:t xml:space="preserve">because of an </w:t>
      </w:r>
      <w:r w:rsidR="004B1670" w:rsidRPr="00B41438">
        <w:rPr>
          <w:sz w:val="18"/>
        </w:rPr>
        <w:t>interconnected system</w:t>
      </w:r>
      <w:r w:rsidRPr="00B41438">
        <w:rPr>
          <w:sz w:val="18"/>
        </w:rPr>
        <w:t xml:space="preserve"> reason.</w:t>
      </w:r>
      <w:bookmarkEnd w:id="415"/>
    </w:p>
    <w:p w14:paraId="78407248" w14:textId="4E2EA92A" w:rsidR="008324F1" w:rsidRDefault="008324F1" w:rsidP="008324F1">
      <w:pPr>
        <w:pStyle w:val="BodyText"/>
      </w:pPr>
      <w:r>
        <w:t xml:space="preserve">The federal hydropower plants in the SWPA region </w:t>
      </w:r>
      <w:r w:rsidRPr="00090788">
        <w:t>rang</w:t>
      </w:r>
      <w:r>
        <w:t>e</w:t>
      </w:r>
      <w:r w:rsidRPr="00090788">
        <w:t xml:space="preserve"> in size from Bull Shoals</w:t>
      </w:r>
      <w:r>
        <w:t xml:space="preserve"> (</w:t>
      </w:r>
      <w:r w:rsidRPr="00090788">
        <w:t>340 MW</w:t>
      </w:r>
      <w:r>
        <w:t>)</w:t>
      </w:r>
      <w:r w:rsidRPr="00090788">
        <w:t xml:space="preserve"> to the Robert D. Willis project</w:t>
      </w:r>
      <w:r>
        <w:t xml:space="preserve"> (8 </w:t>
      </w:r>
      <w:r w:rsidRPr="00090788">
        <w:t>MW</w:t>
      </w:r>
      <w:r>
        <w:t>)</w:t>
      </w:r>
      <w:r w:rsidRPr="00090788">
        <w:t xml:space="preserve">. </w:t>
      </w:r>
      <w:r w:rsidR="00A37431">
        <w:t xml:space="preserve">Although </w:t>
      </w:r>
      <w:r>
        <w:t>three</w:t>
      </w:r>
      <w:r w:rsidRPr="000546D7">
        <w:t xml:space="preserve"> USACE </w:t>
      </w:r>
      <w:r w:rsidRPr="0020715F">
        <w:rPr>
          <w:rFonts w:eastAsia="PMingLiU" w:hint="eastAsia"/>
          <w:lang w:eastAsia="zh-TW"/>
        </w:rPr>
        <w:t xml:space="preserve">hydropower plants </w:t>
      </w:r>
      <w:r>
        <w:rPr>
          <w:rFonts w:eastAsia="PMingLiU"/>
          <w:lang w:eastAsia="zh-TW"/>
        </w:rPr>
        <w:t>(</w:t>
      </w:r>
      <w:r w:rsidRPr="00E9672F">
        <w:rPr>
          <w:rFonts w:eastAsia="PMingLiU"/>
          <w:lang w:eastAsia="zh-TW"/>
        </w:rPr>
        <w:t>Clarence Cannon</w:t>
      </w:r>
      <w:r>
        <w:rPr>
          <w:rFonts w:eastAsia="PMingLiU"/>
          <w:lang w:eastAsia="zh-TW"/>
        </w:rPr>
        <w:t xml:space="preserve">, Harry S. Truman, and </w:t>
      </w:r>
      <w:r w:rsidRPr="00E9672F">
        <w:rPr>
          <w:rFonts w:eastAsia="PMingLiU"/>
          <w:lang w:eastAsia="zh-TW"/>
        </w:rPr>
        <w:t>DeGray</w:t>
      </w:r>
      <w:r>
        <w:rPr>
          <w:rFonts w:eastAsia="PMingLiU"/>
          <w:lang w:eastAsia="zh-TW"/>
        </w:rPr>
        <w:t xml:space="preserve">) </w:t>
      </w:r>
      <w:r w:rsidRPr="000546D7">
        <w:t xml:space="preserve">have reversible turbines </w:t>
      </w:r>
      <w:r w:rsidRPr="0020715F">
        <w:rPr>
          <w:rFonts w:eastAsia="PMingLiU" w:hint="eastAsia"/>
          <w:lang w:eastAsia="zh-TW"/>
        </w:rPr>
        <w:t>that may allow for pump</w:t>
      </w:r>
      <w:r w:rsidR="0061238F">
        <w:rPr>
          <w:rFonts w:eastAsia="PMingLiU"/>
          <w:lang w:eastAsia="zh-TW"/>
        </w:rPr>
        <w:t>ed</w:t>
      </w:r>
      <w:r w:rsidR="00A37431">
        <w:rPr>
          <w:rFonts w:eastAsia="PMingLiU"/>
          <w:lang w:eastAsia="zh-TW"/>
        </w:rPr>
        <w:t xml:space="preserve"> </w:t>
      </w:r>
      <w:r w:rsidRPr="0020715F">
        <w:rPr>
          <w:rFonts w:eastAsia="PMingLiU" w:hint="eastAsia"/>
          <w:lang w:eastAsia="zh-TW"/>
        </w:rPr>
        <w:t>storage operation</w:t>
      </w:r>
      <w:r>
        <w:t>, they are mostly operated as conventional hydro</w:t>
      </w:r>
      <w:r w:rsidR="0061238F">
        <w:t>power</w:t>
      </w:r>
      <w:r>
        <w:t xml:space="preserve"> facilities. </w:t>
      </w:r>
      <w:r w:rsidRPr="00090788">
        <w:t xml:space="preserve">The average age of these USACE </w:t>
      </w:r>
      <w:r>
        <w:t>power plants</w:t>
      </w:r>
      <w:r w:rsidRPr="00090788">
        <w:t xml:space="preserve"> is </w:t>
      </w:r>
      <w:r>
        <w:rPr>
          <w:rFonts w:eastAsia="PMingLiU"/>
          <w:lang w:eastAsia="zh-TW"/>
        </w:rPr>
        <w:t>56</w:t>
      </w:r>
      <w:r w:rsidRPr="00090788">
        <w:t xml:space="preserve"> years, and they </w:t>
      </w:r>
      <w:r w:rsidR="0061238F">
        <w:t>experience</w:t>
      </w:r>
      <w:r w:rsidRPr="00090788">
        <w:t xml:space="preserve"> the same challenges of aging infrastructure as federal projects elsewhere. A complete list of the projects in</w:t>
      </w:r>
      <w:r w:rsidRPr="00595963">
        <w:t xml:space="preserve"> this region is </w:t>
      </w:r>
      <w:r>
        <w:t>provid</w:t>
      </w:r>
      <w:r w:rsidRPr="00595963">
        <w:t xml:space="preserve">ed in </w:t>
      </w:r>
      <w:r>
        <w:rPr>
          <w:snapToGrid/>
        </w:rPr>
        <w:fldChar w:fldCharType="begin"/>
      </w:r>
      <w:r>
        <w:rPr>
          <w:snapToGrid/>
        </w:rPr>
        <w:instrText xml:space="preserve"> REF _Ref75948519 \n \h </w:instrText>
      </w:r>
      <w:r>
        <w:rPr>
          <w:snapToGrid/>
        </w:rPr>
      </w:r>
      <w:r>
        <w:rPr>
          <w:snapToGrid/>
        </w:rPr>
        <w:fldChar w:fldCharType="separate"/>
      </w:r>
      <w:r w:rsidR="00EE0BF5">
        <w:rPr>
          <w:snapToGrid/>
        </w:rPr>
        <w:t>APPENDIX B</w:t>
      </w:r>
      <w:r>
        <w:rPr>
          <w:snapToGrid/>
        </w:rPr>
        <w:fldChar w:fldCharType="end"/>
      </w:r>
      <w:r w:rsidRPr="00595963">
        <w:t>.</w:t>
      </w:r>
    </w:p>
    <w:p w14:paraId="197479C4" w14:textId="77777777" w:rsidR="0061306B" w:rsidRDefault="0061306B" w:rsidP="0061306B">
      <w:pPr>
        <w:pStyle w:val="BodyText"/>
      </w:pPr>
      <w:r w:rsidRPr="00595963">
        <w:t xml:space="preserve">Although the rivers </w:t>
      </w:r>
      <w:r>
        <w:t>in the SWPA region</w:t>
      </w:r>
      <w:r w:rsidRPr="00595963">
        <w:t xml:space="preserve"> do not have migratory fisheries management </w:t>
      </w:r>
      <w:r>
        <w:t>constraints like those in</w:t>
      </w:r>
      <w:r w:rsidRPr="00595963">
        <w:t xml:space="preserve"> </w:t>
      </w:r>
      <w:r>
        <w:t>t</w:t>
      </w:r>
      <w:r w:rsidRPr="00595963">
        <w:t>he Columbia River or California, the hydropower projects are impacted by endangered species protection issues</w:t>
      </w:r>
      <w:r>
        <w:t xml:space="preserve"> </w:t>
      </w:r>
      <w:r w:rsidRPr="00595963">
        <w:t xml:space="preserve">for </w:t>
      </w:r>
      <w:r>
        <w:t xml:space="preserve">animals such as </w:t>
      </w:r>
      <w:r w:rsidRPr="00595963">
        <w:t>the interior least tern</w:t>
      </w:r>
      <w:r>
        <w:t xml:space="preserve">, </w:t>
      </w:r>
      <w:r w:rsidRPr="00595963">
        <w:t>a</w:t>
      </w:r>
      <w:r>
        <w:t>s well as issues</w:t>
      </w:r>
      <w:r w:rsidRPr="00595963">
        <w:t xml:space="preserve"> </w:t>
      </w:r>
      <w:r w:rsidRPr="00B861DD">
        <w:t>pertaining to</w:t>
      </w:r>
      <w:r>
        <w:t xml:space="preserve"> </w:t>
      </w:r>
      <w:r w:rsidRPr="00595963">
        <w:t>recreational fisheries management. Additionally, growing demand</w:t>
      </w:r>
      <w:r>
        <w:t>s</w:t>
      </w:r>
      <w:r w:rsidRPr="00595963">
        <w:t xml:space="preserve"> for municipal and industrial water supply </w:t>
      </w:r>
      <w:r>
        <w:t>are some</w:t>
      </w:r>
      <w:r w:rsidRPr="00595963">
        <w:t xml:space="preserve"> of the most</w:t>
      </w:r>
      <w:r>
        <w:t xml:space="preserve"> crucial </w:t>
      </w:r>
      <w:r w:rsidRPr="00595963">
        <w:t xml:space="preserve">water resource issues </w:t>
      </w:r>
      <w:r>
        <w:t>in the SWPA region</w:t>
      </w:r>
      <w:r w:rsidRPr="00595963">
        <w:t xml:space="preserve">. </w:t>
      </w:r>
      <w:r w:rsidRPr="00E62DEE">
        <w:t xml:space="preserve">Competing interests with water-based recreation, water quality, and other environmental issues are also </w:t>
      </w:r>
      <w:r>
        <w:t>concerns for the SWPA region</w:t>
      </w:r>
      <w:r w:rsidRPr="00E62DEE">
        <w:t>.</w:t>
      </w:r>
    </w:p>
    <w:p w14:paraId="52476EDA" w14:textId="105CF9E5" w:rsidR="0061306B" w:rsidRPr="00591093" w:rsidRDefault="0061306B" w:rsidP="008324F1">
      <w:pPr>
        <w:pStyle w:val="BodyText"/>
        <w:rPr>
          <w:rFonts w:eastAsia="PMingLiU"/>
          <w:lang w:eastAsia="zh-TW"/>
        </w:rPr>
      </w:pPr>
      <w:r w:rsidRPr="00591093">
        <w:rPr>
          <w:rFonts w:eastAsia="PMingLiU" w:hint="eastAsia"/>
          <w:lang w:eastAsia="zh-TW"/>
        </w:rPr>
        <w:t>Considering power system and watershed boundaries</w:t>
      </w:r>
      <w:r w:rsidRPr="000C4880">
        <w:t>, the</w:t>
      </w:r>
      <w:r w:rsidRPr="006D5217">
        <w:t xml:space="preserve"> </w:t>
      </w:r>
      <w:r>
        <w:rPr>
          <w:rFonts w:eastAsia="PMingLiU"/>
          <w:lang w:eastAsia="zh-TW"/>
        </w:rPr>
        <w:t>SWPA</w:t>
      </w:r>
      <w:r w:rsidRPr="00591093">
        <w:rPr>
          <w:rFonts w:eastAsia="PMingLiU" w:hint="eastAsia"/>
          <w:lang w:eastAsia="zh-TW"/>
        </w:rPr>
        <w:t xml:space="preserve"> </w:t>
      </w:r>
      <w:r w:rsidRPr="006D5217">
        <w:t xml:space="preserve">region is subdivided into four </w:t>
      </w:r>
      <w:r w:rsidRPr="00591093">
        <w:rPr>
          <w:rFonts w:eastAsia="PMingLiU" w:hint="eastAsia"/>
          <w:lang w:eastAsia="zh-TW"/>
        </w:rPr>
        <w:t xml:space="preserve">study </w:t>
      </w:r>
      <w:r w:rsidRPr="006D5217">
        <w:t>areas (</w:t>
      </w:r>
      <w:r>
        <w:fldChar w:fldCharType="begin"/>
      </w:r>
      <w:r>
        <w:instrText xml:space="preserve"> REF _Ref425353092 \h </w:instrText>
      </w:r>
      <w:r>
        <w:fldChar w:fldCharType="separate"/>
      </w:r>
      <w:r w:rsidR="00EE0BF5">
        <w:rPr>
          <w:lang w:eastAsia="zh-TW"/>
        </w:rPr>
        <w:t>Figure</w:t>
      </w:r>
      <w:r w:rsidR="00EE0BF5" w:rsidRPr="006869CA">
        <w:rPr>
          <w:lang w:eastAsia="zh-TW"/>
        </w:rPr>
        <w:t xml:space="preserve"> </w:t>
      </w:r>
      <w:r w:rsidR="00EE0BF5">
        <w:rPr>
          <w:noProof/>
          <w:lang w:eastAsia="zh-TW"/>
        </w:rPr>
        <w:t>5</w:t>
      </w:r>
      <w:r w:rsidR="00EE0BF5">
        <w:rPr>
          <w:lang w:eastAsia="zh-TW"/>
        </w:rPr>
        <w:t>.</w:t>
      </w:r>
      <w:r w:rsidR="00EE0BF5">
        <w:rPr>
          <w:noProof/>
          <w:lang w:eastAsia="zh-TW"/>
        </w:rPr>
        <w:t>1</w:t>
      </w:r>
      <w:r>
        <w:fldChar w:fldCharType="end"/>
      </w:r>
      <w:r w:rsidRPr="006D5217">
        <w:t>)</w:t>
      </w:r>
      <w:r>
        <w:t>.</w:t>
      </w:r>
      <w:r w:rsidRPr="006D5217">
        <w:t xml:space="preserve"> </w:t>
      </w:r>
      <w:r>
        <w:t>Overall, t</w:t>
      </w:r>
      <w:r w:rsidRPr="006D5217">
        <w:t>here is generally less variety in the physical and climatological differences among the four areas of analysis in th</w:t>
      </w:r>
      <w:r>
        <w:t>e SWPA</w:t>
      </w:r>
      <w:r w:rsidRPr="006D5217">
        <w:t xml:space="preserve"> region than for </w:t>
      </w:r>
      <w:r>
        <w:t>the BPA and WAPA regions (</w:t>
      </w:r>
      <w:r w:rsidRPr="006D5217">
        <w:t>described in the previous two sections</w:t>
      </w:r>
      <w:r>
        <w:t>).</w:t>
      </w:r>
    </w:p>
    <w:p w14:paraId="41B707D2" w14:textId="77777777" w:rsidR="00722CA4" w:rsidRDefault="00722CA4" w:rsidP="00050448">
      <w:pPr>
        <w:pStyle w:val="FIGUREposition"/>
      </w:pPr>
      <w:r w:rsidRPr="00050448">
        <w:rPr>
          <w:noProof/>
        </w:rPr>
        <w:lastRenderedPageBreak/>
        <w:drawing>
          <wp:inline distT="0" distB="0" distL="0" distR="0" wp14:anchorId="7D572DC4" wp14:editId="1091A169">
            <wp:extent cx="5669179" cy="680301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81"/>
                    <a:stretch>
                      <a:fillRect/>
                    </a:stretch>
                  </pic:blipFill>
                  <pic:spPr bwMode="auto">
                    <a:xfrm>
                      <a:off x="0" y="0"/>
                      <a:ext cx="5669179" cy="6803015"/>
                    </a:xfrm>
                    <a:prstGeom prst="rect">
                      <a:avLst/>
                    </a:prstGeom>
                    <a:noFill/>
                  </pic:spPr>
                </pic:pic>
              </a:graphicData>
            </a:graphic>
          </wp:inline>
        </w:drawing>
      </w:r>
    </w:p>
    <w:p w14:paraId="25B3C9F3" w14:textId="1AB208F2" w:rsidR="00722CA4" w:rsidRPr="006869CA" w:rsidRDefault="003F6C94" w:rsidP="00722CA4">
      <w:pPr>
        <w:pStyle w:val="FigureCaption"/>
      </w:pPr>
      <w:bookmarkStart w:id="416" w:name="_Ref425353092"/>
      <w:bookmarkStart w:id="417" w:name="_Toc113380927"/>
      <w:r>
        <w:rPr>
          <w:lang w:eastAsia="zh-TW"/>
        </w:rPr>
        <w:t>Figure</w:t>
      </w:r>
      <w:r w:rsidR="00722CA4" w:rsidRPr="006869CA">
        <w:rPr>
          <w:lang w:eastAsia="zh-TW"/>
        </w:rPr>
        <w:t xml:space="preserve"> </w:t>
      </w:r>
      <w:r w:rsidR="00722CA4" w:rsidRPr="006869CA">
        <w:rPr>
          <w:lang w:eastAsia="zh-TW"/>
        </w:rPr>
        <w:fldChar w:fldCharType="begin"/>
      </w:r>
      <w:r w:rsidR="00722CA4" w:rsidRPr="006869CA">
        <w:rPr>
          <w:lang w:eastAsia="zh-TW"/>
        </w:rPr>
        <w:instrText xml:space="preserve"> STYLEREF 1 \s </w:instrText>
      </w:r>
      <w:r w:rsidR="00722CA4" w:rsidRPr="006869CA">
        <w:rPr>
          <w:lang w:eastAsia="zh-TW"/>
        </w:rPr>
        <w:fldChar w:fldCharType="separate"/>
      </w:r>
      <w:r w:rsidR="00EE0BF5">
        <w:rPr>
          <w:noProof/>
          <w:lang w:eastAsia="zh-TW"/>
        </w:rPr>
        <w:t>5</w:t>
      </w:r>
      <w:r w:rsidR="00722CA4" w:rsidRPr="006869CA">
        <w:rPr>
          <w:lang w:eastAsia="zh-TW"/>
        </w:rPr>
        <w:fldChar w:fldCharType="end"/>
      </w:r>
      <w:r w:rsidR="00722CA4">
        <w:rPr>
          <w:lang w:eastAsia="zh-TW"/>
        </w:rPr>
        <w:t>.</w:t>
      </w:r>
      <w:r w:rsidR="00722CA4" w:rsidRPr="006869CA">
        <w:rPr>
          <w:lang w:eastAsia="zh-TW"/>
        </w:rPr>
        <w:fldChar w:fldCharType="begin"/>
      </w:r>
      <w:r w:rsidR="00722CA4" w:rsidRPr="006869CA">
        <w:rPr>
          <w:lang w:eastAsia="zh-TW"/>
        </w:rPr>
        <w:instrText xml:space="preserve"> SEQ Figure \* ARABIC \s 1 </w:instrText>
      </w:r>
      <w:r w:rsidR="00722CA4" w:rsidRPr="006869CA">
        <w:rPr>
          <w:lang w:eastAsia="zh-TW"/>
        </w:rPr>
        <w:fldChar w:fldCharType="separate"/>
      </w:r>
      <w:r w:rsidR="00EE0BF5">
        <w:rPr>
          <w:noProof/>
          <w:lang w:eastAsia="zh-TW"/>
        </w:rPr>
        <w:t>1</w:t>
      </w:r>
      <w:r w:rsidR="00722CA4" w:rsidRPr="006869CA">
        <w:rPr>
          <w:lang w:eastAsia="zh-TW"/>
        </w:rPr>
        <w:fldChar w:fldCharType="end"/>
      </w:r>
      <w:bookmarkEnd w:id="416"/>
      <w:r w:rsidR="00722CA4" w:rsidRPr="006869CA">
        <w:rPr>
          <w:lang w:eastAsia="zh-TW"/>
        </w:rPr>
        <w:t xml:space="preserve">. </w:t>
      </w:r>
      <w:r w:rsidR="00722CA4" w:rsidRPr="00706985">
        <w:rPr>
          <w:lang w:eastAsia="zh-TW"/>
        </w:rPr>
        <w:t xml:space="preserve">Map of the federal hydropower </w:t>
      </w:r>
      <w:r w:rsidR="00722CA4">
        <w:rPr>
          <w:lang w:eastAsia="zh-TW"/>
        </w:rPr>
        <w:t>plants</w:t>
      </w:r>
      <w:r w:rsidR="00722CA4" w:rsidRPr="00706985">
        <w:rPr>
          <w:lang w:eastAsia="zh-TW"/>
        </w:rPr>
        <w:t xml:space="preserve"> and </w:t>
      </w:r>
      <w:r w:rsidR="00722CA4">
        <w:rPr>
          <w:lang w:eastAsia="zh-TW"/>
        </w:rPr>
        <w:t>four study</w:t>
      </w:r>
      <w:r w:rsidR="00722CA4" w:rsidRPr="00706985">
        <w:rPr>
          <w:lang w:eastAsia="zh-TW"/>
        </w:rPr>
        <w:t xml:space="preserve"> areas</w:t>
      </w:r>
      <w:r w:rsidR="00722CA4">
        <w:rPr>
          <w:lang w:eastAsia="zh-TW"/>
        </w:rPr>
        <w:t xml:space="preserve"> </w:t>
      </w:r>
      <w:r w:rsidR="00722CA4" w:rsidRPr="00706985">
        <w:rPr>
          <w:lang w:eastAsia="zh-TW"/>
        </w:rPr>
        <w:t xml:space="preserve">in </w:t>
      </w:r>
      <w:r w:rsidR="00722CA4">
        <w:rPr>
          <w:lang w:eastAsia="zh-TW"/>
        </w:rPr>
        <w:t>the SWPA region</w:t>
      </w:r>
      <w:r w:rsidR="00722CA4" w:rsidRPr="00706985">
        <w:rPr>
          <w:lang w:eastAsia="zh-TW"/>
        </w:rPr>
        <w:t>.</w:t>
      </w:r>
      <w:bookmarkEnd w:id="417"/>
    </w:p>
    <w:p w14:paraId="253B8F7F" w14:textId="0ACAB14F" w:rsidR="00F558D3" w:rsidRPr="006D5217" w:rsidRDefault="00F558D3" w:rsidP="002954B7">
      <w:pPr>
        <w:pStyle w:val="BulletListspace"/>
      </w:pPr>
      <w:r w:rsidRPr="00722CA4">
        <w:rPr>
          <w:b/>
          <w:bCs/>
        </w:rPr>
        <w:t>SWPA-1</w:t>
      </w:r>
      <w:r w:rsidR="00722CA4" w:rsidRPr="00722CA4">
        <w:rPr>
          <w:b/>
          <w:bCs/>
        </w:rPr>
        <w:t xml:space="preserve"> Upper White, Osage</w:t>
      </w:r>
      <w:r w:rsidR="00A37431">
        <w:rPr>
          <w:b/>
          <w:bCs/>
        </w:rPr>
        <w:t>,</w:t>
      </w:r>
      <w:r w:rsidR="00722CA4" w:rsidRPr="00722CA4">
        <w:rPr>
          <w:b/>
          <w:bCs/>
        </w:rPr>
        <w:t xml:space="preserve"> and Salt Rivers</w:t>
      </w:r>
      <w:r w:rsidR="00722CA4">
        <w:t>:</w:t>
      </w:r>
      <w:r>
        <w:rPr>
          <w:rFonts w:hint="eastAsia"/>
          <w:lang w:eastAsia="zh-TW"/>
        </w:rPr>
        <w:t xml:space="preserve"> </w:t>
      </w:r>
      <w:r w:rsidRPr="006D5217">
        <w:t>SWPA-1</w:t>
      </w:r>
      <w:r w:rsidRPr="00591093">
        <w:rPr>
          <w:rFonts w:eastAsia="PMingLiU" w:hint="eastAsia"/>
          <w:lang w:eastAsia="zh-TW"/>
        </w:rPr>
        <w:t xml:space="preserve"> </w:t>
      </w:r>
      <w:r w:rsidRPr="006D5217">
        <w:t xml:space="preserve">is located on the northern portion of the Ozark Plateau. This area includes the upper White </w:t>
      </w:r>
      <w:r w:rsidR="0019235D">
        <w:t xml:space="preserve">River </w:t>
      </w:r>
      <w:r w:rsidRPr="006D5217">
        <w:t xml:space="preserve">and Osage River </w:t>
      </w:r>
      <w:r w:rsidR="0019235D" w:rsidRPr="006D5217">
        <w:t>basin</w:t>
      </w:r>
      <w:r w:rsidRPr="006D5217">
        <w:t xml:space="preserve">s, as well as the Salt River drainage in northeastern Missouri where the USACE Clarence Cannon project is located. </w:t>
      </w:r>
      <w:r w:rsidR="008324F1" w:rsidRPr="006D5217">
        <w:t>The total drainage area of watersheds contributing water to projects in this area is approximately 22,000</w:t>
      </w:r>
      <w:r w:rsidR="00F12CB3">
        <w:t> </w:t>
      </w:r>
      <w:r w:rsidR="008324F1" w:rsidRPr="006D5217">
        <w:t>mi</w:t>
      </w:r>
      <w:r w:rsidR="008324F1" w:rsidRPr="006D5217">
        <w:rPr>
          <w:vertAlign w:val="superscript"/>
        </w:rPr>
        <w:t>2</w:t>
      </w:r>
      <w:r w:rsidR="008324F1" w:rsidRPr="006D5217">
        <w:t>. Elevations range from 300 to 2,400 ft</w:t>
      </w:r>
      <w:r w:rsidR="008324F1">
        <w:t>,</w:t>
      </w:r>
      <w:r w:rsidR="008324F1" w:rsidRPr="006D5217">
        <w:t xml:space="preserve"> with a median </w:t>
      </w:r>
      <w:r w:rsidR="00CA6CEE">
        <w:t xml:space="preserve">elevation </w:t>
      </w:r>
      <w:r w:rsidR="008324F1" w:rsidRPr="006D5217">
        <w:t>of 981 ft.</w:t>
      </w:r>
      <w:r w:rsidR="008324F1">
        <w:t xml:space="preserve"> </w:t>
      </w:r>
      <w:r w:rsidR="008324F1" w:rsidRPr="006D5217">
        <w:t>The</w:t>
      </w:r>
      <w:r w:rsidR="008324F1">
        <w:t xml:space="preserve"> entire SWPA region </w:t>
      </w:r>
      <w:r w:rsidR="008324F1" w:rsidRPr="006D5217">
        <w:t xml:space="preserve">is </w:t>
      </w:r>
      <w:r w:rsidR="008C72D4">
        <w:t>substantial</w:t>
      </w:r>
      <w:r w:rsidR="008324F1" w:rsidRPr="006D5217">
        <w:t xml:space="preserve">ly lower in elevation than </w:t>
      </w:r>
      <w:r w:rsidR="008324F1">
        <w:t xml:space="preserve">BPA </w:t>
      </w:r>
      <w:r w:rsidR="008324F1" w:rsidRPr="006D5217">
        <w:t>or</w:t>
      </w:r>
      <w:r w:rsidR="008324F1">
        <w:t xml:space="preserve"> WAPA</w:t>
      </w:r>
      <w:r w:rsidR="008324F1" w:rsidRPr="006D5217">
        <w:t xml:space="preserve">, and the topography strongly </w:t>
      </w:r>
      <w:r w:rsidR="008324F1" w:rsidRPr="006D5217">
        <w:lastRenderedPageBreak/>
        <w:t>influences surface water hydrology. Land cover in SWPA-1 is a mix of cropland (37%), cropland</w:t>
      </w:r>
      <w:r w:rsidR="00B61BD2">
        <w:t>–</w:t>
      </w:r>
      <w:r w:rsidR="008324F1" w:rsidRPr="006D5217">
        <w:t xml:space="preserve">natural vegetation mosaic (34%), deciduous broadleaf forest (12%), and grassland </w:t>
      </w:r>
      <w:r w:rsidRPr="006D5217">
        <w:t>(9%).</w:t>
      </w:r>
    </w:p>
    <w:p w14:paraId="79ABC884" w14:textId="24ED48AF" w:rsidR="00C04E29" w:rsidRPr="006D5217" w:rsidRDefault="00722CA4" w:rsidP="002954B7">
      <w:pPr>
        <w:pStyle w:val="BulletListspace"/>
        <w:numPr>
          <w:ilvl w:val="0"/>
          <w:numId w:val="0"/>
        </w:numPr>
        <w:ind w:left="360"/>
      </w:pPr>
      <w:r w:rsidRPr="00C04E29">
        <w:rPr>
          <w:b/>
          <w:bCs/>
        </w:rPr>
        <w:t>SWPA-2</w:t>
      </w:r>
      <w:r w:rsidR="00F558D3" w:rsidRPr="00C04E29">
        <w:rPr>
          <w:rFonts w:hint="eastAsia"/>
          <w:b/>
          <w:bCs/>
          <w:lang w:eastAsia="zh-TW"/>
        </w:rPr>
        <w:t xml:space="preserve"> Arkansas</w:t>
      </w:r>
      <w:r w:rsidRPr="00C04E29">
        <w:rPr>
          <w:b/>
          <w:bCs/>
          <w:lang w:eastAsia="zh-TW"/>
        </w:rPr>
        <w:t xml:space="preserve"> River</w:t>
      </w:r>
      <w:r w:rsidR="00F558D3" w:rsidRPr="006D5217">
        <w:t xml:space="preserve">: </w:t>
      </w:r>
      <w:r w:rsidR="00F50503">
        <w:t>T</w:t>
      </w:r>
      <w:r w:rsidR="00F558D3" w:rsidRPr="006D5217">
        <w:t xml:space="preserve">he Arkansas River </w:t>
      </w:r>
      <w:r w:rsidR="0019235D" w:rsidRPr="006D5217">
        <w:t xml:space="preserve">basin </w:t>
      </w:r>
      <w:r w:rsidR="00F558D3" w:rsidRPr="006D5217">
        <w:t xml:space="preserve">is defined by </w:t>
      </w:r>
      <w:r w:rsidR="00F50503">
        <w:t xml:space="preserve">watershed </w:t>
      </w:r>
      <w:r w:rsidR="00F558D3" w:rsidRPr="006D5217">
        <w:t xml:space="preserve">upstream of the USACE Dardanelle project. This </w:t>
      </w:r>
      <w:r w:rsidR="00F12CB3">
        <w:t xml:space="preserve">river basin </w:t>
      </w:r>
      <w:r w:rsidR="00F558D3" w:rsidRPr="006D5217">
        <w:t xml:space="preserve">is very large </w:t>
      </w:r>
      <w:r w:rsidR="00F12CB3">
        <w:t xml:space="preserve">and </w:t>
      </w:r>
      <w:r w:rsidR="00F558D3" w:rsidRPr="006D5217">
        <w:t xml:space="preserve">extends upstream to the Continental Divide in Colorado. </w:t>
      </w:r>
      <w:r w:rsidR="00F50503">
        <w:t>The t</w:t>
      </w:r>
      <w:r w:rsidR="00F558D3" w:rsidRPr="006D5217">
        <w:t>otal drainage area is about 154,000 mi</w:t>
      </w:r>
      <w:r w:rsidR="00F558D3" w:rsidRPr="00C04E29">
        <w:rPr>
          <w:vertAlign w:val="superscript"/>
        </w:rPr>
        <w:t>2</w:t>
      </w:r>
      <w:r w:rsidR="00F558D3" w:rsidRPr="006D5217">
        <w:t xml:space="preserve">. Elevations vary greatly, from over 14,000 ft in the </w:t>
      </w:r>
      <w:r w:rsidR="00F558D3">
        <w:t xml:space="preserve">Colorado </w:t>
      </w:r>
      <w:r w:rsidR="00F558D3" w:rsidRPr="006D5217">
        <w:t>Rocky Mountains to around 300 ft in the vicinity of the hydropower projects clustered in the eastern end of the river basin. The median elevation is 2,392 ft. Although this area includes high</w:t>
      </w:r>
      <w:r w:rsidR="00F12CB3">
        <w:t>-</w:t>
      </w:r>
      <w:r w:rsidR="00F558D3" w:rsidRPr="006D5217">
        <w:t>elevation parts of the Rocky Mountains, most of the runoff to the projects originates locally in the eastern part of the area. Land cover is mostly grassland (68%)</w:t>
      </w:r>
      <w:r w:rsidR="00F558D3">
        <w:t>,</w:t>
      </w:r>
      <w:r w:rsidR="00F558D3" w:rsidRPr="006D5217">
        <w:t xml:space="preserve"> with smaller amounts of cropland (17%), cropland–natural mosaic (5%) and woody savanna (4%).</w:t>
      </w:r>
      <w:r w:rsidR="00C04E29">
        <w:t xml:space="preserve"> </w:t>
      </w:r>
      <w:r w:rsidR="00C04E29" w:rsidRPr="00C04E29">
        <w:t>Broken Bow in the Red River Basin</w:t>
      </w:r>
      <w:r w:rsidR="00C04E29">
        <w:t xml:space="preserve"> is also include</w:t>
      </w:r>
      <w:r w:rsidR="00B41438">
        <w:t>d</w:t>
      </w:r>
      <w:r w:rsidR="00C04E29">
        <w:t xml:space="preserve"> in </w:t>
      </w:r>
      <w:r w:rsidR="004D3CDD">
        <w:t xml:space="preserve">SWPA-2 </w:t>
      </w:r>
      <w:r w:rsidR="00C04E29" w:rsidRPr="00C04E29">
        <w:t xml:space="preserve">because of </w:t>
      </w:r>
      <w:r w:rsidR="004B1670">
        <w:t xml:space="preserve">an </w:t>
      </w:r>
      <w:r w:rsidR="00C04E29" w:rsidRPr="00C04E29">
        <w:t>interconnected system reason</w:t>
      </w:r>
      <w:r w:rsidR="00B41438">
        <w:t>.</w:t>
      </w:r>
    </w:p>
    <w:p w14:paraId="12DA36A8" w14:textId="67280AE5" w:rsidR="00F558D3" w:rsidRPr="00090788" w:rsidRDefault="00F558D3" w:rsidP="002954B7">
      <w:pPr>
        <w:pStyle w:val="BulletListspace"/>
      </w:pPr>
      <w:r w:rsidRPr="00722CA4">
        <w:rPr>
          <w:b/>
          <w:bCs/>
        </w:rPr>
        <w:t>SWPA-3</w:t>
      </w:r>
      <w:r w:rsidRPr="00722CA4">
        <w:rPr>
          <w:rFonts w:hint="eastAsia"/>
          <w:b/>
          <w:bCs/>
          <w:lang w:eastAsia="zh-TW"/>
        </w:rPr>
        <w:t xml:space="preserve"> </w:t>
      </w:r>
      <w:r w:rsidRPr="00722CA4">
        <w:rPr>
          <w:b/>
          <w:bCs/>
        </w:rPr>
        <w:t>Ouachita, Red</w:t>
      </w:r>
      <w:r w:rsidR="00F12CB3">
        <w:rPr>
          <w:b/>
          <w:bCs/>
        </w:rPr>
        <w:t>,</w:t>
      </w:r>
      <w:r w:rsidRPr="00722CA4">
        <w:rPr>
          <w:b/>
          <w:bCs/>
        </w:rPr>
        <w:t xml:space="preserve"> </w:t>
      </w:r>
      <w:r w:rsidRPr="00722CA4">
        <w:rPr>
          <w:rFonts w:hint="eastAsia"/>
          <w:b/>
          <w:bCs/>
          <w:lang w:eastAsia="zh-TW"/>
        </w:rPr>
        <w:t>and</w:t>
      </w:r>
      <w:r w:rsidRPr="00722CA4">
        <w:rPr>
          <w:b/>
          <w:bCs/>
        </w:rPr>
        <w:t xml:space="preserve"> Brazos</w:t>
      </w:r>
      <w:r w:rsidR="00722CA4" w:rsidRPr="00722CA4">
        <w:rPr>
          <w:b/>
          <w:bCs/>
        </w:rPr>
        <w:t xml:space="preserve"> Rivers</w:t>
      </w:r>
      <w:r w:rsidRPr="006D5217">
        <w:t xml:space="preserve">: SWPA-3 covers the Red </w:t>
      </w:r>
      <w:r w:rsidR="0019235D">
        <w:t xml:space="preserve">River </w:t>
      </w:r>
      <w:r w:rsidRPr="006D5217">
        <w:t xml:space="preserve">and Brazos River </w:t>
      </w:r>
      <w:r w:rsidR="0019235D" w:rsidRPr="006D5217">
        <w:t xml:space="preserve">basins </w:t>
      </w:r>
      <w:r w:rsidRPr="006D5217">
        <w:t xml:space="preserve">in the arid plains of southwestern Oklahoma and the Texas Panhandle, and the Ouachita River </w:t>
      </w:r>
      <w:r w:rsidR="0019235D" w:rsidRPr="006D5217">
        <w:t xml:space="preserve">basin </w:t>
      </w:r>
      <w:r w:rsidRPr="006D5217">
        <w:t>in the southern portions of the Ouachita Mountains/Ozark Plateau, mostly in Arkansas. The total watershed area is 68,744 mi</w:t>
      </w:r>
      <w:r w:rsidRPr="006D5217">
        <w:rPr>
          <w:vertAlign w:val="superscript"/>
        </w:rPr>
        <w:t>2</w:t>
      </w:r>
      <w:r w:rsidRPr="006D5217">
        <w:t xml:space="preserve">. </w:t>
      </w:r>
      <w:r w:rsidR="00940D8E" w:rsidRPr="006D5217">
        <w:t>Elevations range from almost 5,000</w:t>
      </w:r>
      <w:r w:rsidR="00B61BD2">
        <w:t xml:space="preserve"> </w:t>
      </w:r>
      <w:r w:rsidR="00940D8E" w:rsidRPr="006D5217">
        <w:t>to 300 ft</w:t>
      </w:r>
      <w:r w:rsidR="00940D8E">
        <w:t xml:space="preserve">, with a median </w:t>
      </w:r>
      <w:r w:rsidR="00CA6CEE">
        <w:t xml:space="preserve">elevation </w:t>
      </w:r>
      <w:r w:rsidR="00940D8E">
        <w:t>of 1,720 ft</w:t>
      </w:r>
      <w:r w:rsidR="00940D8E" w:rsidRPr="006D5217">
        <w:t xml:space="preserve">. </w:t>
      </w:r>
      <w:r w:rsidR="007F27B8">
        <w:t>Land cover is primarily g</w:t>
      </w:r>
      <w:r w:rsidR="00940D8E" w:rsidRPr="006D5217">
        <w:t xml:space="preserve">rasslands </w:t>
      </w:r>
      <w:r w:rsidR="007F27B8">
        <w:t>(</w:t>
      </w:r>
      <w:r w:rsidR="00940D8E" w:rsidRPr="006D5217">
        <w:t>82%</w:t>
      </w:r>
      <w:r w:rsidR="007F27B8">
        <w:t>)</w:t>
      </w:r>
      <w:r w:rsidRPr="006D5217">
        <w:t>.</w:t>
      </w:r>
    </w:p>
    <w:p w14:paraId="586F7ECE" w14:textId="087FD36F" w:rsidR="00F558D3" w:rsidRPr="006D5217" w:rsidRDefault="00F558D3" w:rsidP="002954B7">
      <w:pPr>
        <w:pStyle w:val="BulletListspace"/>
      </w:pPr>
      <w:r w:rsidRPr="00722CA4">
        <w:rPr>
          <w:b/>
          <w:bCs/>
        </w:rPr>
        <w:t>SWPA-4</w:t>
      </w:r>
      <w:r w:rsidRPr="00722CA4">
        <w:rPr>
          <w:rFonts w:hint="eastAsia"/>
          <w:b/>
          <w:bCs/>
          <w:lang w:eastAsia="zh-TW"/>
        </w:rPr>
        <w:t xml:space="preserve"> </w:t>
      </w:r>
      <w:r w:rsidRPr="00722CA4">
        <w:rPr>
          <w:b/>
          <w:bCs/>
        </w:rPr>
        <w:t>Neches</w:t>
      </w:r>
      <w:r w:rsidR="00722CA4" w:rsidRPr="00722CA4">
        <w:rPr>
          <w:b/>
          <w:bCs/>
        </w:rPr>
        <w:t xml:space="preserve"> River</w:t>
      </w:r>
      <w:r w:rsidRPr="00090788">
        <w:t xml:space="preserve">: </w:t>
      </w:r>
      <w:r w:rsidRPr="006D5217">
        <w:t xml:space="preserve">SWPA-4 </w:t>
      </w:r>
      <w:r w:rsidR="00B61BD2">
        <w:t xml:space="preserve">is </w:t>
      </w:r>
      <w:r w:rsidRPr="006D5217">
        <w:t xml:space="preserve">in the upper half of the Neches River </w:t>
      </w:r>
      <w:r w:rsidR="0019235D" w:rsidRPr="006D5217">
        <w:t>basin</w:t>
      </w:r>
      <w:r w:rsidR="00B61BD2">
        <w:t xml:space="preserve"> and</w:t>
      </w:r>
      <w:r w:rsidRPr="006D5217">
        <w:t xml:space="preserve"> is the lowest and one of the smallest of all of the </w:t>
      </w:r>
      <w:r w:rsidR="00F541EF">
        <w:t xml:space="preserve">areas in the </w:t>
      </w:r>
      <w:r w:rsidRPr="006D5217">
        <w:t xml:space="preserve">9505 </w:t>
      </w:r>
      <w:r w:rsidR="005C56CE" w:rsidRPr="006D5217">
        <w:t>assessment</w:t>
      </w:r>
      <w:r w:rsidRPr="006D5217">
        <w:t>. Its watershed area is 7,571 mi</w:t>
      </w:r>
      <w:r w:rsidRPr="006D5217">
        <w:rPr>
          <w:vertAlign w:val="superscript"/>
        </w:rPr>
        <w:t>2</w:t>
      </w:r>
      <w:r w:rsidRPr="006D5217">
        <w:t>, and elevations range between 774 and 72 ft</w:t>
      </w:r>
      <w:r>
        <w:t xml:space="preserve">, with a median </w:t>
      </w:r>
      <w:r w:rsidR="00CA6CEE">
        <w:t xml:space="preserve">elevation </w:t>
      </w:r>
      <w:r>
        <w:t>of 341 ft</w:t>
      </w:r>
      <w:r w:rsidRPr="006D5217">
        <w:t>. Land cover is a diverse mix of cropland–natural mosaic (37%), mixed forest (25%), woody savanna (22%), cropland (3%) and evergreen broadleaf forest (3%).</w:t>
      </w:r>
    </w:p>
    <w:p w14:paraId="44BB0CB5" w14:textId="06B0B790" w:rsidR="00591093" w:rsidRPr="00591093" w:rsidRDefault="00591093" w:rsidP="00591093">
      <w:pPr>
        <w:pStyle w:val="Heading3"/>
      </w:pPr>
      <w:bookmarkStart w:id="418" w:name="_Ref95319837"/>
      <w:bookmarkStart w:id="419" w:name="_Toc113380820"/>
      <w:r w:rsidRPr="00591093">
        <w:t xml:space="preserve">Power Marketing </w:t>
      </w:r>
      <w:r w:rsidR="00E0058B">
        <w:t>by</w:t>
      </w:r>
      <w:r w:rsidRPr="00591093">
        <w:t xml:space="preserve"> </w:t>
      </w:r>
      <w:r w:rsidR="00DB1870">
        <w:t>SWPA</w:t>
      </w:r>
      <w:bookmarkEnd w:id="418"/>
      <w:bookmarkEnd w:id="419"/>
    </w:p>
    <w:p w14:paraId="65D7E261" w14:textId="509A42CA" w:rsidR="00A1410F" w:rsidRDefault="00A1410F" w:rsidP="00050448">
      <w:pPr>
        <w:pStyle w:val="BodyText"/>
      </w:pPr>
      <w:bookmarkStart w:id="420" w:name="_Ref72854000"/>
      <w:r>
        <w:t>SWPA was established in 1943 under the statutory authority from Section 5 of the Flood Control Act of 1944. A general description of a PMA and its marketing practices is presented in Section 1.2.2. SWPA markets power from 24 USACE-owned multipurpose dams, operates and maintains 1,38</w:t>
      </w:r>
      <w:r w:rsidR="00E022DF">
        <w:t>1</w:t>
      </w:r>
      <w:r>
        <w:t xml:space="preserve"> mi of transmission lines, and manages one balancing authority. SWPA sells power to more than 100 wholesale customers in Arkansas, Kansas, Louisiana, Missouri, Oklahoma, and Texas.</w:t>
      </w:r>
    </w:p>
    <w:p w14:paraId="2614943B" w14:textId="3A09E4CE" w:rsidR="00A1410F" w:rsidRDefault="00E022DF" w:rsidP="00050448">
      <w:pPr>
        <w:pStyle w:val="BodyText"/>
      </w:pPr>
      <w:r>
        <w:t xml:space="preserve">The product of the projects marketed by SWPA, almost entirely dependent on rainfall and with limited storage capacity in their reservoirs, is primarily peaking power because the available water typically only allows the hydraulic turbines to operate a few hours per day. SWPA sells the output from its Interconnected System of 17 + 2 projects as peaking capacity and energy guaranteeing 1,200 h of energy per kilowatt of capacity contracted per year (3.3 h a day, on average). The financially </w:t>
      </w:r>
      <w:r w:rsidR="00DB1739">
        <w:t>i</w:t>
      </w:r>
      <w:r>
        <w:t xml:space="preserve">ntegrated </w:t>
      </w:r>
      <w:r w:rsidR="00DB1739">
        <w:t>s</w:t>
      </w:r>
      <w:r>
        <w:t>ystem includes the 17 + 2 Interconnected System projects</w:t>
      </w:r>
      <w:r w:rsidR="00CC6724">
        <w:t>,</w:t>
      </w:r>
      <w:r>
        <w:t xml:space="preserve"> as well as three electrically isolated projects, a total of 22 of the 24 projects for which SWPA markets power. The other two (Sam Rayburn Dam and Robert D. Willis Hydropower Project) are hydraulically and electrically isolated and marketed separately. All the output from the Sam Rayburn Dam is sold to the Sam Rayburn Dam Electric Cooperative, and all the output from the Robert D. Willis Hydropower Project is sold to the Sam Rayburn Municipal Power Agency</w:t>
      </w:r>
      <w:r w:rsidR="00A1410F">
        <w:t>.</w:t>
      </w:r>
      <w:r w:rsidR="00A1410F">
        <w:rPr>
          <w:rStyle w:val="FootnoteReference"/>
        </w:rPr>
        <w:footnoteReference w:id="29"/>
      </w:r>
    </w:p>
    <w:bookmarkEnd w:id="420"/>
    <w:p w14:paraId="7176DA73" w14:textId="4A3ECC8C" w:rsidR="00F80C85" w:rsidRDefault="00F80C85" w:rsidP="00050448">
      <w:pPr>
        <w:pStyle w:val="BodyText"/>
      </w:pPr>
      <w:r>
        <w:fldChar w:fldCharType="begin"/>
      </w:r>
      <w:r>
        <w:instrText xml:space="preserve"> REF _Ref75795595 \h </w:instrText>
      </w:r>
      <w:r>
        <w:fldChar w:fldCharType="separate"/>
      </w:r>
      <w:r w:rsidR="00EE0BF5" w:rsidRPr="004C5793">
        <w:rPr>
          <w:rFonts w:eastAsia="PMingLiU"/>
        </w:rPr>
        <w:t xml:space="preserve">Table </w:t>
      </w:r>
      <w:r w:rsidR="00EE0BF5">
        <w:rPr>
          <w:rFonts w:eastAsia="PMingLiU"/>
          <w:noProof/>
        </w:rPr>
        <w:t>5</w:t>
      </w:r>
      <w:r w:rsidR="00EE0BF5">
        <w:rPr>
          <w:rFonts w:eastAsia="PMingLiU"/>
        </w:rPr>
        <w:t>.</w:t>
      </w:r>
      <w:r w:rsidR="00EE0BF5">
        <w:rPr>
          <w:rFonts w:eastAsia="PMingLiU"/>
          <w:noProof/>
        </w:rPr>
        <w:t>2</w:t>
      </w:r>
      <w:r>
        <w:fldChar w:fldCharType="end"/>
      </w:r>
      <w:r>
        <w:t xml:space="preserve"> </w:t>
      </w:r>
      <w:r w:rsidR="002F51C6">
        <w:t>shows the FY</w:t>
      </w:r>
      <w:r w:rsidR="006F4EF4">
        <w:t> 20</w:t>
      </w:r>
      <w:r w:rsidR="002F51C6">
        <w:t xml:space="preserve">21 rates from each of the three marketing systems. For the Rayburn and Willis projects, customers pay a flat monthly rate in exchange for all the output from the projects. The rates for </w:t>
      </w:r>
      <w:r w:rsidR="002F51C6">
        <w:lastRenderedPageBreak/>
        <w:t>these two projects were last updated in 2015. For the Integrated System, the same rates have applied since October 2013. They include a capacity charge per kilowatt of capacity contracted and, for the Interconnected System, a purchase power adder per kilowatt-hour of peaking energy. The base purchased power adder ($0.0059) is calculated as the ratio of the estimated total dollar cost ($13,273,800/year) of SWPA</w:t>
      </w:r>
      <w:r w:rsidR="00805545">
        <w:t>’</w:t>
      </w:r>
      <w:r w:rsidR="002F51C6">
        <w:t>s purchased power over projected peaking energy sales. Additionally, within each year, SWPA can adjust the purchased power adder up to two times by a total amount of plus or minus $0.0059/kWh depending on the difference between the estimated and actual expenditures in purchased power. The purchased power adder does not apply to sales of supplemental peaking energy or to non</w:t>
      </w:r>
      <w:r w:rsidR="00CC6724">
        <w:t>–</w:t>
      </w:r>
      <w:r w:rsidR="002F51C6">
        <w:t xml:space="preserve">Interconnected System peaking energy. Given this rate structure, the average price per </w:t>
      </w:r>
      <w:r w:rsidR="007A39BF">
        <w:t xml:space="preserve">kilowatt-hour </w:t>
      </w:r>
      <w:r w:rsidR="002F51C6">
        <w:t>paid by SWPA</w:t>
      </w:r>
      <w:r w:rsidR="00805545">
        <w:t>’</w:t>
      </w:r>
      <w:r w:rsidR="002F51C6">
        <w:t>s customers can vary significantly from drought years when little to no supplemental energy is provided and years when abundant supplemental energy is available</w:t>
      </w:r>
      <w:r>
        <w:t>.</w:t>
      </w:r>
    </w:p>
    <w:p w14:paraId="6581D518" w14:textId="11363D2C" w:rsidR="009F74D6" w:rsidRPr="003760E4" w:rsidRDefault="009F74D6" w:rsidP="009F74D6">
      <w:pPr>
        <w:pStyle w:val="TableCaption"/>
        <w:rPr>
          <w:b w:val="0"/>
          <w:bCs/>
          <w:szCs w:val="20"/>
        </w:rPr>
      </w:pPr>
      <w:bookmarkStart w:id="421" w:name="_Ref75795595"/>
      <w:bookmarkStart w:id="422" w:name="_Toc113380983"/>
      <w:r w:rsidRPr="004C5793">
        <w:rPr>
          <w:rFonts w:eastAsia="PMingLiU"/>
        </w:rPr>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5</w:t>
      </w:r>
      <w:r w:rsidRPr="004C5793">
        <w:rPr>
          <w:rFonts w:eastAsia="PMingLiU"/>
        </w:rPr>
        <w:fldChar w:fldCharType="end"/>
      </w:r>
      <w:r>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2</w:t>
      </w:r>
      <w:r w:rsidRPr="004C5793">
        <w:rPr>
          <w:rFonts w:eastAsia="PMingLiU"/>
        </w:rPr>
        <w:fldChar w:fldCharType="end"/>
      </w:r>
      <w:bookmarkEnd w:id="421"/>
      <w:r w:rsidRPr="004C5793">
        <w:rPr>
          <w:rFonts w:eastAsia="PMingLiU"/>
        </w:rPr>
        <w:t>.</w:t>
      </w:r>
      <w:r>
        <w:rPr>
          <w:rFonts w:eastAsia="PMingLiU"/>
        </w:rPr>
        <w:t xml:space="preserve"> </w:t>
      </w:r>
      <w:r>
        <w:rPr>
          <w:bCs/>
          <w:szCs w:val="20"/>
        </w:rPr>
        <w:t>SWPA</w:t>
      </w:r>
      <w:r w:rsidRPr="00CD10EC">
        <w:rPr>
          <w:bCs/>
          <w:szCs w:val="20"/>
        </w:rPr>
        <w:t xml:space="preserve"> rate schedule summary (FY</w:t>
      </w:r>
      <w:r w:rsidR="006F4EF4">
        <w:t> 20</w:t>
      </w:r>
      <w:r w:rsidRPr="00CD10EC">
        <w:rPr>
          <w:bCs/>
          <w:szCs w:val="20"/>
        </w:rPr>
        <w:t>21)</w:t>
      </w:r>
      <w:bookmarkEnd w:id="422"/>
    </w:p>
    <w:tbl>
      <w:tblPr>
        <w:tblStyle w:val="PlainTable2"/>
        <w:tblW w:w="0" w:type="auto"/>
        <w:jc w:val="center"/>
        <w:tblLayout w:type="fixed"/>
        <w:tblCellMar>
          <w:top w:w="29" w:type="dxa"/>
          <w:left w:w="58" w:type="dxa"/>
          <w:bottom w:w="29" w:type="dxa"/>
          <w:right w:w="58" w:type="dxa"/>
        </w:tblCellMar>
        <w:tblLook w:val="04A0" w:firstRow="1" w:lastRow="0" w:firstColumn="1" w:lastColumn="0" w:noHBand="0" w:noVBand="1"/>
      </w:tblPr>
      <w:tblGrid>
        <w:gridCol w:w="3600"/>
        <w:gridCol w:w="1980"/>
        <w:gridCol w:w="3770"/>
      </w:tblGrid>
      <w:tr w:rsidR="009F74D6" w:rsidRPr="00675237" w14:paraId="4CF50FCF" w14:textId="77777777" w:rsidTr="0005044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00" w:type="dxa"/>
            <w:tcBorders>
              <w:top w:val="single" w:sz="12" w:space="0" w:color="auto"/>
              <w:bottom w:val="single" w:sz="12" w:space="0" w:color="auto"/>
            </w:tcBorders>
            <w:vAlign w:val="center"/>
          </w:tcPr>
          <w:p w14:paraId="40D8EF0F" w14:textId="77777777" w:rsidR="009F74D6" w:rsidRPr="00675237" w:rsidRDefault="009F74D6" w:rsidP="00050448">
            <w:pPr>
              <w:spacing w:before="0" w:after="0" w:line="240" w:lineRule="auto"/>
              <w:ind w:firstLine="0"/>
              <w:jc w:val="center"/>
              <w:rPr>
                <w:sz w:val="20"/>
                <w:szCs w:val="20"/>
              </w:rPr>
            </w:pPr>
            <w:r w:rsidRPr="00675237">
              <w:rPr>
                <w:sz w:val="20"/>
                <w:szCs w:val="20"/>
              </w:rPr>
              <w:t>System</w:t>
            </w:r>
          </w:p>
        </w:tc>
        <w:tc>
          <w:tcPr>
            <w:tcW w:w="1980" w:type="dxa"/>
            <w:tcBorders>
              <w:top w:val="single" w:sz="12" w:space="0" w:color="auto"/>
              <w:bottom w:val="single" w:sz="12" w:space="0" w:color="auto"/>
            </w:tcBorders>
            <w:vAlign w:val="center"/>
          </w:tcPr>
          <w:p w14:paraId="5D57D728" w14:textId="77777777" w:rsidR="009F74D6" w:rsidRPr="00675237" w:rsidRDefault="009F74D6" w:rsidP="00050448">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675237">
              <w:rPr>
                <w:sz w:val="20"/>
                <w:szCs w:val="20"/>
              </w:rPr>
              <w:t>Capacity charge ($/kW-month)</w:t>
            </w:r>
          </w:p>
        </w:tc>
        <w:tc>
          <w:tcPr>
            <w:tcW w:w="3770" w:type="dxa"/>
            <w:tcBorders>
              <w:top w:val="single" w:sz="12" w:space="0" w:color="auto"/>
              <w:bottom w:val="single" w:sz="12" w:space="0" w:color="auto"/>
            </w:tcBorders>
            <w:vAlign w:val="center"/>
          </w:tcPr>
          <w:p w14:paraId="0DE60907" w14:textId="4F4A8248" w:rsidR="009F74D6" w:rsidRPr="00675237" w:rsidRDefault="009F74D6" w:rsidP="00050448">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675237">
              <w:rPr>
                <w:sz w:val="20"/>
                <w:szCs w:val="20"/>
              </w:rPr>
              <w:t>Peaking energy or supplemental peaking energy rate</w:t>
            </w:r>
          </w:p>
        </w:tc>
      </w:tr>
      <w:tr w:rsidR="009F74D6" w:rsidRPr="00675237" w14:paraId="6213530D"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00" w:type="dxa"/>
            <w:tcBorders>
              <w:top w:val="single" w:sz="12" w:space="0" w:color="auto"/>
              <w:bottom w:val="single" w:sz="4" w:space="0" w:color="auto"/>
            </w:tcBorders>
            <w:vAlign w:val="center"/>
          </w:tcPr>
          <w:p w14:paraId="706C4FDD" w14:textId="77777777" w:rsidR="009F74D6" w:rsidRPr="00675237" w:rsidRDefault="009F74D6" w:rsidP="00050448">
            <w:pPr>
              <w:spacing w:before="0" w:after="0" w:line="240" w:lineRule="auto"/>
              <w:ind w:firstLine="0"/>
              <w:rPr>
                <w:b w:val="0"/>
                <w:bCs w:val="0"/>
                <w:sz w:val="20"/>
                <w:szCs w:val="20"/>
              </w:rPr>
            </w:pPr>
            <w:r w:rsidRPr="00675237">
              <w:rPr>
                <w:b w:val="0"/>
                <w:bCs w:val="0"/>
                <w:sz w:val="20"/>
                <w:szCs w:val="20"/>
              </w:rPr>
              <w:t>Integrated System</w:t>
            </w:r>
          </w:p>
        </w:tc>
        <w:tc>
          <w:tcPr>
            <w:tcW w:w="1980" w:type="dxa"/>
            <w:tcBorders>
              <w:top w:val="single" w:sz="12" w:space="0" w:color="auto"/>
              <w:bottom w:val="single" w:sz="4" w:space="0" w:color="auto"/>
            </w:tcBorders>
            <w:vAlign w:val="center"/>
          </w:tcPr>
          <w:p w14:paraId="0640BF0F" w14:textId="7874E52F" w:rsidR="009F74D6" w:rsidRPr="00675237" w:rsidRDefault="009F74D6" w:rsidP="00050448">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675237">
              <w:rPr>
                <w:sz w:val="20"/>
                <w:szCs w:val="20"/>
              </w:rPr>
              <w:t>4.50</w:t>
            </w:r>
            <w:r>
              <w:rPr>
                <w:sz w:val="20"/>
                <w:szCs w:val="20"/>
              </w:rPr>
              <w:t xml:space="preserve"> </w:t>
            </w:r>
            <w:r w:rsidRPr="000068B9">
              <w:rPr>
                <w:i/>
                <w:iCs/>
                <w:sz w:val="20"/>
                <w:szCs w:val="20"/>
                <w:vertAlign w:val="superscript"/>
              </w:rPr>
              <w:t>a</w:t>
            </w:r>
          </w:p>
        </w:tc>
        <w:tc>
          <w:tcPr>
            <w:tcW w:w="3770" w:type="dxa"/>
            <w:tcBorders>
              <w:top w:val="single" w:sz="12" w:space="0" w:color="auto"/>
              <w:bottom w:val="single" w:sz="4" w:space="0" w:color="auto"/>
            </w:tcBorders>
            <w:vAlign w:val="center"/>
          </w:tcPr>
          <w:p w14:paraId="7CEE59F8" w14:textId="77777777" w:rsidR="009F74D6" w:rsidRPr="00675237" w:rsidRDefault="009F74D6" w:rsidP="00050448">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675237">
              <w:rPr>
                <w:sz w:val="20"/>
                <w:szCs w:val="20"/>
              </w:rPr>
              <w:t>0.0094 mills/kWh</w:t>
            </w:r>
          </w:p>
          <w:p w14:paraId="5EFE6FC9" w14:textId="77777777" w:rsidR="009F74D6" w:rsidRPr="00675237" w:rsidRDefault="009F74D6" w:rsidP="00050448">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675237">
              <w:rPr>
                <w:sz w:val="20"/>
                <w:szCs w:val="20"/>
              </w:rPr>
              <w:t>0.0059 mills/kWh (purchased power adder)</w:t>
            </w:r>
          </w:p>
        </w:tc>
      </w:tr>
      <w:tr w:rsidR="009F74D6" w:rsidRPr="00675237" w14:paraId="66C3AA5C" w14:textId="77777777" w:rsidTr="00050448">
        <w:trPr>
          <w:jc w:val="center"/>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bottom w:val="single" w:sz="4" w:space="0" w:color="auto"/>
            </w:tcBorders>
            <w:vAlign w:val="center"/>
          </w:tcPr>
          <w:p w14:paraId="1A65FC2E" w14:textId="77777777" w:rsidR="009F74D6" w:rsidRPr="00675237" w:rsidRDefault="009F74D6" w:rsidP="00050448">
            <w:pPr>
              <w:spacing w:before="0" w:after="0" w:line="240" w:lineRule="auto"/>
              <w:ind w:firstLine="0"/>
              <w:rPr>
                <w:b w:val="0"/>
                <w:bCs w:val="0"/>
                <w:sz w:val="20"/>
                <w:szCs w:val="20"/>
              </w:rPr>
            </w:pPr>
            <w:r w:rsidRPr="00675237">
              <w:rPr>
                <w:b w:val="0"/>
                <w:bCs w:val="0"/>
                <w:sz w:val="20"/>
                <w:szCs w:val="20"/>
              </w:rPr>
              <w:t>Hydro Power and Energy from Sam Rayburn Dam and Reservoir (sold to Sam Rayburn Dam Electric Cooperative)</w:t>
            </w:r>
          </w:p>
        </w:tc>
        <w:tc>
          <w:tcPr>
            <w:tcW w:w="5750" w:type="dxa"/>
            <w:gridSpan w:val="2"/>
            <w:tcBorders>
              <w:top w:val="single" w:sz="4" w:space="0" w:color="auto"/>
              <w:bottom w:val="single" w:sz="4" w:space="0" w:color="auto"/>
            </w:tcBorders>
            <w:vAlign w:val="center"/>
          </w:tcPr>
          <w:p w14:paraId="55883E1C" w14:textId="378944E5" w:rsidR="009F74D6" w:rsidRPr="00675237" w:rsidRDefault="009F74D6" w:rsidP="00050448">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675237">
              <w:rPr>
                <w:sz w:val="20"/>
                <w:szCs w:val="20"/>
              </w:rPr>
              <w:t>380,316/month</w:t>
            </w:r>
          </w:p>
        </w:tc>
      </w:tr>
      <w:tr w:rsidR="009F74D6" w:rsidRPr="00675237" w14:paraId="4E6C3FB5" w14:textId="77777777" w:rsidTr="000504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auto"/>
              <w:bottom w:val="single" w:sz="12" w:space="0" w:color="auto"/>
            </w:tcBorders>
            <w:vAlign w:val="center"/>
          </w:tcPr>
          <w:p w14:paraId="7B6B84BA" w14:textId="77777777" w:rsidR="009F74D6" w:rsidRPr="00675237" w:rsidRDefault="009F74D6" w:rsidP="00050448">
            <w:pPr>
              <w:spacing w:before="0" w:after="0" w:line="240" w:lineRule="auto"/>
              <w:ind w:firstLine="0"/>
              <w:rPr>
                <w:b w:val="0"/>
                <w:bCs w:val="0"/>
                <w:sz w:val="20"/>
                <w:szCs w:val="20"/>
              </w:rPr>
            </w:pPr>
            <w:r w:rsidRPr="00675237">
              <w:rPr>
                <w:b w:val="0"/>
                <w:bCs w:val="0"/>
                <w:sz w:val="20"/>
                <w:szCs w:val="20"/>
              </w:rPr>
              <w:t>Hydro Power and Energy from Robert D. Willis Hydropower Project (sold to Sam Rayburn Municipal Power Agency)</w:t>
            </w:r>
          </w:p>
        </w:tc>
        <w:tc>
          <w:tcPr>
            <w:tcW w:w="5750" w:type="dxa"/>
            <w:gridSpan w:val="2"/>
            <w:tcBorders>
              <w:top w:val="single" w:sz="4" w:space="0" w:color="auto"/>
              <w:bottom w:val="single" w:sz="12" w:space="0" w:color="auto"/>
            </w:tcBorders>
            <w:vAlign w:val="center"/>
          </w:tcPr>
          <w:p w14:paraId="66CFD6B1" w14:textId="2824D2BE" w:rsidR="009F74D6" w:rsidRPr="00675237" w:rsidRDefault="009F74D6" w:rsidP="00050448">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675237">
              <w:rPr>
                <w:sz w:val="20"/>
                <w:szCs w:val="20"/>
              </w:rPr>
              <w:t>106,903/month</w:t>
            </w:r>
          </w:p>
        </w:tc>
      </w:tr>
    </w:tbl>
    <w:p w14:paraId="508D27F5" w14:textId="77777777" w:rsidR="00A1353A" w:rsidRDefault="00A1353A" w:rsidP="00050448">
      <w:pPr>
        <w:pStyle w:val="TableFootnote"/>
        <w:widowControl/>
        <w:rPr>
          <w:iCs/>
          <w:sz w:val="18"/>
        </w:rPr>
      </w:pPr>
      <w:r w:rsidRPr="00C004A9">
        <w:rPr>
          <w:i/>
          <w:sz w:val="18"/>
          <w:vertAlign w:val="superscript"/>
        </w:rPr>
        <w:t>a</w:t>
      </w:r>
      <w:r w:rsidRPr="00C004A9">
        <w:rPr>
          <w:iCs/>
          <w:sz w:val="18"/>
        </w:rPr>
        <w:t xml:space="preserve"> Includes two ancillary service charges (scheduling and reactive supply/voltage control).</w:t>
      </w:r>
    </w:p>
    <w:p w14:paraId="5242C489" w14:textId="77777777" w:rsidR="00A1353A" w:rsidRPr="00C004A9" w:rsidRDefault="00A1353A" w:rsidP="00A1353A">
      <w:pPr>
        <w:pStyle w:val="TableFootnote"/>
        <w:widowControl/>
        <w:spacing w:before="0" w:after="240"/>
        <w:rPr>
          <w:iCs/>
          <w:sz w:val="18"/>
        </w:rPr>
      </w:pPr>
      <w:r>
        <w:rPr>
          <w:i/>
          <w:sz w:val="18"/>
          <w:vertAlign w:val="superscript"/>
        </w:rPr>
        <w:t>b</w:t>
      </w:r>
      <w:r w:rsidRPr="00C004A9">
        <w:rPr>
          <w:iCs/>
          <w:sz w:val="18"/>
        </w:rPr>
        <w:t xml:space="preserve"> </w:t>
      </w:r>
      <w:r>
        <w:rPr>
          <w:iCs/>
          <w:sz w:val="18"/>
        </w:rPr>
        <w:t>For Interconnected System only.</w:t>
      </w:r>
    </w:p>
    <w:p w14:paraId="6A252B1B" w14:textId="593572C1" w:rsidR="00F80C85" w:rsidRDefault="00F80C85" w:rsidP="00050448">
      <w:pPr>
        <w:pStyle w:val="BodyText"/>
      </w:pPr>
      <w:r>
        <w:t xml:space="preserve">In its role as balancing authority, SWPA coordinates with SPP in transmission planning. However, unlike BPA or WAPA, SWPA has not announced plans to participate as a marketer in an </w:t>
      </w:r>
      <w:r w:rsidR="005F69EF">
        <w:t>EIM</w:t>
      </w:r>
      <w:r>
        <w:t xml:space="preserve"> or an ISO/RTO. </w:t>
      </w:r>
      <w:r w:rsidR="00256272">
        <w:t>Nevertheless</w:t>
      </w:r>
      <w:r>
        <w:t>, most SWPA preference customers participate in the SPP, MISO, or ERCOT markets (Fernandez, 2020).</w:t>
      </w:r>
    </w:p>
    <w:p w14:paraId="6E04E4DB" w14:textId="2E6E622D" w:rsidR="00591093" w:rsidRPr="00591093" w:rsidRDefault="00591093" w:rsidP="00AD0C1C">
      <w:pPr>
        <w:pStyle w:val="Heading2"/>
      </w:pPr>
      <w:bookmarkStart w:id="423" w:name="_Ref425756552"/>
      <w:bookmarkStart w:id="424" w:name="_Ref425756566"/>
      <w:bookmarkStart w:id="425" w:name="_Ref69807840"/>
      <w:bookmarkStart w:id="426" w:name="_Toc113380821"/>
      <w:r w:rsidRPr="00591093">
        <w:t xml:space="preserve">Future Climate in </w:t>
      </w:r>
      <w:r w:rsidR="00E0058B">
        <w:t xml:space="preserve">the </w:t>
      </w:r>
      <w:bookmarkEnd w:id="423"/>
      <w:bookmarkEnd w:id="424"/>
      <w:r w:rsidR="001100CF">
        <w:t>SWPA</w:t>
      </w:r>
      <w:r w:rsidR="00E0058B">
        <w:t xml:space="preserve"> Region</w:t>
      </w:r>
      <w:bookmarkEnd w:id="425"/>
      <w:bookmarkEnd w:id="426"/>
    </w:p>
    <w:p w14:paraId="151E5CF4" w14:textId="77777777" w:rsidR="00591093" w:rsidRPr="00591093" w:rsidRDefault="00591093" w:rsidP="00591093">
      <w:pPr>
        <w:pStyle w:val="Heading3"/>
      </w:pPr>
      <w:bookmarkStart w:id="427" w:name="_Ref81829390"/>
      <w:bookmarkStart w:id="428" w:name="_Toc113380822"/>
      <w:r w:rsidRPr="00591093">
        <w:t>Regional Climate Projections</w:t>
      </w:r>
      <w:bookmarkEnd w:id="427"/>
      <w:bookmarkEnd w:id="428"/>
    </w:p>
    <w:p w14:paraId="5543B53E" w14:textId="18F9CEAA" w:rsidR="008E7619" w:rsidRDefault="008E7619" w:rsidP="008E7619">
      <w:pPr>
        <w:pStyle w:val="BodyText"/>
      </w:pPr>
      <w:r>
        <w:t xml:space="preserve">The annual temperatures in the baseline (1980–2019) and future (2020–2059) </w:t>
      </w:r>
      <w:r w:rsidR="003B796D">
        <w:t xml:space="preserve">periods </w:t>
      </w:r>
      <w:r>
        <w:t xml:space="preserve">are presented in </w:t>
      </w:r>
      <w:r>
        <w:fldChar w:fldCharType="begin"/>
      </w:r>
      <w:r>
        <w:instrText xml:space="preserve"> REF _Ref72855650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2</w:t>
      </w:r>
      <w:r>
        <w:fldChar w:fldCharType="end"/>
      </w:r>
      <w:r>
        <w:t xml:space="preserve">. The gray lines show the annual mean temperature from 24 sets of downscaled climate projections, the black line represents the </w:t>
      </w:r>
      <w:r w:rsidR="005E23BA">
        <w:t>multimodel</w:t>
      </w:r>
      <w:r>
        <w:t xml:space="preserve"> median, and the blue and green lines show the Daymet and Livneh historical observations, respectively. These plots show interannual variability and annual trends for the projections as well as the observations. The climate models are not expected to replicate the exact timing of historical interannual and decadal variability. Therefore, they do not completely follow the historical interannual values. The corresponding probability distributions for the baseline and future periods are compared in the right panel. A two-sample </w:t>
      </w:r>
      <w:r w:rsidRPr="00AF2A55">
        <w:t>Kolmogorov</w:t>
      </w:r>
      <w:r>
        <w:t>-</w:t>
      </w:r>
      <w:r w:rsidRPr="00AF2A55">
        <w:t>Smirnov test</w:t>
      </w:r>
      <w:r>
        <w:t xml:space="preserve"> at the 5% significance level </w:t>
      </w:r>
      <w:r w:rsidR="00FA280A">
        <w:t>was</w:t>
      </w:r>
      <w:r>
        <w:t xml:space="preserve"> used to determine </w:t>
      </w:r>
      <w:r w:rsidR="00635C2E">
        <w:rPr>
          <w:rFonts w:eastAsia="PMingLiU"/>
          <w:lang w:eastAsia="zh-TW"/>
        </w:rPr>
        <w:t xml:space="preserve">whether </w:t>
      </w:r>
      <w:r>
        <w:t>the difference between the baseline and future periods is statistically significant.</w:t>
      </w:r>
    </w:p>
    <w:p w14:paraId="2FAE919D" w14:textId="17F77242" w:rsidR="0061306B" w:rsidRDefault="0061306B" w:rsidP="008E7619">
      <w:pPr>
        <w:pStyle w:val="BodyText"/>
      </w:pPr>
      <w:r w:rsidRPr="00F61532">
        <w:t>In all four assessment areas (</w:t>
      </w:r>
      <w:r>
        <w:t>SW</w:t>
      </w:r>
      <w:r w:rsidRPr="00F61532">
        <w:t>PA-1</w:t>
      </w:r>
      <w:r>
        <w:t>–</w:t>
      </w:r>
      <w:r w:rsidRPr="00F61532">
        <w:t>4),</w:t>
      </w:r>
      <w:r>
        <w:t xml:space="preserve"> the ensemble model median captures the </w:t>
      </w:r>
      <w:r w:rsidR="00E0369A">
        <w:t>increasing trend in the annual mean temperature present in the observations during the historical period</w:t>
      </w:r>
      <w:r>
        <w:t xml:space="preserve">. However, there is a large variability across the ensemble members, which reflects the importance of using a multimodel ensemble approach. In the future period, projected annual mean temperature continues to increase across </w:t>
      </w:r>
      <w:r>
        <w:lastRenderedPageBreak/>
        <w:t>all the four areas. A comparison of the probability distribution of the multimodel mean annual temperature during the historical and future periods also shows a statistically significant shift toward a warmer climate in all SWPA areas (</w:t>
      </w:r>
      <w:r>
        <w:fldChar w:fldCharType="begin"/>
      </w:r>
      <w:r>
        <w:instrText xml:space="preserve"> REF _Ref72855650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2</w:t>
      </w:r>
      <w:r>
        <w:fldChar w:fldCharType="end"/>
      </w:r>
      <w:r>
        <w:t>).</w:t>
      </w:r>
    </w:p>
    <w:p w14:paraId="62B384EB" w14:textId="4B2AF192" w:rsidR="00B611B0" w:rsidRDefault="00B611B0" w:rsidP="00994F41">
      <w:pPr>
        <w:pStyle w:val="FIGUREposition"/>
        <w:rPr>
          <w:lang w:eastAsia="zh-TW"/>
        </w:rPr>
      </w:pPr>
      <w:r>
        <w:rPr>
          <w:noProof/>
        </w:rPr>
        <w:drawing>
          <wp:inline distT="0" distB="0" distL="0" distR="0" wp14:anchorId="4A9DC277" wp14:editId="756589CC">
            <wp:extent cx="5486400" cy="18288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pic:cNvPicPr>
                      <a:picLocks noChangeAspect="1" noChangeArrowheads="1"/>
                    </pic:cNvPicPr>
                  </pic:nvPicPr>
                  <pic:blipFill>
                    <a:blip r:embed="rId182"/>
                    <a:stretch>
                      <a:fillRect/>
                    </a:stretch>
                  </pic:blipFill>
                  <pic:spPr bwMode="auto">
                    <a:xfrm>
                      <a:off x="0" y="0"/>
                      <a:ext cx="5486400" cy="1828800"/>
                    </a:xfrm>
                    <a:prstGeom prst="rect">
                      <a:avLst/>
                    </a:prstGeom>
                    <a:noFill/>
                    <a:ln>
                      <a:noFill/>
                    </a:ln>
                  </pic:spPr>
                </pic:pic>
              </a:graphicData>
            </a:graphic>
          </wp:inline>
        </w:drawing>
      </w:r>
      <w:r>
        <w:rPr>
          <w:noProof/>
        </w:rPr>
        <w:drawing>
          <wp:inline distT="0" distB="0" distL="0" distR="0" wp14:anchorId="6E5FC24F" wp14:editId="45326F04">
            <wp:extent cx="5486400" cy="18288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pic:cNvPicPr>
                      <a:picLocks noChangeAspect="1" noChangeArrowheads="1"/>
                    </pic:cNvPicPr>
                  </pic:nvPicPr>
                  <pic:blipFill>
                    <a:blip r:embed="rId183"/>
                    <a:stretch>
                      <a:fillRect/>
                    </a:stretch>
                  </pic:blipFill>
                  <pic:spPr bwMode="auto">
                    <a:xfrm>
                      <a:off x="0" y="0"/>
                      <a:ext cx="5486400" cy="1828800"/>
                    </a:xfrm>
                    <a:prstGeom prst="rect">
                      <a:avLst/>
                    </a:prstGeom>
                    <a:noFill/>
                    <a:ln>
                      <a:noFill/>
                    </a:ln>
                  </pic:spPr>
                </pic:pic>
              </a:graphicData>
            </a:graphic>
          </wp:inline>
        </w:drawing>
      </w:r>
      <w:r>
        <w:rPr>
          <w:noProof/>
        </w:rPr>
        <w:drawing>
          <wp:inline distT="0" distB="0" distL="0" distR="0" wp14:anchorId="5CCDF7DC" wp14:editId="3D2A30D7">
            <wp:extent cx="5486400" cy="18288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pic:cNvPicPr>
                      <a:picLocks noChangeAspect="1" noChangeArrowheads="1"/>
                    </pic:cNvPicPr>
                  </pic:nvPicPr>
                  <pic:blipFill>
                    <a:blip r:embed="rId184"/>
                    <a:stretch>
                      <a:fillRect/>
                    </a:stretch>
                  </pic:blipFill>
                  <pic:spPr bwMode="auto">
                    <a:xfrm>
                      <a:off x="0" y="0"/>
                      <a:ext cx="5486400" cy="1828800"/>
                    </a:xfrm>
                    <a:prstGeom prst="rect">
                      <a:avLst/>
                    </a:prstGeom>
                    <a:noFill/>
                    <a:ln>
                      <a:noFill/>
                    </a:ln>
                  </pic:spPr>
                </pic:pic>
              </a:graphicData>
            </a:graphic>
          </wp:inline>
        </w:drawing>
      </w:r>
      <w:r>
        <w:rPr>
          <w:noProof/>
        </w:rPr>
        <w:drawing>
          <wp:inline distT="0" distB="0" distL="0" distR="0" wp14:anchorId="727E4B12" wp14:editId="68C91BE6">
            <wp:extent cx="5486400" cy="18288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pic:cNvPicPr>
                      <a:picLocks noChangeAspect="1" noChangeArrowheads="1"/>
                    </pic:cNvPicPr>
                  </pic:nvPicPr>
                  <pic:blipFill>
                    <a:blip r:embed="rId185"/>
                    <a:stretch>
                      <a:fillRect/>
                    </a:stretch>
                  </pic:blipFill>
                  <pic:spPr bwMode="auto">
                    <a:xfrm>
                      <a:off x="0" y="0"/>
                      <a:ext cx="5486400" cy="1828800"/>
                    </a:xfrm>
                    <a:prstGeom prst="rect">
                      <a:avLst/>
                    </a:prstGeom>
                    <a:noFill/>
                    <a:ln>
                      <a:noFill/>
                    </a:ln>
                  </pic:spPr>
                </pic:pic>
              </a:graphicData>
            </a:graphic>
          </wp:inline>
        </w:drawing>
      </w:r>
    </w:p>
    <w:p w14:paraId="7DBE670E" w14:textId="3DF22FC8" w:rsidR="00260B81" w:rsidRDefault="003F6C94" w:rsidP="00994F41">
      <w:pPr>
        <w:pStyle w:val="FigureCaption"/>
        <w:rPr>
          <w:lang w:eastAsia="zh-TW"/>
        </w:rPr>
      </w:pPr>
      <w:bookmarkStart w:id="429" w:name="_Ref72855650"/>
      <w:bookmarkStart w:id="430" w:name="_Toc113380928"/>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5</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2</w:t>
      </w:r>
      <w:r w:rsidR="00260B81" w:rsidRPr="00F61532">
        <w:rPr>
          <w:lang w:eastAsia="zh-TW"/>
        </w:rPr>
        <w:fldChar w:fldCharType="end"/>
      </w:r>
      <w:bookmarkEnd w:id="429"/>
      <w:r w:rsidR="00260B81" w:rsidRPr="00F61532">
        <w:rPr>
          <w:lang w:eastAsia="zh-TW"/>
        </w:rPr>
        <w:t xml:space="preserve">. Projected annual mean temperature in </w:t>
      </w:r>
      <w:r w:rsidR="00260B81">
        <w:rPr>
          <w:lang w:eastAsia="zh-TW"/>
        </w:rPr>
        <w:t>the SWPA region.</w:t>
      </w:r>
      <w:bookmarkEnd w:id="430"/>
    </w:p>
    <w:p w14:paraId="13535F23" w14:textId="13A74353" w:rsidR="00A9158C" w:rsidRDefault="00A9158C" w:rsidP="00A9158C">
      <w:pPr>
        <w:pStyle w:val="BodyText"/>
        <w:rPr>
          <w:rFonts w:eastAsia="PMingLiU"/>
          <w:lang w:eastAsia="zh-TW"/>
        </w:rPr>
      </w:pPr>
      <w:r w:rsidRPr="004C111D">
        <w:lastRenderedPageBreak/>
        <w:t xml:space="preserve">The annual and seasonal changes in temperature are further summarized in </w:t>
      </w:r>
      <w:r>
        <w:fldChar w:fldCharType="begin"/>
      </w:r>
      <w:r>
        <w:instrText xml:space="preserve"> REF _Ref422382497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3</w:t>
      </w:r>
      <w:r>
        <w:fldChar w:fldCharType="end"/>
      </w:r>
      <w:r w:rsidRPr="004C111D">
        <w:t xml:space="preserve">. The change is presented as </w:t>
      </w:r>
      <w:r>
        <w:t xml:space="preserve">the </w:t>
      </w:r>
      <w:r w:rsidRPr="004C111D">
        <w:t>difference in</w:t>
      </w:r>
      <w:r>
        <w:t xml:space="preserve"> the</w:t>
      </w:r>
      <w:r w:rsidRPr="004C111D">
        <w:t xml:space="preserve"> temperature during the future periods (2020</w:t>
      </w:r>
      <w:r>
        <w:t>–</w:t>
      </w:r>
      <w:r w:rsidRPr="004C111D">
        <w:t>2039 near-term and 2040</w:t>
      </w:r>
      <w:r>
        <w:t>–</w:t>
      </w:r>
      <w:r w:rsidRPr="004C111D">
        <w:t>2059 mid</w:t>
      </w:r>
      <w:r>
        <w:t>-</w:t>
      </w:r>
      <w:r w:rsidRPr="004C111D">
        <w:t xml:space="preserve">term) </w:t>
      </w:r>
      <w:r>
        <w:t xml:space="preserve">compared with </w:t>
      </w:r>
      <w:r w:rsidRPr="004C111D">
        <w:t>the baseline period (1980</w:t>
      </w:r>
      <w:r>
        <w:t>–</w:t>
      </w:r>
      <w:r w:rsidRPr="004C111D">
        <w:t>2019) in degree</w:t>
      </w:r>
      <w:r>
        <w:t>s</w:t>
      </w:r>
      <w:r w:rsidRPr="004C111D">
        <w:t xml:space="preserve"> </w:t>
      </w:r>
      <w:r>
        <w:t>Fahrenheit</w:t>
      </w:r>
      <w:r w:rsidRPr="004C111D">
        <w:t xml:space="preserve">. </w:t>
      </w:r>
      <w:r w:rsidRPr="004C111D">
        <w:rPr>
          <w:rFonts w:eastAsia="PMingLiU"/>
          <w:lang w:eastAsia="zh-TW"/>
        </w:rPr>
        <w:t xml:space="preserve">Each box plot shows the spread across </w:t>
      </w:r>
      <w:r>
        <w:rPr>
          <w:rFonts w:eastAsia="PMingLiU"/>
          <w:lang w:eastAsia="zh-TW"/>
        </w:rPr>
        <w:t xml:space="preserve">24 sets of </w:t>
      </w:r>
      <w:r w:rsidRPr="004C111D">
        <w:rPr>
          <w:rFonts w:eastAsia="PMingLiU"/>
          <w:lang w:eastAsia="zh-TW"/>
        </w:rPr>
        <w:t xml:space="preserve">downscaled </w:t>
      </w:r>
      <w:r w:rsidR="00092FAA">
        <w:rPr>
          <w:rFonts w:eastAsia="PMingLiU"/>
          <w:lang w:eastAsia="zh-TW"/>
        </w:rPr>
        <w:t>climate</w:t>
      </w:r>
      <w:r>
        <w:rPr>
          <w:rFonts w:eastAsia="PMingLiU"/>
          <w:lang w:eastAsia="zh-TW"/>
        </w:rPr>
        <w:t xml:space="preserve"> projections;</w:t>
      </w:r>
      <w:r w:rsidRPr="004C111D">
        <w:rPr>
          <w:rFonts w:eastAsia="PMingLiU"/>
          <w:lang w:eastAsia="zh-TW"/>
        </w:rPr>
        <w:t xml:space="preserve"> </w:t>
      </w:r>
      <w:r>
        <w:rPr>
          <w:rFonts w:eastAsia="PMingLiU"/>
          <w:lang w:eastAsia="zh-TW"/>
        </w:rPr>
        <w:t>t</w:t>
      </w:r>
      <w:r w:rsidRPr="004C111D">
        <w:rPr>
          <w:rFonts w:eastAsia="PMingLiU"/>
          <w:lang w:eastAsia="zh-TW"/>
        </w:rPr>
        <w:t>he central mark indicat</w:t>
      </w:r>
      <w:r>
        <w:rPr>
          <w:rFonts w:eastAsia="PMingLiU"/>
          <w:lang w:eastAsia="zh-TW"/>
        </w:rPr>
        <w:t>es</w:t>
      </w:r>
      <w:r w:rsidRPr="004C111D">
        <w:rPr>
          <w:rFonts w:eastAsia="PMingLiU"/>
          <w:lang w:eastAsia="zh-TW"/>
        </w:rPr>
        <w:t xml:space="preserve"> the </w:t>
      </w:r>
      <w:r>
        <w:rPr>
          <w:rFonts w:eastAsia="PMingLiU"/>
          <w:lang w:eastAsia="zh-TW"/>
        </w:rPr>
        <w:t>multimodel</w:t>
      </w:r>
      <w:r w:rsidRPr="004C111D">
        <w:rPr>
          <w:rFonts w:eastAsia="PMingLiU"/>
          <w:lang w:eastAsia="zh-TW"/>
        </w:rPr>
        <w:t xml:space="preserve"> median,</w:t>
      </w:r>
      <w:r>
        <w:rPr>
          <w:rFonts w:eastAsia="PMingLiU"/>
          <w:lang w:eastAsia="zh-TW"/>
        </w:rPr>
        <w:t xml:space="preserve"> and </w:t>
      </w:r>
      <w:r w:rsidRPr="004C111D">
        <w:rPr>
          <w:rFonts w:eastAsia="PMingLiU"/>
          <w:lang w:eastAsia="zh-TW"/>
        </w:rPr>
        <w:t>the edges of the box indicat</w:t>
      </w:r>
      <w:r>
        <w:rPr>
          <w:rFonts w:eastAsia="PMingLiU"/>
          <w:lang w:eastAsia="zh-TW"/>
        </w:rPr>
        <w:t>e</w:t>
      </w:r>
      <w:r w:rsidRPr="004C111D">
        <w:rPr>
          <w:rFonts w:eastAsia="PMingLiU"/>
          <w:lang w:eastAsia="zh-TW"/>
        </w:rPr>
        <w:t xml:space="preserve"> the </w:t>
      </w:r>
      <w:r>
        <w:rPr>
          <w:rFonts w:eastAsia="PMingLiU"/>
          <w:lang w:eastAsia="zh-TW"/>
        </w:rPr>
        <w:t>25</w:t>
      </w:r>
      <w:r w:rsidR="00FA458A" w:rsidRPr="00FA458A">
        <w:rPr>
          <w:rFonts w:eastAsia="PMingLiU"/>
          <w:lang w:eastAsia="zh-TW"/>
        </w:rPr>
        <w:t>th</w:t>
      </w:r>
      <w:r w:rsidR="00092FAA">
        <w:rPr>
          <w:rFonts w:eastAsia="PMingLiU"/>
          <w:lang w:eastAsia="zh-TW"/>
        </w:rPr>
        <w:t xml:space="preserve"> </w:t>
      </w:r>
      <w:r w:rsidRPr="004C111D">
        <w:rPr>
          <w:rFonts w:eastAsia="PMingLiU"/>
          <w:lang w:eastAsia="zh-TW"/>
        </w:rPr>
        <w:t xml:space="preserve">and </w:t>
      </w:r>
      <w:r>
        <w:rPr>
          <w:rFonts w:eastAsia="PMingLiU"/>
          <w:lang w:eastAsia="zh-TW"/>
        </w:rPr>
        <w:t>75</w:t>
      </w:r>
      <w:r w:rsidR="00FA458A" w:rsidRPr="00FA458A">
        <w:rPr>
          <w:rFonts w:eastAsia="PMingLiU"/>
          <w:lang w:eastAsia="zh-TW"/>
        </w:rPr>
        <w:t>th</w:t>
      </w:r>
      <w:r w:rsidR="00092FAA">
        <w:rPr>
          <w:rFonts w:eastAsia="PMingLiU"/>
          <w:lang w:eastAsia="zh-TW"/>
        </w:rPr>
        <w:t xml:space="preserve"> </w:t>
      </w:r>
      <w:r w:rsidRPr="004C111D">
        <w:rPr>
          <w:rFonts w:eastAsia="PMingLiU"/>
          <w:lang w:eastAsia="zh-TW"/>
        </w:rPr>
        <w:t>percentiles.</w:t>
      </w:r>
      <w:r>
        <w:rPr>
          <w:rFonts w:eastAsia="PMingLiU"/>
          <w:lang w:eastAsia="zh-TW"/>
        </w:rPr>
        <w:t xml:space="preserve"> The maximum </w:t>
      </w:r>
      <w:r w:rsidRPr="00726701">
        <w:rPr>
          <w:rFonts w:eastAsia="PMingLiU"/>
          <w:lang w:eastAsia="zh-TW"/>
        </w:rPr>
        <w:t>whisker length</w:t>
      </w:r>
      <w:r>
        <w:rPr>
          <w:rFonts w:eastAsia="PMingLiU"/>
          <w:lang w:eastAsia="zh-TW"/>
        </w:rPr>
        <w:t xml:space="preserve"> is 1.5 times the box height (25</w:t>
      </w:r>
      <w:r w:rsidR="00FA458A" w:rsidRPr="00FA458A">
        <w:rPr>
          <w:rFonts w:eastAsia="PMingLiU"/>
          <w:lang w:eastAsia="zh-TW"/>
        </w:rPr>
        <w:t>th</w:t>
      </w:r>
      <w:r w:rsidR="00092FAA">
        <w:rPr>
          <w:rFonts w:eastAsia="PMingLiU"/>
          <w:lang w:eastAsia="zh-TW"/>
        </w:rPr>
        <w:t xml:space="preserve"> </w:t>
      </w:r>
      <w:r>
        <w:rPr>
          <w:rFonts w:eastAsia="PMingLiU"/>
          <w:lang w:eastAsia="zh-TW"/>
        </w:rPr>
        <w:t>to 75</w:t>
      </w:r>
      <w:r w:rsidR="00FA458A" w:rsidRPr="00FA458A">
        <w:rPr>
          <w:rFonts w:eastAsia="PMingLiU"/>
          <w:lang w:eastAsia="zh-TW"/>
        </w:rPr>
        <w:t>th</w:t>
      </w:r>
      <w:r w:rsidRPr="00AE42EB">
        <w:rPr>
          <w:rFonts w:eastAsia="PMingLiU"/>
          <w:lang w:eastAsia="zh-TW"/>
        </w:rPr>
        <w:t xml:space="preserve"> </w:t>
      </w:r>
      <w:r w:rsidRPr="004C111D">
        <w:rPr>
          <w:rFonts w:eastAsia="PMingLiU"/>
          <w:lang w:eastAsia="zh-TW"/>
        </w:rPr>
        <w:t>percentiles</w:t>
      </w:r>
      <w:r>
        <w:rPr>
          <w:rFonts w:eastAsia="PMingLiU"/>
          <w:lang w:eastAsia="zh-TW"/>
        </w:rPr>
        <w:t xml:space="preserve">). Ensemble members outside of the maximum whisker length </w:t>
      </w:r>
      <w:r w:rsidR="00E0369A">
        <w:rPr>
          <w:rFonts w:eastAsia="PMingLiU"/>
          <w:lang w:eastAsia="zh-TW"/>
        </w:rPr>
        <w:t xml:space="preserve">denoted by x </w:t>
      </w:r>
      <w:r>
        <w:rPr>
          <w:rFonts w:eastAsia="PMingLiU"/>
          <w:lang w:eastAsia="zh-TW"/>
        </w:rPr>
        <w:t>are considered statistical outliers (but should not be excluded in the context of climate change).</w:t>
      </w:r>
    </w:p>
    <w:p w14:paraId="62777C51" w14:textId="13907AA5" w:rsidR="00586580" w:rsidRDefault="00586580" w:rsidP="00994F41">
      <w:pPr>
        <w:pStyle w:val="FIGUREposition"/>
        <w:rPr>
          <w:lang w:eastAsia="zh-TW"/>
        </w:rPr>
      </w:pPr>
      <w:r>
        <w:rPr>
          <w:noProof/>
        </w:rPr>
        <w:drawing>
          <wp:inline distT="0" distB="0" distL="0" distR="0" wp14:anchorId="0AC30850" wp14:editId="77228B46">
            <wp:extent cx="2743200" cy="18288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28BDD54C" wp14:editId="15AC97C8">
            <wp:extent cx="2743200" cy="18288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05368D91" wp14:editId="4EE6C430">
            <wp:extent cx="2743200" cy="18288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2F31ED5" wp14:editId="73B9A8B7">
            <wp:extent cx="2743200" cy="18288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3EC75122" w14:textId="344EBA60" w:rsidR="00586580" w:rsidRDefault="003F6C94" w:rsidP="00994F41">
      <w:pPr>
        <w:pStyle w:val="FigureCaption"/>
        <w:rPr>
          <w:lang w:eastAsia="zh-TW"/>
        </w:rPr>
      </w:pPr>
      <w:bookmarkStart w:id="431" w:name="_Ref422382497"/>
      <w:bookmarkStart w:id="432" w:name="_Toc436744765"/>
      <w:bookmarkStart w:id="433" w:name="_Toc113380929"/>
      <w:r>
        <w:rPr>
          <w:lang w:eastAsia="zh-TW"/>
        </w:rPr>
        <w:t>Figure</w:t>
      </w:r>
      <w:r w:rsidR="00586580" w:rsidRPr="001B728A">
        <w:rPr>
          <w:lang w:eastAsia="zh-TW"/>
        </w:rPr>
        <w:t xml:space="preserve"> </w:t>
      </w:r>
      <w:r w:rsidR="00586580" w:rsidRPr="001B728A">
        <w:rPr>
          <w:lang w:eastAsia="zh-TW"/>
        </w:rPr>
        <w:fldChar w:fldCharType="begin"/>
      </w:r>
      <w:r w:rsidR="00586580" w:rsidRPr="001B728A">
        <w:rPr>
          <w:lang w:eastAsia="zh-TW"/>
        </w:rPr>
        <w:instrText xml:space="preserve"> STYLEREF 1 \s </w:instrText>
      </w:r>
      <w:r w:rsidR="00586580" w:rsidRPr="001B728A">
        <w:rPr>
          <w:lang w:eastAsia="zh-TW"/>
        </w:rPr>
        <w:fldChar w:fldCharType="separate"/>
      </w:r>
      <w:r w:rsidR="00EE0BF5">
        <w:rPr>
          <w:noProof/>
          <w:lang w:eastAsia="zh-TW"/>
        </w:rPr>
        <w:t>5</w:t>
      </w:r>
      <w:r w:rsidR="00586580" w:rsidRPr="001B728A">
        <w:rPr>
          <w:lang w:eastAsia="zh-TW"/>
        </w:rPr>
        <w:fldChar w:fldCharType="end"/>
      </w:r>
      <w:r w:rsidR="00586580" w:rsidRPr="001B728A">
        <w:rPr>
          <w:lang w:eastAsia="zh-TW"/>
        </w:rPr>
        <w:t>.</w:t>
      </w:r>
      <w:r w:rsidR="00586580" w:rsidRPr="001B728A">
        <w:rPr>
          <w:lang w:eastAsia="zh-TW"/>
        </w:rPr>
        <w:fldChar w:fldCharType="begin"/>
      </w:r>
      <w:r w:rsidR="00586580" w:rsidRPr="001B728A">
        <w:rPr>
          <w:lang w:eastAsia="zh-TW"/>
        </w:rPr>
        <w:instrText xml:space="preserve"> SEQ Figure \* ARABIC \s 1 </w:instrText>
      </w:r>
      <w:r w:rsidR="00586580" w:rsidRPr="001B728A">
        <w:rPr>
          <w:lang w:eastAsia="zh-TW"/>
        </w:rPr>
        <w:fldChar w:fldCharType="separate"/>
      </w:r>
      <w:r w:rsidR="00EE0BF5">
        <w:rPr>
          <w:noProof/>
          <w:lang w:eastAsia="zh-TW"/>
        </w:rPr>
        <w:t>3</w:t>
      </w:r>
      <w:r w:rsidR="00586580" w:rsidRPr="001B728A">
        <w:rPr>
          <w:lang w:eastAsia="zh-TW"/>
        </w:rPr>
        <w:fldChar w:fldCharType="end"/>
      </w:r>
      <w:bookmarkEnd w:id="431"/>
      <w:r w:rsidR="00586580" w:rsidRPr="001B728A">
        <w:rPr>
          <w:lang w:eastAsia="zh-TW"/>
        </w:rPr>
        <w:t xml:space="preserve">. </w:t>
      </w:r>
      <w:r w:rsidR="00586580" w:rsidRPr="00F61532">
        <w:rPr>
          <w:lang w:eastAsia="zh-TW"/>
        </w:rPr>
        <w:t xml:space="preserve">Projected change of annual and seasonal mean temperature in </w:t>
      </w:r>
      <w:r w:rsidR="00586580">
        <w:rPr>
          <w:lang w:eastAsia="zh-TW"/>
        </w:rPr>
        <w:t>the SWPA region.</w:t>
      </w:r>
      <w:bookmarkEnd w:id="432"/>
      <w:bookmarkEnd w:id="433"/>
    </w:p>
    <w:p w14:paraId="1A1564AB" w14:textId="77777777" w:rsidR="00FF3E71" w:rsidRPr="004C111D" w:rsidRDefault="00FF3E71" w:rsidP="00FF3E71">
      <w:pPr>
        <w:pStyle w:val="BodyText"/>
        <w:rPr>
          <w:highlight w:val="yellow"/>
        </w:rPr>
      </w:pPr>
      <w:r w:rsidRPr="004C111D">
        <w:rPr>
          <w:rFonts w:eastAsia="PMingLiU"/>
          <w:lang w:eastAsia="zh-TW"/>
        </w:rPr>
        <w:t xml:space="preserve">Annual and seasonal temperature is projected to increase across all the ensemble members during both </w:t>
      </w:r>
      <w:r>
        <w:rPr>
          <w:rFonts w:eastAsia="PMingLiU"/>
          <w:lang w:eastAsia="zh-TW"/>
        </w:rPr>
        <w:t xml:space="preserve">the </w:t>
      </w:r>
      <w:r w:rsidRPr="004C111D">
        <w:rPr>
          <w:rFonts w:eastAsia="PMingLiU"/>
          <w:lang w:eastAsia="zh-TW"/>
        </w:rPr>
        <w:t>near-term and mid</w:t>
      </w:r>
      <w:r>
        <w:rPr>
          <w:rFonts w:eastAsia="PMingLiU"/>
          <w:lang w:eastAsia="zh-TW"/>
        </w:rPr>
        <w:t>-</w:t>
      </w:r>
      <w:r w:rsidRPr="004C111D">
        <w:rPr>
          <w:rFonts w:eastAsia="PMingLiU"/>
          <w:lang w:eastAsia="zh-TW"/>
        </w:rPr>
        <w:t>term future periods. A relatively large increase is projected during the mid</w:t>
      </w:r>
      <w:r>
        <w:rPr>
          <w:rFonts w:eastAsia="PMingLiU"/>
          <w:lang w:eastAsia="zh-TW"/>
        </w:rPr>
        <w:t>-</w:t>
      </w:r>
      <w:r w:rsidRPr="004C111D">
        <w:rPr>
          <w:rFonts w:eastAsia="PMingLiU"/>
          <w:lang w:eastAsia="zh-TW"/>
        </w:rPr>
        <w:t xml:space="preserve">term future period with respect to the baseline period. </w:t>
      </w:r>
      <w:r w:rsidRPr="004C111D">
        <w:t xml:space="preserve">The </w:t>
      </w:r>
      <w:r>
        <w:t>multimodel</w:t>
      </w:r>
      <w:r w:rsidRPr="004C111D">
        <w:t xml:space="preserve"> median annual temperature </w:t>
      </w:r>
      <w:r>
        <w:t>in the</w:t>
      </w:r>
      <w:r w:rsidRPr="004C111D">
        <w:t xml:space="preserve"> </w:t>
      </w:r>
      <w:r>
        <w:t>S</w:t>
      </w:r>
      <w:r w:rsidRPr="004C111D">
        <w:t xml:space="preserve">WPA region is projected to increase by </w:t>
      </w:r>
      <w:r w:rsidRPr="0078152E">
        <w:t xml:space="preserve">approximately </w:t>
      </w:r>
      <w:r w:rsidRPr="000D27C0">
        <w:t>2</w:t>
      </w:r>
      <w:r>
        <w:t>°F–3°</w:t>
      </w:r>
      <w:r w:rsidRPr="000D27C0">
        <w:t>F</w:t>
      </w:r>
      <w:r w:rsidRPr="0078152E">
        <w:t xml:space="preserve"> in the near-term and </w:t>
      </w:r>
      <w:r w:rsidRPr="000D27C0">
        <w:t>4</w:t>
      </w:r>
      <w:r>
        <w:t>°F–5°</w:t>
      </w:r>
      <w:r w:rsidRPr="000D27C0">
        <w:t>F</w:t>
      </w:r>
      <w:r w:rsidRPr="0078152E">
        <w:t xml:space="preserve"> i</w:t>
      </w:r>
      <w:r>
        <w:t xml:space="preserve">n </w:t>
      </w:r>
      <w:r w:rsidRPr="004C111D">
        <w:t>the mid</w:t>
      </w:r>
      <w:r>
        <w:t>-</w:t>
      </w:r>
      <w:r w:rsidRPr="004C111D">
        <w:t xml:space="preserve">term </w:t>
      </w:r>
      <w:r>
        <w:t>future periods</w:t>
      </w:r>
      <w:r w:rsidRPr="004C111D">
        <w:t xml:space="preserve">. </w:t>
      </w:r>
      <w:r>
        <w:t>An increase of 4°</w:t>
      </w:r>
      <w:r w:rsidRPr="00C970CF">
        <w:t>F</w:t>
      </w:r>
      <w:r>
        <w:t xml:space="preserve"> or greater</w:t>
      </w:r>
      <w:r w:rsidRPr="0084413F">
        <w:t xml:space="preserve"> </w:t>
      </w:r>
      <w:r>
        <w:t>is projected by the mid-term across all the seasons over the four SWPA areas.</w:t>
      </w:r>
    </w:p>
    <w:p w14:paraId="41C3A400" w14:textId="6D42AC63" w:rsidR="00FF3E71" w:rsidRDefault="00FF3E71" w:rsidP="00FF3E71">
      <w:pPr>
        <w:pStyle w:val="BodyText"/>
      </w:pPr>
      <w:r w:rsidRPr="0084413F">
        <w:t xml:space="preserve">The annual precipitation </w:t>
      </w:r>
      <w:r>
        <w:t>(</w:t>
      </w:r>
      <w:r>
        <w:fldChar w:fldCharType="begin"/>
      </w:r>
      <w:r>
        <w:instrText xml:space="preserve"> REF _Ref72855718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4</w:t>
      </w:r>
      <w:r>
        <w:fldChar w:fldCharType="end"/>
      </w:r>
      <w:r w:rsidR="009A55BC">
        <w:t xml:space="preserve">) also </w:t>
      </w:r>
      <w:r w:rsidR="009A55BC" w:rsidRPr="0084413F">
        <w:t xml:space="preserve">show high interannual and </w:t>
      </w:r>
      <w:r w:rsidR="009A55BC">
        <w:t>intermodel</w:t>
      </w:r>
      <w:r w:rsidR="009A55BC" w:rsidRPr="0084413F">
        <w:t xml:space="preserve">. </w:t>
      </w:r>
      <w:r w:rsidR="009A55BC">
        <w:t>A</w:t>
      </w:r>
      <w:r w:rsidR="009A55BC" w:rsidRPr="0084413F">
        <w:t xml:space="preserve"> comparison of </w:t>
      </w:r>
      <w:r w:rsidR="009A55BC">
        <w:t xml:space="preserve">the </w:t>
      </w:r>
      <w:r w:rsidR="009A55BC" w:rsidRPr="0084413F">
        <w:t>probability distribution</w:t>
      </w:r>
      <w:r w:rsidR="009A55BC">
        <w:t>s</w:t>
      </w:r>
      <w:r w:rsidR="009A55BC" w:rsidRPr="0084413F">
        <w:t xml:space="preserve"> between </w:t>
      </w:r>
      <w:r w:rsidR="009A55BC">
        <w:t xml:space="preserve">the </w:t>
      </w:r>
      <w:r w:rsidR="009A55BC" w:rsidRPr="0084413F">
        <w:t xml:space="preserve">baseline and future periods indicates </w:t>
      </w:r>
      <w:r w:rsidR="009A55BC">
        <w:t xml:space="preserve">a </w:t>
      </w:r>
      <w:r w:rsidR="009A55BC" w:rsidRPr="0084413F">
        <w:t>stati</w:t>
      </w:r>
      <w:r w:rsidR="009A55BC">
        <w:t>sti</w:t>
      </w:r>
      <w:r w:rsidR="009A55BC" w:rsidRPr="0084413F">
        <w:t xml:space="preserve">cally significant increase in precipitation across </w:t>
      </w:r>
      <w:r w:rsidR="009A55BC">
        <w:t>all four SWPA areas</w:t>
      </w:r>
      <w:r w:rsidRPr="0084413F">
        <w:t>.</w:t>
      </w:r>
    </w:p>
    <w:p w14:paraId="79E00D27" w14:textId="3F985CB4" w:rsidR="00260B81" w:rsidRDefault="00B611B0" w:rsidP="00994F41">
      <w:pPr>
        <w:pStyle w:val="FIGUREposition"/>
        <w:rPr>
          <w:lang w:eastAsia="zh-TW"/>
        </w:rPr>
      </w:pPr>
      <w:r>
        <w:rPr>
          <w:noProof/>
        </w:rPr>
        <w:lastRenderedPageBreak/>
        <w:drawing>
          <wp:inline distT="0" distB="0" distL="0" distR="0" wp14:anchorId="54C6EA7B" wp14:editId="3C39CA98">
            <wp:extent cx="5486396" cy="1828799"/>
            <wp:effectExtent l="0" t="0" r="635" b="63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pic:cNvPicPr>
                      <a:picLocks noChangeAspect="1" noChangeArrowheads="1"/>
                    </pic:cNvPicPr>
                  </pic:nvPicPr>
                  <pic:blipFill>
                    <a:blip r:embed="rId190"/>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23DDB1A0" wp14:editId="67714A43">
            <wp:extent cx="5486396" cy="1828799"/>
            <wp:effectExtent l="0" t="0" r="635" b="63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pic:cNvPicPr>
                      <a:picLocks noChangeAspect="1" noChangeArrowheads="1"/>
                    </pic:cNvPicPr>
                  </pic:nvPicPr>
                  <pic:blipFill>
                    <a:blip r:embed="rId191"/>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1D2FE9D3" wp14:editId="6BD14D5C">
            <wp:extent cx="5486396" cy="1828799"/>
            <wp:effectExtent l="0" t="0" r="635" b="63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pic:cNvPicPr>
                      <a:picLocks noChangeAspect="1" noChangeArrowheads="1"/>
                    </pic:cNvPicPr>
                  </pic:nvPicPr>
                  <pic:blipFill>
                    <a:blip r:embed="rId192"/>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55537CBE" wp14:editId="0D20DD0E">
            <wp:extent cx="5486396" cy="1828799"/>
            <wp:effectExtent l="0" t="0" r="635" b="63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pic:cNvPicPr>
                      <a:picLocks noChangeAspect="1" noChangeArrowheads="1"/>
                    </pic:cNvPicPr>
                  </pic:nvPicPr>
                  <pic:blipFill>
                    <a:blip r:embed="rId193"/>
                    <a:stretch>
                      <a:fillRect/>
                    </a:stretch>
                  </pic:blipFill>
                  <pic:spPr bwMode="auto">
                    <a:xfrm>
                      <a:off x="0" y="0"/>
                      <a:ext cx="5486396" cy="1828799"/>
                    </a:xfrm>
                    <a:prstGeom prst="rect">
                      <a:avLst/>
                    </a:prstGeom>
                    <a:noFill/>
                    <a:ln>
                      <a:noFill/>
                    </a:ln>
                  </pic:spPr>
                </pic:pic>
              </a:graphicData>
            </a:graphic>
          </wp:inline>
        </w:drawing>
      </w:r>
    </w:p>
    <w:p w14:paraId="3A8B7FEF" w14:textId="56DD0EAA" w:rsidR="00260B81" w:rsidRDefault="003F6C94" w:rsidP="00260B81">
      <w:pPr>
        <w:pStyle w:val="FigureCaption"/>
        <w:rPr>
          <w:lang w:eastAsia="zh-TW"/>
        </w:rPr>
      </w:pPr>
      <w:bookmarkStart w:id="434" w:name="_Ref72855718"/>
      <w:bookmarkStart w:id="435" w:name="_Toc113380930"/>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5</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4</w:t>
      </w:r>
      <w:r w:rsidR="00260B81" w:rsidRPr="00F61532">
        <w:rPr>
          <w:lang w:eastAsia="zh-TW"/>
        </w:rPr>
        <w:fldChar w:fldCharType="end"/>
      </w:r>
      <w:bookmarkEnd w:id="434"/>
      <w:r w:rsidR="00260B81" w:rsidRPr="00F61532">
        <w:rPr>
          <w:lang w:eastAsia="zh-TW"/>
        </w:rPr>
        <w:t xml:space="preserve">. Projected annual </w:t>
      </w:r>
      <w:r w:rsidR="00260B81">
        <w:rPr>
          <w:lang w:eastAsia="zh-TW"/>
        </w:rPr>
        <w:t>total precipitation</w:t>
      </w:r>
      <w:r w:rsidR="00260B81" w:rsidRPr="00F61532">
        <w:rPr>
          <w:lang w:eastAsia="zh-TW"/>
        </w:rPr>
        <w:t xml:space="preserve"> in </w:t>
      </w:r>
      <w:r w:rsidR="00260B81">
        <w:rPr>
          <w:lang w:eastAsia="zh-TW"/>
        </w:rPr>
        <w:t>the SWPA region.</w:t>
      </w:r>
      <w:bookmarkEnd w:id="435"/>
    </w:p>
    <w:p w14:paraId="0D5922EE" w14:textId="2BAC1603" w:rsidR="00586580" w:rsidRDefault="00F0353D" w:rsidP="00994F41">
      <w:pPr>
        <w:pStyle w:val="FIGUREposition"/>
        <w:rPr>
          <w:lang w:eastAsia="zh-TW"/>
        </w:rPr>
      </w:pPr>
      <w:r>
        <w:rPr>
          <w:noProof/>
        </w:rPr>
        <w:lastRenderedPageBreak/>
        <w:drawing>
          <wp:inline distT="0" distB="0" distL="0" distR="0" wp14:anchorId="7018EE57" wp14:editId="077C618A">
            <wp:extent cx="2743200" cy="18288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03D54B62" wp14:editId="28B99D5C">
            <wp:extent cx="2743200" cy="18288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62E9768" wp14:editId="720016BC">
            <wp:extent cx="2743200" cy="182880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5DBF1D4" wp14:editId="6325804D">
            <wp:extent cx="2743200" cy="18288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3880AC8B" w14:textId="14C23DFC" w:rsidR="007D6E34" w:rsidRDefault="007D6E34" w:rsidP="007D6E34">
      <w:pPr>
        <w:pStyle w:val="FigureCaption"/>
        <w:rPr>
          <w:lang w:eastAsia="zh-TW"/>
        </w:rPr>
      </w:pPr>
      <w:bookmarkStart w:id="436" w:name="_Ref72855887"/>
      <w:bookmarkStart w:id="437" w:name="_Toc113380931"/>
      <w:r w:rsidRPr="006869CA">
        <w:rPr>
          <w:lang w:eastAsia="zh-TW"/>
        </w:rPr>
        <w:t>Fig</w:t>
      </w:r>
      <w:r>
        <w:rPr>
          <w:lang w:eastAsia="zh-TW"/>
        </w:rPr>
        <w:t xml:space="preserve">ure </w:t>
      </w:r>
      <w:r w:rsidRPr="006869CA">
        <w:rPr>
          <w:lang w:eastAsia="zh-TW"/>
        </w:rPr>
        <w:fldChar w:fldCharType="begin"/>
      </w:r>
      <w:r w:rsidRPr="006869CA">
        <w:rPr>
          <w:lang w:eastAsia="zh-TW"/>
        </w:rPr>
        <w:instrText xml:space="preserve"> STYLEREF 1 \s </w:instrText>
      </w:r>
      <w:r w:rsidRPr="006869CA">
        <w:rPr>
          <w:lang w:eastAsia="zh-TW"/>
        </w:rPr>
        <w:fldChar w:fldCharType="separate"/>
      </w:r>
      <w:r w:rsidR="00EE0BF5">
        <w:rPr>
          <w:noProof/>
          <w:lang w:eastAsia="zh-TW"/>
        </w:rPr>
        <w:t>5</w:t>
      </w:r>
      <w:r w:rsidRPr="006869CA">
        <w:rPr>
          <w:lang w:eastAsia="zh-TW"/>
        </w:rPr>
        <w:fldChar w:fldCharType="end"/>
      </w:r>
      <w:r>
        <w:rPr>
          <w:lang w:eastAsia="zh-TW"/>
        </w:rPr>
        <w:t>.</w:t>
      </w:r>
      <w:r w:rsidRPr="006869CA">
        <w:rPr>
          <w:lang w:eastAsia="zh-TW"/>
        </w:rPr>
        <w:fldChar w:fldCharType="begin"/>
      </w:r>
      <w:r w:rsidRPr="006869CA">
        <w:rPr>
          <w:lang w:eastAsia="zh-TW"/>
        </w:rPr>
        <w:instrText xml:space="preserve"> SEQ Figure \* ARABIC \s 1 </w:instrText>
      </w:r>
      <w:r w:rsidRPr="006869CA">
        <w:rPr>
          <w:lang w:eastAsia="zh-TW"/>
        </w:rPr>
        <w:fldChar w:fldCharType="separate"/>
      </w:r>
      <w:r w:rsidR="00EE0BF5">
        <w:rPr>
          <w:noProof/>
          <w:lang w:eastAsia="zh-TW"/>
        </w:rPr>
        <w:t>5</w:t>
      </w:r>
      <w:r w:rsidRPr="006869CA">
        <w:rPr>
          <w:lang w:eastAsia="zh-TW"/>
        </w:rPr>
        <w:fldChar w:fldCharType="end"/>
      </w:r>
      <w:bookmarkEnd w:id="436"/>
      <w:r w:rsidRPr="006869CA">
        <w:rPr>
          <w:lang w:eastAsia="zh-TW"/>
        </w:rPr>
        <w:t xml:space="preserve">. </w:t>
      </w:r>
      <w:r w:rsidRPr="007D6E34">
        <w:rPr>
          <w:lang w:eastAsia="zh-TW"/>
        </w:rPr>
        <w:t>Projected change of annual and seasonal total precipitation in the SWPA region</w:t>
      </w:r>
      <w:r w:rsidRPr="00D410BA">
        <w:rPr>
          <w:lang w:eastAsia="zh-TW"/>
        </w:rPr>
        <w:t>.</w:t>
      </w:r>
      <w:bookmarkEnd w:id="437"/>
    </w:p>
    <w:p w14:paraId="2DCBFB2D" w14:textId="7084F551" w:rsidR="00485CE6" w:rsidRPr="00FF3E71" w:rsidRDefault="00485CE6" w:rsidP="00485CE6">
      <w:pPr>
        <w:pStyle w:val="BodyText"/>
        <w:rPr>
          <w:lang w:eastAsia="zh-TW"/>
        </w:rPr>
      </w:pPr>
      <w:r w:rsidRPr="007D6E34">
        <w:t xml:space="preserve">The annual and seasonal changes in precipitation over the SWPA region are summarized in </w:t>
      </w:r>
      <w:r>
        <w:fldChar w:fldCharType="begin"/>
      </w:r>
      <w:r>
        <w:instrText xml:space="preserve"> REF _Ref72855887 \h </w:instrText>
      </w:r>
      <w:r>
        <w:fldChar w:fldCharType="separate"/>
      </w:r>
      <w:r w:rsidR="00EE0BF5" w:rsidRPr="006869CA">
        <w:rPr>
          <w:lang w:eastAsia="zh-TW"/>
        </w:rPr>
        <w:t>Fig</w:t>
      </w:r>
      <w:r w:rsidR="00EE0BF5">
        <w:rPr>
          <w:lang w:eastAsia="zh-TW"/>
        </w:rPr>
        <w:t xml:space="preserve">ure </w:t>
      </w:r>
      <w:r w:rsidR="00EE0BF5">
        <w:rPr>
          <w:noProof/>
          <w:lang w:eastAsia="zh-TW"/>
        </w:rPr>
        <w:t>5</w:t>
      </w:r>
      <w:r w:rsidR="00EE0BF5">
        <w:rPr>
          <w:lang w:eastAsia="zh-TW"/>
        </w:rPr>
        <w:t>.</w:t>
      </w:r>
      <w:r w:rsidR="00EE0BF5">
        <w:rPr>
          <w:noProof/>
          <w:lang w:eastAsia="zh-TW"/>
        </w:rPr>
        <w:t>5</w:t>
      </w:r>
      <w:r>
        <w:fldChar w:fldCharType="end"/>
      </w:r>
      <w:r w:rsidRPr="007D6E34">
        <w:t xml:space="preserve">. </w:t>
      </w:r>
      <w:r>
        <w:t>I</w:t>
      </w:r>
      <w:r w:rsidRPr="007D6E34">
        <w:t xml:space="preserve">n </w:t>
      </w:r>
      <w:r>
        <w:t xml:space="preserve">both </w:t>
      </w:r>
      <w:r w:rsidRPr="007D6E34">
        <w:t>the near-term (2020</w:t>
      </w:r>
      <w:r>
        <w:t>–</w:t>
      </w:r>
      <w:r w:rsidRPr="007D6E34">
        <w:t>2039) and mid-term (2040</w:t>
      </w:r>
      <w:r>
        <w:t>–</w:t>
      </w:r>
      <w:r w:rsidRPr="007D6E34">
        <w:t>2059)</w:t>
      </w:r>
      <w:r>
        <w:t xml:space="preserve"> future periods</w:t>
      </w:r>
      <w:r w:rsidRPr="007D6E34">
        <w:t xml:space="preserve">, the ensemble median annual precipitation is projected to show </w:t>
      </w:r>
      <w:r>
        <w:t xml:space="preserve">a </w:t>
      </w:r>
      <w:r w:rsidRPr="00534C03">
        <w:t xml:space="preserve">small increase (&lt;5%) over the four areas. </w:t>
      </w:r>
      <w:r>
        <w:t>On a</w:t>
      </w:r>
      <w:r w:rsidRPr="00534C03">
        <w:t xml:space="preserve"> seasonal scale, </w:t>
      </w:r>
      <w:r>
        <w:t xml:space="preserve">the </w:t>
      </w:r>
      <w:r w:rsidRPr="00534C03">
        <w:t>largest increase in median precipitation is projected during the</w:t>
      </w:r>
      <w:r w:rsidRPr="007D6E34">
        <w:t xml:space="preserve"> winter</w:t>
      </w:r>
      <w:r>
        <w:t>,</w:t>
      </w:r>
      <w:r w:rsidRPr="007D6E34">
        <w:t xml:space="preserve"> followed by the spring</w:t>
      </w:r>
      <w:r>
        <w:t>.</w:t>
      </w:r>
      <w:r w:rsidRPr="007D6E34">
        <w:t xml:space="preserve"> </w:t>
      </w:r>
      <w:r>
        <w:t xml:space="preserve">A </w:t>
      </w:r>
      <w:r w:rsidRPr="007D6E34">
        <w:t>small to no median change is projected during the summer and fall across most of the regions.</w:t>
      </w:r>
    </w:p>
    <w:p w14:paraId="5912012B" w14:textId="72EE7753" w:rsidR="00591093" w:rsidRPr="00591093" w:rsidRDefault="00591093" w:rsidP="00591093">
      <w:pPr>
        <w:pStyle w:val="Heading3"/>
      </w:pPr>
      <w:bookmarkStart w:id="438" w:name="_Toc113380823"/>
      <w:r w:rsidRPr="00591093">
        <w:t xml:space="preserve">Regional </w:t>
      </w:r>
      <w:r w:rsidR="00C01F68">
        <w:t>Hydrologic</w:t>
      </w:r>
      <w:r w:rsidRPr="00591093">
        <w:t xml:space="preserve"> Projections</w:t>
      </w:r>
      <w:bookmarkEnd w:id="438"/>
    </w:p>
    <w:p w14:paraId="159A9158" w14:textId="14AABA31" w:rsidR="008210F7" w:rsidRDefault="008210F7" w:rsidP="008210F7">
      <w:pPr>
        <w:pStyle w:val="BodyText"/>
      </w:pPr>
      <w:r w:rsidRPr="008F5A34">
        <w:t xml:space="preserve">The runoff projections for each of the SWPA regions are illustrated in </w:t>
      </w:r>
      <w:r>
        <w:fldChar w:fldCharType="begin"/>
      </w:r>
      <w:r>
        <w:instrText xml:space="preserve"> REF _Ref72855939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6</w:t>
      </w:r>
      <w:r>
        <w:fldChar w:fldCharType="end"/>
      </w:r>
      <w:r w:rsidRPr="008F5A34">
        <w:t xml:space="preserve"> and </w:t>
      </w:r>
      <w:r>
        <w:fldChar w:fldCharType="begin"/>
      </w:r>
      <w:r>
        <w:instrText xml:space="preserve"> REF _Ref72855947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7</w:t>
      </w:r>
      <w:r>
        <w:fldChar w:fldCharType="end"/>
      </w:r>
      <w:r w:rsidRPr="008F5A34">
        <w:t xml:space="preserve">. </w:t>
      </w:r>
      <w:r>
        <w:t xml:space="preserve">The annual total runoff in baseline (1980–2019) and future (2020–2059) </w:t>
      </w:r>
      <w:r w:rsidR="002605AB">
        <w:t xml:space="preserve">periods </w:t>
      </w:r>
      <w:r w:rsidR="00A017F3">
        <w:t xml:space="preserve">is </w:t>
      </w:r>
      <w:r>
        <w:t xml:space="preserve">presented in </w:t>
      </w:r>
      <w:r>
        <w:fldChar w:fldCharType="begin"/>
      </w:r>
      <w:r>
        <w:instrText xml:space="preserve"> REF _Ref72855939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6</w:t>
      </w:r>
      <w:r>
        <w:fldChar w:fldCharType="end"/>
      </w:r>
      <w:r w:rsidR="00A017F3">
        <w:t>.</w:t>
      </w:r>
      <w:r>
        <w:t xml:space="preserve"> </w:t>
      </w:r>
      <w:r w:rsidR="00A017F3">
        <w:t xml:space="preserve">The </w:t>
      </w:r>
      <w:r>
        <w:t>gray lines show annual runoff from 48 sets of hydrologic projections, the black line represent</w:t>
      </w:r>
      <w:r w:rsidR="00A017F3">
        <w:t>s</w:t>
      </w:r>
      <w:r>
        <w:t xml:space="preserve"> the </w:t>
      </w:r>
      <w:r w:rsidR="005E23BA">
        <w:t>multimodel</w:t>
      </w:r>
      <w:r>
        <w:t xml:space="preserve"> median, and the blue and green lines show the control simulations driven by Daymet and Livneh observations, respectively</w:t>
      </w:r>
      <w:r w:rsidRPr="008F5A34">
        <w:t xml:space="preserve">. </w:t>
      </w:r>
      <w:r>
        <w:t>The corresponding probability distributions are compared in the right panel</w:t>
      </w:r>
      <w:r w:rsidRPr="008F5A34">
        <w:t xml:space="preserve">. </w:t>
      </w:r>
      <w:r w:rsidRPr="00A672C4">
        <w:t xml:space="preserve">The annual and seasonal changes in runoff are further summarized in </w:t>
      </w:r>
      <w:r>
        <w:fldChar w:fldCharType="begin"/>
      </w:r>
      <w:r>
        <w:instrText xml:space="preserve"> REF _Ref72855947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7</w:t>
      </w:r>
      <w:r>
        <w:fldChar w:fldCharType="end"/>
      </w:r>
      <w:r w:rsidRPr="00A672C4">
        <w:t>. Change is defined as the percent</w:t>
      </w:r>
      <w:r w:rsidR="004B5CC9">
        <w:t>age</w:t>
      </w:r>
      <w:r w:rsidRPr="00A672C4">
        <w:t xml:space="preserve"> difference of future periods (2020–2039 and 2040–2059) compared </w:t>
      </w:r>
      <w:r w:rsidR="008118EF">
        <w:t>with</w:t>
      </w:r>
      <w:r w:rsidR="008118EF" w:rsidRPr="00A672C4">
        <w:t xml:space="preserve"> </w:t>
      </w:r>
      <w:r w:rsidRPr="00A672C4">
        <w:t>the baseline period</w:t>
      </w:r>
      <w:r w:rsidR="001D67D9">
        <w:t xml:space="preserve"> (</w:t>
      </w:r>
      <w:r w:rsidR="001D67D9" w:rsidRPr="00A672C4">
        <w:t>1980–2019</w:t>
      </w:r>
      <w:r w:rsidR="001D67D9">
        <w:t>)</w:t>
      </w:r>
      <w:r w:rsidRPr="00A672C4">
        <w:t xml:space="preserve">. Each box plot shows the spread across 48 ensemble </w:t>
      </w:r>
      <w:r>
        <w:rPr>
          <w:rFonts w:eastAsia="PMingLiU"/>
          <w:lang w:eastAsia="zh-TW"/>
        </w:rPr>
        <w:t>members</w:t>
      </w:r>
      <w:r w:rsidR="002B1200">
        <w:rPr>
          <w:rFonts w:eastAsia="PMingLiU"/>
          <w:lang w:eastAsia="zh-TW"/>
        </w:rPr>
        <w:t>;</w:t>
      </w:r>
      <w:r w:rsidRPr="00A672C4">
        <w:t xml:space="preserve"> the central mark </w:t>
      </w:r>
      <w:r w:rsidR="002B1200">
        <w:t>indicates</w:t>
      </w:r>
      <w:r w:rsidRPr="00A672C4">
        <w:t xml:space="preserve"> the </w:t>
      </w:r>
      <w:r w:rsidR="005E23BA">
        <w:t>multimodel</w:t>
      </w:r>
      <w:r w:rsidRPr="00A672C4">
        <w:t xml:space="preserve"> median, </w:t>
      </w:r>
      <w:r w:rsidR="002B1200">
        <w:t xml:space="preserve">and </w:t>
      </w:r>
      <w:r w:rsidRPr="00A672C4">
        <w:t xml:space="preserve">the edges of the box </w:t>
      </w:r>
      <w:r w:rsidR="002B1200">
        <w:t xml:space="preserve">indicate </w:t>
      </w:r>
      <w:r w:rsidRPr="00A672C4">
        <w:t xml:space="preserve">the </w:t>
      </w:r>
      <w:r w:rsidR="00BF3E4A">
        <w:t>25</w:t>
      </w:r>
      <w:r w:rsidR="00FA458A" w:rsidRPr="00FA458A">
        <w:t>th</w:t>
      </w:r>
      <w:r w:rsidR="007578B1">
        <w:t xml:space="preserve"> </w:t>
      </w:r>
      <w:r w:rsidRPr="00A672C4">
        <w:t xml:space="preserve">and </w:t>
      </w:r>
      <w:r w:rsidR="00BF3E4A">
        <w:t>75</w:t>
      </w:r>
      <w:r w:rsidR="00FA458A" w:rsidRPr="00FA458A">
        <w:t>th</w:t>
      </w:r>
      <w:r w:rsidR="007578B1">
        <w:t xml:space="preserve"> </w:t>
      </w:r>
      <w:r w:rsidRPr="00A672C4">
        <w:t>percentiles</w:t>
      </w:r>
      <w:r>
        <w:t>.</w:t>
      </w:r>
      <w:r w:rsidRPr="00132CF5">
        <w:rPr>
          <w:rFonts w:eastAsia="PMingLiU"/>
          <w:lang w:eastAsia="zh-TW"/>
        </w:rPr>
        <w:t xml:space="preserve"> </w:t>
      </w:r>
      <w:r>
        <w:rPr>
          <w:rFonts w:eastAsia="PMingLiU"/>
          <w:lang w:eastAsia="zh-TW"/>
        </w:rPr>
        <w:t xml:space="preserve">The maximum </w:t>
      </w:r>
      <w:r w:rsidRPr="00726701">
        <w:rPr>
          <w:rFonts w:eastAsia="PMingLiU"/>
          <w:lang w:eastAsia="zh-TW"/>
        </w:rPr>
        <w:t>whisker length</w:t>
      </w:r>
      <w:r>
        <w:rPr>
          <w:rFonts w:eastAsia="PMingLiU"/>
          <w:lang w:eastAsia="zh-TW"/>
        </w:rPr>
        <w:t xml:space="preserve"> is 1.5 times </w:t>
      </w:r>
      <w:r w:rsidR="002C5082">
        <w:rPr>
          <w:rFonts w:eastAsia="PMingLiU"/>
          <w:lang w:eastAsia="zh-TW"/>
        </w:rPr>
        <w:t xml:space="preserve">the </w:t>
      </w:r>
      <w:r>
        <w:rPr>
          <w:rFonts w:eastAsia="PMingLiU"/>
          <w:lang w:eastAsia="zh-TW"/>
        </w:rPr>
        <w:t>box height (</w:t>
      </w:r>
      <w:r w:rsidR="00BF3E4A">
        <w:rPr>
          <w:rFonts w:eastAsia="PMingLiU"/>
          <w:lang w:eastAsia="zh-TW"/>
        </w:rPr>
        <w:t>25</w:t>
      </w:r>
      <w:r w:rsidR="00FA458A" w:rsidRPr="00FA458A">
        <w:rPr>
          <w:rFonts w:eastAsia="PMingLiU"/>
          <w:lang w:eastAsia="zh-TW"/>
        </w:rPr>
        <w:t>th</w:t>
      </w:r>
      <w:r>
        <w:rPr>
          <w:rFonts w:eastAsia="PMingLiU"/>
          <w:lang w:eastAsia="zh-TW"/>
        </w:rPr>
        <w:t xml:space="preserve"> to </w:t>
      </w:r>
      <w:r w:rsidR="00BF3E4A">
        <w:rPr>
          <w:rFonts w:eastAsia="PMingLiU"/>
          <w:lang w:eastAsia="zh-TW"/>
        </w:rPr>
        <w:t>75</w:t>
      </w:r>
      <w:r w:rsidR="00FA458A" w:rsidRPr="00FA458A">
        <w:rPr>
          <w:rFonts w:eastAsia="PMingLiU"/>
          <w:lang w:eastAsia="zh-TW"/>
        </w:rPr>
        <w:t>th</w:t>
      </w:r>
      <w:r w:rsidR="007578B1">
        <w:rPr>
          <w:rFonts w:eastAsia="PMingLiU"/>
          <w:lang w:eastAsia="zh-TW"/>
        </w:rPr>
        <w:t xml:space="preserve"> </w:t>
      </w:r>
      <w:r w:rsidRPr="004C111D">
        <w:rPr>
          <w:rFonts w:eastAsia="PMingLiU"/>
          <w:lang w:eastAsia="zh-TW"/>
        </w:rPr>
        <w:t>percentiles</w:t>
      </w:r>
      <w:r>
        <w:rPr>
          <w:rFonts w:eastAsia="PMingLiU"/>
          <w:lang w:eastAsia="zh-TW"/>
        </w:rPr>
        <w:t xml:space="preserve">). Ensemble members outside of the maximum whisker length are considered as </w:t>
      </w:r>
      <w:r w:rsidR="000D2A50">
        <w:rPr>
          <w:rFonts w:eastAsia="PMingLiU"/>
          <w:lang w:eastAsia="zh-TW"/>
        </w:rPr>
        <w:t>statistical outliers (but should not be excluded in the context of climate change)</w:t>
      </w:r>
      <w:r w:rsidRPr="00A672C4">
        <w:t>.</w:t>
      </w:r>
    </w:p>
    <w:p w14:paraId="49E930A8" w14:textId="45E7EA25" w:rsidR="00B611B0" w:rsidRDefault="00B611B0" w:rsidP="00994F41">
      <w:pPr>
        <w:pStyle w:val="FIGUREposition"/>
      </w:pPr>
      <w:r w:rsidRPr="00994F41">
        <w:rPr>
          <w:noProof/>
        </w:rPr>
        <w:lastRenderedPageBreak/>
        <w:drawing>
          <wp:inline distT="0" distB="0" distL="0" distR="0" wp14:anchorId="4CCA1493" wp14:editId="18C38FD6">
            <wp:extent cx="5486396" cy="1828798"/>
            <wp:effectExtent l="0" t="0" r="635" b="63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pic:cNvPicPr>
                      <a:picLocks noChangeAspect="1" noChangeArrowheads="1"/>
                    </pic:cNvPicPr>
                  </pic:nvPicPr>
                  <pic:blipFill>
                    <a:blip r:embed="rId198"/>
                    <a:stretch>
                      <a:fillRect/>
                    </a:stretch>
                  </pic:blipFill>
                  <pic:spPr bwMode="auto">
                    <a:xfrm>
                      <a:off x="0" y="0"/>
                      <a:ext cx="5486396" cy="1828798"/>
                    </a:xfrm>
                    <a:prstGeom prst="rect">
                      <a:avLst/>
                    </a:prstGeom>
                    <a:noFill/>
                    <a:ln>
                      <a:noFill/>
                    </a:ln>
                  </pic:spPr>
                </pic:pic>
              </a:graphicData>
            </a:graphic>
          </wp:inline>
        </w:drawing>
      </w:r>
      <w:r w:rsidRPr="00994F41">
        <w:rPr>
          <w:noProof/>
        </w:rPr>
        <w:drawing>
          <wp:inline distT="0" distB="0" distL="0" distR="0" wp14:anchorId="4671BDD4" wp14:editId="27133BB6">
            <wp:extent cx="5486396" cy="1828798"/>
            <wp:effectExtent l="0" t="0" r="635" b="63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a:picLocks noChangeAspect="1" noChangeArrowheads="1"/>
                    </pic:cNvPicPr>
                  </pic:nvPicPr>
                  <pic:blipFill>
                    <a:blip r:embed="rId199"/>
                    <a:stretch>
                      <a:fillRect/>
                    </a:stretch>
                  </pic:blipFill>
                  <pic:spPr bwMode="auto">
                    <a:xfrm>
                      <a:off x="0" y="0"/>
                      <a:ext cx="5486396" cy="1828798"/>
                    </a:xfrm>
                    <a:prstGeom prst="rect">
                      <a:avLst/>
                    </a:prstGeom>
                    <a:noFill/>
                    <a:ln>
                      <a:noFill/>
                    </a:ln>
                  </pic:spPr>
                </pic:pic>
              </a:graphicData>
            </a:graphic>
          </wp:inline>
        </w:drawing>
      </w:r>
      <w:r w:rsidRPr="00994F41">
        <w:rPr>
          <w:noProof/>
        </w:rPr>
        <w:drawing>
          <wp:inline distT="0" distB="0" distL="0" distR="0" wp14:anchorId="76DF88F8" wp14:editId="4E6F7392">
            <wp:extent cx="5486396" cy="1828798"/>
            <wp:effectExtent l="0" t="0" r="635" b="63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pic:cNvPicPr>
                      <a:picLocks noChangeAspect="1" noChangeArrowheads="1"/>
                    </pic:cNvPicPr>
                  </pic:nvPicPr>
                  <pic:blipFill>
                    <a:blip r:embed="rId200"/>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59B025A8" wp14:editId="48604B74">
            <wp:extent cx="5486396" cy="1828798"/>
            <wp:effectExtent l="0" t="0" r="635" b="63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pic:cNvPicPr>
                      <a:picLocks noChangeAspect="1" noChangeArrowheads="1"/>
                    </pic:cNvPicPr>
                  </pic:nvPicPr>
                  <pic:blipFill>
                    <a:blip r:embed="rId201"/>
                    <a:stretch>
                      <a:fillRect/>
                    </a:stretch>
                  </pic:blipFill>
                  <pic:spPr bwMode="auto">
                    <a:xfrm>
                      <a:off x="0" y="0"/>
                      <a:ext cx="5486396" cy="1828798"/>
                    </a:xfrm>
                    <a:prstGeom prst="rect">
                      <a:avLst/>
                    </a:prstGeom>
                    <a:noFill/>
                    <a:ln>
                      <a:noFill/>
                    </a:ln>
                  </pic:spPr>
                </pic:pic>
              </a:graphicData>
            </a:graphic>
          </wp:inline>
        </w:drawing>
      </w:r>
    </w:p>
    <w:p w14:paraId="067B4580" w14:textId="45981721" w:rsidR="00260B81" w:rsidRDefault="003F6C94" w:rsidP="00260B81">
      <w:pPr>
        <w:pStyle w:val="FigureCaption"/>
        <w:rPr>
          <w:b w:val="0"/>
        </w:rPr>
      </w:pPr>
      <w:bookmarkStart w:id="439" w:name="_Ref72855939"/>
      <w:bookmarkStart w:id="440" w:name="_Toc113380932"/>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5</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6</w:t>
      </w:r>
      <w:r w:rsidR="00260B81" w:rsidRPr="00F61532">
        <w:rPr>
          <w:lang w:eastAsia="zh-TW"/>
        </w:rPr>
        <w:fldChar w:fldCharType="end"/>
      </w:r>
      <w:bookmarkEnd w:id="439"/>
      <w:r w:rsidR="00260B81" w:rsidRPr="00F61532">
        <w:rPr>
          <w:lang w:eastAsia="zh-TW"/>
        </w:rPr>
        <w:t xml:space="preserve">. Projected annual </w:t>
      </w:r>
      <w:r w:rsidR="00260B81">
        <w:rPr>
          <w:lang w:eastAsia="zh-TW"/>
        </w:rPr>
        <w:t>total runoff</w:t>
      </w:r>
      <w:r w:rsidR="00260B81" w:rsidRPr="00F61532">
        <w:rPr>
          <w:lang w:eastAsia="zh-TW"/>
        </w:rPr>
        <w:t xml:space="preserve"> in </w:t>
      </w:r>
      <w:r w:rsidR="00260B81">
        <w:rPr>
          <w:lang w:eastAsia="zh-TW"/>
        </w:rPr>
        <w:t>the SWPA region.</w:t>
      </w:r>
      <w:bookmarkEnd w:id="440"/>
    </w:p>
    <w:p w14:paraId="3DFC3380" w14:textId="21BF1B01" w:rsidR="00F0353D" w:rsidRDefault="00F0353D" w:rsidP="00994F41">
      <w:pPr>
        <w:pStyle w:val="FIGUREposition"/>
      </w:pPr>
      <w:r>
        <w:rPr>
          <w:noProof/>
        </w:rPr>
        <w:lastRenderedPageBreak/>
        <w:drawing>
          <wp:inline distT="0" distB="0" distL="0" distR="0" wp14:anchorId="4BBC3C29" wp14:editId="0F5CBBC0">
            <wp:extent cx="2743200" cy="18288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3B7BC191" wp14:editId="15BDA71A">
            <wp:extent cx="2743200" cy="18288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9A52C44" wp14:editId="02950ADC">
            <wp:extent cx="2743200" cy="182880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28DFD4F8" wp14:editId="667C0E3D">
            <wp:extent cx="2743200" cy="18288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521D9A86" w14:textId="2ABEFA30" w:rsidR="00F0353D" w:rsidRDefault="003F6C94" w:rsidP="00F0353D">
      <w:pPr>
        <w:pStyle w:val="FigureCaption"/>
        <w:rPr>
          <w:lang w:eastAsia="zh-TW"/>
        </w:rPr>
      </w:pPr>
      <w:bookmarkStart w:id="441" w:name="_Ref72855947"/>
      <w:bookmarkStart w:id="442" w:name="_Toc113380933"/>
      <w:r>
        <w:rPr>
          <w:lang w:eastAsia="zh-TW"/>
        </w:rPr>
        <w:t>Figure</w:t>
      </w:r>
      <w:r w:rsidR="00F0353D" w:rsidRPr="001B728A">
        <w:rPr>
          <w:lang w:eastAsia="zh-TW"/>
        </w:rPr>
        <w:t xml:space="preserve"> </w:t>
      </w:r>
      <w:r w:rsidR="00F0353D" w:rsidRPr="001B728A">
        <w:rPr>
          <w:lang w:eastAsia="zh-TW"/>
        </w:rPr>
        <w:fldChar w:fldCharType="begin"/>
      </w:r>
      <w:r w:rsidR="00F0353D" w:rsidRPr="001B728A">
        <w:rPr>
          <w:lang w:eastAsia="zh-TW"/>
        </w:rPr>
        <w:instrText xml:space="preserve"> STYLEREF 1 \s </w:instrText>
      </w:r>
      <w:r w:rsidR="00F0353D" w:rsidRPr="001B728A">
        <w:rPr>
          <w:lang w:eastAsia="zh-TW"/>
        </w:rPr>
        <w:fldChar w:fldCharType="separate"/>
      </w:r>
      <w:r w:rsidR="00EE0BF5">
        <w:rPr>
          <w:noProof/>
          <w:lang w:eastAsia="zh-TW"/>
        </w:rPr>
        <w:t>5</w:t>
      </w:r>
      <w:r w:rsidR="00F0353D" w:rsidRPr="001B728A">
        <w:rPr>
          <w:lang w:eastAsia="zh-TW"/>
        </w:rPr>
        <w:fldChar w:fldCharType="end"/>
      </w:r>
      <w:r w:rsidR="00F0353D" w:rsidRPr="001B728A">
        <w:rPr>
          <w:lang w:eastAsia="zh-TW"/>
        </w:rPr>
        <w:t>.</w:t>
      </w:r>
      <w:r w:rsidR="00F0353D" w:rsidRPr="001B728A">
        <w:rPr>
          <w:lang w:eastAsia="zh-TW"/>
        </w:rPr>
        <w:fldChar w:fldCharType="begin"/>
      </w:r>
      <w:r w:rsidR="00F0353D" w:rsidRPr="001B728A">
        <w:rPr>
          <w:lang w:eastAsia="zh-TW"/>
        </w:rPr>
        <w:instrText xml:space="preserve"> SEQ Figure \* ARABIC \s 1 </w:instrText>
      </w:r>
      <w:r w:rsidR="00F0353D" w:rsidRPr="001B728A">
        <w:rPr>
          <w:lang w:eastAsia="zh-TW"/>
        </w:rPr>
        <w:fldChar w:fldCharType="separate"/>
      </w:r>
      <w:r w:rsidR="00EE0BF5">
        <w:rPr>
          <w:noProof/>
          <w:lang w:eastAsia="zh-TW"/>
        </w:rPr>
        <w:t>7</w:t>
      </w:r>
      <w:r w:rsidR="00F0353D" w:rsidRPr="001B728A">
        <w:rPr>
          <w:lang w:eastAsia="zh-TW"/>
        </w:rPr>
        <w:fldChar w:fldCharType="end"/>
      </w:r>
      <w:bookmarkEnd w:id="441"/>
      <w:r w:rsidR="00F0353D" w:rsidRPr="001B728A">
        <w:rPr>
          <w:lang w:eastAsia="zh-TW"/>
        </w:rPr>
        <w:t xml:space="preserve">. </w:t>
      </w:r>
      <w:r w:rsidR="00F0353D" w:rsidRPr="00F61532">
        <w:rPr>
          <w:lang w:eastAsia="zh-TW"/>
        </w:rPr>
        <w:t xml:space="preserve">Projected change of annual and seasonal </w:t>
      </w:r>
      <w:r w:rsidR="00F0353D">
        <w:rPr>
          <w:lang w:eastAsia="zh-TW"/>
        </w:rPr>
        <w:t>total runoff</w:t>
      </w:r>
      <w:r w:rsidR="00F0353D" w:rsidRPr="00F61532">
        <w:rPr>
          <w:lang w:eastAsia="zh-TW"/>
        </w:rPr>
        <w:t xml:space="preserve"> in </w:t>
      </w:r>
      <w:r w:rsidR="00F0353D">
        <w:rPr>
          <w:lang w:eastAsia="zh-TW"/>
        </w:rPr>
        <w:t>the SWPA region.</w:t>
      </w:r>
      <w:bookmarkEnd w:id="442"/>
    </w:p>
    <w:p w14:paraId="70F51501" w14:textId="6D908E7A" w:rsidR="009868FB" w:rsidRDefault="009868FB" w:rsidP="009868FB">
      <w:pPr>
        <w:pStyle w:val="BodyText"/>
      </w:pPr>
      <w:r>
        <w:t>The shifts of the probability distributions (</w:t>
      </w:r>
      <w:r>
        <w:fldChar w:fldCharType="begin"/>
      </w:r>
      <w:r>
        <w:instrText xml:space="preserve"> REF _Ref72855939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6</w:t>
      </w:r>
      <w:r>
        <w:fldChar w:fldCharType="end"/>
      </w:r>
      <w:r>
        <w:t xml:space="preserve">) suggest that the annual runoff is projected to increase </w:t>
      </w:r>
      <w:r w:rsidRPr="00C75C6E">
        <w:t xml:space="preserve">in the future period </w:t>
      </w:r>
      <w:r>
        <w:t xml:space="preserve">and the distributions are </w:t>
      </w:r>
      <w:r w:rsidRPr="00C75C6E">
        <w:t xml:space="preserve">statistically </w:t>
      </w:r>
      <w:r>
        <w:t>different</w:t>
      </w:r>
      <w:r w:rsidRPr="007573EB">
        <w:t>.</w:t>
      </w:r>
      <w:r>
        <w:t xml:space="preserve"> Additionally, the probability distributions in all SWPA areas are projected to be wider, indicating that the range of interannual variability is expected </w:t>
      </w:r>
      <w:r w:rsidRPr="005F4F16">
        <w:t xml:space="preserve">to increase. Such a change is more prominent and easily noticeable in </w:t>
      </w:r>
      <w:r w:rsidRPr="00F66DE3">
        <w:t>SWPA-3. The maximum increase in median annual runoff is projected in the range of 2.9</w:t>
      </w:r>
      <w:r>
        <w:t xml:space="preserve">% to </w:t>
      </w:r>
      <w:r w:rsidRPr="00F66DE3">
        <w:t>8.9%</w:t>
      </w:r>
      <w:r>
        <w:t>,</w:t>
      </w:r>
      <w:r w:rsidRPr="00F66DE3">
        <w:t xml:space="preserve"> with SWPA-3 showing the greatest increase and SWPA-1 showing the least increase. More specifically, the median annual runoff is projected to increase for all study </w:t>
      </w:r>
      <w:r w:rsidRPr="005F4F16">
        <w:t xml:space="preserve">areas in the range of </w:t>
      </w:r>
      <w:r w:rsidRPr="00154652">
        <w:t>1.7</w:t>
      </w:r>
      <w:r>
        <w:t xml:space="preserve">% to </w:t>
      </w:r>
      <w:r w:rsidRPr="00154652">
        <w:t>9.6%</w:t>
      </w:r>
      <w:r w:rsidRPr="005F4F16">
        <w:t xml:space="preserve"> in the near-term and </w:t>
      </w:r>
      <w:r w:rsidRPr="00154652">
        <w:t>5.8</w:t>
      </w:r>
      <w:r>
        <w:t xml:space="preserve">% to </w:t>
      </w:r>
      <w:r w:rsidRPr="00154652">
        <w:t>14.5%</w:t>
      </w:r>
      <w:r w:rsidRPr="005F4F16">
        <w:t xml:space="preserve"> in the mid-term future periods. The range of annual runoff change is higher </w:t>
      </w:r>
      <w:r w:rsidRPr="00F66DE3">
        <w:t>in the mid-term future period</w:t>
      </w:r>
      <w:r>
        <w:t>,</w:t>
      </w:r>
      <w:r w:rsidRPr="007573EB">
        <w:t xml:space="preserve"> indicating greater uncertainties in </w:t>
      </w:r>
      <w:r>
        <w:t xml:space="preserve">the </w:t>
      </w:r>
      <w:r w:rsidRPr="007573EB">
        <w:t>runoff projections.</w:t>
      </w:r>
    </w:p>
    <w:p w14:paraId="6D5A88FB" w14:textId="72521615" w:rsidR="00527DC7" w:rsidRDefault="00643143" w:rsidP="00527DC7">
      <w:pPr>
        <w:pStyle w:val="BodyText"/>
      </w:pPr>
      <w:r w:rsidRPr="000E53C1">
        <w:t xml:space="preserve">At </w:t>
      </w:r>
      <w:r>
        <w:t>the</w:t>
      </w:r>
      <w:r w:rsidRPr="000E53C1">
        <w:t xml:space="preserve"> seasonal scale, the ensemble median winter runoff is projected to increase across all </w:t>
      </w:r>
      <w:r>
        <w:t>SWPA</w:t>
      </w:r>
      <w:r w:rsidRPr="000E53C1">
        <w:t xml:space="preserve"> </w:t>
      </w:r>
      <w:r>
        <w:t>areas</w:t>
      </w:r>
      <w:r w:rsidRPr="000E53C1">
        <w:t xml:space="preserve"> in the range of 0.6</w:t>
      </w:r>
      <w:r>
        <w:t xml:space="preserve">% to </w:t>
      </w:r>
      <w:r w:rsidRPr="000E53C1">
        <w:t>7.3% in the near</w:t>
      </w:r>
      <w:r>
        <w:t>-term</w:t>
      </w:r>
      <w:r w:rsidRPr="000E53C1">
        <w:t xml:space="preserve"> future</w:t>
      </w:r>
      <w:r>
        <w:t xml:space="preserve"> period</w:t>
      </w:r>
      <w:r w:rsidRPr="000E53C1">
        <w:t xml:space="preserve">, </w:t>
      </w:r>
      <w:r>
        <w:t xml:space="preserve">and the change </w:t>
      </w:r>
      <w:r w:rsidRPr="000E53C1">
        <w:t>is expected to further increase in the range of 9.5</w:t>
      </w:r>
      <w:r>
        <w:t xml:space="preserve">% to </w:t>
      </w:r>
      <w:r w:rsidRPr="000E53C1">
        <w:t xml:space="preserve">16.1% in </w:t>
      </w:r>
      <w:r>
        <w:t xml:space="preserve">the </w:t>
      </w:r>
      <w:r w:rsidRPr="000E53C1">
        <w:t>mid</w:t>
      </w:r>
      <w:r>
        <w:t>-term</w:t>
      </w:r>
      <w:r w:rsidRPr="000E53C1">
        <w:t xml:space="preserve"> future period. The spring runoff is projected to increase </w:t>
      </w:r>
      <w:r>
        <w:t xml:space="preserve">in </w:t>
      </w:r>
      <w:r w:rsidRPr="000E53C1">
        <w:t>SWPA-1, SWPA-2</w:t>
      </w:r>
      <w:r>
        <w:t>,</w:t>
      </w:r>
      <w:r w:rsidRPr="000E53C1">
        <w:t xml:space="preserve"> and SWPA-3 in the range of 3.9</w:t>
      </w:r>
      <w:r>
        <w:t xml:space="preserve">% to </w:t>
      </w:r>
      <w:r w:rsidRPr="000E53C1">
        <w:t>11.3% in the near</w:t>
      </w:r>
      <w:r>
        <w:t>-term</w:t>
      </w:r>
      <w:r w:rsidRPr="000E53C1">
        <w:t xml:space="preserve"> and up to 8.4</w:t>
      </w:r>
      <w:r>
        <w:t xml:space="preserve">% to </w:t>
      </w:r>
      <w:r w:rsidRPr="000E53C1">
        <w:t xml:space="preserve">11.9% in </w:t>
      </w:r>
      <w:r>
        <w:t xml:space="preserve">the </w:t>
      </w:r>
      <w:r w:rsidRPr="000E53C1">
        <w:t>mid</w:t>
      </w:r>
      <w:r>
        <w:t>-term</w:t>
      </w:r>
      <w:r w:rsidRPr="000E53C1">
        <w:t xml:space="preserve"> future</w:t>
      </w:r>
      <w:r>
        <w:t xml:space="preserve"> periods</w:t>
      </w:r>
      <w:r w:rsidRPr="000E53C1">
        <w:t xml:space="preserve">. </w:t>
      </w:r>
      <w:r>
        <w:t xml:space="preserve">The spring runoff in </w:t>
      </w:r>
      <w:r w:rsidRPr="000E53C1">
        <w:t>SWPA-4 show</w:t>
      </w:r>
      <w:r>
        <w:t>s</w:t>
      </w:r>
      <w:r w:rsidRPr="000E53C1">
        <w:t xml:space="preserve"> a decrease of 4.3% in the near</w:t>
      </w:r>
      <w:r>
        <w:t>-term</w:t>
      </w:r>
      <w:r w:rsidRPr="000E53C1">
        <w:t xml:space="preserve"> and </w:t>
      </w:r>
      <w:r>
        <w:t xml:space="preserve">an </w:t>
      </w:r>
      <w:r w:rsidRPr="000E53C1">
        <w:t>increase of 8.5% in the mid</w:t>
      </w:r>
      <w:r>
        <w:t>-term</w:t>
      </w:r>
      <w:r w:rsidRPr="000E53C1">
        <w:t xml:space="preserve"> future</w:t>
      </w:r>
      <w:r>
        <w:t xml:space="preserve"> periods</w:t>
      </w:r>
      <w:r w:rsidRPr="000E53C1">
        <w:t xml:space="preserve">. Summer runoff is expected to increase </w:t>
      </w:r>
      <w:r>
        <w:t xml:space="preserve">in </w:t>
      </w:r>
      <w:r w:rsidRPr="000E53C1">
        <w:t xml:space="preserve">all SWPA </w:t>
      </w:r>
      <w:r>
        <w:t xml:space="preserve">areas </w:t>
      </w:r>
      <w:r w:rsidRPr="000E53C1">
        <w:t>by 0.5</w:t>
      </w:r>
      <w:r>
        <w:t>%–</w:t>
      </w:r>
      <w:r w:rsidRPr="000E53C1">
        <w:t xml:space="preserve">12.3% in </w:t>
      </w:r>
      <w:r>
        <w:t xml:space="preserve">the </w:t>
      </w:r>
      <w:r w:rsidRPr="000E53C1">
        <w:t>near</w:t>
      </w:r>
      <w:r>
        <w:t>-term</w:t>
      </w:r>
      <w:r w:rsidRPr="000E53C1">
        <w:t xml:space="preserve"> and 0.6</w:t>
      </w:r>
      <w:r>
        <w:t>%–</w:t>
      </w:r>
      <w:r w:rsidRPr="000E53C1">
        <w:t xml:space="preserve">6.9% in </w:t>
      </w:r>
      <w:r>
        <w:t xml:space="preserve">the </w:t>
      </w:r>
      <w:r w:rsidRPr="000E53C1">
        <w:t>mid</w:t>
      </w:r>
      <w:r>
        <w:t>-term</w:t>
      </w:r>
      <w:r w:rsidRPr="000E53C1">
        <w:t xml:space="preserve"> future</w:t>
      </w:r>
      <w:r>
        <w:t xml:space="preserve"> periods</w:t>
      </w:r>
      <w:r w:rsidRPr="000E53C1">
        <w:t xml:space="preserve">. The fall runoff is also expected to increase across all SWPA </w:t>
      </w:r>
      <w:r>
        <w:t>areas</w:t>
      </w:r>
      <w:r w:rsidRPr="000E53C1">
        <w:t xml:space="preserve">, except </w:t>
      </w:r>
      <w:r>
        <w:t xml:space="preserve">for </w:t>
      </w:r>
      <w:r w:rsidRPr="000E53C1">
        <w:t>SWPA-1, in the range of 1.3</w:t>
      </w:r>
      <w:r>
        <w:t xml:space="preserve">% to </w:t>
      </w:r>
      <w:r w:rsidRPr="000E53C1">
        <w:t xml:space="preserve">4.0% in </w:t>
      </w:r>
      <w:r>
        <w:t xml:space="preserve">the </w:t>
      </w:r>
      <w:r w:rsidRPr="000E53C1">
        <w:t>near</w:t>
      </w:r>
      <w:r>
        <w:t>-term</w:t>
      </w:r>
      <w:r w:rsidRPr="000E53C1">
        <w:t xml:space="preserve"> and 2.5</w:t>
      </w:r>
      <w:r>
        <w:t xml:space="preserve">% to </w:t>
      </w:r>
      <w:r w:rsidRPr="000E53C1">
        <w:t xml:space="preserve">18.9% in </w:t>
      </w:r>
      <w:r>
        <w:t xml:space="preserve">the </w:t>
      </w:r>
      <w:r w:rsidRPr="000E53C1">
        <w:t>mid</w:t>
      </w:r>
      <w:r>
        <w:t>-term</w:t>
      </w:r>
      <w:r w:rsidRPr="000E53C1">
        <w:t xml:space="preserve"> future</w:t>
      </w:r>
      <w:r>
        <w:t xml:space="preserve"> periods</w:t>
      </w:r>
      <w:r w:rsidRPr="000E53C1">
        <w:t>.</w:t>
      </w:r>
      <w:r>
        <w:t xml:space="preserve"> The increase is also associated with a large range as shown by </w:t>
      </w:r>
      <w:r>
        <w:fldChar w:fldCharType="begin"/>
      </w:r>
      <w:r>
        <w:instrText xml:space="preserve"> REF _Ref72855947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7</w:t>
      </w:r>
      <w:r>
        <w:fldChar w:fldCharType="end"/>
      </w:r>
      <w:r>
        <w:t>, especially for SWPA-4</w:t>
      </w:r>
      <w:r w:rsidR="00CC6724">
        <w:t>,</w:t>
      </w:r>
      <w:r>
        <w:t xml:space="preserve"> </w:t>
      </w:r>
      <w:r w:rsidR="00CC6724">
        <w:t xml:space="preserve">which likely </w:t>
      </w:r>
      <w:r w:rsidRPr="00177550">
        <w:t>stem</w:t>
      </w:r>
      <w:r w:rsidR="00CC6724">
        <w:t>s</w:t>
      </w:r>
      <w:r w:rsidRPr="00177550">
        <w:t xml:space="preserve"> from a large variability in the precipitation</w:t>
      </w:r>
      <w:r w:rsidR="00CC6724">
        <w:t>;</w:t>
      </w:r>
      <w:r w:rsidRPr="00177550">
        <w:t xml:space="preserve"> however</w:t>
      </w:r>
      <w:r w:rsidR="00CC6724">
        <w:t>,</w:t>
      </w:r>
      <w:r w:rsidRPr="00177550">
        <w:t xml:space="preserve"> the range of change in runoff is higher than that of </w:t>
      </w:r>
      <w:r w:rsidR="00CC6724">
        <w:t xml:space="preserve">the </w:t>
      </w:r>
      <w:r w:rsidRPr="00177550">
        <w:t xml:space="preserve">range of change in precipitation. </w:t>
      </w:r>
      <w:r>
        <w:t xml:space="preserve">The fall runoff in </w:t>
      </w:r>
      <w:r w:rsidRPr="000E53C1">
        <w:t xml:space="preserve">SWPA-1 is projected to decrease </w:t>
      </w:r>
      <w:r>
        <w:t xml:space="preserve">by </w:t>
      </w:r>
      <w:r w:rsidRPr="000E53C1">
        <w:t xml:space="preserve">5.7% in </w:t>
      </w:r>
      <w:r>
        <w:t xml:space="preserve">the </w:t>
      </w:r>
      <w:r w:rsidRPr="000E53C1">
        <w:t>near</w:t>
      </w:r>
      <w:r>
        <w:t>-term</w:t>
      </w:r>
      <w:r w:rsidRPr="000E53C1">
        <w:t xml:space="preserve"> and 2.5% in the mid</w:t>
      </w:r>
      <w:r>
        <w:t>-term</w:t>
      </w:r>
      <w:r w:rsidRPr="000E53C1">
        <w:t xml:space="preserve"> future</w:t>
      </w:r>
      <w:r>
        <w:t xml:space="preserve"> periods</w:t>
      </w:r>
      <w:r w:rsidRPr="000E53C1">
        <w:t xml:space="preserve">. The seasonal projections are associated with large spread </w:t>
      </w:r>
      <w:r>
        <w:t>across all</w:t>
      </w:r>
      <w:r w:rsidRPr="000E53C1">
        <w:t xml:space="preserve"> ensemble members in both near</w:t>
      </w:r>
      <w:r>
        <w:t>-term</w:t>
      </w:r>
      <w:r w:rsidRPr="000E53C1">
        <w:t xml:space="preserve"> and mid</w:t>
      </w:r>
      <w:r>
        <w:t>-term</w:t>
      </w:r>
      <w:r w:rsidRPr="000E53C1">
        <w:t xml:space="preserve"> future periods</w:t>
      </w:r>
      <w:r>
        <w:t>,</w:t>
      </w:r>
      <w:r w:rsidRPr="000E53C1">
        <w:t xml:space="preserve"> indicating high uncertainties in ensemble members</w:t>
      </w:r>
      <w:r w:rsidR="00527DC7" w:rsidRPr="000E53C1">
        <w:t>.</w:t>
      </w:r>
    </w:p>
    <w:p w14:paraId="593C5941" w14:textId="67A25529" w:rsidR="004837BC" w:rsidRDefault="00E34C85" w:rsidP="004837BC">
      <w:pPr>
        <w:pStyle w:val="BodyText"/>
      </w:pPr>
      <w:r w:rsidRPr="00A672C4">
        <w:lastRenderedPageBreak/>
        <w:t xml:space="preserve">An additional analysis </w:t>
      </w:r>
      <w:r>
        <w:t>of</w:t>
      </w:r>
      <w:r w:rsidRPr="00A672C4">
        <w:t xml:space="preserve"> extreme runoff is shown in</w:t>
      </w:r>
      <w:r>
        <w:t xml:space="preserve"> </w:t>
      </w:r>
      <w:r w:rsidR="006C2B2C">
        <w:fldChar w:fldCharType="begin"/>
      </w:r>
      <w:r w:rsidR="006C2B2C">
        <w:instrText xml:space="preserve"> REF _Ref83537345 \h </w:instrText>
      </w:r>
      <w:r w:rsidR="006C2B2C">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8</w:t>
      </w:r>
      <w:r w:rsidR="006C2B2C">
        <w:fldChar w:fldCharType="end"/>
      </w:r>
      <w:r w:rsidRPr="00A672C4">
        <w:t xml:space="preserve">, which presents future changes in ensemble median high runoff (i.e., </w:t>
      </w:r>
      <w:r w:rsidR="00662620">
        <w:t>95</w:t>
      </w:r>
      <w:r w:rsidR="00FA458A" w:rsidRPr="00FA458A">
        <w:t>th</w:t>
      </w:r>
      <w:r w:rsidR="000B2A68">
        <w:t xml:space="preserve"> </w:t>
      </w:r>
      <w:r w:rsidRPr="00A672C4">
        <w:t>percentile of daily runoff) and median low runoff (i.e.,</w:t>
      </w:r>
      <w:r w:rsidR="004B5CC9">
        <w:t xml:space="preserve"> 5</w:t>
      </w:r>
      <w:r w:rsidR="00FA458A" w:rsidRPr="00FA458A">
        <w:t>th</w:t>
      </w:r>
      <w:r w:rsidR="000B2A68">
        <w:t xml:space="preserve"> </w:t>
      </w:r>
      <w:r w:rsidRPr="00A672C4">
        <w:t xml:space="preserve">percentile </w:t>
      </w:r>
      <w:r w:rsidR="00A46CB0">
        <w:t xml:space="preserve">of </w:t>
      </w:r>
      <w:r>
        <w:rPr>
          <w:color w:val="000000" w:themeColor="text1"/>
          <w:lang w:eastAsia="zh-TW"/>
        </w:rPr>
        <w:t xml:space="preserve">7-day average </w:t>
      </w:r>
      <w:r w:rsidRPr="00A672C4">
        <w:t xml:space="preserve">runoff) </w:t>
      </w:r>
      <w:r>
        <w:t>in</w:t>
      </w:r>
      <w:r w:rsidRPr="00A672C4">
        <w:t xml:space="preserve"> both future projection periods. </w:t>
      </w:r>
      <w:r w:rsidR="009E4145" w:rsidRPr="00A672C4">
        <w:t xml:space="preserve">High </w:t>
      </w:r>
      <w:r w:rsidR="009E4145">
        <w:t>r</w:t>
      </w:r>
      <w:r w:rsidR="009E4145" w:rsidRPr="00A672C4">
        <w:t>unoff is generally projected to increase in both future period</w:t>
      </w:r>
      <w:r w:rsidR="009E4145">
        <w:t>s</w:t>
      </w:r>
      <w:r w:rsidR="009E4145" w:rsidRPr="00A672C4">
        <w:t xml:space="preserve"> across all </w:t>
      </w:r>
      <w:r w:rsidR="009E4145">
        <w:t>SWPA</w:t>
      </w:r>
      <w:r w:rsidR="009E4145" w:rsidRPr="00A672C4">
        <w:t xml:space="preserve"> </w:t>
      </w:r>
      <w:r w:rsidR="009E4145">
        <w:t xml:space="preserve">areas, along with large spatial heterogeneity. </w:t>
      </w:r>
      <w:r w:rsidR="009E4145" w:rsidRPr="00A672C4">
        <w:t>The low runoff is projected to</w:t>
      </w:r>
      <w:r w:rsidR="009E4145">
        <w:t xml:space="preserve"> decrease </w:t>
      </w:r>
      <w:r w:rsidR="009E4145" w:rsidRPr="00A672C4">
        <w:t xml:space="preserve">in general across all </w:t>
      </w:r>
      <w:r w:rsidR="009E4145">
        <w:t>SWPA areas</w:t>
      </w:r>
      <w:r w:rsidR="009E4145" w:rsidRPr="00A672C4">
        <w:t xml:space="preserve"> </w:t>
      </w:r>
      <w:r w:rsidR="009E4145">
        <w:t xml:space="preserve">in </w:t>
      </w:r>
      <w:r w:rsidR="009E4145" w:rsidRPr="00A672C4">
        <w:t>both future period</w:t>
      </w:r>
      <w:r w:rsidR="009E4145">
        <w:t>s</w:t>
      </w:r>
      <w:r w:rsidR="009E4145" w:rsidRPr="00A672C4">
        <w:t>. These results suggest</w:t>
      </w:r>
      <w:r w:rsidR="009E4145">
        <w:t xml:space="preserve"> that although there may be a slight increase in extreme flood events, the region may observe greater challenges caused by reduced low flow conditions under future climate</w:t>
      </w:r>
      <w:r w:rsidR="004837BC">
        <w:t>.</w:t>
      </w:r>
    </w:p>
    <w:p w14:paraId="730C3212" w14:textId="2B278A83" w:rsidR="00BA442B" w:rsidRDefault="00BA442B" w:rsidP="00994F41">
      <w:pPr>
        <w:pStyle w:val="FIGUREposition"/>
      </w:pPr>
      <w:r>
        <w:rPr>
          <w:noProof/>
        </w:rPr>
        <w:drawing>
          <wp:inline distT="0" distB="0" distL="0" distR="0" wp14:anchorId="45A39D4D" wp14:editId="65C09870">
            <wp:extent cx="5486400" cy="548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206"/>
                    <a:stretch>
                      <a:fillRect/>
                    </a:stretch>
                  </pic:blipFill>
                  <pic:spPr bwMode="auto">
                    <a:xfrm>
                      <a:off x="0" y="0"/>
                      <a:ext cx="5486400" cy="5486400"/>
                    </a:xfrm>
                    <a:prstGeom prst="rect">
                      <a:avLst/>
                    </a:prstGeom>
                    <a:noFill/>
                    <a:ln>
                      <a:noFill/>
                    </a:ln>
                  </pic:spPr>
                </pic:pic>
              </a:graphicData>
            </a:graphic>
          </wp:inline>
        </w:drawing>
      </w:r>
    </w:p>
    <w:p w14:paraId="45D2DE36" w14:textId="71D1C48D" w:rsidR="00BA442B" w:rsidRPr="00F61532" w:rsidRDefault="00BA442B" w:rsidP="00BA442B">
      <w:pPr>
        <w:pStyle w:val="FigureCaption"/>
        <w:rPr>
          <w:b w:val="0"/>
        </w:rPr>
      </w:pPr>
      <w:bookmarkStart w:id="443" w:name="_Ref83537345"/>
      <w:bookmarkStart w:id="444" w:name="_Toc11338093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8</w:t>
      </w:r>
      <w:r w:rsidRPr="00F61532">
        <w:rPr>
          <w:lang w:eastAsia="zh-TW"/>
        </w:rPr>
        <w:fldChar w:fldCharType="end"/>
      </w:r>
      <w:bookmarkEnd w:id="443"/>
      <w:r w:rsidRPr="00F61532">
        <w:rPr>
          <w:lang w:eastAsia="zh-TW"/>
        </w:rPr>
        <w:t xml:space="preserve">. </w:t>
      </w:r>
      <w:r w:rsidRPr="00F422BB">
        <w:rPr>
          <w:lang w:eastAsia="zh-TW"/>
        </w:rPr>
        <w:t xml:space="preserve">Projected change of high and low runoff in the </w:t>
      </w:r>
      <w:r>
        <w:rPr>
          <w:lang w:eastAsia="zh-TW"/>
        </w:rPr>
        <w:t>SWPA</w:t>
      </w:r>
      <w:r w:rsidRPr="00F422BB">
        <w:rPr>
          <w:lang w:eastAsia="zh-TW"/>
        </w:rPr>
        <w:t xml:space="preserve"> region</w:t>
      </w:r>
      <w:r>
        <w:rPr>
          <w:lang w:eastAsia="zh-TW"/>
        </w:rPr>
        <w:t>.</w:t>
      </w:r>
      <w:bookmarkEnd w:id="444"/>
    </w:p>
    <w:p w14:paraId="1436E9A1" w14:textId="4E9F5E8F" w:rsidR="008210F7" w:rsidRDefault="008210F7" w:rsidP="00994F41">
      <w:pPr>
        <w:pStyle w:val="BodyText"/>
      </w:pPr>
      <w:r>
        <w:rPr>
          <w:color w:val="000000" w:themeColor="text1"/>
          <w:lang w:eastAsia="zh-TW"/>
        </w:rPr>
        <w:t xml:space="preserve">To evaluate the impacts of </w:t>
      </w:r>
      <w:r>
        <w:t>modeling</w:t>
      </w:r>
      <w:r w:rsidRPr="00B81A63">
        <w:t xml:space="preserve"> choices (</w:t>
      </w:r>
      <w:r w:rsidR="006C4A5A">
        <w:t>six</w:t>
      </w:r>
      <w:r w:rsidRPr="00B81A63">
        <w:t xml:space="preserve"> CMs, </w:t>
      </w:r>
      <w:r w:rsidR="006C4A5A">
        <w:t>two</w:t>
      </w:r>
      <w:r w:rsidRPr="00B81A63">
        <w:t xml:space="preserve"> </w:t>
      </w:r>
      <w:r>
        <w:t>DSs</w:t>
      </w:r>
      <w:r w:rsidRPr="00B81A63">
        <w:t xml:space="preserve">, </w:t>
      </w:r>
      <w:r w:rsidR="006C4A5A">
        <w:t>two</w:t>
      </w:r>
      <w:r w:rsidRPr="00B81A63">
        <w:t xml:space="preserve"> </w:t>
      </w:r>
      <w:r>
        <w:t>MetFs</w:t>
      </w:r>
      <w:r w:rsidRPr="00B81A63">
        <w:t xml:space="preserve">, </w:t>
      </w:r>
      <w:r>
        <w:t xml:space="preserve">and </w:t>
      </w:r>
      <w:r w:rsidR="006C4A5A">
        <w:t>two</w:t>
      </w:r>
      <w:r w:rsidRPr="00B81A63">
        <w:t xml:space="preserve"> </w:t>
      </w:r>
      <w:r>
        <w:t>HMs</w:t>
      </w:r>
      <w:r w:rsidRPr="00B81A63">
        <w:t xml:space="preserve">) </w:t>
      </w:r>
      <w:r>
        <w:t xml:space="preserve">on the projection of future runoff in </w:t>
      </w:r>
      <w:r w:rsidRPr="006268D6">
        <w:t xml:space="preserve">each </w:t>
      </w:r>
      <w:r>
        <w:t>SWPA</w:t>
      </w:r>
      <w:r w:rsidRPr="006268D6">
        <w:t xml:space="preserve"> area, </w:t>
      </w:r>
      <w:r w:rsidR="006C4A5A">
        <w:t xml:space="preserve">an </w:t>
      </w:r>
      <w:r w:rsidRPr="006268D6">
        <w:t xml:space="preserve">ANOVA </w:t>
      </w:r>
      <w:r w:rsidR="006C4A5A">
        <w:t xml:space="preserve">was </w:t>
      </w:r>
      <w:r>
        <w:t xml:space="preserve">conducted and </w:t>
      </w:r>
      <w:r w:rsidR="001140B9">
        <w:t xml:space="preserve">is </w:t>
      </w:r>
      <w:r>
        <w:t xml:space="preserve">illustrated </w:t>
      </w:r>
      <w:r w:rsidRPr="006268D6">
        <w:t xml:space="preserve">in </w:t>
      </w:r>
      <w:r>
        <w:rPr>
          <w:highlight w:val="yellow"/>
        </w:rPr>
        <w:fldChar w:fldCharType="begin"/>
      </w:r>
      <w:r>
        <w:instrText xml:space="preserve"> REF _Ref72856060 \h </w:instrText>
      </w:r>
      <w:r>
        <w:rPr>
          <w:highlight w:val="yellow"/>
        </w:rPr>
      </w:r>
      <w:r>
        <w:rPr>
          <w:highlight w:val="yellow"/>
        </w:rP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9</w:t>
      </w:r>
      <w:r>
        <w:rPr>
          <w:highlight w:val="yellow"/>
        </w:rPr>
        <w:fldChar w:fldCharType="end"/>
      </w:r>
      <w:r w:rsidRPr="00E04523">
        <w:t xml:space="preserve">. </w:t>
      </w:r>
      <w:r w:rsidRPr="006268D6">
        <w:t>The box</w:t>
      </w:r>
      <w:r w:rsidR="005610E7">
        <w:t xml:space="preserve"> </w:t>
      </w:r>
      <w:r w:rsidRPr="006268D6">
        <w:t>plots show the magnitude of change (future minus baseline)</w:t>
      </w:r>
      <w:r>
        <w:t xml:space="preserve"> </w:t>
      </w:r>
      <w:r w:rsidRPr="006268D6">
        <w:t xml:space="preserve">in median annual runoff </w:t>
      </w:r>
      <w:r>
        <w:t>across</w:t>
      </w:r>
      <w:r w:rsidRPr="006268D6">
        <w:t xml:space="preserve"> 48 ensemble</w:t>
      </w:r>
      <w:r>
        <w:t xml:space="preserve"> member</w:t>
      </w:r>
      <w:r w:rsidRPr="006268D6">
        <w:t xml:space="preserve">s, grouped by each of the four </w:t>
      </w:r>
      <w:r>
        <w:t>modeling choices</w:t>
      </w:r>
      <w:r w:rsidRPr="00E04523">
        <w:t xml:space="preserve">. </w:t>
      </w:r>
      <w:r>
        <w:t>The box</w:t>
      </w:r>
      <w:r w:rsidR="005610E7">
        <w:t xml:space="preserve"> </w:t>
      </w:r>
      <w:r>
        <w:t>plots provide a quantitative way to evaluate the range of possible outcomes in runoff response based on different modeling choices</w:t>
      </w:r>
      <w:r w:rsidRPr="00E04523">
        <w:t xml:space="preserve">. </w:t>
      </w:r>
      <w:r>
        <w:t xml:space="preserve">ANOVA results </w:t>
      </w:r>
      <w:r w:rsidRPr="00B81A63">
        <w:t xml:space="preserve">indicate that </w:t>
      </w:r>
      <w:r w:rsidR="00F32AA2">
        <w:t xml:space="preserve">the </w:t>
      </w:r>
      <w:r>
        <w:t xml:space="preserve">CM is </w:t>
      </w:r>
      <w:r w:rsidRPr="00B81A63">
        <w:t xml:space="preserve">generally the </w:t>
      </w:r>
      <w:r w:rsidR="00C753AB">
        <w:rPr>
          <w:rFonts w:eastAsia="PMingLiU"/>
          <w:lang w:eastAsia="zh-TW"/>
        </w:rPr>
        <w:t xml:space="preserve">most </w:t>
      </w:r>
      <w:r w:rsidRPr="00B81A63">
        <w:t xml:space="preserve">dominant contributor to the </w:t>
      </w:r>
      <w:r>
        <w:t xml:space="preserve">total variance of </w:t>
      </w:r>
      <w:r>
        <w:lastRenderedPageBreak/>
        <w:t>future runoff projections</w:t>
      </w:r>
      <w:r w:rsidRPr="00E04523">
        <w:t xml:space="preserve">. The contribution of </w:t>
      </w:r>
      <w:r w:rsidR="00F32AA2">
        <w:t xml:space="preserve">the </w:t>
      </w:r>
      <w:r>
        <w:t xml:space="preserve">CM </w:t>
      </w:r>
      <w:r w:rsidRPr="00E04523">
        <w:t xml:space="preserve">toward total variance is greater than 50% </w:t>
      </w:r>
      <w:r>
        <w:t>in</w:t>
      </w:r>
      <w:r w:rsidRPr="00E04523">
        <w:t xml:space="preserve"> SWPA</w:t>
      </w:r>
      <w:r w:rsidR="00F32AA2">
        <w:noBreakHyphen/>
      </w:r>
      <w:r w:rsidRPr="00E04523">
        <w:t xml:space="preserve">1, </w:t>
      </w:r>
      <w:r>
        <w:t>SWPA</w:t>
      </w:r>
      <w:r w:rsidR="007D6717">
        <w:noBreakHyphen/>
      </w:r>
      <w:r w:rsidRPr="00E04523">
        <w:t>2</w:t>
      </w:r>
      <w:r>
        <w:t>,</w:t>
      </w:r>
      <w:r w:rsidRPr="00E04523">
        <w:t xml:space="preserve"> and </w:t>
      </w:r>
      <w:r>
        <w:t>SWPA-</w:t>
      </w:r>
      <w:r w:rsidRPr="00E04523">
        <w:t xml:space="preserve">3. In SWPA-4, </w:t>
      </w:r>
      <w:r w:rsidR="00F32AA2">
        <w:t xml:space="preserve">the </w:t>
      </w:r>
      <w:r>
        <w:t xml:space="preserve">CM </w:t>
      </w:r>
      <w:r w:rsidR="007D6717">
        <w:t xml:space="preserve">and </w:t>
      </w:r>
      <w:r>
        <w:t xml:space="preserve">DS </w:t>
      </w:r>
      <w:r w:rsidRPr="00E04523">
        <w:t xml:space="preserve">both have a stronger influence. At </w:t>
      </w:r>
      <w:r>
        <w:t xml:space="preserve">the </w:t>
      </w:r>
      <w:r w:rsidRPr="00E04523">
        <w:t>seasonal scale</w:t>
      </w:r>
      <w:bookmarkStart w:id="445" w:name="_Hlk74063584"/>
      <w:r>
        <w:t xml:space="preserve"> </w:t>
      </w:r>
      <w:bookmarkEnd w:id="445"/>
      <w:r>
        <w:t>(</w:t>
      </w:r>
      <w:r w:rsidR="00F9171D">
        <w:rPr>
          <w:color w:val="000000" w:themeColor="text1"/>
        </w:rPr>
        <w:fldChar w:fldCharType="begin"/>
      </w:r>
      <w:r w:rsidR="00F9171D">
        <w:instrText xml:space="preserve"> REF _Ref81739142 \n \h </w:instrText>
      </w:r>
      <w:r w:rsidR="00F9171D">
        <w:rPr>
          <w:color w:val="000000" w:themeColor="text1"/>
        </w:rPr>
      </w:r>
      <w:r w:rsidR="00F9171D">
        <w:rPr>
          <w:color w:val="000000" w:themeColor="text1"/>
        </w:rPr>
        <w:fldChar w:fldCharType="separate"/>
      </w:r>
      <w:r w:rsidR="00EE0BF5">
        <w:t>APPENDIX E</w:t>
      </w:r>
      <w:r w:rsidR="00F9171D">
        <w:rPr>
          <w:color w:val="000000" w:themeColor="text1"/>
        </w:rPr>
        <w:fldChar w:fldCharType="end"/>
      </w:r>
      <w:r>
        <w:t>)</w:t>
      </w:r>
      <w:r w:rsidRPr="00E04523">
        <w:t>, the ANOVA indicate</w:t>
      </w:r>
      <w:r>
        <w:t>s</w:t>
      </w:r>
      <w:r w:rsidRPr="00E04523">
        <w:t xml:space="preserve"> that factors other </w:t>
      </w:r>
      <w:r w:rsidR="006D1B45">
        <w:t xml:space="preserve">than </w:t>
      </w:r>
      <w:r w:rsidR="00F32AA2">
        <w:t xml:space="preserve">the </w:t>
      </w:r>
      <w:r>
        <w:t xml:space="preserve">CM </w:t>
      </w:r>
      <w:r w:rsidRPr="00E04523">
        <w:t>may have strong</w:t>
      </w:r>
      <w:r>
        <w:t>er</w:t>
      </w:r>
      <w:r w:rsidRPr="00E04523">
        <w:t xml:space="preserve"> impact</w:t>
      </w:r>
      <w:r>
        <w:t>s</w:t>
      </w:r>
      <w:r w:rsidRPr="00E04523">
        <w:t xml:space="preserve"> </w:t>
      </w:r>
      <w:bookmarkStart w:id="446" w:name="_Hlk74063664"/>
      <w:r>
        <w:t>than at the annual scale</w:t>
      </w:r>
      <w:bookmarkEnd w:id="446"/>
      <w:r w:rsidRPr="00E04523">
        <w:t xml:space="preserve">. For instance, </w:t>
      </w:r>
      <w:r w:rsidR="007D6717">
        <w:t>although</w:t>
      </w:r>
      <w:r w:rsidR="007D6717" w:rsidRPr="00E04523">
        <w:t xml:space="preserve"> </w:t>
      </w:r>
      <w:r w:rsidR="00F32AA2">
        <w:t xml:space="preserve">the </w:t>
      </w:r>
      <w:r>
        <w:t xml:space="preserve">CM is the </w:t>
      </w:r>
      <w:r w:rsidR="00C753AB">
        <w:rPr>
          <w:rFonts w:eastAsia="PMingLiU"/>
          <w:lang w:eastAsia="zh-TW"/>
        </w:rPr>
        <w:t xml:space="preserve">most </w:t>
      </w:r>
      <w:r w:rsidRPr="00E04523">
        <w:t xml:space="preserve">dominant contributor to the </w:t>
      </w:r>
      <w:r>
        <w:t xml:space="preserve">winter </w:t>
      </w:r>
      <w:r w:rsidRPr="00E04523">
        <w:t xml:space="preserve">runoff </w:t>
      </w:r>
      <w:r>
        <w:t>variance</w:t>
      </w:r>
      <w:r w:rsidRPr="00E04523">
        <w:t xml:space="preserve">, the contribution from </w:t>
      </w:r>
      <w:r>
        <w:t>the CM</w:t>
      </w:r>
      <w:r w:rsidRPr="00E04523">
        <w:t xml:space="preserve"> and DS interaction can also exhibit a stronger influence during </w:t>
      </w:r>
      <w:r w:rsidR="007D6717">
        <w:t xml:space="preserve">the </w:t>
      </w:r>
      <w:r w:rsidRPr="00E04523">
        <w:t>summer and fall</w:t>
      </w:r>
      <w:r>
        <w:t>.</w:t>
      </w:r>
    </w:p>
    <w:p w14:paraId="4775D3AB" w14:textId="77777777" w:rsidR="009868FB" w:rsidRDefault="009868FB" w:rsidP="009868FB">
      <w:pPr>
        <w:pStyle w:val="FIGUREposition"/>
      </w:pPr>
      <w:r>
        <w:rPr>
          <w:noProof/>
        </w:rPr>
        <w:drawing>
          <wp:inline distT="0" distB="0" distL="0" distR="0" wp14:anchorId="360ED0A6" wp14:editId="71674053">
            <wp:extent cx="5120640" cy="4859953"/>
            <wp:effectExtent l="0" t="0" r="381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7">
                      <a:extLst>
                        <a:ext uri="{28A0092B-C50C-407E-A947-70E740481C1C}">
                          <a14:useLocalDpi xmlns:a14="http://schemas.microsoft.com/office/drawing/2010/main" val="0"/>
                        </a:ext>
                      </a:extLst>
                    </a:blip>
                    <a:srcRect t="5091"/>
                    <a:stretch/>
                  </pic:blipFill>
                  <pic:spPr bwMode="auto">
                    <a:xfrm>
                      <a:off x="0" y="0"/>
                      <a:ext cx="5120640" cy="4859953"/>
                    </a:xfrm>
                    <a:prstGeom prst="rect">
                      <a:avLst/>
                    </a:prstGeom>
                    <a:noFill/>
                    <a:ln>
                      <a:noFill/>
                    </a:ln>
                    <a:extLst>
                      <a:ext uri="{53640926-AAD7-44D8-BBD7-CCE9431645EC}">
                        <a14:shadowObscured xmlns:a14="http://schemas.microsoft.com/office/drawing/2010/main"/>
                      </a:ext>
                    </a:extLst>
                  </pic:spPr>
                </pic:pic>
              </a:graphicData>
            </a:graphic>
          </wp:inline>
        </w:drawing>
      </w:r>
    </w:p>
    <w:p w14:paraId="0E463292" w14:textId="46BC90D5" w:rsidR="009868FB" w:rsidRDefault="009868FB" w:rsidP="009868FB">
      <w:pPr>
        <w:pStyle w:val="FigureCaption"/>
        <w:rPr>
          <w:b w:val="0"/>
        </w:rPr>
      </w:pPr>
      <w:bookmarkStart w:id="447" w:name="_Ref72856060"/>
      <w:bookmarkStart w:id="448" w:name="_Toc113380935"/>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9</w:t>
      </w:r>
      <w:r w:rsidRPr="00F61532">
        <w:rPr>
          <w:lang w:eastAsia="zh-TW"/>
        </w:rPr>
        <w:fldChar w:fldCharType="end"/>
      </w:r>
      <w:bookmarkEnd w:id="447"/>
      <w:r w:rsidRPr="00F61532">
        <w:rPr>
          <w:lang w:eastAsia="zh-TW"/>
        </w:rPr>
        <w:t xml:space="preserve">. </w:t>
      </w:r>
      <w:r>
        <w:rPr>
          <w:lang w:eastAsia="zh-TW"/>
        </w:rPr>
        <w:t xml:space="preserve">ANOVA of </w:t>
      </w:r>
      <w:r w:rsidRPr="00F61532">
        <w:rPr>
          <w:lang w:eastAsia="zh-TW"/>
        </w:rPr>
        <w:t xml:space="preserve">annual </w:t>
      </w:r>
      <w:r>
        <w:rPr>
          <w:lang w:eastAsia="zh-TW"/>
        </w:rPr>
        <w:t>total runoff</w:t>
      </w:r>
      <w:r w:rsidRPr="00F61532">
        <w:rPr>
          <w:lang w:eastAsia="zh-TW"/>
        </w:rPr>
        <w:t xml:space="preserve"> in </w:t>
      </w:r>
      <w:r>
        <w:rPr>
          <w:lang w:eastAsia="zh-TW"/>
        </w:rPr>
        <w:t>the SWPA region.</w:t>
      </w:r>
      <w:bookmarkEnd w:id="448"/>
    </w:p>
    <w:p w14:paraId="3E3DE553" w14:textId="528F3AC6" w:rsidR="009868FB" w:rsidRDefault="007578B1" w:rsidP="00994F41">
      <w:pPr>
        <w:pStyle w:val="BodyText"/>
        <w:rPr>
          <w:lang w:eastAsia="zh-CN"/>
        </w:rPr>
      </w:pPr>
      <w:r>
        <w:t>Based on</w:t>
      </w:r>
      <w:r w:rsidRPr="00074CAA">
        <w:t xml:space="preserve"> LEM </w:t>
      </w:r>
      <w:r w:rsidR="00110A4A">
        <w:t xml:space="preserve">as </w:t>
      </w:r>
      <w:r w:rsidRPr="00074CAA">
        <w:t>described in Section 2.7,</w:t>
      </w:r>
      <w:r>
        <w:t xml:space="preserve"> the projected reservoir </w:t>
      </w:r>
      <w:r w:rsidRPr="002E2E19">
        <w:t>evaporation</w:t>
      </w:r>
      <w:r>
        <w:t xml:space="preserve"> loss</w:t>
      </w:r>
      <w:r w:rsidRPr="002E2E19">
        <w:t xml:space="preserve"> </w:t>
      </w:r>
      <w:r>
        <w:t xml:space="preserve">from federal hydropower reservoirs </w:t>
      </w:r>
      <w:r w:rsidRPr="002E2E19">
        <w:t xml:space="preserve">in the </w:t>
      </w:r>
      <w:r>
        <w:t>SWPA</w:t>
      </w:r>
      <w:r w:rsidRPr="002E2E19">
        <w:t xml:space="preserve"> region </w:t>
      </w:r>
      <w:r>
        <w:t>is</w:t>
      </w:r>
      <w:r w:rsidRPr="002E2E19">
        <w:t xml:space="preserve"> </w:t>
      </w:r>
      <w:r>
        <w:t>presented</w:t>
      </w:r>
      <w:r w:rsidRPr="002E2E19">
        <w:t xml:space="preserve"> in </w:t>
      </w:r>
      <w:r w:rsidR="00632CB7">
        <w:fldChar w:fldCharType="begin"/>
      </w:r>
      <w:r w:rsidR="00632CB7">
        <w:instrText xml:space="preserve"> REF _Ref83537373 \h </w:instrText>
      </w:r>
      <w:r w:rsidR="00632CB7">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10</w:t>
      </w:r>
      <w:r w:rsidR="00632CB7">
        <w:fldChar w:fldCharType="end"/>
      </w:r>
      <w:r>
        <w:t>.</w:t>
      </w:r>
      <w:r w:rsidRPr="002E2E19">
        <w:t xml:space="preserve"> </w:t>
      </w:r>
      <w:r>
        <w:t xml:space="preserve">The </w:t>
      </w:r>
      <w:r>
        <w:rPr>
          <w:lang w:eastAsia="zh-CN"/>
        </w:rPr>
        <w:t>blue</w:t>
      </w:r>
      <w:r w:rsidRPr="002E2E19">
        <w:t xml:space="preserve"> </w:t>
      </w:r>
      <w:r>
        <w:t xml:space="preserve">and green </w:t>
      </w:r>
      <w:r w:rsidRPr="002E2E19">
        <w:t xml:space="preserve">lines </w:t>
      </w:r>
      <w:r>
        <w:t xml:space="preserve">show annual reservoir </w:t>
      </w:r>
      <w:r w:rsidRPr="002E2E19">
        <w:t xml:space="preserve">evaporation </w:t>
      </w:r>
      <w:r>
        <w:t>loss (in units of million acre-feet) from 24 projections</w:t>
      </w:r>
      <w:r w:rsidDel="00B72B69">
        <w:t xml:space="preserve"> </w:t>
      </w:r>
      <w:r>
        <w:t>that were either bias-corrected or trained by Daymet and 24 projections</w:t>
      </w:r>
      <w:r w:rsidDel="00B72B69">
        <w:t xml:space="preserve"> </w:t>
      </w:r>
      <w:r>
        <w:t>that were either bias-corrected or trained by Livneh.</w:t>
      </w:r>
      <w:r w:rsidRPr="002E2E19">
        <w:t xml:space="preserve"> </w:t>
      </w:r>
      <w:r>
        <w:t>The dark blue</w:t>
      </w:r>
      <w:r w:rsidRPr="002E2E19">
        <w:t xml:space="preserve"> </w:t>
      </w:r>
      <w:r>
        <w:t xml:space="preserve">and dark green </w:t>
      </w:r>
      <w:r w:rsidRPr="002E2E19">
        <w:t>line</w:t>
      </w:r>
      <w:r>
        <w:t>s</w:t>
      </w:r>
      <w:r w:rsidRPr="002E2E19">
        <w:t xml:space="preserve"> represen</w:t>
      </w:r>
      <w:r>
        <w:t>t</w:t>
      </w:r>
      <w:r w:rsidRPr="002E2E19">
        <w:t xml:space="preserve"> </w:t>
      </w:r>
      <w:r>
        <w:rPr>
          <w:rFonts w:hint="eastAsia"/>
          <w:lang w:eastAsia="zh-CN"/>
        </w:rPr>
        <w:t>the</w:t>
      </w:r>
      <w:r>
        <w:rPr>
          <w:lang w:eastAsia="zh-CN"/>
        </w:rPr>
        <w:t xml:space="preserve"> </w:t>
      </w:r>
      <w:r>
        <w:t xml:space="preserve">control simulations driven by 1980–2019 Daymet and 1980–2013 Livneh, respectively. </w:t>
      </w:r>
      <w:r>
        <w:rPr>
          <w:rFonts w:hint="eastAsia"/>
          <w:lang w:eastAsia="zh-CN"/>
        </w:rPr>
        <w:t>The</w:t>
      </w:r>
      <w:r>
        <w:rPr>
          <w:lang w:eastAsia="zh-CN"/>
        </w:rPr>
        <w:t xml:space="preserve"> right panel shows the probability density distributions of </w:t>
      </w:r>
      <w:r>
        <w:t xml:space="preserve">projected </w:t>
      </w:r>
      <w:r>
        <w:rPr>
          <w:lang w:eastAsia="zh-CN"/>
        </w:rPr>
        <w:t>annual evaporation loss in both baseline (1980–2019) and future (2020–2059) periods.</w:t>
      </w:r>
    </w:p>
    <w:p w14:paraId="6058FB2C" w14:textId="77777777" w:rsidR="00BA442B" w:rsidRDefault="00BA442B" w:rsidP="00994F41">
      <w:pPr>
        <w:pStyle w:val="FIGUREposition"/>
      </w:pPr>
      <w:r>
        <w:rPr>
          <w:noProof/>
        </w:rPr>
        <w:lastRenderedPageBreak/>
        <w:drawing>
          <wp:inline distT="0" distB="0" distL="0" distR="0" wp14:anchorId="7555F4F6" wp14:editId="7DA3755A">
            <wp:extent cx="5486390" cy="1828797"/>
            <wp:effectExtent l="0" t="0" r="635" b="63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pic:cNvPicPr>
                      <a:picLocks noChangeAspect="1" noChangeArrowheads="1"/>
                    </pic:cNvPicPr>
                  </pic:nvPicPr>
                  <pic:blipFill>
                    <a:blip r:embed="rId208"/>
                    <a:stretch>
                      <a:fillRect/>
                    </a:stretch>
                  </pic:blipFill>
                  <pic:spPr bwMode="auto">
                    <a:xfrm>
                      <a:off x="0" y="0"/>
                      <a:ext cx="5486390" cy="1828797"/>
                    </a:xfrm>
                    <a:prstGeom prst="rect">
                      <a:avLst/>
                    </a:prstGeom>
                    <a:noFill/>
                    <a:ln>
                      <a:noFill/>
                    </a:ln>
                  </pic:spPr>
                </pic:pic>
              </a:graphicData>
            </a:graphic>
          </wp:inline>
        </w:drawing>
      </w:r>
    </w:p>
    <w:p w14:paraId="50A8C337" w14:textId="02B6CD71" w:rsidR="00BA442B" w:rsidRDefault="00BA442B" w:rsidP="00994F41">
      <w:pPr>
        <w:pStyle w:val="FigureCaption"/>
        <w:rPr>
          <w:b w:val="0"/>
        </w:rPr>
      </w:pPr>
      <w:bookmarkStart w:id="449" w:name="_Ref83537373"/>
      <w:bookmarkStart w:id="450" w:name="_Toc11338093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10</w:t>
      </w:r>
      <w:r w:rsidRPr="00F61532">
        <w:rPr>
          <w:lang w:eastAsia="zh-TW"/>
        </w:rPr>
        <w:fldChar w:fldCharType="end"/>
      </w:r>
      <w:bookmarkEnd w:id="449"/>
      <w:r w:rsidRPr="00F61532">
        <w:rPr>
          <w:lang w:eastAsia="zh-TW"/>
        </w:rPr>
        <w:t xml:space="preserve">. Projected annual </w:t>
      </w:r>
      <w:r>
        <w:rPr>
          <w:lang w:eastAsia="zh-TW"/>
        </w:rPr>
        <w:t xml:space="preserve">total reservoir evaporation </w:t>
      </w:r>
      <w:r w:rsidRPr="00F61532">
        <w:rPr>
          <w:lang w:eastAsia="zh-TW"/>
        </w:rPr>
        <w:t xml:space="preserve">in </w:t>
      </w:r>
      <w:r>
        <w:rPr>
          <w:lang w:eastAsia="zh-TW"/>
        </w:rPr>
        <w:t>the SWPA region.</w:t>
      </w:r>
      <w:bookmarkEnd w:id="450"/>
    </w:p>
    <w:p w14:paraId="24457278" w14:textId="087676A5" w:rsidR="00384D1B" w:rsidRDefault="00384D1B" w:rsidP="00384D1B">
      <w:pPr>
        <w:pStyle w:val="BodyText"/>
      </w:pPr>
      <w:r>
        <w:fldChar w:fldCharType="begin"/>
      </w:r>
      <w:r>
        <w:instrText xml:space="preserve"> REF _Ref83537373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10</w:t>
      </w:r>
      <w:r>
        <w:fldChar w:fldCharType="end"/>
      </w:r>
      <w:r w:rsidRPr="00074CAA">
        <w:t xml:space="preserve"> shows </w:t>
      </w:r>
      <w:r>
        <w:t xml:space="preserve">that the results can be classified into </w:t>
      </w:r>
      <w:r w:rsidRPr="00074CAA">
        <w:t>two groups</w:t>
      </w:r>
      <w:r>
        <w:t xml:space="preserve"> by their values</w:t>
      </w:r>
      <w:r w:rsidRPr="00074CAA">
        <w:t>.</w:t>
      </w:r>
      <w:r>
        <w:t xml:space="preserve"> T</w:t>
      </w:r>
      <w:r w:rsidRPr="00074CAA">
        <w:t xml:space="preserve">he high-value group </w:t>
      </w:r>
      <w:r>
        <w:t>consists of t</w:t>
      </w:r>
      <w:r w:rsidRPr="00074CAA">
        <w:t xml:space="preserve">he </w:t>
      </w:r>
      <w:r>
        <w:t xml:space="preserve">24 members that are associated with </w:t>
      </w:r>
      <w:r w:rsidRPr="00074CAA">
        <w:t>Daymet</w:t>
      </w:r>
      <w:r>
        <w:t>, whereas the</w:t>
      </w:r>
      <w:r w:rsidRPr="00074CAA">
        <w:t xml:space="preserve"> low-value group </w:t>
      </w:r>
      <w:r>
        <w:t>is from the 24 members</w:t>
      </w:r>
      <w:r w:rsidRPr="00074CAA">
        <w:t xml:space="preserve"> </w:t>
      </w:r>
      <w:r>
        <w:t xml:space="preserve">that are associated with </w:t>
      </w:r>
      <w:r w:rsidRPr="00074CAA">
        <w:t>Livn</w:t>
      </w:r>
      <w:r>
        <w:t>e</w:t>
      </w:r>
      <w:r w:rsidRPr="00074CAA">
        <w:t>h.</w:t>
      </w:r>
      <w:r>
        <w:t xml:space="preserve"> </w:t>
      </w:r>
      <w:r w:rsidRPr="00992CBC">
        <w:t xml:space="preserve">The main reason </w:t>
      </w:r>
      <w:r>
        <w:t xml:space="preserve">for this grouping </w:t>
      </w:r>
      <w:r w:rsidRPr="00992CBC">
        <w:t xml:space="preserve">is the considerable wind speed </w:t>
      </w:r>
      <w:r>
        <w:t>differences</w:t>
      </w:r>
      <w:r w:rsidRPr="00992CBC">
        <w:t xml:space="preserve"> between the</w:t>
      </w:r>
      <w:r>
        <w:t>se</w:t>
      </w:r>
      <w:r w:rsidRPr="00992CBC">
        <w:t xml:space="preserve"> two</w:t>
      </w:r>
      <w:r>
        <w:t xml:space="preserve"> data sets,</w:t>
      </w:r>
      <w:r w:rsidRPr="00992CBC">
        <w:t xml:space="preserve"> which significantly impacts the evaporation rates</w:t>
      </w:r>
      <w:r>
        <w:t xml:space="preserve"> (Section </w:t>
      </w:r>
      <w:r>
        <w:fldChar w:fldCharType="begin"/>
      </w:r>
      <w:r>
        <w:instrText xml:space="preserve"> REF _Ref81829214 \n \h </w:instrText>
      </w:r>
      <w:r>
        <w:fldChar w:fldCharType="separate"/>
      </w:r>
      <w:r w:rsidR="00EE0BF5">
        <w:t>3.2.2</w:t>
      </w:r>
      <w:r>
        <w:fldChar w:fldCharType="end"/>
      </w:r>
      <w:r>
        <w:t>)</w:t>
      </w:r>
      <w:r w:rsidRPr="00FB4622">
        <w:t xml:space="preserve">. </w:t>
      </w:r>
      <w:bookmarkStart w:id="451" w:name="_Hlk76015695"/>
      <w:r>
        <w:t>T</w:t>
      </w:r>
      <w:r w:rsidRPr="00FB4622">
        <w:t xml:space="preserve">he reservoir </w:t>
      </w:r>
      <w:r>
        <w:t xml:space="preserve">evaporation loss also depends on the </w:t>
      </w:r>
      <w:r w:rsidRPr="00FB4622">
        <w:t>projected reservoir area</w:t>
      </w:r>
      <w:r>
        <w:t>,</w:t>
      </w:r>
      <w:r w:rsidRPr="00FB4622">
        <w:t xml:space="preserve"> </w:t>
      </w:r>
      <w:r>
        <w:t>which is inferred from runoff simulated by either VIC or PRMS hydrologic models. T</w:t>
      </w:r>
      <w:r w:rsidRPr="00FB4622">
        <w:t>he</w:t>
      </w:r>
      <w:r>
        <w:t xml:space="preserve"> projected runoff associated with Daymet or Livneh is not significantly different because</w:t>
      </w:r>
      <w:r w:rsidRPr="00F8632C">
        <w:t xml:space="preserve"> the </w:t>
      </w:r>
      <w:r>
        <w:t xml:space="preserve">HMs were calibrated separately by both MetFs </w:t>
      </w:r>
      <w:r w:rsidRPr="005D4DBB">
        <w:t xml:space="preserve">against the </w:t>
      </w:r>
      <w:r>
        <w:t xml:space="preserve">same </w:t>
      </w:r>
      <w:r w:rsidRPr="005D4DBB">
        <w:t>USGS WaterWatch</w:t>
      </w:r>
      <w:r>
        <w:t xml:space="preserve"> data set (Section </w:t>
      </w:r>
      <w:r>
        <w:fldChar w:fldCharType="begin"/>
      </w:r>
      <w:r>
        <w:instrText xml:space="preserve"> REF _Ref81816912 \n \h </w:instrText>
      </w:r>
      <w:r>
        <w:fldChar w:fldCharType="separate"/>
      </w:r>
      <w:r w:rsidR="00EE0BF5">
        <w:t>2.5.3</w:t>
      </w:r>
      <w:r>
        <w:fldChar w:fldCharType="end"/>
      </w:r>
      <w:r>
        <w:t>) to minimize the impacts of different meteorological forcings on HMs</w:t>
      </w:r>
      <w:r w:rsidRPr="00F8632C">
        <w:t>.</w:t>
      </w:r>
      <w:bookmarkEnd w:id="451"/>
      <w:r w:rsidRPr="00F8632C">
        <w:t xml:space="preserve"> </w:t>
      </w:r>
      <w:r w:rsidRPr="00FB4622">
        <w:t xml:space="preserve">Therefore, the </w:t>
      </w:r>
      <w:r>
        <w:t xml:space="preserve">large uncertainties of the projected reservoir </w:t>
      </w:r>
      <w:r w:rsidRPr="00FB4622">
        <w:t xml:space="preserve">evaporation loss </w:t>
      </w:r>
      <w:r>
        <w:t xml:space="preserve">in the SWPA region </w:t>
      </w:r>
      <w:r w:rsidRPr="00FB4622">
        <w:t xml:space="preserve">are mainly </w:t>
      </w:r>
      <w:r>
        <w:t>attributed to</w:t>
      </w:r>
      <w:r w:rsidRPr="00FB4622">
        <w:t xml:space="preserve"> the projected evaporation rate</w:t>
      </w:r>
      <w:r w:rsidRPr="00406148">
        <w:t xml:space="preserve"> </w:t>
      </w:r>
      <w:r>
        <w:t>driven by different MetFs</w:t>
      </w:r>
      <w:r w:rsidRPr="00FB4622">
        <w:t>.</w:t>
      </w:r>
    </w:p>
    <w:p w14:paraId="01BB5BFF" w14:textId="0F2348E4" w:rsidR="005F4F16" w:rsidRPr="00D1434D" w:rsidRDefault="005F4F16" w:rsidP="005F4F16">
      <w:pPr>
        <w:pStyle w:val="BodyText"/>
      </w:pPr>
      <w:r>
        <w:t xml:space="preserve">Despite </w:t>
      </w:r>
      <w:r w:rsidRPr="003E65AF">
        <w:t xml:space="preserve">the </w:t>
      </w:r>
      <w:r>
        <w:t xml:space="preserve">systematic differences </w:t>
      </w:r>
      <w:r w:rsidRPr="003E65AF">
        <w:t xml:space="preserve">between the two groups, the reservoir evaporation </w:t>
      </w:r>
      <w:r>
        <w:t xml:space="preserve">loss </w:t>
      </w:r>
      <w:r w:rsidRPr="003E65AF">
        <w:t xml:space="preserve">shows a clear </w:t>
      </w:r>
      <w:r>
        <w:t xml:space="preserve">increasing </w:t>
      </w:r>
      <w:r w:rsidRPr="003E65AF">
        <w:t>trend</w:t>
      </w:r>
      <w:r>
        <w:t xml:space="preserve"> (as indicated by the </w:t>
      </w:r>
      <w:r w:rsidRPr="006056F7">
        <w:rPr>
          <w:lang w:eastAsia="zh-CN"/>
        </w:rPr>
        <w:t xml:space="preserve">two-sample Kolmogorov-Smirnov test performed at </w:t>
      </w:r>
      <w:r w:rsidR="00F61C24">
        <w:rPr>
          <w:lang w:eastAsia="zh-CN"/>
        </w:rPr>
        <w:t xml:space="preserve">the </w:t>
      </w:r>
      <w:r w:rsidRPr="006056F7">
        <w:rPr>
          <w:lang w:eastAsia="zh-CN"/>
        </w:rPr>
        <w:t>5% significance</w:t>
      </w:r>
      <w:r>
        <w:rPr>
          <w:lang w:eastAsia="zh-CN"/>
        </w:rPr>
        <w:t xml:space="preserve"> level). </w:t>
      </w:r>
      <w:r>
        <w:t xml:space="preserve">The Livneh-based future reservoir evaporation projections increase significantly from 2.4 MAF in 1980 to 2.5 MAF in 2059, and Daymet-based projections also increase similarly from 2.6 MAF </w:t>
      </w:r>
      <w:r w:rsidR="00F61C24">
        <w:t xml:space="preserve">in 1980 </w:t>
      </w:r>
      <w:r>
        <w:t>to 2.7 MAF</w:t>
      </w:r>
      <w:r w:rsidR="00F61C24">
        <w:t xml:space="preserve"> in 2059</w:t>
      </w:r>
      <w:r>
        <w:t>.</w:t>
      </w:r>
      <w:r w:rsidRPr="0009214D">
        <w:t xml:space="preserve"> </w:t>
      </w:r>
      <w:r w:rsidR="00CF6ED0">
        <w:t xml:space="preserve">The average percentage increment is about 4% over the 80 years. </w:t>
      </w:r>
      <w:r w:rsidR="00CF6ED0" w:rsidRPr="00844DF4">
        <w:t xml:space="preserve">Because the projected reservoir area in the SWPA region will not increase much in the future, </w:t>
      </w:r>
      <w:r w:rsidR="00CF6ED0">
        <w:t xml:space="preserve">the change in </w:t>
      </w:r>
      <w:r w:rsidR="00CF6ED0" w:rsidRPr="00844DF4">
        <w:t xml:space="preserve">reservoir area only </w:t>
      </w:r>
      <w:r w:rsidR="00CF6ED0">
        <w:t>accounts for</w:t>
      </w:r>
      <w:r w:rsidR="00CF6ED0" w:rsidRPr="00844DF4">
        <w:t xml:space="preserve"> 15% of the </w:t>
      </w:r>
      <w:r w:rsidR="00CF6ED0">
        <w:t xml:space="preserve">increase in future </w:t>
      </w:r>
      <w:r w:rsidR="00CF6ED0" w:rsidRPr="00844DF4">
        <w:t xml:space="preserve">reservoir evaporation loss, </w:t>
      </w:r>
      <w:r w:rsidR="00384D1B">
        <w:t xml:space="preserve">and </w:t>
      </w:r>
      <w:r w:rsidR="00CF6ED0">
        <w:t xml:space="preserve">the change in </w:t>
      </w:r>
      <w:r w:rsidR="00CF6ED0" w:rsidRPr="00844DF4">
        <w:t xml:space="preserve">evaporation rate contributes </w:t>
      </w:r>
      <w:r w:rsidR="00CF6ED0">
        <w:t xml:space="preserve">the </w:t>
      </w:r>
      <w:r w:rsidR="00CF6ED0" w:rsidRPr="00844DF4">
        <w:t>re</w:t>
      </w:r>
      <w:r w:rsidR="00CF6ED0">
        <w:t>maining</w:t>
      </w:r>
      <w:r w:rsidR="00CF6ED0" w:rsidRPr="00844DF4">
        <w:t xml:space="preserve"> 85%.</w:t>
      </w:r>
    </w:p>
    <w:p w14:paraId="04C832AF" w14:textId="19CF28C8" w:rsidR="00992673" w:rsidRDefault="007F505D" w:rsidP="00992673">
      <w:pPr>
        <w:pStyle w:val="BodyText"/>
      </w:pPr>
      <w:r w:rsidRPr="002E2E19">
        <w:t xml:space="preserve">The </w:t>
      </w:r>
      <w:r w:rsidR="00940D8E" w:rsidRPr="00940D8E">
        <w:t xml:space="preserve">projected </w:t>
      </w:r>
      <w:r w:rsidRPr="002E2E19">
        <w:t xml:space="preserve">annual and seasonal changes of </w:t>
      </w:r>
      <w:r w:rsidR="00654E30">
        <w:t xml:space="preserve">monthly </w:t>
      </w:r>
      <w:r>
        <w:t xml:space="preserve">reservoir </w:t>
      </w:r>
      <w:r w:rsidRPr="002E2E19">
        <w:t xml:space="preserve">evaporation </w:t>
      </w:r>
      <w:r>
        <w:t xml:space="preserve">loss (in units of </w:t>
      </w:r>
      <w:r w:rsidR="001B7B04">
        <w:t xml:space="preserve">thousand acre-feet per </w:t>
      </w:r>
      <w:r w:rsidR="00654E30">
        <w:t>month</w:t>
      </w:r>
      <w:r>
        <w:t xml:space="preserve">) from federal hydropower reservoirs in the </w:t>
      </w:r>
      <w:r>
        <w:rPr>
          <w:rFonts w:hint="eastAsia"/>
          <w:lang w:eastAsia="zh-CN"/>
        </w:rPr>
        <w:t>SW</w:t>
      </w:r>
      <w:r>
        <w:t xml:space="preserve">PA region </w:t>
      </w:r>
      <w:r w:rsidRPr="002E2E19">
        <w:t xml:space="preserve">are further summarized in </w:t>
      </w:r>
      <w:r>
        <w:fldChar w:fldCharType="begin"/>
      </w:r>
      <w:r>
        <w:instrText xml:space="preserve"> REF _Ref72856147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11</w:t>
      </w:r>
      <w:r>
        <w:fldChar w:fldCharType="end"/>
      </w:r>
      <w:r>
        <w:t xml:space="preserve">. The results suggest that the annual ensemble median evaporation loss </w:t>
      </w:r>
      <w:r w:rsidR="00940D8E">
        <w:t xml:space="preserve">is projected to </w:t>
      </w:r>
      <w:r>
        <w:t xml:space="preserve">increase </w:t>
      </w:r>
      <w:r w:rsidR="002F4ABC">
        <w:t>5</w:t>
      </w:r>
      <w:r>
        <w:t xml:space="preserve"> KAF</w:t>
      </w:r>
      <w:r w:rsidR="002F4ABC">
        <w:t>/month</w:t>
      </w:r>
      <w:r>
        <w:t xml:space="preserve"> in the near-term (2020–2039) and </w:t>
      </w:r>
      <w:r w:rsidR="002F4ABC">
        <w:t>1</w:t>
      </w:r>
      <w:r>
        <w:t>0 KAF</w:t>
      </w:r>
      <w:r w:rsidR="002F4ABC">
        <w:t>/month</w:t>
      </w:r>
      <w:r>
        <w:t xml:space="preserve"> in the mid-term (2040–2059) </w:t>
      </w:r>
      <w:r w:rsidR="00F61C24">
        <w:t xml:space="preserve">future </w:t>
      </w:r>
      <w:r w:rsidR="004F6A3C">
        <w:t xml:space="preserve">periods </w:t>
      </w:r>
      <w:bookmarkStart w:id="452" w:name="_Hlk76018608"/>
      <w:r w:rsidR="004F6A3C" w:rsidRPr="00AD27A0">
        <w:t>with respect to the baseline period (1980</w:t>
      </w:r>
      <w:r w:rsidR="004F6A3C">
        <w:t>–</w:t>
      </w:r>
      <w:r w:rsidR="004F6A3C" w:rsidRPr="00AD27A0">
        <w:t>2019)</w:t>
      </w:r>
      <w:bookmarkEnd w:id="452"/>
      <w:r>
        <w:t xml:space="preserve">. </w:t>
      </w:r>
      <w:r w:rsidRPr="006B4180">
        <w:t xml:space="preserve">The overall </w:t>
      </w:r>
      <w:r>
        <w:t xml:space="preserve">increase of reservoir </w:t>
      </w:r>
      <w:r w:rsidRPr="006B4180">
        <w:t xml:space="preserve">evaporation is relatively </w:t>
      </w:r>
      <w:r>
        <w:t>uniform</w:t>
      </w:r>
      <w:r w:rsidRPr="006B4180">
        <w:t xml:space="preserve"> across </w:t>
      </w:r>
      <w:r>
        <w:t xml:space="preserve">the </w:t>
      </w:r>
      <w:r w:rsidRPr="006B4180">
        <w:t>four seasons, with a slight</w:t>
      </w:r>
      <w:r>
        <w:t>ly larger</w:t>
      </w:r>
      <w:r w:rsidRPr="006B4180">
        <w:t xml:space="preserve"> incre</w:t>
      </w:r>
      <w:r>
        <w:t>ment</w:t>
      </w:r>
      <w:r w:rsidRPr="006B4180">
        <w:t xml:space="preserve"> in </w:t>
      </w:r>
      <w:r>
        <w:t>the</w:t>
      </w:r>
      <w:r w:rsidRPr="006B4180">
        <w:t xml:space="preserve"> fall.</w:t>
      </w:r>
      <w:r w:rsidRPr="003206FB">
        <w:t xml:space="preserve"> </w:t>
      </w:r>
      <w:r>
        <w:t xml:space="preserve">Summer evaporation loss </w:t>
      </w:r>
      <w:r w:rsidR="00940D8E">
        <w:t xml:space="preserve">is </w:t>
      </w:r>
      <w:r>
        <w:t xml:space="preserve">not </w:t>
      </w:r>
      <w:r w:rsidR="00940D8E">
        <w:t xml:space="preserve">expected to </w:t>
      </w:r>
      <w:r>
        <w:t xml:space="preserve">change in the near-term </w:t>
      </w:r>
      <w:r w:rsidR="00E75F5B">
        <w:t xml:space="preserve">future period </w:t>
      </w:r>
      <w:r w:rsidR="00940D8E">
        <w:t xml:space="preserve">but is projected to </w:t>
      </w:r>
      <w:r>
        <w:t xml:space="preserve">increase by </w:t>
      </w:r>
      <w:r w:rsidR="002F4ABC">
        <w:t>3</w:t>
      </w:r>
      <w:r>
        <w:t xml:space="preserve"> KAF</w:t>
      </w:r>
      <w:r w:rsidR="002F4ABC">
        <w:t>/month</w:t>
      </w:r>
      <w:r>
        <w:t xml:space="preserve"> in the mid-term future period. Fall evaporation loss is expected to increase by </w:t>
      </w:r>
      <w:r w:rsidR="00BD43B9">
        <w:t>7</w:t>
      </w:r>
      <w:r>
        <w:t xml:space="preserve"> KAF</w:t>
      </w:r>
      <w:r w:rsidR="00BD43B9">
        <w:t>/month</w:t>
      </w:r>
      <w:r>
        <w:t xml:space="preserve"> in the near-term and </w:t>
      </w:r>
      <w:r w:rsidR="00BD43B9">
        <w:t xml:space="preserve">13 </w:t>
      </w:r>
      <w:r>
        <w:t>KAF</w:t>
      </w:r>
      <w:r w:rsidR="00BD43B9">
        <w:t>/month</w:t>
      </w:r>
      <w:r>
        <w:t xml:space="preserve"> in the mid-term future period</w:t>
      </w:r>
      <w:r w:rsidR="004F6A3C">
        <w:t>s</w:t>
      </w:r>
      <w:r>
        <w:t xml:space="preserve">. </w:t>
      </w:r>
      <w:r w:rsidR="00F61C24">
        <w:t xml:space="preserve">Although </w:t>
      </w:r>
      <w:r>
        <w:t xml:space="preserve">the </w:t>
      </w:r>
      <w:r w:rsidRPr="006B4180">
        <w:t xml:space="preserve">changes </w:t>
      </w:r>
      <w:r w:rsidR="004F6A3C">
        <w:t xml:space="preserve">of reservoir evaporation </w:t>
      </w:r>
      <w:r w:rsidRPr="006B4180">
        <w:t xml:space="preserve">are similar in spring and winter, the </w:t>
      </w:r>
      <w:r w:rsidR="004F6A3C">
        <w:t xml:space="preserve">range of </w:t>
      </w:r>
      <w:r w:rsidRPr="006B4180">
        <w:t xml:space="preserve">uncertainty in spring </w:t>
      </w:r>
      <w:r>
        <w:t xml:space="preserve">is larger </w:t>
      </w:r>
      <w:r w:rsidRPr="006B4180">
        <w:t xml:space="preserve">than </w:t>
      </w:r>
      <w:r w:rsidR="00F61C24">
        <w:t xml:space="preserve">in </w:t>
      </w:r>
      <w:r w:rsidRPr="006B4180">
        <w:t>winter.</w:t>
      </w:r>
      <w:r>
        <w:t xml:space="preserve"> Spring evaporation loss is expected to increase by </w:t>
      </w:r>
      <w:r w:rsidR="00BD43B9">
        <w:t>7</w:t>
      </w:r>
      <w:r>
        <w:t xml:space="preserve"> KAF</w:t>
      </w:r>
      <w:r w:rsidR="00BD43B9">
        <w:t>/month</w:t>
      </w:r>
      <w:r>
        <w:t xml:space="preserve"> in the near-term and </w:t>
      </w:r>
      <w:r w:rsidR="00BD43B9">
        <w:t>8</w:t>
      </w:r>
      <w:r>
        <w:t xml:space="preserve"> KAF</w:t>
      </w:r>
      <w:r w:rsidR="00BD43B9">
        <w:t>/month</w:t>
      </w:r>
      <w:r>
        <w:t xml:space="preserve"> in the mid-term future</w:t>
      </w:r>
      <w:r w:rsidR="004F6A3C">
        <w:t xml:space="preserve"> periods</w:t>
      </w:r>
      <w:r>
        <w:t xml:space="preserve">. </w:t>
      </w:r>
      <w:r w:rsidR="004F6A3C">
        <w:t xml:space="preserve">In </w:t>
      </w:r>
      <w:r>
        <w:t xml:space="preserve">winter, evaporation loss is expected to increase by </w:t>
      </w:r>
      <w:r w:rsidR="00BD43B9">
        <w:t>3</w:t>
      </w:r>
      <w:r>
        <w:t xml:space="preserve"> KAF</w:t>
      </w:r>
      <w:r w:rsidR="00BD43B9">
        <w:t>/month</w:t>
      </w:r>
      <w:r>
        <w:t xml:space="preserve"> in the near-term and </w:t>
      </w:r>
      <w:r w:rsidR="00BD43B9">
        <w:t>9</w:t>
      </w:r>
      <w:r>
        <w:t xml:space="preserve"> KAF</w:t>
      </w:r>
      <w:r w:rsidR="00BD43B9">
        <w:t>/month</w:t>
      </w:r>
      <w:r>
        <w:t xml:space="preserve"> in the mid-term future period</w:t>
      </w:r>
      <w:r w:rsidR="004F6A3C">
        <w:t>s</w:t>
      </w:r>
      <w:r w:rsidR="00992673" w:rsidRPr="006B4180">
        <w:t>.</w:t>
      </w:r>
    </w:p>
    <w:p w14:paraId="0996C93D" w14:textId="77777777" w:rsidR="00992673" w:rsidRDefault="00992673" w:rsidP="00994F41">
      <w:pPr>
        <w:pStyle w:val="FIGUREposition"/>
      </w:pPr>
      <w:r>
        <w:rPr>
          <w:noProof/>
        </w:rPr>
        <w:lastRenderedPageBreak/>
        <w:drawing>
          <wp:inline distT="0" distB="0" distL="0" distR="0" wp14:anchorId="0111E787" wp14:editId="4D7A1C21">
            <wp:extent cx="2743200" cy="18288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209"/>
                    <a:stretch>
                      <a:fillRect/>
                    </a:stretch>
                  </pic:blipFill>
                  <pic:spPr>
                    <a:xfrm>
                      <a:off x="0" y="0"/>
                      <a:ext cx="2743200" cy="1828800"/>
                    </a:xfrm>
                    <a:prstGeom prst="rect">
                      <a:avLst/>
                    </a:prstGeom>
                  </pic:spPr>
                </pic:pic>
              </a:graphicData>
            </a:graphic>
          </wp:inline>
        </w:drawing>
      </w:r>
    </w:p>
    <w:p w14:paraId="78B2DE95" w14:textId="57339A6C" w:rsidR="00992673" w:rsidRPr="00F61532" w:rsidRDefault="00992673" w:rsidP="00994F41">
      <w:pPr>
        <w:pStyle w:val="FigureCaption"/>
        <w:rPr>
          <w:b w:val="0"/>
        </w:rPr>
      </w:pPr>
      <w:bookmarkStart w:id="453" w:name="_Ref72856147"/>
      <w:bookmarkStart w:id="454" w:name="_Toc113380937"/>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11</w:t>
      </w:r>
      <w:r w:rsidRPr="00F61532">
        <w:rPr>
          <w:lang w:eastAsia="zh-TW"/>
        </w:rPr>
        <w:fldChar w:fldCharType="end"/>
      </w:r>
      <w:bookmarkEnd w:id="453"/>
      <w:r w:rsidRPr="00F61532">
        <w:rPr>
          <w:lang w:eastAsia="zh-TW"/>
        </w:rPr>
        <w:t xml:space="preserve">. Projected change of annual and seasonal </w:t>
      </w:r>
      <w:r>
        <w:rPr>
          <w:lang w:eastAsia="zh-TW"/>
        </w:rPr>
        <w:t xml:space="preserve">total reservoir evaporation </w:t>
      </w:r>
      <w:r w:rsidRPr="00F61532">
        <w:rPr>
          <w:lang w:eastAsia="zh-TW"/>
        </w:rPr>
        <w:t xml:space="preserve">in </w:t>
      </w:r>
      <w:r>
        <w:rPr>
          <w:lang w:eastAsia="zh-TW"/>
        </w:rPr>
        <w:t>the SWPA region.</w:t>
      </w:r>
      <w:bookmarkEnd w:id="454"/>
    </w:p>
    <w:p w14:paraId="76E9F3A1" w14:textId="6E214F96" w:rsidR="007578B1" w:rsidRDefault="007578B1" w:rsidP="007578B1">
      <w:pPr>
        <w:pStyle w:val="BodyText"/>
      </w:pPr>
      <w:r>
        <w:rPr>
          <w:rFonts w:eastAsia="PMingLiU"/>
          <w:lang w:eastAsia="zh-TW"/>
        </w:rPr>
        <w:t xml:space="preserve">The source of variance in the projected change of annual </w:t>
      </w:r>
      <w:r w:rsidRPr="00434DEB">
        <w:t xml:space="preserve">reservoir evaporation loss </w:t>
      </w:r>
      <w:r>
        <w:t xml:space="preserve">from </w:t>
      </w:r>
      <w:r w:rsidRPr="00434DEB">
        <w:t xml:space="preserve">federal </w:t>
      </w:r>
      <w:r>
        <w:t xml:space="preserve">hydropower </w:t>
      </w:r>
      <w:r w:rsidRPr="00434DEB">
        <w:t>reservoir</w:t>
      </w:r>
      <w:r>
        <w:t>s</w:t>
      </w:r>
      <w:r w:rsidRPr="00434DEB">
        <w:t xml:space="preserve"> </w:t>
      </w:r>
      <w:r>
        <w:t xml:space="preserve">in the SWPA region </w:t>
      </w:r>
      <w:r>
        <w:rPr>
          <w:rFonts w:eastAsia="PMingLiU"/>
          <w:lang w:eastAsia="zh-TW"/>
        </w:rPr>
        <w:t xml:space="preserve">is shown in </w:t>
      </w:r>
      <w:r>
        <w:rPr>
          <w:lang w:eastAsia="zh-CN"/>
        </w:rPr>
        <w:fldChar w:fldCharType="begin"/>
      </w:r>
      <w:r>
        <w:rPr>
          <w:lang w:eastAsia="zh-CN"/>
        </w:rPr>
        <w:instrText xml:space="preserve"> REF _Ref72856162 \h </w:instrText>
      </w:r>
      <w:r>
        <w:rPr>
          <w:lang w:eastAsia="zh-CN"/>
        </w:rPr>
      </w:r>
      <w:r>
        <w:rPr>
          <w:lang w:eastAsia="zh-CN"/>
        </w:rP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12</w:t>
      </w:r>
      <w:r>
        <w:rPr>
          <w:lang w:eastAsia="zh-CN"/>
        </w:rPr>
        <w:fldChar w:fldCharType="end"/>
      </w:r>
      <w:r w:rsidRPr="00434DEB">
        <w:rPr>
          <w:lang w:eastAsia="zh-CN"/>
        </w:rPr>
        <w:t xml:space="preserve">. </w:t>
      </w:r>
      <w:r w:rsidRPr="006268D6">
        <w:t>The box</w:t>
      </w:r>
      <w:r>
        <w:t xml:space="preserve"> </w:t>
      </w:r>
      <w:r w:rsidRPr="006268D6">
        <w:t>plots show the magnitude of change (future minus baseline)</w:t>
      </w:r>
      <w:r>
        <w:t xml:space="preserve"> </w:t>
      </w:r>
      <w:r w:rsidRPr="006268D6">
        <w:t xml:space="preserve">in median annual </w:t>
      </w:r>
      <w:r w:rsidRPr="00434DEB">
        <w:t xml:space="preserve">reservoir </w:t>
      </w:r>
      <w:r>
        <w:t>evaporation loss</w:t>
      </w:r>
      <w:r w:rsidRPr="006268D6">
        <w:t xml:space="preserve"> </w:t>
      </w:r>
      <w:r>
        <w:t>across</w:t>
      </w:r>
      <w:r w:rsidRPr="006268D6">
        <w:t xml:space="preserve"> 48 ensemble</w:t>
      </w:r>
      <w:r>
        <w:t xml:space="preserve"> member</w:t>
      </w:r>
      <w:r w:rsidRPr="006268D6">
        <w:t xml:space="preserve">s, grouped by each of the four </w:t>
      </w:r>
      <w:r>
        <w:t>modeling choices</w:t>
      </w:r>
      <w:r w:rsidRPr="00434DEB">
        <w:t xml:space="preserve"> </w:t>
      </w:r>
      <w:r w:rsidRPr="00434DEB">
        <w:rPr>
          <w:lang w:eastAsia="zh-CN"/>
        </w:rPr>
        <w:t>(CM, DS, MetF, and HM). The bottom panel shows the portion of variance from the ANOVA for each modeling choice</w:t>
      </w:r>
      <w:r w:rsidRPr="00EA26FA">
        <w:t>.</w:t>
      </w:r>
    </w:p>
    <w:p w14:paraId="4C66F8D1" w14:textId="77777777" w:rsidR="009868FB" w:rsidRDefault="009868FB" w:rsidP="009868FB">
      <w:pPr>
        <w:pStyle w:val="FIGUREposition"/>
      </w:pPr>
      <w:r>
        <w:rPr>
          <w:noProof/>
        </w:rPr>
        <w:drawing>
          <wp:inline distT="0" distB="0" distL="0" distR="0" wp14:anchorId="152649BF" wp14:editId="78E7D649">
            <wp:extent cx="3657600" cy="3366655"/>
            <wp:effectExtent l="0" t="0" r="0" b="571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pic:nvPicPr>
                  <pic:blipFill rotWithShape="1">
                    <a:blip r:embed="rId210">
                      <a:extLst>
                        <a:ext uri="{28A0092B-C50C-407E-A947-70E740481C1C}">
                          <a14:useLocalDpi xmlns:a14="http://schemas.microsoft.com/office/drawing/2010/main" val="0"/>
                        </a:ext>
                      </a:extLst>
                    </a:blip>
                    <a:srcRect t="7955"/>
                    <a:stretch/>
                  </pic:blipFill>
                  <pic:spPr bwMode="auto">
                    <a:xfrm>
                      <a:off x="0" y="0"/>
                      <a:ext cx="3657600" cy="3366655"/>
                    </a:xfrm>
                    <a:prstGeom prst="rect">
                      <a:avLst/>
                    </a:prstGeom>
                    <a:ln>
                      <a:noFill/>
                    </a:ln>
                    <a:extLst>
                      <a:ext uri="{53640926-AAD7-44D8-BBD7-CCE9431645EC}">
                        <a14:shadowObscured xmlns:a14="http://schemas.microsoft.com/office/drawing/2010/main"/>
                      </a:ext>
                    </a:extLst>
                  </pic:spPr>
                </pic:pic>
              </a:graphicData>
            </a:graphic>
          </wp:inline>
        </w:drawing>
      </w:r>
    </w:p>
    <w:p w14:paraId="2564553A" w14:textId="66BD5EC8" w:rsidR="009868FB" w:rsidRDefault="009868FB" w:rsidP="009868FB">
      <w:pPr>
        <w:pStyle w:val="FigureCaption"/>
        <w:rPr>
          <w:lang w:eastAsia="zh-TW"/>
        </w:rPr>
      </w:pPr>
      <w:bookmarkStart w:id="455" w:name="_Ref72856162"/>
      <w:bookmarkStart w:id="456" w:name="_Toc113380938"/>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12</w:t>
      </w:r>
      <w:r w:rsidRPr="00F61532">
        <w:rPr>
          <w:lang w:eastAsia="zh-TW"/>
        </w:rPr>
        <w:fldChar w:fldCharType="end"/>
      </w:r>
      <w:bookmarkEnd w:id="455"/>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reservoir evaporation </w:t>
      </w:r>
      <w:r w:rsidRPr="00F61532">
        <w:rPr>
          <w:lang w:eastAsia="zh-TW"/>
        </w:rPr>
        <w:t xml:space="preserve">in </w:t>
      </w:r>
      <w:r>
        <w:rPr>
          <w:lang w:eastAsia="zh-TW"/>
        </w:rPr>
        <w:t>the SWPA region.</w:t>
      </w:r>
      <w:bookmarkEnd w:id="456"/>
    </w:p>
    <w:p w14:paraId="56A6E777" w14:textId="5EE0DBBB" w:rsidR="004102C6" w:rsidRDefault="004102C6" w:rsidP="00994F41">
      <w:pPr>
        <w:pStyle w:val="BodyText"/>
      </w:pPr>
      <w:r>
        <w:t xml:space="preserve">ANOVA results in </w:t>
      </w:r>
      <w:r>
        <w:rPr>
          <w:lang w:eastAsia="zh-CN"/>
        </w:rPr>
        <w:fldChar w:fldCharType="begin"/>
      </w:r>
      <w:r>
        <w:rPr>
          <w:lang w:eastAsia="zh-CN"/>
        </w:rPr>
        <w:instrText xml:space="preserve"> REF _Ref72856162 \h </w:instrText>
      </w:r>
      <w:r>
        <w:rPr>
          <w:lang w:eastAsia="zh-CN"/>
        </w:rPr>
      </w:r>
      <w:r>
        <w:rPr>
          <w:lang w:eastAsia="zh-CN"/>
        </w:rP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12</w:t>
      </w:r>
      <w:r>
        <w:rPr>
          <w:lang w:eastAsia="zh-CN"/>
        </w:rPr>
        <w:fldChar w:fldCharType="end"/>
      </w:r>
      <w:r>
        <w:rPr>
          <w:lang w:eastAsia="zh-CN"/>
        </w:rPr>
        <w:t xml:space="preserve"> </w:t>
      </w:r>
      <w:r w:rsidRPr="00B81A63">
        <w:t xml:space="preserve">indicate that </w:t>
      </w:r>
      <w:r>
        <w:rPr>
          <w:lang w:eastAsia="zh-CN"/>
        </w:rPr>
        <w:t>CM is the dominant source of variance (around 70%). The most significant increase is projected by ACCESS-CM2 (0.13 MAF), whereas the increase projected by MPI-ESM1 is the smallest (0.05 MAF).</w:t>
      </w:r>
      <w:r w:rsidRPr="002E19B0">
        <w:t xml:space="preserve"> </w:t>
      </w:r>
      <w:r>
        <w:t>T</w:t>
      </w:r>
      <w:r w:rsidRPr="000463C4">
        <w:t xml:space="preserve">he </w:t>
      </w:r>
      <w:r>
        <w:t xml:space="preserve">DS is another important </w:t>
      </w:r>
      <w:r w:rsidRPr="000463C4">
        <w:t>contributor</w:t>
      </w:r>
      <w:r>
        <w:t xml:space="preserve"> because it </w:t>
      </w:r>
      <w:r w:rsidRPr="000463C4">
        <w:t>explain</w:t>
      </w:r>
      <w:r>
        <w:t>s</w:t>
      </w:r>
      <w:r w:rsidRPr="000463C4">
        <w:t xml:space="preserve"> </w:t>
      </w:r>
      <w:r>
        <w:t>8</w:t>
      </w:r>
      <w:r w:rsidRPr="000463C4">
        <w:t>% of the total variance.</w:t>
      </w:r>
      <w:r>
        <w:rPr>
          <w:lang w:eastAsia="zh-CN"/>
        </w:rPr>
        <w:t xml:space="preserve"> </w:t>
      </w:r>
      <w:r w:rsidRPr="00EA26FA">
        <w:t xml:space="preserve">The combination of </w:t>
      </w:r>
      <w:r w:rsidR="00C753AB">
        <w:rPr>
          <w:rFonts w:eastAsia="PMingLiU"/>
          <w:lang w:eastAsia="zh-TW"/>
        </w:rPr>
        <w:t xml:space="preserve">the </w:t>
      </w:r>
      <w:r w:rsidRPr="00EA26FA">
        <w:t xml:space="preserve">CM and </w:t>
      </w:r>
      <w:r>
        <w:t>DS</w:t>
      </w:r>
      <w:r w:rsidRPr="00EA26FA">
        <w:t xml:space="preserve"> contributes about </w:t>
      </w:r>
      <w:r>
        <w:t>20</w:t>
      </w:r>
      <w:r w:rsidRPr="00EA26FA">
        <w:t>% of the total variance.</w:t>
      </w:r>
      <w:r>
        <w:t xml:space="preserve"> In contrast,</w:t>
      </w:r>
      <w:r w:rsidRPr="00EA26FA">
        <w:t xml:space="preserve"> the influence </w:t>
      </w:r>
      <w:r>
        <w:t>from</w:t>
      </w:r>
      <w:r w:rsidRPr="00EA26FA">
        <w:t xml:space="preserve"> other factors is negligible.</w:t>
      </w:r>
      <w:r>
        <w:t xml:space="preserve"> At the seasonal scale (</w:t>
      </w:r>
      <w:r>
        <w:fldChar w:fldCharType="begin"/>
      </w:r>
      <w:r>
        <w:instrText xml:space="preserve"> REF _Ref81738890 \n \h </w:instrText>
      </w:r>
      <w:r>
        <w:fldChar w:fldCharType="separate"/>
      </w:r>
      <w:r w:rsidR="00EE0BF5">
        <w:t>APPENDIX F</w:t>
      </w:r>
      <w:r>
        <w:fldChar w:fldCharType="end"/>
      </w:r>
      <w:r>
        <w:t xml:space="preserve">), </w:t>
      </w:r>
      <w:r w:rsidRPr="000463C4">
        <w:t xml:space="preserve">the ANOVA indicates that </w:t>
      </w:r>
      <w:r>
        <w:t xml:space="preserve">certain contributing </w:t>
      </w:r>
      <w:r w:rsidRPr="000463C4">
        <w:t>factors may have more substantial impac</w:t>
      </w:r>
      <w:r>
        <w:t>t</w:t>
      </w:r>
      <w:r w:rsidR="000862EE">
        <w:t>s</w:t>
      </w:r>
      <w:r w:rsidRPr="000463C4">
        <w:t xml:space="preserve"> than </w:t>
      </w:r>
      <w:r>
        <w:t>at</w:t>
      </w:r>
      <w:r w:rsidRPr="000463C4">
        <w:t xml:space="preserve"> the annual scale. For instance, </w:t>
      </w:r>
      <w:r>
        <w:t xml:space="preserve">although </w:t>
      </w:r>
      <w:r w:rsidR="00F32AA2">
        <w:t xml:space="preserve">the </w:t>
      </w:r>
      <w:r w:rsidRPr="000463C4">
        <w:t xml:space="preserve">CM is the </w:t>
      </w:r>
      <w:r w:rsidR="005367C2">
        <w:t xml:space="preserve">most dominant </w:t>
      </w:r>
      <w:r w:rsidRPr="000463C4">
        <w:t>contributor</w:t>
      </w:r>
      <w:r>
        <w:t xml:space="preserve"> to variance</w:t>
      </w:r>
      <w:r w:rsidRPr="000463C4">
        <w:t xml:space="preserve"> </w:t>
      </w:r>
      <w:r>
        <w:t xml:space="preserve">at the </w:t>
      </w:r>
      <w:r w:rsidRPr="000463C4">
        <w:t>season</w:t>
      </w:r>
      <w:r>
        <w:t xml:space="preserve">al </w:t>
      </w:r>
      <w:r w:rsidRPr="000463C4">
        <w:t>s</w:t>
      </w:r>
      <w:r>
        <w:t>cale</w:t>
      </w:r>
      <w:r w:rsidRPr="000463C4">
        <w:t xml:space="preserve">, </w:t>
      </w:r>
      <w:r>
        <w:rPr>
          <w:lang w:eastAsia="zh-CN"/>
        </w:rPr>
        <w:t xml:space="preserve">the increases seen by the </w:t>
      </w:r>
      <w:r>
        <w:rPr>
          <w:rFonts w:hint="eastAsia"/>
          <w:lang w:eastAsia="zh-CN"/>
        </w:rPr>
        <w:t>diff</w:t>
      </w:r>
      <w:r>
        <w:rPr>
          <w:lang w:eastAsia="zh-CN"/>
        </w:rPr>
        <w:t>erent GCMs vary considerably by season</w:t>
      </w:r>
      <w:r w:rsidRPr="000463C4">
        <w:t>. The CM explains 7</w:t>
      </w:r>
      <w:r>
        <w:t>3</w:t>
      </w:r>
      <w:r w:rsidRPr="000463C4">
        <w:t xml:space="preserve">% of </w:t>
      </w:r>
      <w:r>
        <w:t xml:space="preserve">the </w:t>
      </w:r>
      <w:r w:rsidRPr="000463C4">
        <w:lastRenderedPageBreak/>
        <w:t xml:space="preserve">evaporation loss variance in </w:t>
      </w:r>
      <w:r>
        <w:t xml:space="preserve">the </w:t>
      </w:r>
      <w:r w:rsidRPr="000463C4">
        <w:t>spring,</w:t>
      </w:r>
      <w:r>
        <w:t xml:space="preserve"> and </w:t>
      </w:r>
      <w:r w:rsidRPr="000463C4">
        <w:t xml:space="preserve">the </w:t>
      </w:r>
      <w:r>
        <w:t xml:space="preserve">combination of </w:t>
      </w:r>
      <w:r w:rsidR="00C753AB">
        <w:rPr>
          <w:rFonts w:eastAsia="PMingLiU"/>
          <w:lang w:eastAsia="zh-TW"/>
        </w:rPr>
        <w:t xml:space="preserve">the </w:t>
      </w:r>
      <w:r>
        <w:t>CM and DS</w:t>
      </w:r>
      <w:r w:rsidRPr="000463C4">
        <w:t xml:space="preserve"> explain </w:t>
      </w:r>
      <w:r>
        <w:t>another</w:t>
      </w:r>
      <w:r w:rsidRPr="000463C4">
        <w:t xml:space="preserve"> </w:t>
      </w:r>
      <w:r>
        <w:t>24</w:t>
      </w:r>
      <w:r w:rsidRPr="000463C4">
        <w:t xml:space="preserve">% of the total variance. </w:t>
      </w:r>
      <w:r>
        <w:t xml:space="preserve">Similarly, </w:t>
      </w:r>
      <w:r>
        <w:rPr>
          <w:lang w:eastAsia="zh-CN"/>
        </w:rPr>
        <w:t xml:space="preserve">in the summer, the </w:t>
      </w:r>
      <w:r w:rsidRPr="000463C4">
        <w:t xml:space="preserve">CM explains </w:t>
      </w:r>
      <w:r>
        <w:t>53</w:t>
      </w:r>
      <w:r w:rsidRPr="000463C4">
        <w:t>%</w:t>
      </w:r>
      <w:r>
        <w:t>,</w:t>
      </w:r>
      <w:r w:rsidRPr="000463C4">
        <w:t xml:space="preserve"> </w:t>
      </w:r>
      <w:r>
        <w:t xml:space="preserve">whereas </w:t>
      </w:r>
      <w:r w:rsidRPr="000463C4">
        <w:t xml:space="preserve">the </w:t>
      </w:r>
      <w:r>
        <w:t xml:space="preserve">combination of </w:t>
      </w:r>
      <w:r w:rsidR="00C753AB">
        <w:rPr>
          <w:rFonts w:eastAsia="PMingLiU"/>
          <w:lang w:eastAsia="zh-TW"/>
        </w:rPr>
        <w:t xml:space="preserve">the </w:t>
      </w:r>
      <w:r>
        <w:t>CM and DS</w:t>
      </w:r>
      <w:r w:rsidRPr="000463C4">
        <w:t xml:space="preserve"> explain</w:t>
      </w:r>
      <w:r>
        <w:t>s</w:t>
      </w:r>
      <w:r w:rsidRPr="000463C4">
        <w:t xml:space="preserve"> </w:t>
      </w:r>
      <w:r>
        <w:t>45</w:t>
      </w:r>
      <w:r w:rsidRPr="000463C4">
        <w:t>% of the</w:t>
      </w:r>
      <w:r>
        <w:t xml:space="preserve"> total </w:t>
      </w:r>
      <w:r w:rsidRPr="000463C4">
        <w:t>variance.</w:t>
      </w:r>
      <w:r>
        <w:t xml:space="preserve"> </w:t>
      </w:r>
      <w:r w:rsidR="00F32AA2">
        <w:t xml:space="preserve">The </w:t>
      </w:r>
      <w:r w:rsidRPr="000463C4">
        <w:t xml:space="preserve">CM is also the </w:t>
      </w:r>
      <w:r w:rsidR="00C753AB">
        <w:rPr>
          <w:rFonts w:eastAsia="PMingLiU"/>
          <w:lang w:eastAsia="zh-TW"/>
        </w:rPr>
        <w:t xml:space="preserve">most </w:t>
      </w:r>
      <w:r w:rsidR="003F05AD">
        <w:t xml:space="preserve">dominant </w:t>
      </w:r>
      <w:r w:rsidRPr="000463C4">
        <w:t xml:space="preserve">contributor in </w:t>
      </w:r>
      <w:r>
        <w:t xml:space="preserve">the </w:t>
      </w:r>
      <w:r w:rsidRPr="000463C4">
        <w:t xml:space="preserve">fall and winter. </w:t>
      </w:r>
      <w:r w:rsidR="00F32AA2">
        <w:t xml:space="preserve">The </w:t>
      </w:r>
      <w:r w:rsidRPr="000463C4">
        <w:t>DS</w:t>
      </w:r>
      <w:r>
        <w:t xml:space="preserve"> is the third </w:t>
      </w:r>
      <w:r w:rsidR="00F32AA2">
        <w:t xml:space="preserve">most dominant </w:t>
      </w:r>
      <w:r>
        <w:t>contributor</w:t>
      </w:r>
      <w:r w:rsidRPr="000463C4">
        <w:t>, explain</w:t>
      </w:r>
      <w:r>
        <w:t xml:space="preserve">ing </w:t>
      </w:r>
      <w:r w:rsidRPr="000463C4">
        <w:t>20% of evaporation loss</w:t>
      </w:r>
      <w:r>
        <w:t xml:space="preserve"> changes</w:t>
      </w:r>
      <w:r w:rsidRPr="000463C4">
        <w:t xml:space="preserve"> in </w:t>
      </w:r>
      <w:r>
        <w:t xml:space="preserve">the </w:t>
      </w:r>
      <w:r w:rsidRPr="000463C4">
        <w:t xml:space="preserve">fall and </w:t>
      </w:r>
      <w:r w:rsidR="003F05AD">
        <w:t>8</w:t>
      </w:r>
      <w:r w:rsidR="003F05AD" w:rsidRPr="000463C4">
        <w:t xml:space="preserve">% </w:t>
      </w:r>
      <w:r w:rsidR="003F05AD">
        <w:t xml:space="preserve">in the </w:t>
      </w:r>
      <w:r w:rsidRPr="000463C4">
        <w:t>winter</w:t>
      </w:r>
      <w:r>
        <w:t>. Overall,</w:t>
      </w:r>
      <w:r w:rsidRPr="000463C4">
        <w:t xml:space="preserve"> DBCCA projects higher reservoir evaporation los</w:t>
      </w:r>
      <w:r>
        <w:t>ses</w:t>
      </w:r>
      <w:r w:rsidRPr="000463C4">
        <w:t xml:space="preserve"> in the future than the RegCM.</w:t>
      </w:r>
      <w:r w:rsidRPr="00CC0193">
        <w:t xml:space="preserve"> </w:t>
      </w:r>
      <w:r>
        <w:t>Although the choice of MetFs (i.e., Daymet or Livneh) may significantly influence the projected value of reservoir evaporation loss (</w:t>
      </w:r>
      <w:r w:rsidR="00632CB7">
        <w:fldChar w:fldCharType="begin"/>
      </w:r>
      <w:r w:rsidR="00632CB7">
        <w:instrText xml:space="preserve"> REF _Ref83537373 \h </w:instrText>
      </w:r>
      <w:r w:rsidR="00632CB7">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10</w:t>
      </w:r>
      <w:r w:rsidR="00632CB7">
        <w:fldChar w:fldCharType="end"/>
      </w:r>
      <w:r>
        <w:t>), the difference is systematic and largely reduced when examining the change from the baseline to future periods. This shows that even with large model/data bias, the relative change is still considered reliable and used in many hydroclimate impact assessment studies.</w:t>
      </w:r>
    </w:p>
    <w:p w14:paraId="29CE90A4" w14:textId="77777777" w:rsidR="00FF4917" w:rsidRDefault="00FF4917" w:rsidP="00994F41">
      <w:pPr>
        <w:pStyle w:val="BodyText"/>
      </w:pPr>
    </w:p>
    <w:p w14:paraId="5FF5C6C1" w14:textId="64E60512" w:rsidR="00591093" w:rsidRPr="00591093" w:rsidRDefault="00591093" w:rsidP="00AD0C1C">
      <w:pPr>
        <w:pStyle w:val="Heading2"/>
      </w:pPr>
      <w:bookmarkStart w:id="457" w:name="_Ref69807841"/>
      <w:bookmarkStart w:id="458" w:name="_Toc113380824"/>
      <w:r w:rsidRPr="00591093">
        <w:t xml:space="preserve">Climate Effects on Federal Hydropower in </w:t>
      </w:r>
      <w:r w:rsidR="00E0058B">
        <w:t xml:space="preserve">the </w:t>
      </w:r>
      <w:r w:rsidR="001100CF">
        <w:t>SWPA</w:t>
      </w:r>
      <w:r w:rsidR="00E0058B">
        <w:t xml:space="preserve"> Region</w:t>
      </w:r>
      <w:bookmarkEnd w:id="457"/>
      <w:bookmarkEnd w:id="458"/>
    </w:p>
    <w:p w14:paraId="36A7B0ED" w14:textId="77777777" w:rsidR="00591093" w:rsidRPr="00591093" w:rsidRDefault="00591093" w:rsidP="00591093">
      <w:pPr>
        <w:pStyle w:val="Heading3"/>
      </w:pPr>
      <w:bookmarkStart w:id="459" w:name="_Ref425756480"/>
      <w:bookmarkStart w:id="460" w:name="_Toc113380825"/>
      <w:r w:rsidRPr="00591093">
        <w:t>Projection</w:t>
      </w:r>
      <w:r w:rsidR="00510B4A">
        <w:t>s</w:t>
      </w:r>
      <w:r w:rsidRPr="00591093">
        <w:t xml:space="preserve"> of Hydropower Generation</w:t>
      </w:r>
      <w:bookmarkEnd w:id="459"/>
      <w:bookmarkEnd w:id="460"/>
    </w:p>
    <w:p w14:paraId="79B96BD0" w14:textId="706F470E" w:rsidR="00606C69" w:rsidRDefault="00606C69" w:rsidP="00606C69">
      <w:pPr>
        <w:pStyle w:val="BodyText"/>
      </w:pPr>
      <w:r w:rsidRPr="00882352">
        <w:rPr>
          <w:rFonts w:eastAsia="PMingLiU"/>
          <w:lang w:eastAsia="zh-TW"/>
        </w:rPr>
        <w:t>Using</w:t>
      </w:r>
      <w:r w:rsidRPr="00882352">
        <w:rPr>
          <w:rFonts w:eastAsia="PMingLiU" w:hint="eastAsia"/>
          <w:lang w:eastAsia="zh-TW"/>
        </w:rPr>
        <w:t xml:space="preserve"> the </w:t>
      </w:r>
      <w:r>
        <w:rPr>
          <w:rFonts w:eastAsia="PMingLiU"/>
          <w:lang w:eastAsia="zh-TW"/>
        </w:rPr>
        <w:t>two hydropower models</w:t>
      </w:r>
      <w:r w:rsidRPr="00882352">
        <w:rPr>
          <w:rFonts w:eastAsia="PMingLiU" w:hint="eastAsia"/>
          <w:lang w:eastAsia="zh-TW"/>
        </w:rPr>
        <w:t xml:space="preserve"> described in Section</w:t>
      </w:r>
      <w:r>
        <w:rPr>
          <w:rFonts w:eastAsia="PMingLiU"/>
          <w:lang w:eastAsia="zh-TW"/>
        </w:rPr>
        <w:t xml:space="preserve"> </w:t>
      </w:r>
      <w:r>
        <w:rPr>
          <w:rFonts w:eastAsia="PMingLiU"/>
          <w:lang w:eastAsia="zh-TW"/>
        </w:rPr>
        <w:fldChar w:fldCharType="begin"/>
      </w:r>
      <w:r>
        <w:rPr>
          <w:rFonts w:eastAsia="PMingLiU"/>
          <w:lang w:eastAsia="zh-TW"/>
        </w:rPr>
        <w:instrText xml:space="preserve"> REF _Ref425755954 \r \h </w:instrText>
      </w:r>
      <w:r>
        <w:rPr>
          <w:rFonts w:eastAsia="PMingLiU"/>
          <w:lang w:eastAsia="zh-TW"/>
        </w:rPr>
      </w:r>
      <w:r>
        <w:rPr>
          <w:rFonts w:eastAsia="PMingLiU"/>
          <w:lang w:eastAsia="zh-TW"/>
        </w:rPr>
        <w:fldChar w:fldCharType="separate"/>
      </w:r>
      <w:r w:rsidR="00EE0BF5">
        <w:rPr>
          <w:rFonts w:eastAsia="PMingLiU"/>
          <w:lang w:eastAsia="zh-TW"/>
        </w:rPr>
        <w:t>2.6</w:t>
      </w:r>
      <w:r>
        <w:rPr>
          <w:rFonts w:eastAsia="PMingLiU"/>
          <w:lang w:eastAsia="zh-TW"/>
        </w:rPr>
        <w:fldChar w:fldCharType="end"/>
      </w:r>
      <w:r w:rsidRPr="00882352">
        <w:rPr>
          <w:rFonts w:eastAsia="PMingLiU" w:hint="eastAsia"/>
          <w:lang w:eastAsia="zh-TW"/>
        </w:rPr>
        <w:t xml:space="preserve">, </w:t>
      </w:r>
      <w:r>
        <w:rPr>
          <w:rFonts w:eastAsia="PMingLiU"/>
          <w:lang w:eastAsia="zh-TW"/>
        </w:rPr>
        <w:t xml:space="preserve">the </w:t>
      </w:r>
      <w:r w:rsidRPr="00882352">
        <w:rPr>
          <w:rFonts w:eastAsia="PMingLiU" w:hint="eastAsia"/>
          <w:lang w:eastAsia="zh-TW"/>
        </w:rPr>
        <w:t>projection</w:t>
      </w:r>
      <w:r w:rsidR="001410F3">
        <w:rPr>
          <w:rFonts w:eastAsia="PMingLiU"/>
          <w:lang w:eastAsia="zh-TW"/>
        </w:rPr>
        <w:t>s</w:t>
      </w:r>
      <w:r w:rsidRPr="00882352">
        <w:rPr>
          <w:rFonts w:eastAsia="PMingLiU" w:hint="eastAsia"/>
          <w:lang w:eastAsia="zh-TW"/>
        </w:rPr>
        <w:t xml:space="preserve"> of monthly generation </w:t>
      </w:r>
      <w:r>
        <w:rPr>
          <w:rFonts w:eastAsia="PMingLiU"/>
          <w:lang w:eastAsia="zh-TW"/>
        </w:rPr>
        <w:t>in the SWPA region</w:t>
      </w:r>
      <w:r w:rsidRPr="00882352">
        <w:rPr>
          <w:rFonts w:eastAsia="PMingLiU"/>
          <w:lang w:eastAsia="zh-TW"/>
        </w:rPr>
        <w:t xml:space="preserve"> </w:t>
      </w:r>
      <w:r w:rsidRPr="00882352">
        <w:rPr>
          <w:rFonts w:eastAsia="PMingLiU" w:hint="eastAsia"/>
          <w:lang w:eastAsia="zh-TW"/>
        </w:rPr>
        <w:t xml:space="preserve">are calculated for each of the </w:t>
      </w:r>
      <w:r>
        <w:rPr>
          <w:rFonts w:eastAsia="PMingLiU"/>
          <w:lang w:eastAsia="zh-TW"/>
        </w:rPr>
        <w:t>96</w:t>
      </w:r>
      <w:r w:rsidRPr="00882352">
        <w:rPr>
          <w:rFonts w:eastAsia="PMingLiU" w:hint="eastAsia"/>
          <w:lang w:eastAsia="zh-TW"/>
        </w:rPr>
        <w:t xml:space="preserve"> </w:t>
      </w:r>
      <w:r>
        <w:rPr>
          <w:rFonts w:eastAsia="PMingLiU"/>
          <w:lang w:eastAsia="zh-TW"/>
        </w:rPr>
        <w:t xml:space="preserve">unique combinations of </w:t>
      </w:r>
      <w:r w:rsidR="00410CA5">
        <w:rPr>
          <w:rFonts w:eastAsia="PMingLiU"/>
          <w:lang w:eastAsia="zh-TW"/>
        </w:rPr>
        <w:t>CMs</w:t>
      </w:r>
      <w:r>
        <w:rPr>
          <w:rFonts w:eastAsia="PMingLiU"/>
          <w:lang w:eastAsia="zh-TW"/>
        </w:rPr>
        <w:t xml:space="preserve">, </w:t>
      </w:r>
      <w:r w:rsidR="001E1DC5">
        <w:rPr>
          <w:rFonts w:eastAsia="PMingLiU"/>
          <w:lang w:eastAsia="zh-TW"/>
        </w:rPr>
        <w:t>DS</w:t>
      </w:r>
      <w:r>
        <w:rPr>
          <w:rFonts w:eastAsia="PMingLiU"/>
          <w:lang w:eastAsia="zh-TW"/>
        </w:rPr>
        <w:t xml:space="preserve">s, </w:t>
      </w:r>
      <w:r w:rsidR="00410CA5">
        <w:t>MetFs</w:t>
      </w:r>
      <w:r>
        <w:rPr>
          <w:rFonts w:eastAsia="PMingLiU"/>
          <w:lang w:eastAsia="zh-TW"/>
        </w:rPr>
        <w:t xml:space="preserve">, and </w:t>
      </w:r>
      <w:r w:rsidR="00533D84">
        <w:rPr>
          <w:rFonts w:eastAsia="PMingLiU"/>
          <w:lang w:eastAsia="zh-TW"/>
        </w:rPr>
        <w:t xml:space="preserve">HMs </w:t>
      </w:r>
      <w:r>
        <w:rPr>
          <w:rFonts w:eastAsia="PMingLiU"/>
          <w:lang w:eastAsia="zh-TW"/>
        </w:rPr>
        <w:t xml:space="preserve">and </w:t>
      </w:r>
      <w:r w:rsidR="00533D84">
        <w:rPr>
          <w:rFonts w:eastAsia="PMingLiU"/>
          <w:lang w:eastAsia="zh-TW"/>
        </w:rPr>
        <w:t>PMs</w:t>
      </w:r>
      <w:r w:rsidRPr="00882352">
        <w:rPr>
          <w:rFonts w:eastAsia="PMingLiU" w:hint="eastAsia"/>
          <w:lang w:eastAsia="zh-TW"/>
        </w:rPr>
        <w:t xml:space="preserve">. </w:t>
      </w:r>
      <w:r w:rsidRPr="00CC508E">
        <w:t xml:space="preserve">Projections based on </w:t>
      </w:r>
      <w:r w:rsidR="005E23BA">
        <w:t>multimodel</w:t>
      </w:r>
      <w:r w:rsidRPr="00CC508E">
        <w:t xml:space="preserve"> ensemble</w:t>
      </w:r>
      <w:r>
        <w:t>s</w:t>
      </w:r>
      <w:r w:rsidRPr="00CC508E">
        <w:t xml:space="preserve"> are </w:t>
      </w:r>
      <w:r>
        <w:t>summarized in terms of</w:t>
      </w:r>
      <w:r w:rsidRPr="00CC508E">
        <w:t xml:space="preserve"> </w:t>
      </w:r>
      <w:r>
        <w:t xml:space="preserve">the </w:t>
      </w:r>
      <w:r w:rsidRPr="00CC508E">
        <w:t>mean annual</w:t>
      </w:r>
      <w:r>
        <w:t xml:space="preserve"> and </w:t>
      </w:r>
      <w:r w:rsidRPr="00CC508E">
        <w:t xml:space="preserve">seasonal changes for </w:t>
      </w:r>
      <w:r>
        <w:t xml:space="preserve">the </w:t>
      </w:r>
      <w:r w:rsidRPr="00CC508E">
        <w:t>near-term (20</w:t>
      </w:r>
      <w:r>
        <w:t>20</w:t>
      </w:r>
      <w:r w:rsidRPr="00CC508E">
        <w:t>–203</w:t>
      </w:r>
      <w:r>
        <w:t>9</w:t>
      </w:r>
      <w:r w:rsidRPr="00CC508E">
        <w:t xml:space="preserve">) and </w:t>
      </w:r>
      <w:r>
        <w:t>mid-term</w:t>
      </w:r>
      <w:r w:rsidRPr="00CC508E">
        <w:t xml:space="preserve"> (20</w:t>
      </w:r>
      <w:r>
        <w:t>40</w:t>
      </w:r>
      <w:r w:rsidRPr="00CC508E">
        <w:t>–205</w:t>
      </w:r>
      <w:r>
        <w:t>9</w:t>
      </w:r>
      <w:r w:rsidRPr="00CC508E">
        <w:t>)</w:t>
      </w:r>
      <w:r>
        <w:t xml:space="preserve"> future </w:t>
      </w:r>
      <w:r w:rsidRPr="00CC508E">
        <w:t>period</w:t>
      </w:r>
      <w:r>
        <w:t>s</w:t>
      </w:r>
      <w:r w:rsidRPr="00CC508E">
        <w:t xml:space="preserve"> </w:t>
      </w:r>
      <w:r>
        <w:t xml:space="preserve">compared </w:t>
      </w:r>
      <w:r w:rsidR="00DA5123">
        <w:t xml:space="preserve">with </w:t>
      </w:r>
      <w:r w:rsidRPr="00CC508E">
        <w:t>the baseline period (</w:t>
      </w:r>
      <w:r>
        <w:t>1980</w:t>
      </w:r>
      <w:r w:rsidRPr="00CC508E">
        <w:t>–</w:t>
      </w:r>
      <w:r>
        <w:t>2019</w:t>
      </w:r>
      <w:r w:rsidRPr="00CC508E">
        <w:t>).</w:t>
      </w:r>
    </w:p>
    <w:p w14:paraId="5969F928" w14:textId="7A18A00A" w:rsidR="00606C69" w:rsidRDefault="00606C69" w:rsidP="00606C69">
      <w:pPr>
        <w:pStyle w:val="BodyText"/>
        <w:rPr>
          <w:rFonts w:eastAsia="PMingLiU"/>
          <w:lang w:eastAsia="zh-TW"/>
        </w:rPr>
      </w:pPr>
      <w:r w:rsidRPr="3ADD3F87">
        <w:rPr>
          <w:rFonts w:eastAsia="PMingLiU"/>
          <w:lang w:eastAsia="zh-TW"/>
        </w:rPr>
        <w:t xml:space="preserve">The interannual variability of annual hydropower generation for the baseline and future periods </w:t>
      </w:r>
      <w:r w:rsidR="00DA5123">
        <w:rPr>
          <w:rFonts w:eastAsia="PMingLiU"/>
          <w:lang w:eastAsia="zh-TW"/>
        </w:rPr>
        <w:t>is</w:t>
      </w:r>
      <w:r w:rsidR="00DA5123" w:rsidRPr="3ADD3F87">
        <w:rPr>
          <w:rFonts w:eastAsia="PMingLiU"/>
          <w:lang w:eastAsia="zh-TW"/>
        </w:rPr>
        <w:t xml:space="preserve"> </w:t>
      </w:r>
      <w:r w:rsidRPr="3ADD3F87">
        <w:rPr>
          <w:rFonts w:eastAsia="PMingLiU"/>
          <w:lang w:eastAsia="zh-TW"/>
        </w:rPr>
        <w:t>shown in</w:t>
      </w:r>
      <w:r>
        <w:t xml:space="preserve"> </w:t>
      </w:r>
      <w:r>
        <w:fldChar w:fldCharType="begin"/>
      </w:r>
      <w:r>
        <w:instrText xml:space="preserve"> REF _Ref72856233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13</w:t>
      </w:r>
      <w:r>
        <w:fldChar w:fldCharType="end"/>
      </w:r>
      <w:r>
        <w:rPr>
          <w:rFonts w:eastAsia="PMingLiU"/>
          <w:lang w:eastAsia="zh-TW"/>
        </w:rPr>
        <w:t xml:space="preserve">. The </w:t>
      </w:r>
      <w:r w:rsidRPr="3ADD3F87">
        <w:rPr>
          <w:rFonts w:eastAsia="PMingLiU"/>
          <w:lang w:eastAsia="zh-TW"/>
        </w:rPr>
        <w:t xml:space="preserve">gray lines </w:t>
      </w:r>
      <w:r>
        <w:t xml:space="preserve">show the annual total generation </w:t>
      </w:r>
      <w:r w:rsidR="002E5962">
        <w:t>for all 96 members of the ensemble hydropower projections</w:t>
      </w:r>
      <w:r w:rsidRPr="3ADD3F87">
        <w:rPr>
          <w:rFonts w:eastAsia="PMingLiU"/>
          <w:lang w:eastAsia="zh-TW"/>
        </w:rPr>
        <w:t xml:space="preserve">, </w:t>
      </w:r>
      <w:r>
        <w:rPr>
          <w:rFonts w:eastAsia="PMingLiU"/>
          <w:lang w:eastAsia="zh-TW"/>
        </w:rPr>
        <w:t xml:space="preserve">the </w:t>
      </w:r>
      <w:r w:rsidRPr="3ADD3F87">
        <w:rPr>
          <w:rFonts w:eastAsia="PMingLiU"/>
          <w:lang w:eastAsia="zh-TW"/>
        </w:rPr>
        <w:t>black line represent</w:t>
      </w:r>
      <w:r>
        <w:rPr>
          <w:rFonts w:eastAsia="PMingLiU"/>
          <w:lang w:eastAsia="zh-TW"/>
        </w:rPr>
        <w:t>s</w:t>
      </w:r>
      <w:r w:rsidRPr="3ADD3F87">
        <w:rPr>
          <w:rFonts w:eastAsia="PMingLiU"/>
          <w:lang w:eastAsia="zh-TW"/>
        </w:rPr>
        <w:t xml:space="preserve"> the </w:t>
      </w:r>
      <w:r>
        <w:rPr>
          <w:rFonts w:eastAsia="PMingLiU"/>
          <w:lang w:eastAsia="zh-TW"/>
        </w:rPr>
        <w:t>ensemble</w:t>
      </w:r>
      <w:r w:rsidRPr="3ADD3F87">
        <w:rPr>
          <w:rFonts w:eastAsia="PMingLiU"/>
          <w:lang w:eastAsia="zh-TW"/>
        </w:rPr>
        <w:t xml:space="preserve"> median, </w:t>
      </w:r>
      <w:r>
        <w:rPr>
          <w:rFonts w:eastAsia="PMingLiU"/>
          <w:lang w:eastAsia="zh-TW"/>
        </w:rPr>
        <w:t xml:space="preserve">and the </w:t>
      </w:r>
      <w:r w:rsidRPr="3ADD3F87">
        <w:rPr>
          <w:rFonts w:eastAsia="PMingLiU"/>
          <w:lang w:eastAsia="zh-TW"/>
        </w:rPr>
        <w:t>blue line show</w:t>
      </w:r>
      <w:r>
        <w:rPr>
          <w:rFonts w:eastAsia="PMingLiU"/>
          <w:lang w:eastAsia="zh-TW"/>
        </w:rPr>
        <w:t>s</w:t>
      </w:r>
      <w:r w:rsidRPr="3ADD3F87">
        <w:rPr>
          <w:rFonts w:eastAsia="PMingLiU"/>
          <w:lang w:eastAsia="zh-TW"/>
        </w:rPr>
        <w:t xml:space="preserve"> the 1980–2019 historic observation from EIA and PMAs. The corresponding probability distributions </w:t>
      </w:r>
      <w:r>
        <w:rPr>
          <w:rFonts w:eastAsia="PMingLiU"/>
          <w:lang w:eastAsia="zh-TW"/>
        </w:rPr>
        <w:t xml:space="preserve">of annual generation </w:t>
      </w:r>
      <w:r w:rsidRPr="3ADD3F87">
        <w:rPr>
          <w:rFonts w:eastAsia="PMingLiU"/>
          <w:lang w:eastAsia="zh-TW"/>
        </w:rPr>
        <w:t xml:space="preserve">in the baseline and future periods are compared in the right panel. A two-sample Kolmogorov-Smirnov test </w:t>
      </w:r>
      <w:r>
        <w:t>at the 5% significance level</w:t>
      </w:r>
      <w:r w:rsidRPr="3ADD3F87">
        <w:rPr>
          <w:rFonts w:eastAsia="PMingLiU"/>
          <w:lang w:eastAsia="zh-TW"/>
        </w:rPr>
        <w:t xml:space="preserve"> </w:t>
      </w:r>
      <w:r w:rsidR="00FA280A">
        <w:t>was</w:t>
      </w:r>
      <w:r w:rsidRPr="3ADD3F87">
        <w:rPr>
          <w:rFonts w:eastAsia="PMingLiU"/>
          <w:lang w:eastAsia="zh-TW"/>
        </w:rPr>
        <w:t xml:space="preserve"> used to determine </w:t>
      </w:r>
      <w:r w:rsidR="00635C2E">
        <w:rPr>
          <w:rFonts w:eastAsia="PMingLiU"/>
          <w:lang w:eastAsia="zh-TW"/>
        </w:rPr>
        <w:t xml:space="preserve">whether </w:t>
      </w:r>
      <w:r w:rsidRPr="3ADD3F87">
        <w:rPr>
          <w:rFonts w:eastAsia="PMingLiU"/>
          <w:lang w:eastAsia="zh-TW"/>
        </w:rPr>
        <w:t xml:space="preserve">the difference between baseline and future periods is statistically significant. </w:t>
      </w:r>
      <w:r>
        <w:rPr>
          <w:rFonts w:eastAsia="PMingLiU"/>
          <w:lang w:eastAsia="zh-TW"/>
        </w:rPr>
        <w:t>The comparison (</w:t>
      </w:r>
      <w:r>
        <w:rPr>
          <w:rFonts w:eastAsia="PMingLiU"/>
          <w:lang w:eastAsia="zh-TW"/>
        </w:rPr>
        <w:fldChar w:fldCharType="begin"/>
      </w:r>
      <w:r>
        <w:rPr>
          <w:rFonts w:eastAsia="PMingLiU"/>
          <w:lang w:eastAsia="zh-TW"/>
        </w:rPr>
        <w:instrText xml:space="preserve"> REF _Ref72856233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13</w:t>
      </w:r>
      <w:r>
        <w:rPr>
          <w:rFonts w:eastAsia="PMingLiU"/>
          <w:lang w:eastAsia="zh-TW"/>
        </w:rPr>
        <w:fldChar w:fldCharType="end"/>
      </w:r>
      <w:r>
        <w:rPr>
          <w:rFonts w:eastAsia="PMingLiU"/>
          <w:lang w:eastAsia="zh-TW"/>
        </w:rPr>
        <w:t>, left column)</w:t>
      </w:r>
      <w:r>
        <w:t xml:space="preserve"> </w:t>
      </w:r>
      <w:r>
        <w:rPr>
          <w:rFonts w:eastAsia="PMingLiU"/>
          <w:lang w:eastAsia="zh-TW"/>
        </w:rPr>
        <w:t xml:space="preserve">suggests that the range of simulated and observed annual hydropower is generally consistent across all SWPA areas. The shapes of the probability </w:t>
      </w:r>
      <w:r>
        <w:t xml:space="preserve">distributions </w:t>
      </w:r>
      <w:r>
        <w:rPr>
          <w:rFonts w:eastAsia="PMingLiU"/>
          <w:lang w:eastAsia="zh-TW"/>
        </w:rPr>
        <w:t xml:space="preserve">in both baseline and future periods are very </w:t>
      </w:r>
      <w:r w:rsidR="003C7F9D">
        <w:rPr>
          <w:rFonts w:eastAsia="PMingLiU"/>
          <w:lang w:eastAsia="zh-TW"/>
        </w:rPr>
        <w:t>similar</w:t>
      </w:r>
      <w:r>
        <w:rPr>
          <w:rFonts w:eastAsia="PMingLiU"/>
          <w:lang w:eastAsia="zh-TW"/>
        </w:rPr>
        <w:t>.</w:t>
      </w:r>
    </w:p>
    <w:p w14:paraId="4571E70D" w14:textId="4F51C908" w:rsidR="00FF4917" w:rsidRPr="008712D8" w:rsidRDefault="00FF4917" w:rsidP="00FF4917">
      <w:pPr>
        <w:pStyle w:val="BodyText"/>
      </w:pPr>
      <w:r w:rsidRPr="4AA7083E">
        <w:rPr>
          <w:rFonts w:eastAsia="PMingLiU"/>
          <w:lang w:eastAsia="zh-TW"/>
        </w:rPr>
        <w:t>The annual and seasonal change in projected hydropower generation is further summarized in</w:t>
      </w:r>
      <w:r>
        <w:t xml:space="preserve"> </w:t>
      </w:r>
      <w:r>
        <w:fldChar w:fldCharType="begin"/>
      </w:r>
      <w:r>
        <w:instrText xml:space="preserve"> REF _Ref72856258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14</w:t>
      </w:r>
      <w:r>
        <w:fldChar w:fldCharType="end"/>
      </w:r>
      <w:r w:rsidRPr="4AA7083E">
        <w:rPr>
          <w:rFonts w:eastAsia="PMingLiU"/>
          <w:lang w:eastAsia="zh-TW"/>
        </w:rPr>
        <w:t xml:space="preserve">. The change in </w:t>
      </w:r>
      <w:r>
        <w:fldChar w:fldCharType="begin"/>
      </w:r>
      <w:r w:rsidRPr="4AA7083E">
        <w:rPr>
          <w:rFonts w:eastAsia="PMingLiU"/>
          <w:lang w:eastAsia="zh-TW"/>
        </w:rPr>
        <w:instrText xml:space="preserve"> REF _Ref72856258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14</w:t>
      </w:r>
      <w:r>
        <w:fldChar w:fldCharType="end"/>
      </w:r>
      <w:r>
        <w:t xml:space="preserve"> </w:t>
      </w:r>
      <w:r w:rsidRPr="4AA7083E">
        <w:rPr>
          <w:rFonts w:eastAsia="PMingLiU"/>
          <w:lang w:eastAsia="zh-TW"/>
        </w:rPr>
        <w:t xml:space="preserve">is defined as the percentage difference in the future periods (2020–2039 and 2040–2059) compared </w:t>
      </w:r>
      <w:r>
        <w:t>with</w:t>
      </w:r>
      <w:r w:rsidRPr="4AA7083E">
        <w:rPr>
          <w:rFonts w:eastAsia="PMingLiU"/>
          <w:lang w:eastAsia="zh-TW"/>
        </w:rPr>
        <w:t xml:space="preserve"> the baseline period</w:t>
      </w:r>
      <w:r>
        <w:rPr>
          <w:rFonts w:eastAsia="PMingLiU"/>
          <w:lang w:eastAsia="zh-TW"/>
        </w:rPr>
        <w:t xml:space="preserve"> (</w:t>
      </w:r>
      <w:r w:rsidRPr="00A672C4">
        <w:t>1980–2019</w:t>
      </w:r>
      <w:r>
        <w:t>)</w:t>
      </w:r>
      <w:r w:rsidRPr="4AA7083E">
        <w:rPr>
          <w:rFonts w:eastAsia="PMingLiU"/>
          <w:lang w:eastAsia="zh-TW"/>
        </w:rPr>
        <w:t xml:space="preserve">. Each box plot shows the spread across the 96 </w:t>
      </w:r>
      <w:r>
        <w:rPr>
          <w:rFonts w:eastAsia="PMingLiU"/>
          <w:lang w:eastAsia="zh-TW"/>
        </w:rPr>
        <w:t>multimodel combinations;</w:t>
      </w:r>
      <w:r w:rsidRPr="4AA7083E">
        <w:rPr>
          <w:rFonts w:eastAsia="PMingLiU"/>
          <w:lang w:eastAsia="zh-TW"/>
        </w:rPr>
        <w:t xml:space="preserve"> the central mark </w:t>
      </w:r>
      <w:r>
        <w:rPr>
          <w:rFonts w:eastAsia="PMingLiU"/>
          <w:lang w:eastAsia="zh-TW"/>
        </w:rPr>
        <w:t xml:space="preserve">indicates </w:t>
      </w:r>
      <w:r w:rsidRPr="4AA7083E">
        <w:rPr>
          <w:rFonts w:eastAsia="PMingLiU"/>
          <w:lang w:eastAsia="zh-TW"/>
        </w:rPr>
        <w:t xml:space="preserve">the </w:t>
      </w:r>
      <w:r>
        <w:rPr>
          <w:rFonts w:eastAsia="PMingLiU"/>
          <w:lang w:eastAsia="zh-TW"/>
        </w:rPr>
        <w:t>multimodel</w:t>
      </w:r>
      <w:r w:rsidRPr="4AA7083E">
        <w:rPr>
          <w:rFonts w:eastAsia="PMingLiU"/>
          <w:lang w:eastAsia="zh-TW"/>
        </w:rPr>
        <w:t xml:space="preserve"> median</w:t>
      </w:r>
      <w:r>
        <w:rPr>
          <w:rFonts w:eastAsia="PMingLiU"/>
          <w:lang w:eastAsia="zh-TW"/>
        </w:rPr>
        <w:t>,</w:t>
      </w:r>
      <w:r w:rsidRPr="4AA7083E">
        <w:rPr>
          <w:rFonts w:eastAsia="PMingLiU"/>
          <w:lang w:eastAsia="zh-TW"/>
        </w:rPr>
        <w:t xml:space="preserve"> and the edges of box indicat</w:t>
      </w:r>
      <w:r>
        <w:rPr>
          <w:rFonts w:eastAsia="PMingLiU"/>
          <w:lang w:eastAsia="zh-TW"/>
        </w:rPr>
        <w:t>e</w:t>
      </w:r>
      <w:r w:rsidRPr="4AA7083E">
        <w:rPr>
          <w:rFonts w:eastAsia="PMingLiU"/>
          <w:lang w:eastAsia="zh-TW"/>
        </w:rPr>
        <w:t xml:space="preserve"> the </w:t>
      </w:r>
      <w:r>
        <w:rPr>
          <w:rFonts w:eastAsia="PMingLiU"/>
          <w:lang w:eastAsia="zh-TW"/>
        </w:rPr>
        <w:t>25</w:t>
      </w:r>
      <w:r w:rsidRPr="00FA458A">
        <w:rPr>
          <w:rFonts w:eastAsia="PMingLiU"/>
          <w:lang w:eastAsia="zh-TW"/>
        </w:rPr>
        <w:t>th</w:t>
      </w:r>
      <w:r w:rsidRPr="4AA7083E">
        <w:rPr>
          <w:rFonts w:eastAsia="PMingLiU"/>
          <w:lang w:eastAsia="zh-TW"/>
        </w:rPr>
        <w:t xml:space="preserve"> and </w:t>
      </w:r>
      <w:r>
        <w:rPr>
          <w:rFonts w:eastAsia="PMingLiU"/>
          <w:lang w:eastAsia="zh-TW"/>
        </w:rPr>
        <w:t>75</w:t>
      </w:r>
      <w:r w:rsidRPr="00FA458A">
        <w:rPr>
          <w:rFonts w:eastAsia="PMingLiU"/>
          <w:lang w:eastAsia="zh-TW"/>
        </w:rPr>
        <w:t>th</w:t>
      </w:r>
      <w:r>
        <w:rPr>
          <w:rFonts w:eastAsia="PMingLiU"/>
          <w:lang w:eastAsia="zh-TW"/>
        </w:rPr>
        <w:t xml:space="preserve"> </w:t>
      </w:r>
      <w:r w:rsidRPr="4AA7083E">
        <w:rPr>
          <w:rFonts w:eastAsia="PMingLiU"/>
          <w:lang w:eastAsia="zh-TW"/>
        </w:rPr>
        <w:t xml:space="preserve">percentiles. The maximum whisker length is 1.5 times </w:t>
      </w:r>
      <w:r>
        <w:rPr>
          <w:rFonts w:eastAsia="PMingLiU"/>
          <w:lang w:eastAsia="zh-TW"/>
        </w:rPr>
        <w:t xml:space="preserve">the </w:t>
      </w:r>
      <w:r w:rsidRPr="4AA7083E">
        <w:rPr>
          <w:rFonts w:eastAsia="PMingLiU"/>
          <w:lang w:eastAsia="zh-TW"/>
        </w:rPr>
        <w:t>box height (</w:t>
      </w:r>
      <w:r>
        <w:rPr>
          <w:rFonts w:eastAsia="PMingLiU"/>
          <w:lang w:eastAsia="zh-TW"/>
        </w:rPr>
        <w:t>25</w:t>
      </w:r>
      <w:r w:rsidRPr="00FA458A">
        <w:rPr>
          <w:rFonts w:eastAsia="PMingLiU"/>
          <w:lang w:eastAsia="zh-TW"/>
        </w:rPr>
        <w:t>th</w:t>
      </w:r>
      <w:r>
        <w:rPr>
          <w:rFonts w:eastAsia="PMingLiU"/>
          <w:lang w:eastAsia="zh-TW"/>
        </w:rPr>
        <w:t xml:space="preserve"> </w:t>
      </w:r>
      <w:r w:rsidRPr="4AA7083E">
        <w:rPr>
          <w:rFonts w:eastAsia="PMingLiU"/>
          <w:lang w:eastAsia="zh-TW"/>
        </w:rPr>
        <w:t xml:space="preserve">to </w:t>
      </w:r>
      <w:r>
        <w:rPr>
          <w:rFonts w:eastAsia="PMingLiU"/>
          <w:lang w:eastAsia="zh-TW"/>
        </w:rPr>
        <w:t>75</w:t>
      </w:r>
      <w:r w:rsidRPr="00FA458A">
        <w:rPr>
          <w:rFonts w:eastAsia="PMingLiU"/>
          <w:lang w:eastAsia="zh-TW"/>
        </w:rPr>
        <w:t>th</w:t>
      </w:r>
      <w:r>
        <w:rPr>
          <w:rFonts w:eastAsia="PMingLiU"/>
          <w:lang w:eastAsia="zh-TW"/>
        </w:rPr>
        <w:t xml:space="preserve"> </w:t>
      </w:r>
      <w:r w:rsidRPr="4AA7083E">
        <w:rPr>
          <w:rFonts w:eastAsia="PMingLiU"/>
          <w:lang w:eastAsia="zh-TW"/>
        </w:rPr>
        <w:t xml:space="preserve">percentiles). Ensemble members outside of the maximum whisker length are considered </w:t>
      </w:r>
      <w:r>
        <w:rPr>
          <w:rFonts w:eastAsia="PMingLiU"/>
          <w:lang w:eastAsia="zh-TW"/>
        </w:rPr>
        <w:t>statistical outliers (but should not be excluded in the context of climate change)</w:t>
      </w:r>
      <w:r w:rsidRPr="4AA7083E">
        <w:rPr>
          <w:rFonts w:eastAsia="PMingLiU"/>
          <w:lang w:eastAsia="zh-TW"/>
        </w:rPr>
        <w:t>.</w:t>
      </w:r>
    </w:p>
    <w:p w14:paraId="1A7E8D12" w14:textId="5A1FA626" w:rsidR="00FF4917" w:rsidRDefault="00FF4917" w:rsidP="00FF4917">
      <w:pPr>
        <w:pStyle w:val="BodyText"/>
        <w:rPr>
          <w:lang w:eastAsia="zh-TW"/>
        </w:rPr>
      </w:pPr>
      <w:r>
        <w:t xml:space="preserve">The annual hydropower generation is projected to increase significantly in all SWPA areas. More specifically, the annual hydropower generation in the near-term (2020–2039) future period is projected to increase from 1% in SWPA-4 and 7% in SWPA-3 according to the </w:t>
      </w:r>
      <w:r>
        <w:rPr>
          <w:lang w:eastAsia="zh-TW"/>
        </w:rPr>
        <w:t>multimodel</w:t>
      </w:r>
      <w:r w:rsidRPr="4AA7083E">
        <w:rPr>
          <w:lang w:eastAsia="zh-TW"/>
        </w:rPr>
        <w:t xml:space="preserve"> median (</w:t>
      </w:r>
      <w:r>
        <w:fldChar w:fldCharType="begin"/>
      </w:r>
      <w:r w:rsidRPr="4AA7083E">
        <w:rPr>
          <w:lang w:eastAsia="zh-TW"/>
        </w:rPr>
        <w:instrText xml:space="preserve"> REF _Ref72856258 \h </w:instrText>
      </w:r>
      <w:r>
        <w:fldChar w:fldCharType="separate"/>
      </w:r>
      <w:r w:rsidR="00EE0BF5">
        <w:rPr>
          <w:lang w:eastAsia="zh-TW"/>
        </w:rPr>
        <w:t>Figure</w:t>
      </w:r>
      <w:r w:rsidR="00EE0BF5" w:rsidRPr="001B728A">
        <w:rPr>
          <w:lang w:eastAsia="zh-TW"/>
        </w:rPr>
        <w:t xml:space="preserve"> </w:t>
      </w:r>
      <w:r w:rsidR="00EE0BF5">
        <w:rPr>
          <w:noProof/>
          <w:lang w:eastAsia="zh-TW"/>
        </w:rPr>
        <w:t>5</w:t>
      </w:r>
      <w:r w:rsidR="00EE0BF5" w:rsidRPr="001B728A">
        <w:rPr>
          <w:lang w:eastAsia="zh-TW"/>
        </w:rPr>
        <w:t>.</w:t>
      </w:r>
      <w:r w:rsidR="00EE0BF5">
        <w:rPr>
          <w:noProof/>
          <w:lang w:eastAsia="zh-TW"/>
        </w:rPr>
        <w:t>14</w:t>
      </w:r>
      <w:r>
        <w:fldChar w:fldCharType="end"/>
      </w:r>
      <w:r w:rsidRPr="4AA7083E">
        <w:rPr>
          <w:lang w:eastAsia="zh-TW"/>
        </w:rPr>
        <w:t>). A further increase is projected in the mid-term future period, ranging from 5% in SWPA-2 and SWPA-4 to 11% in SWPA-3.</w:t>
      </w:r>
    </w:p>
    <w:p w14:paraId="0DA9C832" w14:textId="77777777" w:rsidR="00FF4917" w:rsidRDefault="00FF4917" w:rsidP="00606C69">
      <w:pPr>
        <w:pStyle w:val="BodyText"/>
        <w:rPr>
          <w:rFonts w:eastAsia="PMingLiU"/>
          <w:lang w:eastAsia="zh-TW"/>
        </w:rPr>
      </w:pPr>
    </w:p>
    <w:p w14:paraId="5CBC9BDC" w14:textId="77777777" w:rsidR="00D9580F" w:rsidRDefault="00D9580F" w:rsidP="00D9580F">
      <w:pPr>
        <w:pStyle w:val="FIGUREposition"/>
      </w:pPr>
      <w:r>
        <w:rPr>
          <w:noProof/>
        </w:rPr>
        <w:lastRenderedPageBreak/>
        <w:drawing>
          <wp:inline distT="0" distB="0" distL="0" distR="0" wp14:anchorId="7F533CBA" wp14:editId="374DAA46">
            <wp:extent cx="5486396" cy="1828798"/>
            <wp:effectExtent l="0" t="0" r="635" b="63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noChangeArrowheads="1"/>
                    </pic:cNvPicPr>
                  </pic:nvPicPr>
                  <pic:blipFill>
                    <a:blip r:embed="rId211"/>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398A1F44" wp14:editId="02DE3365">
            <wp:extent cx="5486396" cy="1828798"/>
            <wp:effectExtent l="0" t="0" r="635" b="63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pic:cNvPicPr>
                      <a:picLocks noChangeAspect="1" noChangeArrowheads="1"/>
                    </pic:cNvPicPr>
                  </pic:nvPicPr>
                  <pic:blipFill>
                    <a:blip r:embed="rId212"/>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21666C4E" wp14:editId="7155B22B">
            <wp:extent cx="5486396" cy="1828798"/>
            <wp:effectExtent l="0" t="0" r="635"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pic:cNvPicPr>
                      <a:picLocks noChangeAspect="1" noChangeArrowheads="1"/>
                    </pic:cNvPicPr>
                  </pic:nvPicPr>
                  <pic:blipFill>
                    <a:blip r:embed="rId213"/>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7FA1178D" wp14:editId="621166D8">
            <wp:extent cx="5486396" cy="1828798"/>
            <wp:effectExtent l="0" t="0" r="635" b="63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pic:cNvPicPr>
                      <a:picLocks noChangeAspect="1" noChangeArrowheads="1"/>
                    </pic:cNvPicPr>
                  </pic:nvPicPr>
                  <pic:blipFill>
                    <a:blip r:embed="rId214"/>
                    <a:stretch>
                      <a:fillRect/>
                    </a:stretch>
                  </pic:blipFill>
                  <pic:spPr bwMode="auto">
                    <a:xfrm>
                      <a:off x="0" y="0"/>
                      <a:ext cx="5486396" cy="1828798"/>
                    </a:xfrm>
                    <a:prstGeom prst="rect">
                      <a:avLst/>
                    </a:prstGeom>
                    <a:noFill/>
                    <a:ln>
                      <a:noFill/>
                    </a:ln>
                  </pic:spPr>
                </pic:pic>
              </a:graphicData>
            </a:graphic>
          </wp:inline>
        </w:drawing>
      </w:r>
    </w:p>
    <w:p w14:paraId="4AB43B49" w14:textId="14D40D6A" w:rsidR="00D9580F" w:rsidRDefault="00D9580F" w:rsidP="00D9580F">
      <w:pPr>
        <w:pStyle w:val="FigureCaption"/>
        <w:rPr>
          <w:lang w:eastAsia="zh-TW"/>
        </w:rPr>
      </w:pPr>
      <w:bookmarkStart w:id="461" w:name="_Ref72856233"/>
      <w:bookmarkStart w:id="462" w:name="_Toc113380939"/>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13</w:t>
      </w:r>
      <w:r w:rsidRPr="00F61532">
        <w:rPr>
          <w:lang w:eastAsia="zh-TW"/>
        </w:rPr>
        <w:fldChar w:fldCharType="end"/>
      </w:r>
      <w:bookmarkEnd w:id="461"/>
      <w:r w:rsidRPr="00F61532">
        <w:rPr>
          <w:lang w:eastAsia="zh-TW"/>
        </w:rPr>
        <w:t xml:space="preserve">. Projected annual </w:t>
      </w:r>
      <w:r>
        <w:rPr>
          <w:lang w:eastAsia="zh-TW"/>
        </w:rPr>
        <w:t>total generation</w:t>
      </w:r>
      <w:r w:rsidRPr="00F61532">
        <w:rPr>
          <w:lang w:eastAsia="zh-TW"/>
        </w:rPr>
        <w:t xml:space="preserve"> in </w:t>
      </w:r>
      <w:r>
        <w:rPr>
          <w:lang w:eastAsia="zh-TW"/>
        </w:rPr>
        <w:t>the SWPA region.</w:t>
      </w:r>
      <w:bookmarkEnd w:id="462"/>
    </w:p>
    <w:p w14:paraId="5A068447" w14:textId="77777777" w:rsidR="00D9580F" w:rsidRDefault="00D9580F" w:rsidP="00D9580F">
      <w:pPr>
        <w:pStyle w:val="FIGUREposition"/>
      </w:pPr>
      <w:r>
        <w:rPr>
          <w:noProof/>
        </w:rPr>
        <w:lastRenderedPageBreak/>
        <w:drawing>
          <wp:inline distT="0" distB="0" distL="0" distR="0" wp14:anchorId="6A264183" wp14:editId="58AC31AE">
            <wp:extent cx="2743200" cy="18288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pic:nvPicPr>
                  <pic:blipFill>
                    <a:blip r:embed="rId215">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r>
        <w:rPr>
          <w:noProof/>
        </w:rPr>
        <w:drawing>
          <wp:inline distT="0" distB="0" distL="0" distR="0" wp14:anchorId="60FABA0C" wp14:editId="0DC05666">
            <wp:extent cx="2743200" cy="18288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pic:nvPicPr>
                  <pic:blipFill>
                    <a:blip r:embed="rId216">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r>
        <w:rPr>
          <w:noProof/>
        </w:rPr>
        <w:drawing>
          <wp:inline distT="0" distB="0" distL="0" distR="0" wp14:anchorId="26BF3A15" wp14:editId="112405DB">
            <wp:extent cx="2743200" cy="18288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pic:nvPicPr>
                  <pic:blipFill>
                    <a:blip r:embed="rId217">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r>
        <w:rPr>
          <w:noProof/>
        </w:rPr>
        <w:drawing>
          <wp:inline distT="0" distB="0" distL="0" distR="0" wp14:anchorId="2E016E50" wp14:editId="07F1BF0B">
            <wp:extent cx="2743200" cy="18288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pic:nvPicPr>
                  <pic:blipFill>
                    <a:blip r:embed="rId218">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470D73F4" w14:textId="7F16BFA1" w:rsidR="00D9580F" w:rsidRPr="001B728A" w:rsidRDefault="00D9580F" w:rsidP="00D9580F">
      <w:pPr>
        <w:pStyle w:val="FigureCaption"/>
        <w:rPr>
          <w:lang w:eastAsia="zh-TW"/>
        </w:rPr>
      </w:pPr>
      <w:bookmarkStart w:id="463" w:name="_Ref72856258"/>
      <w:bookmarkStart w:id="464" w:name="_Toc113380940"/>
      <w:r>
        <w:rPr>
          <w:lang w:eastAsia="zh-TW"/>
        </w:rPr>
        <w:t>Figure</w:t>
      </w:r>
      <w:r w:rsidRPr="001B728A">
        <w:rPr>
          <w:lang w:eastAsia="zh-TW"/>
        </w:rPr>
        <w:t xml:space="preserve"> </w:t>
      </w:r>
      <w:r w:rsidRPr="001B728A">
        <w:rPr>
          <w:lang w:eastAsia="zh-TW"/>
        </w:rPr>
        <w:fldChar w:fldCharType="begin"/>
      </w:r>
      <w:r w:rsidRPr="001B728A">
        <w:rPr>
          <w:lang w:eastAsia="zh-TW"/>
        </w:rPr>
        <w:instrText xml:space="preserve"> STYLEREF 1 \s </w:instrText>
      </w:r>
      <w:r w:rsidRPr="001B728A">
        <w:rPr>
          <w:lang w:eastAsia="zh-TW"/>
        </w:rPr>
        <w:fldChar w:fldCharType="separate"/>
      </w:r>
      <w:r w:rsidR="00EE0BF5">
        <w:rPr>
          <w:noProof/>
          <w:lang w:eastAsia="zh-TW"/>
        </w:rPr>
        <w:t>5</w:t>
      </w:r>
      <w:r w:rsidRPr="001B728A">
        <w:rPr>
          <w:lang w:eastAsia="zh-TW"/>
        </w:rPr>
        <w:fldChar w:fldCharType="end"/>
      </w:r>
      <w:r w:rsidRPr="001B728A">
        <w:rPr>
          <w:lang w:eastAsia="zh-TW"/>
        </w:rPr>
        <w:t>.</w:t>
      </w:r>
      <w:r w:rsidRPr="001B728A">
        <w:rPr>
          <w:lang w:eastAsia="zh-TW"/>
        </w:rPr>
        <w:fldChar w:fldCharType="begin"/>
      </w:r>
      <w:r w:rsidRPr="001B728A">
        <w:rPr>
          <w:lang w:eastAsia="zh-TW"/>
        </w:rPr>
        <w:instrText xml:space="preserve"> SEQ Figure \* ARABIC \s 1 </w:instrText>
      </w:r>
      <w:r w:rsidRPr="001B728A">
        <w:rPr>
          <w:lang w:eastAsia="zh-TW"/>
        </w:rPr>
        <w:fldChar w:fldCharType="separate"/>
      </w:r>
      <w:r w:rsidR="00EE0BF5">
        <w:rPr>
          <w:noProof/>
          <w:lang w:eastAsia="zh-TW"/>
        </w:rPr>
        <w:t>14</w:t>
      </w:r>
      <w:r w:rsidRPr="001B728A">
        <w:rPr>
          <w:lang w:eastAsia="zh-TW"/>
        </w:rPr>
        <w:fldChar w:fldCharType="end"/>
      </w:r>
      <w:bookmarkEnd w:id="463"/>
      <w:r w:rsidRPr="001B728A">
        <w:rPr>
          <w:lang w:eastAsia="zh-TW"/>
        </w:rPr>
        <w:t xml:space="preserve">. </w:t>
      </w:r>
      <w:r w:rsidRPr="00F61532">
        <w:rPr>
          <w:lang w:eastAsia="zh-TW"/>
        </w:rPr>
        <w:t xml:space="preserve">Projected change of annual and seasonal </w:t>
      </w:r>
      <w:r>
        <w:rPr>
          <w:lang w:eastAsia="zh-TW"/>
        </w:rPr>
        <w:t>total generation</w:t>
      </w:r>
      <w:r w:rsidRPr="00F61532">
        <w:rPr>
          <w:lang w:eastAsia="zh-TW"/>
        </w:rPr>
        <w:t xml:space="preserve"> in </w:t>
      </w:r>
      <w:r>
        <w:rPr>
          <w:lang w:eastAsia="zh-TW"/>
        </w:rPr>
        <w:t>the SWPA region.</w:t>
      </w:r>
      <w:bookmarkEnd w:id="464"/>
    </w:p>
    <w:p w14:paraId="7DCF9704" w14:textId="45B99DD5" w:rsidR="00AE714B" w:rsidRDefault="00AE714B" w:rsidP="00AE714B">
      <w:pPr>
        <w:pStyle w:val="BodyText"/>
      </w:pPr>
      <w:r w:rsidRPr="4AA7083E">
        <w:rPr>
          <w:rFonts w:eastAsia="PMingLiU"/>
          <w:lang w:eastAsia="zh-TW"/>
        </w:rPr>
        <w:t xml:space="preserve">Seasonal relative changes tend to be more substantial and </w:t>
      </w:r>
      <w:r>
        <w:rPr>
          <w:rFonts w:eastAsia="PMingLiU"/>
          <w:lang w:eastAsia="zh-TW"/>
        </w:rPr>
        <w:t>have</w:t>
      </w:r>
      <w:r w:rsidRPr="4AA7083E">
        <w:rPr>
          <w:rFonts w:eastAsia="PMingLiU"/>
          <w:lang w:eastAsia="zh-TW"/>
        </w:rPr>
        <w:t xml:space="preserve"> larger uncertainty than annual changes. Winter generation is expected to increase in the near-term future period in all SWPA study areas (1</w:t>
      </w:r>
      <w:r>
        <w:rPr>
          <w:rFonts w:eastAsia="PMingLiU"/>
          <w:lang w:eastAsia="zh-TW"/>
        </w:rPr>
        <w:t>%</w:t>
      </w:r>
      <w:r w:rsidRPr="4AA7083E">
        <w:rPr>
          <w:rFonts w:eastAsia="PMingLiU"/>
          <w:lang w:eastAsia="zh-TW"/>
        </w:rPr>
        <w:t xml:space="preserve">–7%), and the increase is expected to be more </w:t>
      </w:r>
      <w:r w:rsidR="008C72D4">
        <w:rPr>
          <w:rFonts w:eastAsia="PMingLiU"/>
          <w:lang w:eastAsia="zh-TW"/>
        </w:rPr>
        <w:t>substantial</w:t>
      </w:r>
      <w:r w:rsidRPr="4AA7083E">
        <w:rPr>
          <w:rFonts w:eastAsia="PMingLiU"/>
          <w:lang w:eastAsia="zh-TW"/>
        </w:rPr>
        <w:t xml:space="preserve"> in the mid-term future period (7</w:t>
      </w:r>
      <w:r>
        <w:rPr>
          <w:rFonts w:eastAsia="PMingLiU"/>
          <w:lang w:eastAsia="zh-TW"/>
        </w:rPr>
        <w:t>%</w:t>
      </w:r>
      <w:r w:rsidRPr="4AA7083E">
        <w:rPr>
          <w:rFonts w:eastAsia="PMingLiU"/>
          <w:lang w:eastAsia="zh-TW"/>
        </w:rPr>
        <w:t>–10%). Spring generation in SWPA-1, SWPA-2, and SWPA-4 is projected to remain stable or slightly decrease in the near-term future period (</w:t>
      </w:r>
      <w:r>
        <w:rPr>
          <w:rFonts w:eastAsia="PMingLiU"/>
          <w:lang w:eastAsia="zh-TW"/>
        </w:rPr>
        <w:t>−</w:t>
      </w:r>
      <w:r w:rsidRPr="4AA7083E">
        <w:rPr>
          <w:rFonts w:eastAsia="PMingLiU"/>
          <w:lang w:eastAsia="zh-TW"/>
        </w:rPr>
        <w:t>2%</w:t>
      </w:r>
      <w:r>
        <w:rPr>
          <w:rFonts w:eastAsia="PMingLiU"/>
          <w:lang w:eastAsia="zh-TW"/>
        </w:rPr>
        <w:t>–</w:t>
      </w:r>
      <w:r w:rsidRPr="4AA7083E">
        <w:rPr>
          <w:rFonts w:eastAsia="PMingLiU"/>
          <w:lang w:eastAsia="zh-TW"/>
        </w:rPr>
        <w:t>1%) and is projected to increase in the mid-term future period (6</w:t>
      </w:r>
      <w:r>
        <w:rPr>
          <w:rFonts w:eastAsia="PMingLiU"/>
          <w:lang w:eastAsia="zh-TW"/>
        </w:rPr>
        <w:t>%</w:t>
      </w:r>
      <w:r w:rsidRPr="4AA7083E">
        <w:rPr>
          <w:rFonts w:eastAsia="PMingLiU"/>
          <w:lang w:eastAsia="zh-TW"/>
        </w:rPr>
        <w:t>–9%). Spring generation in SWPA-3 is expected to increase significantly in both near-term (7%) and mid-term (10%) future periods. In summer, near-term hydropower generation in all SWPA study areas is expected to slightly increase (2</w:t>
      </w:r>
      <w:r>
        <w:rPr>
          <w:rFonts w:eastAsia="PMingLiU"/>
          <w:lang w:eastAsia="zh-TW"/>
        </w:rPr>
        <w:t>%</w:t>
      </w:r>
      <w:r w:rsidRPr="4AA7083E">
        <w:rPr>
          <w:rFonts w:eastAsia="PMingLiU"/>
          <w:lang w:eastAsia="zh-TW"/>
        </w:rPr>
        <w:t>–7%), except for SWPA-4</w:t>
      </w:r>
      <w:r>
        <w:rPr>
          <w:rFonts w:eastAsia="PMingLiU"/>
          <w:lang w:eastAsia="zh-TW"/>
        </w:rPr>
        <w:t>,</w:t>
      </w:r>
      <w:r w:rsidRPr="4AA7083E">
        <w:rPr>
          <w:rFonts w:eastAsia="PMingLiU"/>
          <w:lang w:eastAsia="zh-TW"/>
        </w:rPr>
        <w:t xml:space="preserve"> </w:t>
      </w:r>
      <w:r>
        <w:rPr>
          <w:rFonts w:eastAsia="PMingLiU"/>
          <w:lang w:eastAsia="zh-TW"/>
        </w:rPr>
        <w:t xml:space="preserve">where a </w:t>
      </w:r>
      <w:r w:rsidRPr="4AA7083E">
        <w:rPr>
          <w:rFonts w:eastAsia="PMingLiU"/>
          <w:lang w:eastAsia="zh-TW"/>
        </w:rPr>
        <w:t>decrease by 3%</w:t>
      </w:r>
      <w:r>
        <w:rPr>
          <w:rFonts w:eastAsia="PMingLiU"/>
          <w:lang w:eastAsia="zh-TW"/>
        </w:rPr>
        <w:t xml:space="preserve"> is projected</w:t>
      </w:r>
      <w:r w:rsidRPr="4AA7083E">
        <w:rPr>
          <w:rFonts w:eastAsia="PMingLiU"/>
          <w:lang w:eastAsia="zh-TW"/>
        </w:rPr>
        <w:t>. The overall increase of summer hydropower is projected to continue in the mid-term future period (2</w:t>
      </w:r>
      <w:r>
        <w:rPr>
          <w:rFonts w:eastAsia="PMingLiU"/>
          <w:lang w:eastAsia="zh-TW"/>
        </w:rPr>
        <w:t>%</w:t>
      </w:r>
      <w:r w:rsidRPr="4AA7083E">
        <w:rPr>
          <w:rFonts w:eastAsia="PMingLiU"/>
          <w:lang w:eastAsia="zh-TW"/>
        </w:rPr>
        <w:t>–8%). In fall, near-term hydropower generation is projected to remain stable or slightly decrease (</w:t>
      </w:r>
      <w:r>
        <w:rPr>
          <w:rFonts w:eastAsia="PMingLiU"/>
          <w:lang w:eastAsia="zh-TW"/>
        </w:rPr>
        <w:t>−</w:t>
      </w:r>
      <w:r w:rsidRPr="4AA7083E">
        <w:rPr>
          <w:rFonts w:eastAsia="PMingLiU"/>
          <w:lang w:eastAsia="zh-TW"/>
        </w:rPr>
        <w:t>2%</w:t>
      </w:r>
      <w:r>
        <w:rPr>
          <w:rFonts w:eastAsia="PMingLiU"/>
          <w:lang w:eastAsia="zh-TW"/>
        </w:rPr>
        <w:t>–</w:t>
      </w:r>
      <w:r w:rsidRPr="4AA7083E">
        <w:rPr>
          <w:rFonts w:eastAsia="PMingLiU"/>
          <w:lang w:eastAsia="zh-TW"/>
        </w:rPr>
        <w:t xml:space="preserve"> 0%). The decreasing trend is expected to reverse in the mid-term future period when fall generation is projected to increase (1</w:t>
      </w:r>
      <w:r>
        <w:rPr>
          <w:rFonts w:eastAsia="PMingLiU"/>
          <w:lang w:eastAsia="zh-TW"/>
        </w:rPr>
        <w:t>%</w:t>
      </w:r>
      <w:r w:rsidRPr="4AA7083E">
        <w:rPr>
          <w:rFonts w:eastAsia="PMingLiU"/>
          <w:lang w:eastAsia="zh-TW"/>
        </w:rPr>
        <w:t>–11%) in all SWPA areas. The projected change of seasonal hydropower generation in the SWPA region generally follows the projected change of seasonal runoff. The storage capacity of reservoirs in the SWPA region is relatively smaller, resulting in this similarity in projected seasonal change between runoff and hydropower. In other words, the reservoir here may have less flexibility to alleviate the enhanced future runoff, which is especially noticeable in SWPA-3 and SWPA-4.</w:t>
      </w:r>
    </w:p>
    <w:p w14:paraId="6D148AE4" w14:textId="7B540678" w:rsidR="00744EEB" w:rsidRDefault="00744EEB" w:rsidP="00744EEB">
      <w:pPr>
        <w:pStyle w:val="BodyText"/>
        <w:rPr>
          <w:rFonts w:eastAsia="PMingLiU"/>
          <w:lang w:eastAsia="zh-TW"/>
        </w:rPr>
      </w:pPr>
      <w:r>
        <w:rPr>
          <w:rFonts w:eastAsia="PMingLiU"/>
          <w:lang w:eastAsia="zh-TW"/>
        </w:rPr>
        <w:t xml:space="preserve">The source of variance in the projected annual hydropower generation change between the baseline and future periods </w:t>
      </w:r>
      <w:r w:rsidR="00694FEF">
        <w:rPr>
          <w:rFonts w:eastAsia="PMingLiU"/>
          <w:lang w:eastAsia="zh-TW"/>
        </w:rPr>
        <w:t xml:space="preserve">is </w:t>
      </w:r>
      <w:r>
        <w:rPr>
          <w:rFonts w:eastAsia="PMingLiU"/>
          <w:lang w:eastAsia="zh-TW"/>
        </w:rPr>
        <w:t xml:space="preserve">shown in </w:t>
      </w:r>
      <w:r>
        <w:rPr>
          <w:rFonts w:eastAsia="PMingLiU"/>
          <w:lang w:eastAsia="zh-TW"/>
        </w:rPr>
        <w:fldChar w:fldCharType="begin"/>
      </w:r>
      <w:r>
        <w:rPr>
          <w:rFonts w:eastAsia="PMingLiU"/>
          <w:lang w:eastAsia="zh-TW"/>
        </w:rPr>
        <w:instrText xml:space="preserve"> REF _Ref72856294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15</w:t>
      </w:r>
      <w:r>
        <w:rPr>
          <w:rFonts w:eastAsia="PMingLiU"/>
          <w:lang w:eastAsia="zh-TW"/>
        </w:rPr>
        <w:fldChar w:fldCharType="end"/>
      </w:r>
      <w:r>
        <w:rPr>
          <w:rFonts w:eastAsia="PMingLiU"/>
          <w:lang w:eastAsia="zh-TW"/>
        </w:rPr>
        <w:t>. The box</w:t>
      </w:r>
      <w:r w:rsidR="005610E7">
        <w:rPr>
          <w:rFonts w:eastAsia="PMingLiU"/>
          <w:lang w:eastAsia="zh-TW"/>
        </w:rPr>
        <w:t xml:space="preserve"> </w:t>
      </w:r>
      <w:r>
        <w:rPr>
          <w:rFonts w:eastAsia="PMingLiU"/>
          <w:lang w:eastAsia="zh-TW"/>
        </w:rPr>
        <w:t xml:space="preserve">plots in the top panels show the </w:t>
      </w:r>
      <w:r w:rsidRPr="006268D6">
        <w:t>magnitude of change (future minus baseline)</w:t>
      </w:r>
      <w:r>
        <w:t xml:space="preserve"> </w:t>
      </w:r>
      <w:r w:rsidRPr="006268D6">
        <w:t xml:space="preserve">in </w:t>
      </w:r>
      <w:r w:rsidR="004A2722">
        <w:t xml:space="preserve">projected </w:t>
      </w:r>
      <w:r w:rsidRPr="006268D6">
        <w:t xml:space="preserve">annual </w:t>
      </w:r>
      <w:r>
        <w:t>hydropower generation across</w:t>
      </w:r>
      <w:r w:rsidRPr="006268D6">
        <w:t xml:space="preserve"> </w:t>
      </w:r>
      <w:r>
        <w:t xml:space="preserve">96 </w:t>
      </w:r>
      <w:r w:rsidRPr="006268D6">
        <w:t>ensemble</w:t>
      </w:r>
      <w:r>
        <w:t xml:space="preserve"> member</w:t>
      </w:r>
      <w:r w:rsidRPr="006268D6">
        <w:t>s</w:t>
      </w:r>
      <w:r w:rsidDel="007F13CC">
        <w:rPr>
          <w:rFonts w:eastAsia="PMingLiU"/>
          <w:lang w:eastAsia="zh-TW"/>
        </w:rPr>
        <w:t xml:space="preserve"> </w:t>
      </w:r>
      <w:r>
        <w:rPr>
          <w:rFonts w:eastAsia="PMingLiU"/>
          <w:lang w:eastAsia="zh-TW"/>
        </w:rPr>
        <w:t>when grouped by the five modeling choices (CM, DS, MetF, HM, and PM). The bottom panel shows the fraction of variance from the ANOVA for each modeling choice.</w:t>
      </w:r>
    </w:p>
    <w:p w14:paraId="2E060B19" w14:textId="445C95A7" w:rsidR="00260B81" w:rsidRDefault="009937BF" w:rsidP="00597DA0">
      <w:pPr>
        <w:pStyle w:val="FIGUREposition"/>
      </w:pPr>
      <w:r>
        <w:rPr>
          <w:noProof/>
        </w:rPr>
        <w:lastRenderedPageBreak/>
        <w:drawing>
          <wp:inline distT="0" distB="0" distL="0" distR="0" wp14:anchorId="71FAB881" wp14:editId="76DD5D6F">
            <wp:extent cx="4572000" cy="4330931"/>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9">
                      <a:extLst>
                        <a:ext uri="{28A0092B-C50C-407E-A947-70E740481C1C}">
                          <a14:useLocalDpi xmlns:a14="http://schemas.microsoft.com/office/drawing/2010/main" val="0"/>
                        </a:ext>
                      </a:extLst>
                    </a:blip>
                    <a:srcRect t="5273"/>
                    <a:stretch/>
                  </pic:blipFill>
                  <pic:spPr bwMode="auto">
                    <a:xfrm>
                      <a:off x="0" y="0"/>
                      <a:ext cx="4572000" cy="4330931"/>
                    </a:xfrm>
                    <a:prstGeom prst="rect">
                      <a:avLst/>
                    </a:prstGeom>
                    <a:noFill/>
                    <a:ln>
                      <a:noFill/>
                    </a:ln>
                    <a:extLst>
                      <a:ext uri="{53640926-AAD7-44D8-BBD7-CCE9431645EC}">
                        <a14:shadowObscured xmlns:a14="http://schemas.microsoft.com/office/drawing/2010/main"/>
                      </a:ext>
                    </a:extLst>
                  </pic:spPr>
                </pic:pic>
              </a:graphicData>
            </a:graphic>
          </wp:inline>
        </w:drawing>
      </w:r>
    </w:p>
    <w:p w14:paraId="0CF97124" w14:textId="3B3AAFB4" w:rsidR="00260B81" w:rsidRDefault="003F6C94" w:rsidP="00260B81">
      <w:pPr>
        <w:pStyle w:val="FigureCaption"/>
        <w:rPr>
          <w:lang w:eastAsia="zh-TW"/>
        </w:rPr>
      </w:pPr>
      <w:bookmarkStart w:id="465" w:name="_Ref72856294"/>
      <w:bookmarkStart w:id="466" w:name="_Toc113380941"/>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5</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15</w:t>
      </w:r>
      <w:r w:rsidR="00260B81" w:rsidRPr="00F61532">
        <w:rPr>
          <w:lang w:eastAsia="zh-TW"/>
        </w:rPr>
        <w:fldChar w:fldCharType="end"/>
      </w:r>
      <w:bookmarkEnd w:id="465"/>
      <w:r w:rsidR="00260B81" w:rsidRPr="00F61532">
        <w:rPr>
          <w:lang w:eastAsia="zh-TW"/>
        </w:rPr>
        <w:t xml:space="preserve">. </w:t>
      </w:r>
      <w:r w:rsidR="00260B81">
        <w:rPr>
          <w:lang w:eastAsia="zh-TW"/>
        </w:rPr>
        <w:t xml:space="preserve">ANOVA of </w:t>
      </w:r>
      <w:r w:rsidR="00260B81" w:rsidRPr="00F61532">
        <w:rPr>
          <w:lang w:eastAsia="zh-TW"/>
        </w:rPr>
        <w:t xml:space="preserve">annual </w:t>
      </w:r>
      <w:r w:rsidR="00260B81">
        <w:rPr>
          <w:lang w:eastAsia="zh-TW"/>
        </w:rPr>
        <w:t xml:space="preserve">total generation </w:t>
      </w:r>
      <w:r w:rsidR="00260B81" w:rsidRPr="00F61532">
        <w:rPr>
          <w:lang w:eastAsia="zh-TW"/>
        </w:rPr>
        <w:t xml:space="preserve">in </w:t>
      </w:r>
      <w:r w:rsidR="00260B81">
        <w:rPr>
          <w:lang w:eastAsia="zh-TW"/>
        </w:rPr>
        <w:t>the SWPA region.</w:t>
      </w:r>
      <w:bookmarkEnd w:id="466"/>
    </w:p>
    <w:p w14:paraId="3A39BE9A" w14:textId="588B7E31" w:rsidR="00D9580F" w:rsidRDefault="00D9580F" w:rsidP="00D9580F">
      <w:pPr>
        <w:pStyle w:val="BodyText"/>
        <w:rPr>
          <w:rFonts w:eastAsia="PMingLiU"/>
          <w:lang w:eastAsia="zh-TW"/>
        </w:rPr>
      </w:pPr>
      <w:r>
        <w:rPr>
          <w:rFonts w:eastAsia="PMingLiU"/>
          <w:lang w:eastAsia="zh-TW"/>
        </w:rPr>
        <w:t xml:space="preserve">The diversity in individual </w:t>
      </w:r>
      <w:bookmarkStart w:id="467" w:name="_Hlk74295735"/>
      <w:r>
        <w:rPr>
          <w:rFonts w:eastAsia="PMingLiU"/>
          <w:lang w:eastAsia="zh-TW"/>
        </w:rPr>
        <w:t>factors</w:t>
      </w:r>
      <w:bookmarkEnd w:id="467"/>
      <w:r>
        <w:rPr>
          <w:rFonts w:eastAsia="PMingLiU"/>
          <w:lang w:eastAsia="zh-TW"/>
        </w:rPr>
        <w:t xml:space="preserve"> and their combinations were further evaluated to understand their contributions to the spread of hydropower generation projections. </w:t>
      </w:r>
      <w:bookmarkStart w:id="468" w:name="_Hlk74295780"/>
      <w:r>
        <w:rPr>
          <w:rFonts w:eastAsia="PMingLiU"/>
          <w:lang w:eastAsia="zh-TW"/>
        </w:rPr>
        <w:t xml:space="preserve">The results suggest that </w:t>
      </w:r>
      <w:bookmarkEnd w:id="468"/>
      <w:r w:rsidR="00F32AA2">
        <w:rPr>
          <w:rFonts w:eastAsia="PMingLiU"/>
          <w:lang w:eastAsia="zh-TW"/>
        </w:rPr>
        <w:t xml:space="preserve">the </w:t>
      </w:r>
      <w:r>
        <w:rPr>
          <w:rFonts w:eastAsia="PMingLiU"/>
          <w:lang w:eastAsia="zh-TW"/>
        </w:rPr>
        <w:t>CM is the most dominant contributor to the variance of projected annual hydropower generation in all SWPA study areas, ranging from 51% to 86%. None of</w:t>
      </w:r>
      <w:r w:rsidRPr="00D04623">
        <w:rPr>
          <w:rFonts w:eastAsia="PMingLiU"/>
          <w:lang w:eastAsia="zh-TW"/>
        </w:rPr>
        <w:t xml:space="preserve"> </w:t>
      </w:r>
      <w:r>
        <w:rPr>
          <w:rFonts w:eastAsia="PMingLiU"/>
          <w:lang w:eastAsia="zh-TW"/>
        </w:rPr>
        <w:t xml:space="preserve">the other factors, including </w:t>
      </w:r>
      <w:r w:rsidR="00F32AA2">
        <w:rPr>
          <w:rFonts w:eastAsia="PMingLiU"/>
          <w:lang w:eastAsia="zh-TW"/>
        </w:rPr>
        <w:t xml:space="preserve">the </w:t>
      </w:r>
      <w:r>
        <w:rPr>
          <w:rFonts w:eastAsia="PMingLiU"/>
          <w:lang w:eastAsia="zh-TW"/>
        </w:rPr>
        <w:t>DS</w:t>
      </w:r>
      <w:r w:rsidRPr="00D04623">
        <w:rPr>
          <w:rFonts w:eastAsia="PMingLiU"/>
          <w:lang w:eastAsia="zh-TW"/>
        </w:rPr>
        <w:t xml:space="preserve">, </w:t>
      </w:r>
      <w:r>
        <w:rPr>
          <w:rFonts w:eastAsia="PMingLiU"/>
          <w:lang w:eastAsia="zh-TW"/>
        </w:rPr>
        <w:t>MetF</w:t>
      </w:r>
      <w:r w:rsidRPr="00D04623">
        <w:rPr>
          <w:rFonts w:eastAsia="PMingLiU"/>
          <w:lang w:eastAsia="zh-TW"/>
        </w:rPr>
        <w:t xml:space="preserve">, </w:t>
      </w:r>
      <w:r>
        <w:rPr>
          <w:rFonts w:eastAsia="PMingLiU"/>
          <w:lang w:eastAsia="zh-TW"/>
        </w:rPr>
        <w:t>PM</w:t>
      </w:r>
      <w:r w:rsidRPr="00D04623">
        <w:rPr>
          <w:rFonts w:eastAsia="PMingLiU"/>
          <w:lang w:eastAsia="zh-TW"/>
        </w:rPr>
        <w:t>,</w:t>
      </w:r>
      <w:r>
        <w:rPr>
          <w:rFonts w:eastAsia="PMingLiU"/>
          <w:lang w:eastAsia="zh-TW"/>
        </w:rPr>
        <w:t xml:space="preserve"> and HM, alone contributes substantially to the annual variance. The combination of </w:t>
      </w:r>
      <w:r w:rsidR="00C753AB">
        <w:rPr>
          <w:rFonts w:eastAsia="PMingLiU"/>
          <w:lang w:eastAsia="zh-TW"/>
        </w:rPr>
        <w:t xml:space="preserve">the </w:t>
      </w:r>
      <w:r>
        <w:rPr>
          <w:rFonts w:eastAsia="PMingLiU"/>
          <w:lang w:eastAsia="zh-TW"/>
        </w:rPr>
        <w:t xml:space="preserve">CM and DS is </w:t>
      </w:r>
      <w:r w:rsidDel="00F419DC">
        <w:rPr>
          <w:rFonts w:eastAsia="PMingLiU"/>
          <w:lang w:eastAsia="zh-TW"/>
        </w:rPr>
        <w:t>a significant variance contributor in SWPA-3 (18%) and SWPA-4 (26%).</w:t>
      </w:r>
    </w:p>
    <w:p w14:paraId="5451E506" w14:textId="63F3216D" w:rsidR="00D9580F" w:rsidRDefault="00D9580F" w:rsidP="00D9580F">
      <w:pPr>
        <w:pStyle w:val="BodyText"/>
        <w:rPr>
          <w:rFonts w:eastAsia="PMingLiU"/>
          <w:lang w:eastAsia="zh-TW"/>
        </w:rPr>
      </w:pPr>
      <w:r w:rsidRPr="00757157">
        <w:rPr>
          <w:rFonts w:eastAsia="PMingLiU"/>
          <w:lang w:eastAsia="zh-TW"/>
        </w:rPr>
        <w:t xml:space="preserve">At </w:t>
      </w:r>
      <w:r>
        <w:rPr>
          <w:rFonts w:eastAsia="PMingLiU"/>
          <w:lang w:eastAsia="zh-TW"/>
        </w:rPr>
        <w:t xml:space="preserve">the </w:t>
      </w:r>
      <w:r w:rsidRPr="00757157">
        <w:rPr>
          <w:rFonts w:eastAsia="PMingLiU"/>
          <w:lang w:eastAsia="zh-TW"/>
        </w:rPr>
        <w:t>seasonal scale</w:t>
      </w:r>
      <w:r>
        <w:rPr>
          <w:rFonts w:eastAsia="PMingLiU"/>
          <w:lang w:eastAsia="zh-TW"/>
        </w:rPr>
        <w:t xml:space="preserve"> (</w:t>
      </w:r>
      <w:r>
        <w:rPr>
          <w:rFonts w:eastAsia="PMingLiU"/>
          <w:lang w:eastAsia="zh-TW"/>
        </w:rPr>
        <w:fldChar w:fldCharType="begin"/>
      </w:r>
      <w:r>
        <w:rPr>
          <w:rFonts w:eastAsia="PMingLiU"/>
          <w:lang w:eastAsia="zh-TW"/>
        </w:rPr>
        <w:instrText xml:space="preserve"> REF _Ref81738613 \n \h </w:instrText>
      </w:r>
      <w:r>
        <w:rPr>
          <w:rFonts w:eastAsia="PMingLiU"/>
          <w:lang w:eastAsia="zh-TW"/>
        </w:rPr>
      </w:r>
      <w:r>
        <w:rPr>
          <w:rFonts w:eastAsia="PMingLiU"/>
          <w:lang w:eastAsia="zh-TW"/>
        </w:rPr>
        <w:fldChar w:fldCharType="separate"/>
      </w:r>
      <w:r w:rsidR="00EE0BF5">
        <w:rPr>
          <w:rFonts w:eastAsia="PMingLiU"/>
          <w:lang w:eastAsia="zh-TW"/>
        </w:rPr>
        <w:t>APPENDIX G</w:t>
      </w:r>
      <w:r>
        <w:rPr>
          <w:rFonts w:eastAsia="PMingLiU"/>
          <w:lang w:eastAsia="zh-TW"/>
        </w:rPr>
        <w:fldChar w:fldCharType="end"/>
      </w:r>
      <w:r>
        <w:rPr>
          <w:rFonts w:eastAsia="PMingLiU"/>
          <w:lang w:eastAsia="zh-TW"/>
        </w:rPr>
        <w:t xml:space="preserve">), </w:t>
      </w:r>
      <w:r w:rsidR="00F32AA2">
        <w:rPr>
          <w:rFonts w:eastAsia="PMingLiU"/>
          <w:lang w:eastAsia="zh-TW"/>
        </w:rPr>
        <w:t xml:space="preserve">the </w:t>
      </w:r>
      <w:r>
        <w:rPr>
          <w:rFonts w:eastAsia="PMingLiU"/>
          <w:lang w:eastAsia="zh-TW"/>
        </w:rPr>
        <w:t xml:space="preserve">CM remains the </w:t>
      </w:r>
      <w:r w:rsidR="00C753AB">
        <w:rPr>
          <w:rFonts w:eastAsia="PMingLiU"/>
          <w:lang w:eastAsia="zh-TW"/>
        </w:rPr>
        <w:t xml:space="preserve">most </w:t>
      </w:r>
      <w:r>
        <w:rPr>
          <w:rFonts w:eastAsia="PMingLiU"/>
          <w:lang w:eastAsia="zh-TW"/>
        </w:rPr>
        <w:t xml:space="preserve">dominant contributor to the variance, followed by combinations of </w:t>
      </w:r>
      <w:r w:rsidR="00F32AA2">
        <w:rPr>
          <w:rFonts w:eastAsia="PMingLiU"/>
          <w:lang w:eastAsia="zh-TW"/>
        </w:rPr>
        <w:t xml:space="preserve">the </w:t>
      </w:r>
      <w:r>
        <w:rPr>
          <w:rFonts w:eastAsia="PMingLiU"/>
          <w:lang w:eastAsia="zh-TW"/>
        </w:rPr>
        <w:t xml:space="preserve">CM with </w:t>
      </w:r>
      <w:r w:rsidR="00F32AA2">
        <w:rPr>
          <w:rFonts w:eastAsia="PMingLiU"/>
          <w:lang w:eastAsia="zh-TW"/>
        </w:rPr>
        <w:t xml:space="preserve">the </w:t>
      </w:r>
      <w:r>
        <w:rPr>
          <w:rFonts w:eastAsia="PMingLiU"/>
          <w:lang w:eastAsia="zh-TW"/>
        </w:rPr>
        <w:t xml:space="preserve">PM, and </w:t>
      </w:r>
      <w:r w:rsidR="00F32AA2">
        <w:rPr>
          <w:rFonts w:eastAsia="PMingLiU"/>
          <w:lang w:eastAsia="zh-TW"/>
        </w:rPr>
        <w:t xml:space="preserve">the </w:t>
      </w:r>
      <w:r>
        <w:rPr>
          <w:rFonts w:eastAsia="PMingLiU"/>
          <w:lang w:eastAsia="zh-TW"/>
        </w:rPr>
        <w:t xml:space="preserve">CM with </w:t>
      </w:r>
      <w:r w:rsidR="00F32AA2">
        <w:rPr>
          <w:rFonts w:eastAsia="PMingLiU"/>
          <w:lang w:eastAsia="zh-TW"/>
        </w:rPr>
        <w:t xml:space="preserve">the </w:t>
      </w:r>
      <w:r>
        <w:rPr>
          <w:rFonts w:eastAsia="PMingLiU"/>
          <w:lang w:eastAsia="zh-TW"/>
        </w:rPr>
        <w:t xml:space="preserve">DS, throughout the four seasons across all SWPA areas. Overall, </w:t>
      </w:r>
      <w:r w:rsidR="00F32AA2">
        <w:rPr>
          <w:rFonts w:eastAsia="PMingLiU"/>
          <w:lang w:eastAsia="zh-TW"/>
        </w:rPr>
        <w:t xml:space="preserve">the </w:t>
      </w:r>
      <w:r>
        <w:rPr>
          <w:rFonts w:eastAsia="PMingLiU"/>
          <w:lang w:eastAsia="zh-TW"/>
        </w:rPr>
        <w:t xml:space="preserve">CM contributes to 55%–72% of the variance in </w:t>
      </w:r>
      <w:r w:rsidR="00F32AA2">
        <w:rPr>
          <w:rFonts w:eastAsia="PMingLiU"/>
          <w:lang w:eastAsia="zh-TW"/>
        </w:rPr>
        <w:t xml:space="preserve">the </w:t>
      </w:r>
      <w:r>
        <w:rPr>
          <w:rFonts w:eastAsia="PMingLiU"/>
          <w:lang w:eastAsia="zh-TW"/>
        </w:rPr>
        <w:t xml:space="preserve">winter, 46%–83% in </w:t>
      </w:r>
      <w:r w:rsidR="00F32AA2">
        <w:rPr>
          <w:rFonts w:eastAsia="PMingLiU"/>
          <w:lang w:eastAsia="zh-TW"/>
        </w:rPr>
        <w:t xml:space="preserve">the </w:t>
      </w:r>
      <w:r>
        <w:rPr>
          <w:rFonts w:eastAsia="PMingLiU"/>
          <w:lang w:eastAsia="zh-TW"/>
        </w:rPr>
        <w:t xml:space="preserve">spring, 37%–64% in </w:t>
      </w:r>
      <w:r w:rsidR="00F32AA2">
        <w:rPr>
          <w:rFonts w:eastAsia="PMingLiU"/>
          <w:lang w:eastAsia="zh-TW"/>
        </w:rPr>
        <w:t xml:space="preserve">the </w:t>
      </w:r>
      <w:r>
        <w:rPr>
          <w:rFonts w:eastAsia="PMingLiU"/>
          <w:lang w:eastAsia="zh-TW"/>
        </w:rPr>
        <w:t xml:space="preserve">summer, and 33%–47% in </w:t>
      </w:r>
      <w:r w:rsidR="00F32AA2">
        <w:rPr>
          <w:rFonts w:eastAsia="PMingLiU"/>
          <w:lang w:eastAsia="zh-TW"/>
        </w:rPr>
        <w:t xml:space="preserve">the </w:t>
      </w:r>
      <w:r>
        <w:rPr>
          <w:rFonts w:eastAsia="PMingLiU"/>
          <w:lang w:eastAsia="zh-TW"/>
        </w:rPr>
        <w:t xml:space="preserve">fall. In </w:t>
      </w:r>
      <w:r w:rsidR="00F32AA2">
        <w:rPr>
          <w:rFonts w:eastAsia="PMingLiU"/>
          <w:lang w:eastAsia="zh-TW"/>
        </w:rPr>
        <w:t xml:space="preserve">the </w:t>
      </w:r>
      <w:r>
        <w:rPr>
          <w:rFonts w:eastAsia="PMingLiU"/>
          <w:lang w:eastAsia="zh-TW"/>
        </w:rPr>
        <w:t xml:space="preserve">summer, the combination of </w:t>
      </w:r>
      <w:r w:rsidR="00C753AB">
        <w:rPr>
          <w:rFonts w:eastAsia="PMingLiU"/>
          <w:lang w:eastAsia="zh-TW"/>
        </w:rPr>
        <w:t xml:space="preserve">the </w:t>
      </w:r>
      <w:r>
        <w:rPr>
          <w:rFonts w:eastAsia="PMingLiU"/>
          <w:lang w:eastAsia="zh-TW"/>
        </w:rPr>
        <w:t xml:space="preserve">CM and DS tends to be the second </w:t>
      </w:r>
      <w:r>
        <w:t>most dominant</w:t>
      </w:r>
      <w:r w:rsidDel="006E60EF">
        <w:rPr>
          <w:rFonts w:eastAsia="PMingLiU"/>
          <w:lang w:eastAsia="zh-TW"/>
        </w:rPr>
        <w:t xml:space="preserve"> </w:t>
      </w:r>
      <w:r>
        <w:rPr>
          <w:rFonts w:eastAsia="PMingLiU"/>
          <w:lang w:eastAsia="zh-TW"/>
        </w:rPr>
        <w:t xml:space="preserve">contributor across all areas. In </w:t>
      </w:r>
      <w:r w:rsidR="00F32AA2">
        <w:rPr>
          <w:rFonts w:eastAsia="PMingLiU"/>
          <w:lang w:eastAsia="zh-TW"/>
        </w:rPr>
        <w:t xml:space="preserve">the </w:t>
      </w:r>
      <w:r>
        <w:rPr>
          <w:rFonts w:eastAsia="PMingLiU"/>
          <w:lang w:eastAsia="zh-TW"/>
        </w:rPr>
        <w:t xml:space="preserve">fall, the contribution of </w:t>
      </w:r>
      <w:r w:rsidR="00F32AA2">
        <w:rPr>
          <w:rFonts w:eastAsia="PMingLiU"/>
          <w:lang w:eastAsia="zh-TW"/>
        </w:rPr>
        <w:t xml:space="preserve">the </w:t>
      </w:r>
      <w:r>
        <w:rPr>
          <w:rFonts w:eastAsia="PMingLiU"/>
          <w:lang w:eastAsia="zh-TW"/>
        </w:rPr>
        <w:t>PM is more pronounced in SWPA-1, SWPA-2, and SWPA-3. Fall is also the season with the largest error.</w:t>
      </w:r>
    </w:p>
    <w:p w14:paraId="1FBEE8AE" w14:textId="2ED957CD" w:rsidR="00374A78" w:rsidRDefault="00374A78" w:rsidP="00374A78">
      <w:pPr>
        <w:pStyle w:val="BodyText"/>
      </w:pPr>
      <w:r w:rsidRPr="0095710D">
        <w:t xml:space="preserve">In summary, federal hydropower </w:t>
      </w:r>
      <w:r>
        <w:t xml:space="preserve">generation </w:t>
      </w:r>
      <w:r w:rsidRPr="0095710D">
        <w:t xml:space="preserve">in the </w:t>
      </w:r>
      <w:r>
        <w:t>SWPA</w:t>
      </w:r>
      <w:r w:rsidRPr="0095710D">
        <w:t xml:space="preserve"> region </w:t>
      </w:r>
      <w:r>
        <w:t>is projected to</w:t>
      </w:r>
      <w:r w:rsidRPr="0095710D">
        <w:t xml:space="preserve"> increase </w:t>
      </w:r>
      <w:r>
        <w:t xml:space="preserve">at the </w:t>
      </w:r>
      <w:r w:rsidRPr="0095710D">
        <w:t xml:space="preserve">annual </w:t>
      </w:r>
      <w:r>
        <w:t>time scale in the near-term future period, and further increase in the mid-term future period.</w:t>
      </w:r>
      <w:r w:rsidRPr="0095710D">
        <w:t xml:space="preserve"> </w:t>
      </w:r>
      <w:r>
        <w:t>Seasonal changes are expected to be more substantial in the mid-term</w:t>
      </w:r>
      <w:r w:rsidR="00FA458A">
        <w:t xml:space="preserve"> future</w:t>
      </w:r>
      <w:r>
        <w:t xml:space="preserve"> </w:t>
      </w:r>
      <w:r w:rsidR="00FA458A">
        <w:t xml:space="preserve">period </w:t>
      </w:r>
      <w:r>
        <w:t xml:space="preserve">than in the near-term future period. </w:t>
      </w:r>
      <w:r w:rsidRPr="0095710D">
        <w:t xml:space="preserve">When compared </w:t>
      </w:r>
      <w:r>
        <w:t xml:space="preserve">with </w:t>
      </w:r>
      <w:r w:rsidRPr="0095710D">
        <w:t xml:space="preserve">the runoff projection, the hydropower </w:t>
      </w:r>
      <w:r>
        <w:t>projection</w:t>
      </w:r>
      <w:r w:rsidRPr="0095710D">
        <w:t xml:space="preserve"> has a </w:t>
      </w:r>
      <w:r>
        <w:t>similar</w:t>
      </w:r>
      <w:r w:rsidRPr="0095710D">
        <w:t xml:space="preserve"> response to climate change</w:t>
      </w:r>
      <w:r>
        <w:t xml:space="preserve">. This is somewhat different than what is projected in BPA and WAPA regions, where the range of projected hydropower change is smaller than the range of projected runoff change. This projection may be influenced by the relatively smaller storage reservoir systems in the SWPA region that </w:t>
      </w:r>
      <w:r>
        <w:lastRenderedPageBreak/>
        <w:t xml:space="preserve">provide less flexibility to buffer the increasing variability of projected future runoff. </w:t>
      </w:r>
      <w:r w:rsidRPr="0095710D">
        <w:t xml:space="preserve">In terms of the sources of uncertainty, </w:t>
      </w:r>
      <w:r w:rsidR="00F32AA2">
        <w:rPr>
          <w:rFonts w:eastAsia="PMingLiU"/>
          <w:lang w:eastAsia="zh-TW"/>
        </w:rPr>
        <w:t xml:space="preserve">the </w:t>
      </w:r>
      <w:r>
        <w:t>CM and DS contribute most to</w:t>
      </w:r>
      <w:r w:rsidRPr="0095710D">
        <w:t xml:space="preserve"> the variance of hydropower generation</w:t>
      </w:r>
      <w:r>
        <w:t xml:space="preserve"> projections at both annual and seasonal scales.</w:t>
      </w:r>
    </w:p>
    <w:p w14:paraId="00A93B6C" w14:textId="38A2E3C3" w:rsidR="00591093" w:rsidRPr="00591093" w:rsidRDefault="00A74C75" w:rsidP="00591093">
      <w:pPr>
        <w:pStyle w:val="Heading3"/>
      </w:pPr>
      <w:bookmarkStart w:id="469" w:name="_Toc113380826"/>
      <w:r w:rsidRPr="00DE36AC">
        <w:t xml:space="preserve">Climate Change Impacts </w:t>
      </w:r>
      <w:r w:rsidR="00777C5D" w:rsidRPr="00DE36AC">
        <w:t xml:space="preserve">on </w:t>
      </w:r>
      <w:r w:rsidR="00777C5D">
        <w:t>Regional Electricity Demand</w:t>
      </w:r>
      <w:bookmarkEnd w:id="469"/>
    </w:p>
    <w:p w14:paraId="7EADA183" w14:textId="65494FF3" w:rsidR="00E665A7" w:rsidRDefault="00E665A7" w:rsidP="00597DA0">
      <w:pPr>
        <w:pStyle w:val="BodyText"/>
      </w:pPr>
      <w:r>
        <w:t>This section summarizes the results from the statistical analysis, exploring the effects of projected temperature trends on the electricity sales of SWPA</w:t>
      </w:r>
      <w:r w:rsidR="00805545">
        <w:t>’</w:t>
      </w:r>
      <w:r>
        <w:t xml:space="preserve">s preference customers to their end-use (residential, commercial, industrial) customers. As described in Section </w:t>
      </w:r>
      <w:r>
        <w:fldChar w:fldCharType="begin"/>
      </w:r>
      <w:r>
        <w:instrText xml:space="preserve"> REF _Ref95319837 \n \h </w:instrText>
      </w:r>
      <w:r>
        <w:fldChar w:fldCharType="separate"/>
      </w:r>
      <w:r w:rsidR="00EE0BF5">
        <w:t>5.1.2</w:t>
      </w:r>
      <w:r>
        <w:fldChar w:fldCharType="end"/>
      </w:r>
      <w:r>
        <w:t>, SWPA markets the output from the 22 hydropower plants in its Integrated System to preference customers, mostly municipalities and cooperatives, as peaking power. The contracts between SWPA and its preference customers guarantee 1,200 h of energy per kilowatt of capacity contracted per year. The federal hydropower allocation that preference customers receive from SWPA is a small fraction of the portfolio of generation resources they use to serve their end-use customers. Any load growth projected by SWPA</w:t>
      </w:r>
      <w:r w:rsidR="00805545">
        <w:t>’</w:t>
      </w:r>
      <w:r>
        <w:t>s preference customers, due to climate trends or other drivers, would have to be met through generation sources other than federal hydropower.</w:t>
      </w:r>
    </w:p>
    <w:p w14:paraId="58695FF2" w14:textId="70BD1270" w:rsidR="00AA32DC" w:rsidRDefault="004323C6" w:rsidP="00597DA0">
      <w:pPr>
        <w:pStyle w:val="BodyText"/>
      </w:pPr>
      <w:r>
        <w:fldChar w:fldCharType="begin"/>
      </w:r>
      <w:r>
        <w:instrText xml:space="preserve"> REF _Ref72854368 \h </w:instrText>
      </w:r>
      <w:r>
        <w:fldChar w:fldCharType="separate"/>
      </w:r>
      <w:r w:rsidR="00EE0BF5" w:rsidRPr="004C5793">
        <w:rPr>
          <w:rFonts w:eastAsia="PMingLiU"/>
          <w:lang w:bidi="en-US"/>
        </w:rPr>
        <w:t xml:space="preserve">Table </w:t>
      </w:r>
      <w:r w:rsidR="00EE0BF5">
        <w:rPr>
          <w:rFonts w:eastAsia="PMingLiU"/>
          <w:noProof/>
          <w:lang w:bidi="en-US"/>
        </w:rPr>
        <w:t>5</w:t>
      </w:r>
      <w:r w:rsidR="00EE0BF5">
        <w:rPr>
          <w:rFonts w:eastAsia="PMingLiU"/>
          <w:lang w:bidi="en-US"/>
        </w:rPr>
        <w:t>.</w:t>
      </w:r>
      <w:r w:rsidR="00EE0BF5">
        <w:rPr>
          <w:rFonts w:eastAsia="PMingLiU"/>
          <w:noProof/>
          <w:lang w:bidi="en-US"/>
        </w:rPr>
        <w:t>3</w:t>
      </w:r>
      <w:r>
        <w:fldChar w:fldCharType="end"/>
      </w:r>
      <w:r>
        <w:t xml:space="preserve"> </w:t>
      </w:r>
      <w:r w:rsidR="00E665A7">
        <w:t>summarizes the elasticities of the preference customer sales with respect to the degree days for the sample of 35 SWPA preference customers included in EIA Form 861. The full results of the regression equations are presented in</w:t>
      </w:r>
      <w:r>
        <w:t xml:space="preserve"> </w:t>
      </w:r>
      <w:r w:rsidR="00DB5955">
        <w:rPr>
          <w:lang w:eastAsia="zh-TW"/>
        </w:rPr>
        <w:fldChar w:fldCharType="begin"/>
      </w:r>
      <w:r w:rsidR="00DB5955">
        <w:rPr>
          <w:lang w:eastAsia="zh-TW"/>
        </w:rPr>
        <w:instrText xml:space="preserve"> REF _Ref81737985 \n \h </w:instrText>
      </w:r>
      <w:r w:rsidR="002B5A0B">
        <w:rPr>
          <w:lang w:eastAsia="zh-TW"/>
        </w:rPr>
        <w:instrText xml:space="preserve"> \* MERGEFORMAT </w:instrText>
      </w:r>
      <w:r w:rsidR="00DB5955">
        <w:rPr>
          <w:lang w:eastAsia="zh-TW"/>
        </w:rPr>
      </w:r>
      <w:r w:rsidR="00DB5955">
        <w:rPr>
          <w:lang w:eastAsia="zh-TW"/>
        </w:rPr>
        <w:fldChar w:fldCharType="separate"/>
      </w:r>
      <w:r w:rsidR="00EE0BF5">
        <w:rPr>
          <w:lang w:eastAsia="zh-TW"/>
        </w:rPr>
        <w:t>APPENDIX H</w:t>
      </w:r>
      <w:r w:rsidR="00DB5955">
        <w:rPr>
          <w:lang w:eastAsia="zh-TW"/>
        </w:rPr>
        <w:fldChar w:fldCharType="end"/>
      </w:r>
      <w:r>
        <w:t>.</w:t>
      </w:r>
    </w:p>
    <w:p w14:paraId="5D92B223" w14:textId="4108B849" w:rsidR="00AA32DC" w:rsidRPr="003760E4" w:rsidRDefault="00AE17D4" w:rsidP="00597DA0">
      <w:pPr>
        <w:pStyle w:val="TableCaption"/>
        <w:rPr>
          <w:b w:val="0"/>
          <w:bCs/>
          <w:szCs w:val="20"/>
        </w:rPr>
      </w:pPr>
      <w:bookmarkStart w:id="470" w:name="_Ref72854368"/>
      <w:bookmarkStart w:id="471" w:name="_Toc113380984"/>
      <w:r w:rsidRPr="004C5793">
        <w:rPr>
          <w:rFonts w:eastAsia="PMingLiU"/>
          <w:lang w:bidi="en-US"/>
        </w:rPr>
        <w:t xml:space="preserve">Table </w:t>
      </w:r>
      <w:r w:rsidRPr="004C5793">
        <w:rPr>
          <w:rFonts w:eastAsia="PMingLiU"/>
          <w:lang w:bidi="en-US"/>
        </w:rPr>
        <w:fldChar w:fldCharType="begin"/>
      </w:r>
      <w:r w:rsidRPr="004C5793">
        <w:rPr>
          <w:rFonts w:eastAsia="PMingLiU"/>
          <w:lang w:bidi="en-US"/>
        </w:rPr>
        <w:instrText xml:space="preserve"> STYLEREF 1 \s </w:instrText>
      </w:r>
      <w:r w:rsidRPr="004C5793">
        <w:rPr>
          <w:rFonts w:eastAsia="PMingLiU"/>
          <w:lang w:bidi="en-US"/>
        </w:rPr>
        <w:fldChar w:fldCharType="separate"/>
      </w:r>
      <w:r w:rsidR="00EE0BF5">
        <w:rPr>
          <w:rFonts w:eastAsia="PMingLiU"/>
          <w:noProof/>
          <w:lang w:bidi="en-US"/>
        </w:rPr>
        <w:t>5</w:t>
      </w:r>
      <w:r w:rsidRPr="004C5793">
        <w:rPr>
          <w:rFonts w:eastAsia="PMingLiU"/>
          <w:lang w:bidi="en-US"/>
        </w:rPr>
        <w:fldChar w:fldCharType="end"/>
      </w:r>
      <w:r>
        <w:rPr>
          <w:rFonts w:eastAsia="PMingLiU"/>
          <w:lang w:bidi="en-US"/>
        </w:rPr>
        <w:t>.</w:t>
      </w:r>
      <w:r w:rsidRPr="004C5793">
        <w:rPr>
          <w:rFonts w:eastAsia="PMingLiU"/>
          <w:lang w:bidi="en-US"/>
        </w:rPr>
        <w:fldChar w:fldCharType="begin"/>
      </w:r>
      <w:r w:rsidRPr="004C5793">
        <w:rPr>
          <w:rFonts w:eastAsia="PMingLiU"/>
          <w:lang w:bidi="en-US"/>
        </w:rPr>
        <w:instrText xml:space="preserve"> SEQ Table \* ARABIC \s 1 </w:instrText>
      </w:r>
      <w:r w:rsidRPr="004C5793">
        <w:rPr>
          <w:rFonts w:eastAsia="PMingLiU"/>
          <w:lang w:bidi="en-US"/>
        </w:rPr>
        <w:fldChar w:fldCharType="separate"/>
      </w:r>
      <w:r w:rsidR="00EE0BF5">
        <w:rPr>
          <w:rFonts w:eastAsia="PMingLiU"/>
          <w:noProof/>
          <w:lang w:bidi="en-US"/>
        </w:rPr>
        <w:t>3</w:t>
      </w:r>
      <w:r w:rsidRPr="004C5793">
        <w:rPr>
          <w:rFonts w:eastAsia="PMingLiU"/>
          <w:lang w:bidi="en-US"/>
        </w:rPr>
        <w:fldChar w:fldCharType="end"/>
      </w:r>
      <w:bookmarkEnd w:id="470"/>
      <w:r w:rsidRPr="004C5793">
        <w:rPr>
          <w:rFonts w:eastAsia="PMingLiU"/>
          <w:lang w:bidi="en-US"/>
        </w:rPr>
        <w:t>.</w:t>
      </w:r>
      <w:r w:rsidRPr="004C5793">
        <w:rPr>
          <w:rFonts w:eastAsia="PMingLiU"/>
          <w:b w:val="0"/>
          <w:lang w:bidi="en-US"/>
        </w:rPr>
        <w:t xml:space="preserve"> </w:t>
      </w:r>
      <w:r w:rsidRPr="00AE17D4">
        <w:rPr>
          <w:rFonts w:eastAsia="PMingLiU"/>
          <w:lang w:eastAsia="zh-TW" w:bidi="en-US"/>
        </w:rPr>
        <w:t>Estimated responsiveness of electricity sales by SWPA preference customers to degree days</w:t>
      </w:r>
      <w:bookmarkEnd w:id="471"/>
    </w:p>
    <w:tbl>
      <w:tblPr>
        <w:tblStyle w:val="PlainTable2"/>
        <w:tblW w:w="0" w:type="auto"/>
        <w:jc w:val="center"/>
        <w:tblBorders>
          <w:top w:val="single" w:sz="12" w:space="0" w:color="auto"/>
          <w:bottom w:val="single" w:sz="12" w:space="0" w:color="auto"/>
          <w:insideH w:val="single" w:sz="4" w:space="0" w:color="7F7F7F" w:themeColor="text1" w:themeTint="80"/>
        </w:tblBorders>
        <w:tblLayout w:type="fixed"/>
        <w:tblCellMar>
          <w:top w:w="29" w:type="dxa"/>
          <w:left w:w="58" w:type="dxa"/>
          <w:bottom w:w="29" w:type="dxa"/>
          <w:right w:w="58" w:type="dxa"/>
        </w:tblCellMar>
        <w:tblLook w:val="04A0" w:firstRow="1" w:lastRow="0" w:firstColumn="1" w:lastColumn="0" w:noHBand="0" w:noVBand="1"/>
      </w:tblPr>
      <w:tblGrid>
        <w:gridCol w:w="1345"/>
        <w:gridCol w:w="1530"/>
        <w:gridCol w:w="2735"/>
        <w:gridCol w:w="1870"/>
        <w:gridCol w:w="1870"/>
      </w:tblGrid>
      <w:tr w:rsidR="00AA32DC" w14:paraId="4CD4AEED" w14:textId="77777777" w:rsidTr="00597DA0">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345" w:type="dxa"/>
            <w:tcBorders>
              <w:top w:val="single" w:sz="12" w:space="0" w:color="auto"/>
              <w:bottom w:val="single" w:sz="12" w:space="0" w:color="auto"/>
            </w:tcBorders>
            <w:vAlign w:val="center"/>
          </w:tcPr>
          <w:p w14:paraId="5FC8BFC8" w14:textId="6F14B9D3" w:rsidR="00AA32DC" w:rsidRPr="00FD6CE2" w:rsidRDefault="00AA32DC" w:rsidP="00597DA0">
            <w:pPr>
              <w:spacing w:before="0" w:after="0" w:line="240" w:lineRule="auto"/>
              <w:ind w:firstLine="0"/>
              <w:jc w:val="center"/>
              <w:rPr>
                <w:sz w:val="20"/>
                <w:szCs w:val="20"/>
              </w:rPr>
            </w:pPr>
            <w:r w:rsidRPr="00FD6CE2">
              <w:rPr>
                <w:sz w:val="20"/>
                <w:szCs w:val="20"/>
              </w:rPr>
              <w:t xml:space="preserve">Marketing </w:t>
            </w:r>
            <w:r w:rsidR="00C004A9">
              <w:rPr>
                <w:sz w:val="20"/>
                <w:szCs w:val="20"/>
              </w:rPr>
              <w:t>r</w:t>
            </w:r>
            <w:r w:rsidRPr="00FD6CE2">
              <w:rPr>
                <w:sz w:val="20"/>
                <w:szCs w:val="20"/>
              </w:rPr>
              <w:t>egion</w:t>
            </w:r>
          </w:p>
        </w:tc>
        <w:tc>
          <w:tcPr>
            <w:tcW w:w="1530" w:type="dxa"/>
            <w:tcBorders>
              <w:top w:val="single" w:sz="12" w:space="0" w:color="auto"/>
              <w:bottom w:val="single" w:sz="12" w:space="0" w:color="auto"/>
            </w:tcBorders>
            <w:vAlign w:val="center"/>
          </w:tcPr>
          <w:p w14:paraId="3372380B" w14:textId="67AAD288" w:rsidR="00AA32DC" w:rsidRPr="00FD6CE2" w:rsidRDefault="00C420F9" w:rsidP="00597DA0">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Meteorological</w:t>
            </w:r>
            <w:r w:rsidR="00F2634D">
              <w:rPr>
                <w:sz w:val="20"/>
                <w:szCs w:val="20"/>
              </w:rPr>
              <w:t xml:space="preserve"> observation</w:t>
            </w:r>
          </w:p>
        </w:tc>
        <w:tc>
          <w:tcPr>
            <w:tcW w:w="2735" w:type="dxa"/>
            <w:tcBorders>
              <w:top w:val="single" w:sz="12" w:space="0" w:color="auto"/>
              <w:bottom w:val="single" w:sz="12" w:space="0" w:color="auto"/>
            </w:tcBorders>
            <w:vAlign w:val="center"/>
          </w:tcPr>
          <w:p w14:paraId="3FDCD669" w14:textId="77777777" w:rsidR="00AA32DC" w:rsidRPr="00FD6CE2" w:rsidRDefault="00AA32DC" w:rsidP="00597DA0">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D6CE2">
              <w:rPr>
                <w:sz w:val="20"/>
                <w:szCs w:val="20"/>
              </w:rPr>
              <w:t>Dependent variable</w:t>
            </w:r>
          </w:p>
        </w:tc>
        <w:tc>
          <w:tcPr>
            <w:tcW w:w="1870" w:type="dxa"/>
            <w:tcBorders>
              <w:top w:val="single" w:sz="12" w:space="0" w:color="auto"/>
              <w:bottom w:val="single" w:sz="12" w:space="0" w:color="auto"/>
            </w:tcBorders>
            <w:vAlign w:val="center"/>
          </w:tcPr>
          <w:p w14:paraId="161A60E0" w14:textId="77777777" w:rsidR="00AA32DC" w:rsidRPr="00FD6CE2" w:rsidRDefault="00AA32DC" w:rsidP="00597DA0">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D6CE2">
              <w:rPr>
                <w:sz w:val="20"/>
                <w:szCs w:val="20"/>
              </w:rPr>
              <w:t>Elasticity with respect to HDDs</w:t>
            </w:r>
          </w:p>
        </w:tc>
        <w:tc>
          <w:tcPr>
            <w:tcW w:w="1870" w:type="dxa"/>
            <w:tcBorders>
              <w:top w:val="single" w:sz="12" w:space="0" w:color="auto"/>
              <w:bottom w:val="single" w:sz="12" w:space="0" w:color="auto"/>
            </w:tcBorders>
            <w:vAlign w:val="center"/>
          </w:tcPr>
          <w:p w14:paraId="0D0325FA" w14:textId="77777777" w:rsidR="00AA32DC" w:rsidRPr="00FD6CE2" w:rsidRDefault="00AA32DC" w:rsidP="00597DA0">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D6CE2">
              <w:rPr>
                <w:sz w:val="20"/>
                <w:szCs w:val="20"/>
              </w:rPr>
              <w:t>Elasticity with respect to CDDs</w:t>
            </w:r>
          </w:p>
        </w:tc>
      </w:tr>
      <w:tr w:rsidR="00CD555C" w14:paraId="08FEA8B8" w14:textId="77777777" w:rsidTr="00597DA0">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6130ABD8" w14:textId="77777777" w:rsidR="00CD555C" w:rsidRPr="00C004A9" w:rsidRDefault="00CD555C" w:rsidP="007A39BF">
            <w:pPr>
              <w:spacing w:before="0" w:after="0" w:line="240" w:lineRule="auto"/>
              <w:ind w:firstLine="0"/>
              <w:jc w:val="center"/>
              <w:rPr>
                <w:b w:val="0"/>
                <w:bCs w:val="0"/>
                <w:sz w:val="20"/>
                <w:szCs w:val="20"/>
              </w:rPr>
            </w:pPr>
            <w:r w:rsidRPr="00C004A9">
              <w:rPr>
                <w:b w:val="0"/>
                <w:bCs w:val="0"/>
                <w:sz w:val="20"/>
                <w:szCs w:val="20"/>
              </w:rPr>
              <w:t>SWPA-Integrated</w:t>
            </w:r>
          </w:p>
        </w:tc>
        <w:tc>
          <w:tcPr>
            <w:tcW w:w="1530" w:type="dxa"/>
            <w:vAlign w:val="center"/>
          </w:tcPr>
          <w:p w14:paraId="233D5C1B" w14:textId="77777777" w:rsidR="00CD555C" w:rsidRPr="00FD6CE2" w:rsidRDefault="00CD555C" w:rsidP="007A39BF">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D6CE2">
              <w:rPr>
                <w:sz w:val="20"/>
                <w:szCs w:val="20"/>
              </w:rPr>
              <w:t>Daymet</w:t>
            </w:r>
          </w:p>
        </w:tc>
        <w:tc>
          <w:tcPr>
            <w:tcW w:w="2735" w:type="dxa"/>
            <w:vAlign w:val="center"/>
          </w:tcPr>
          <w:p w14:paraId="04033B19" w14:textId="09D35A56" w:rsidR="00CD555C" w:rsidRPr="00FD6CE2" w:rsidRDefault="00CD555C" w:rsidP="007A39BF">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FD6CE2">
              <w:rPr>
                <w:sz w:val="20"/>
                <w:szCs w:val="20"/>
              </w:rPr>
              <w:t>lectricity sales</w:t>
            </w:r>
          </w:p>
        </w:tc>
        <w:tc>
          <w:tcPr>
            <w:tcW w:w="1870" w:type="dxa"/>
            <w:vAlign w:val="center"/>
          </w:tcPr>
          <w:p w14:paraId="0AFEE5E8" w14:textId="77777777" w:rsidR="00CD555C" w:rsidRPr="00FD6CE2" w:rsidRDefault="00CD555C"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D6CE2">
              <w:rPr>
                <w:b/>
                <w:bCs/>
                <w:sz w:val="20"/>
                <w:szCs w:val="20"/>
              </w:rPr>
              <w:t>0.0806</w:t>
            </w:r>
          </w:p>
          <w:p w14:paraId="6FC6B51E" w14:textId="77777777" w:rsidR="00CD555C" w:rsidRPr="00FD6CE2" w:rsidRDefault="00CD555C" w:rsidP="00C117DF">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D6CE2">
              <w:rPr>
                <w:sz w:val="20"/>
                <w:szCs w:val="20"/>
              </w:rPr>
              <w:t>(0.0172)</w:t>
            </w:r>
          </w:p>
        </w:tc>
        <w:tc>
          <w:tcPr>
            <w:tcW w:w="1870" w:type="dxa"/>
            <w:vAlign w:val="center"/>
          </w:tcPr>
          <w:p w14:paraId="351F36D0" w14:textId="77777777" w:rsidR="00CD555C" w:rsidRPr="00FD6CE2" w:rsidRDefault="00CD555C" w:rsidP="00C117DF">
            <w:pPr>
              <w:tabs>
                <w:tab w:val="decimal" w:pos="73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D6CE2">
              <w:rPr>
                <w:b/>
                <w:bCs/>
                <w:sz w:val="20"/>
                <w:szCs w:val="20"/>
              </w:rPr>
              <w:t>0.1553</w:t>
            </w:r>
          </w:p>
          <w:p w14:paraId="0986873B" w14:textId="77777777" w:rsidR="00CD555C" w:rsidRPr="00FD6CE2" w:rsidRDefault="00CD555C" w:rsidP="00C117DF">
            <w:pPr>
              <w:tabs>
                <w:tab w:val="decimal" w:pos="73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D6CE2">
              <w:rPr>
                <w:sz w:val="20"/>
                <w:szCs w:val="20"/>
              </w:rPr>
              <w:t>(0.0263)</w:t>
            </w:r>
          </w:p>
        </w:tc>
      </w:tr>
      <w:tr w:rsidR="00CD555C" w14:paraId="0B005D1C" w14:textId="77777777" w:rsidTr="00597DA0">
        <w:trPr>
          <w:cantSplit/>
          <w:jc w:val="center"/>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2C9B5CDB" w14:textId="77777777" w:rsidR="00CD555C" w:rsidRPr="00C004A9" w:rsidRDefault="00CD555C" w:rsidP="007A39BF">
            <w:pPr>
              <w:spacing w:before="0" w:after="0" w:line="240" w:lineRule="auto"/>
              <w:ind w:firstLine="0"/>
              <w:jc w:val="center"/>
              <w:rPr>
                <w:b w:val="0"/>
                <w:bCs w:val="0"/>
                <w:sz w:val="20"/>
                <w:szCs w:val="20"/>
              </w:rPr>
            </w:pPr>
            <w:r w:rsidRPr="00C004A9">
              <w:rPr>
                <w:b w:val="0"/>
                <w:bCs w:val="0"/>
                <w:sz w:val="20"/>
                <w:szCs w:val="20"/>
              </w:rPr>
              <w:t>SWPA-Integrated</w:t>
            </w:r>
          </w:p>
        </w:tc>
        <w:tc>
          <w:tcPr>
            <w:tcW w:w="1530" w:type="dxa"/>
            <w:vAlign w:val="center"/>
          </w:tcPr>
          <w:p w14:paraId="5F46185F" w14:textId="77777777" w:rsidR="00CD555C" w:rsidRPr="00FD6CE2" w:rsidRDefault="00CD555C" w:rsidP="007A39BF">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FD6CE2">
              <w:rPr>
                <w:sz w:val="20"/>
                <w:szCs w:val="20"/>
              </w:rPr>
              <w:t>Livneh</w:t>
            </w:r>
          </w:p>
        </w:tc>
        <w:tc>
          <w:tcPr>
            <w:tcW w:w="2735" w:type="dxa"/>
            <w:vAlign w:val="center"/>
          </w:tcPr>
          <w:p w14:paraId="1F21D40C" w14:textId="295A4724" w:rsidR="00CD555C" w:rsidRPr="00FD6CE2" w:rsidRDefault="00CD555C" w:rsidP="007A39BF">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FD6CE2">
              <w:rPr>
                <w:sz w:val="20"/>
                <w:szCs w:val="20"/>
              </w:rPr>
              <w:t>lectricity sales</w:t>
            </w:r>
          </w:p>
        </w:tc>
        <w:tc>
          <w:tcPr>
            <w:tcW w:w="1870" w:type="dxa"/>
            <w:vAlign w:val="center"/>
          </w:tcPr>
          <w:p w14:paraId="6FD09A89" w14:textId="77777777" w:rsidR="00CD555C" w:rsidRPr="00FD6CE2" w:rsidRDefault="00CD555C"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D6CE2">
              <w:rPr>
                <w:b/>
                <w:bCs/>
                <w:sz w:val="20"/>
                <w:szCs w:val="20"/>
              </w:rPr>
              <w:t>0.0957</w:t>
            </w:r>
          </w:p>
          <w:p w14:paraId="30C5733B" w14:textId="77777777" w:rsidR="00CD555C" w:rsidRPr="00FD6CE2" w:rsidRDefault="00CD555C" w:rsidP="00C117DF">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D6CE2">
              <w:rPr>
                <w:sz w:val="20"/>
                <w:szCs w:val="20"/>
              </w:rPr>
              <w:t>(0.02)</w:t>
            </w:r>
          </w:p>
        </w:tc>
        <w:tc>
          <w:tcPr>
            <w:tcW w:w="1870" w:type="dxa"/>
            <w:vAlign w:val="center"/>
          </w:tcPr>
          <w:p w14:paraId="21E262D8" w14:textId="77777777" w:rsidR="00CD555C" w:rsidRPr="00FD6CE2" w:rsidRDefault="00CD555C" w:rsidP="00C117DF">
            <w:pPr>
              <w:tabs>
                <w:tab w:val="decimal" w:pos="73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D6CE2">
              <w:rPr>
                <w:b/>
                <w:bCs/>
                <w:sz w:val="20"/>
                <w:szCs w:val="20"/>
              </w:rPr>
              <w:t>0.1639</w:t>
            </w:r>
          </w:p>
          <w:p w14:paraId="04F6CC18" w14:textId="77777777" w:rsidR="00CD555C" w:rsidRPr="00FD6CE2" w:rsidRDefault="00CD555C" w:rsidP="00C117DF">
            <w:pPr>
              <w:tabs>
                <w:tab w:val="decimal" w:pos="73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D6CE2">
              <w:rPr>
                <w:sz w:val="20"/>
                <w:szCs w:val="20"/>
              </w:rPr>
              <w:t>(0.0344)</w:t>
            </w:r>
          </w:p>
        </w:tc>
      </w:tr>
    </w:tbl>
    <w:p w14:paraId="2800AAFA" w14:textId="1F5BA89D" w:rsidR="00AA32DC" w:rsidRPr="00C004A9" w:rsidRDefault="00AA32DC" w:rsidP="00116F11">
      <w:pPr>
        <w:spacing w:before="120" w:line="240" w:lineRule="auto"/>
        <w:ind w:firstLine="0"/>
        <w:rPr>
          <w:sz w:val="18"/>
          <w:szCs w:val="18"/>
        </w:rPr>
      </w:pPr>
      <w:r w:rsidRPr="00C004A9">
        <w:rPr>
          <w:sz w:val="18"/>
          <w:szCs w:val="18"/>
        </w:rPr>
        <w:t>Note: Numbers in parenthes</w:t>
      </w:r>
      <w:r w:rsidR="004A6B0B">
        <w:rPr>
          <w:sz w:val="18"/>
          <w:szCs w:val="18"/>
        </w:rPr>
        <w:t>e</w:t>
      </w:r>
      <w:r w:rsidRPr="00C004A9">
        <w:rPr>
          <w:sz w:val="18"/>
          <w:szCs w:val="18"/>
        </w:rPr>
        <w:t>s are standard errors. Bolded values indicate that the estimated elasticity is statistically significant.</w:t>
      </w:r>
    </w:p>
    <w:p w14:paraId="0116ED14" w14:textId="77777777" w:rsidR="00D5200C" w:rsidRDefault="00D5200C" w:rsidP="00D5200C">
      <w:pPr>
        <w:pStyle w:val="BodyText"/>
      </w:pPr>
      <w:r>
        <w:t>Electricity sales by SWPA preference customers are positively related to both HDDs and CDDs and the relationship is statistically significant. Electricity sales are more responsive to increases in CDDs (i.e., number and intensity of warm days triggering air conditioning use) than to increases in HDDs (i.e., number and intensity of cold days triggering heating demand). All else equal, a 1% increase in annual CDDs leads to a 0.16% increase in sales. A 1% increase in annual HDDs leads to less than a 0.1% increase in total sales. The differences in results across the two MetFs are minimal.</w:t>
      </w:r>
    </w:p>
    <w:p w14:paraId="6791C286" w14:textId="1F84DD37" w:rsidR="00D5200C" w:rsidRDefault="00D5200C" w:rsidP="00D5200C">
      <w:pPr>
        <w:pStyle w:val="BodyText"/>
      </w:pPr>
      <w:r>
        <w:t xml:space="preserve">The estimated elasticities with respect to degree days were combined with the projected changed in degree days derived from climate simulations to produce an estimate of the temperature-driven changes in the demand served by SWPA preference customers. </w:t>
      </w:r>
      <w:r>
        <w:fldChar w:fldCharType="begin"/>
      </w:r>
      <w:r>
        <w:instrText xml:space="preserve"> REF _Ref72856342 \h  \* MERGEFORMAT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noProof/>
          <w:lang w:eastAsia="zh-TW"/>
        </w:rPr>
        <w:t>.</w:t>
      </w:r>
      <w:r w:rsidR="00EE0BF5">
        <w:rPr>
          <w:noProof/>
          <w:lang w:eastAsia="zh-TW"/>
        </w:rPr>
        <w:t>16</w:t>
      </w:r>
      <w:r>
        <w:fldChar w:fldCharType="end"/>
      </w:r>
      <w:r>
        <w:t xml:space="preserve"> and </w:t>
      </w:r>
      <w:r>
        <w:fldChar w:fldCharType="begin"/>
      </w:r>
      <w:r>
        <w:instrText xml:space="preserve"> REF _Ref72856355 \h  \* MERGEFORMAT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noProof/>
          <w:lang w:eastAsia="zh-TW"/>
        </w:rPr>
        <w:t>.</w:t>
      </w:r>
      <w:r w:rsidR="00EE0BF5">
        <w:rPr>
          <w:noProof/>
          <w:lang w:eastAsia="zh-TW"/>
        </w:rPr>
        <w:t>17</w:t>
      </w:r>
      <w:r>
        <w:fldChar w:fldCharType="end"/>
      </w:r>
      <w:r>
        <w:t xml:space="preserve"> show the projected degree days from 24 simulations (the six CMIP-6 models described in Section 2.3 combined with two MetFs and two DSs), as well as the ensemble median projection.</w:t>
      </w:r>
    </w:p>
    <w:p w14:paraId="5DE0799A" w14:textId="2FADD629" w:rsidR="00D5200C" w:rsidRDefault="00D5200C" w:rsidP="00D5200C">
      <w:pPr>
        <w:pStyle w:val="BodyText"/>
      </w:pPr>
      <w:r>
        <w:t>During the baseline period, the ensemble median HDDs and CDDs in the territory served by SWPA preference customers were similar: 2,298 annual HDDs and 2,119 annual CDDs on average. For 2020</w:t>
      </w:r>
      <w:r>
        <w:rPr>
          <w:rFonts w:cstheme="minorHAnsi"/>
        </w:rPr>
        <w:t>–</w:t>
      </w:r>
      <w:r>
        <w:t xml:space="preserve">2059, the average values of the ensemble medians in </w:t>
      </w:r>
      <w:r>
        <w:fldChar w:fldCharType="begin"/>
      </w:r>
      <w:r>
        <w:instrText xml:space="preserve"> REF _Ref72856342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16</w:t>
      </w:r>
      <w:r>
        <w:fldChar w:fldCharType="end"/>
      </w:r>
      <w:r>
        <w:t xml:space="preserve"> and </w:t>
      </w:r>
      <w:r>
        <w:fldChar w:fldCharType="begin"/>
      </w:r>
      <w:r>
        <w:instrText xml:space="preserve"> REF _Ref72856355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17</w:t>
      </w:r>
      <w:r>
        <w:fldChar w:fldCharType="end"/>
      </w:r>
      <w:r>
        <w:t xml:space="preserve"> are 1,785 for HDDs and 2,749 for CDDs. This represents a 22% decrease in HDDs and a 30% increase in CDDs. The projected changes in sales driven by these degree day trends are presented in </w:t>
      </w:r>
      <w:r>
        <w:fldChar w:fldCharType="begin"/>
      </w:r>
      <w:r>
        <w:instrText xml:space="preserve"> REF _Ref72856420 \h </w:instrText>
      </w:r>
      <w:r>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18</w:t>
      </w:r>
      <w:r>
        <w:fldChar w:fldCharType="end"/>
      </w:r>
      <w:r>
        <w:t>.</w:t>
      </w:r>
    </w:p>
    <w:p w14:paraId="49C3C4BF" w14:textId="234B2248" w:rsidR="00FC5E3E" w:rsidRDefault="00FC5E3E" w:rsidP="00597DA0">
      <w:pPr>
        <w:pStyle w:val="FIGUREposition"/>
        <w:rPr>
          <w:rFonts w:eastAsia="PMingLiU"/>
          <w:lang w:eastAsia="zh-TW"/>
        </w:rPr>
      </w:pPr>
      <w:r>
        <w:rPr>
          <w:noProof/>
        </w:rPr>
        <w:lastRenderedPageBreak/>
        <w:drawing>
          <wp:inline distT="0" distB="0" distL="0" distR="0" wp14:anchorId="6E16BE36" wp14:editId="1530CDF3">
            <wp:extent cx="5486396" cy="1828798"/>
            <wp:effectExtent l="0" t="0" r="635" b="63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pic:cNvPicPr>
                      <a:picLocks noChangeAspect="1" noChangeArrowheads="1"/>
                    </pic:cNvPicPr>
                  </pic:nvPicPr>
                  <pic:blipFill>
                    <a:blip r:embed="rId220"/>
                    <a:stretch>
                      <a:fillRect/>
                    </a:stretch>
                  </pic:blipFill>
                  <pic:spPr bwMode="auto">
                    <a:xfrm>
                      <a:off x="0" y="0"/>
                      <a:ext cx="5486396" cy="1828798"/>
                    </a:xfrm>
                    <a:prstGeom prst="rect">
                      <a:avLst/>
                    </a:prstGeom>
                    <a:noFill/>
                    <a:ln>
                      <a:noFill/>
                    </a:ln>
                  </pic:spPr>
                </pic:pic>
              </a:graphicData>
            </a:graphic>
          </wp:inline>
        </w:drawing>
      </w:r>
    </w:p>
    <w:p w14:paraId="765FAD73" w14:textId="254CA00E" w:rsidR="00FC5E3E" w:rsidRDefault="003F6C94" w:rsidP="00FC5E3E">
      <w:pPr>
        <w:pStyle w:val="FigureCaption"/>
        <w:rPr>
          <w:b w:val="0"/>
        </w:rPr>
      </w:pPr>
      <w:bookmarkStart w:id="472" w:name="_Ref72856342"/>
      <w:bookmarkStart w:id="473" w:name="_Toc113380942"/>
      <w:r>
        <w:rPr>
          <w:lang w:eastAsia="zh-TW"/>
        </w:rPr>
        <w:t>Figure</w:t>
      </w:r>
      <w:r w:rsidR="00FC5E3E" w:rsidRPr="00F61532">
        <w:rPr>
          <w:lang w:eastAsia="zh-TW"/>
        </w:rPr>
        <w:t xml:space="preserve"> </w:t>
      </w:r>
      <w:r w:rsidR="00FC5E3E" w:rsidRPr="00F61532">
        <w:rPr>
          <w:lang w:eastAsia="zh-TW"/>
        </w:rPr>
        <w:fldChar w:fldCharType="begin"/>
      </w:r>
      <w:r w:rsidR="00FC5E3E" w:rsidRPr="00F61532">
        <w:rPr>
          <w:lang w:eastAsia="zh-TW"/>
        </w:rPr>
        <w:instrText xml:space="preserve"> STYLEREF 1 \s </w:instrText>
      </w:r>
      <w:r w:rsidR="00FC5E3E" w:rsidRPr="00F61532">
        <w:rPr>
          <w:lang w:eastAsia="zh-TW"/>
        </w:rPr>
        <w:fldChar w:fldCharType="separate"/>
      </w:r>
      <w:r w:rsidR="00EE0BF5">
        <w:rPr>
          <w:noProof/>
          <w:lang w:eastAsia="zh-TW"/>
        </w:rPr>
        <w:t>5</w:t>
      </w:r>
      <w:r w:rsidR="00FC5E3E" w:rsidRPr="00F61532">
        <w:rPr>
          <w:lang w:eastAsia="zh-TW"/>
        </w:rPr>
        <w:fldChar w:fldCharType="end"/>
      </w:r>
      <w:r w:rsidR="00FC5E3E" w:rsidRPr="00F61532">
        <w:rPr>
          <w:lang w:eastAsia="zh-TW"/>
        </w:rPr>
        <w:t>.</w:t>
      </w:r>
      <w:r w:rsidR="00FC5E3E" w:rsidRPr="00F61532">
        <w:rPr>
          <w:lang w:eastAsia="zh-TW"/>
        </w:rPr>
        <w:fldChar w:fldCharType="begin"/>
      </w:r>
      <w:r w:rsidR="00FC5E3E" w:rsidRPr="00F61532">
        <w:rPr>
          <w:lang w:eastAsia="zh-TW"/>
        </w:rPr>
        <w:instrText xml:space="preserve"> SEQ Figure \* ARABIC \s 1 </w:instrText>
      </w:r>
      <w:r w:rsidR="00FC5E3E" w:rsidRPr="00F61532">
        <w:rPr>
          <w:lang w:eastAsia="zh-TW"/>
        </w:rPr>
        <w:fldChar w:fldCharType="separate"/>
      </w:r>
      <w:r w:rsidR="00EE0BF5">
        <w:rPr>
          <w:noProof/>
          <w:lang w:eastAsia="zh-TW"/>
        </w:rPr>
        <w:t>16</w:t>
      </w:r>
      <w:r w:rsidR="00FC5E3E" w:rsidRPr="00F61532">
        <w:rPr>
          <w:lang w:eastAsia="zh-TW"/>
        </w:rPr>
        <w:fldChar w:fldCharType="end"/>
      </w:r>
      <w:bookmarkEnd w:id="472"/>
      <w:r w:rsidR="00FC5E3E" w:rsidRPr="00F61532">
        <w:rPr>
          <w:lang w:eastAsia="zh-TW"/>
        </w:rPr>
        <w:t xml:space="preserve">. Projected annual </w:t>
      </w:r>
      <w:r w:rsidR="00190E22">
        <w:rPr>
          <w:lang w:eastAsia="zh-TW"/>
        </w:rPr>
        <w:t>HDD</w:t>
      </w:r>
      <w:r w:rsidR="00DD4CA2">
        <w:rPr>
          <w:lang w:eastAsia="zh-TW"/>
        </w:rPr>
        <w:t>s</w:t>
      </w:r>
      <w:r w:rsidR="00FC5E3E">
        <w:rPr>
          <w:lang w:eastAsia="zh-TW"/>
        </w:rPr>
        <w:t xml:space="preserve"> </w:t>
      </w:r>
      <w:r w:rsidR="00FC5E3E" w:rsidRPr="00F61532">
        <w:rPr>
          <w:lang w:eastAsia="zh-TW"/>
        </w:rPr>
        <w:t xml:space="preserve">in </w:t>
      </w:r>
      <w:r w:rsidR="00FC5E3E">
        <w:rPr>
          <w:lang w:eastAsia="zh-TW"/>
        </w:rPr>
        <w:t>the SWPA region.</w:t>
      </w:r>
      <w:bookmarkEnd w:id="473"/>
    </w:p>
    <w:p w14:paraId="4F8DFB5B" w14:textId="20E3F7B9" w:rsidR="00FC5E3E" w:rsidRDefault="00FC5E3E" w:rsidP="00597DA0">
      <w:pPr>
        <w:pStyle w:val="FIGUREposition"/>
        <w:rPr>
          <w:rFonts w:eastAsia="PMingLiU"/>
          <w:lang w:eastAsia="zh-TW"/>
        </w:rPr>
      </w:pPr>
      <w:r>
        <w:rPr>
          <w:noProof/>
        </w:rPr>
        <w:drawing>
          <wp:inline distT="0" distB="0" distL="0" distR="0" wp14:anchorId="469A0E39" wp14:editId="62ABCAC9">
            <wp:extent cx="5486396" cy="1828798"/>
            <wp:effectExtent l="0" t="0" r="635" b="63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pic:cNvPicPr>
                      <a:picLocks noChangeAspect="1" noChangeArrowheads="1"/>
                    </pic:cNvPicPr>
                  </pic:nvPicPr>
                  <pic:blipFill>
                    <a:blip r:embed="rId221"/>
                    <a:stretch>
                      <a:fillRect/>
                    </a:stretch>
                  </pic:blipFill>
                  <pic:spPr bwMode="auto">
                    <a:xfrm>
                      <a:off x="0" y="0"/>
                      <a:ext cx="5486396" cy="1828798"/>
                    </a:xfrm>
                    <a:prstGeom prst="rect">
                      <a:avLst/>
                    </a:prstGeom>
                    <a:noFill/>
                    <a:ln>
                      <a:noFill/>
                    </a:ln>
                  </pic:spPr>
                </pic:pic>
              </a:graphicData>
            </a:graphic>
          </wp:inline>
        </w:drawing>
      </w:r>
    </w:p>
    <w:p w14:paraId="14F09F2A" w14:textId="7AC77050" w:rsidR="00FC5E3E" w:rsidRDefault="003F6C94" w:rsidP="00FC5E3E">
      <w:pPr>
        <w:pStyle w:val="FigureCaption"/>
        <w:rPr>
          <w:b w:val="0"/>
        </w:rPr>
      </w:pPr>
      <w:bookmarkStart w:id="474" w:name="_Ref72856355"/>
      <w:bookmarkStart w:id="475" w:name="_Toc113380943"/>
      <w:r>
        <w:rPr>
          <w:lang w:eastAsia="zh-TW"/>
        </w:rPr>
        <w:t>Figure</w:t>
      </w:r>
      <w:r w:rsidR="00FC5E3E" w:rsidRPr="00F61532">
        <w:rPr>
          <w:lang w:eastAsia="zh-TW"/>
        </w:rPr>
        <w:t xml:space="preserve"> </w:t>
      </w:r>
      <w:r w:rsidR="00FC5E3E" w:rsidRPr="00F61532">
        <w:rPr>
          <w:lang w:eastAsia="zh-TW"/>
        </w:rPr>
        <w:fldChar w:fldCharType="begin"/>
      </w:r>
      <w:r w:rsidR="00FC5E3E" w:rsidRPr="00F61532">
        <w:rPr>
          <w:lang w:eastAsia="zh-TW"/>
        </w:rPr>
        <w:instrText xml:space="preserve"> STYLEREF 1 \s </w:instrText>
      </w:r>
      <w:r w:rsidR="00FC5E3E" w:rsidRPr="00F61532">
        <w:rPr>
          <w:lang w:eastAsia="zh-TW"/>
        </w:rPr>
        <w:fldChar w:fldCharType="separate"/>
      </w:r>
      <w:r w:rsidR="00EE0BF5">
        <w:rPr>
          <w:noProof/>
          <w:lang w:eastAsia="zh-TW"/>
        </w:rPr>
        <w:t>5</w:t>
      </w:r>
      <w:r w:rsidR="00FC5E3E" w:rsidRPr="00F61532">
        <w:rPr>
          <w:lang w:eastAsia="zh-TW"/>
        </w:rPr>
        <w:fldChar w:fldCharType="end"/>
      </w:r>
      <w:r w:rsidR="00FC5E3E" w:rsidRPr="00F61532">
        <w:rPr>
          <w:lang w:eastAsia="zh-TW"/>
        </w:rPr>
        <w:t>.</w:t>
      </w:r>
      <w:r w:rsidR="00FC5E3E" w:rsidRPr="00F61532">
        <w:rPr>
          <w:lang w:eastAsia="zh-TW"/>
        </w:rPr>
        <w:fldChar w:fldCharType="begin"/>
      </w:r>
      <w:r w:rsidR="00FC5E3E" w:rsidRPr="00F61532">
        <w:rPr>
          <w:lang w:eastAsia="zh-TW"/>
        </w:rPr>
        <w:instrText xml:space="preserve"> SEQ Figure \* ARABIC \s 1 </w:instrText>
      </w:r>
      <w:r w:rsidR="00FC5E3E" w:rsidRPr="00F61532">
        <w:rPr>
          <w:lang w:eastAsia="zh-TW"/>
        </w:rPr>
        <w:fldChar w:fldCharType="separate"/>
      </w:r>
      <w:r w:rsidR="00EE0BF5">
        <w:rPr>
          <w:noProof/>
          <w:lang w:eastAsia="zh-TW"/>
        </w:rPr>
        <w:t>17</w:t>
      </w:r>
      <w:r w:rsidR="00FC5E3E" w:rsidRPr="00F61532">
        <w:rPr>
          <w:lang w:eastAsia="zh-TW"/>
        </w:rPr>
        <w:fldChar w:fldCharType="end"/>
      </w:r>
      <w:bookmarkEnd w:id="474"/>
      <w:r w:rsidR="00FC5E3E" w:rsidRPr="00F61532">
        <w:rPr>
          <w:lang w:eastAsia="zh-TW"/>
        </w:rPr>
        <w:t xml:space="preserve">. Projected annual </w:t>
      </w:r>
      <w:r w:rsidR="00190E22">
        <w:rPr>
          <w:lang w:eastAsia="zh-TW"/>
        </w:rPr>
        <w:t>CDD</w:t>
      </w:r>
      <w:r w:rsidR="00DD4CA2">
        <w:rPr>
          <w:lang w:eastAsia="zh-TW"/>
        </w:rPr>
        <w:t>s</w:t>
      </w:r>
      <w:r w:rsidR="00FC5E3E">
        <w:rPr>
          <w:lang w:eastAsia="zh-TW"/>
        </w:rPr>
        <w:t xml:space="preserve"> </w:t>
      </w:r>
      <w:r w:rsidR="00FC5E3E" w:rsidRPr="00F61532">
        <w:rPr>
          <w:lang w:eastAsia="zh-TW"/>
        </w:rPr>
        <w:t xml:space="preserve">in </w:t>
      </w:r>
      <w:r w:rsidR="00FC5E3E">
        <w:rPr>
          <w:lang w:eastAsia="zh-TW"/>
        </w:rPr>
        <w:t>the SWPA region.</w:t>
      </w:r>
      <w:bookmarkEnd w:id="475"/>
    </w:p>
    <w:p w14:paraId="5AA4D86F" w14:textId="4CF7749F" w:rsidR="00AA32DC" w:rsidRDefault="00262227" w:rsidP="00597DA0">
      <w:pPr>
        <w:pStyle w:val="FIGUREposition"/>
      </w:pPr>
      <w:r>
        <w:rPr>
          <w:noProof/>
        </w:rPr>
        <w:drawing>
          <wp:inline distT="0" distB="0" distL="0" distR="0" wp14:anchorId="4C41C862" wp14:editId="12974D4A">
            <wp:extent cx="5943600" cy="2743200"/>
            <wp:effectExtent l="0" t="0" r="0" b="0"/>
            <wp:docPr id="234" name="Picture 23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Chart, box and whisker chart&#10;&#10;Description automatically generated"/>
                    <pic:cNvPicPr/>
                  </pic:nvPicPr>
                  <pic:blipFill>
                    <a:blip r:embed="rId222"/>
                    <a:stretch>
                      <a:fillRect/>
                    </a:stretch>
                  </pic:blipFill>
                  <pic:spPr>
                    <a:xfrm>
                      <a:off x="0" y="0"/>
                      <a:ext cx="5943600" cy="2743200"/>
                    </a:xfrm>
                    <a:prstGeom prst="rect">
                      <a:avLst/>
                    </a:prstGeom>
                  </pic:spPr>
                </pic:pic>
              </a:graphicData>
            </a:graphic>
          </wp:inline>
        </w:drawing>
      </w:r>
    </w:p>
    <w:p w14:paraId="1BDD5A7A" w14:textId="5B0DACC4" w:rsidR="00CB0F48" w:rsidRDefault="00CB0F48" w:rsidP="00CB0F48">
      <w:pPr>
        <w:pStyle w:val="FigureCaption"/>
        <w:rPr>
          <w:b w:val="0"/>
        </w:rPr>
      </w:pPr>
      <w:bookmarkStart w:id="476" w:name="_Ref72856420"/>
      <w:bookmarkStart w:id="477" w:name="_Toc11338094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5</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18</w:t>
      </w:r>
      <w:r w:rsidRPr="00F61532">
        <w:rPr>
          <w:lang w:eastAsia="zh-TW"/>
        </w:rPr>
        <w:fldChar w:fldCharType="end"/>
      </w:r>
      <w:bookmarkEnd w:id="476"/>
      <w:r w:rsidRPr="00F61532">
        <w:rPr>
          <w:lang w:eastAsia="zh-TW"/>
        </w:rPr>
        <w:t xml:space="preserve">. </w:t>
      </w:r>
      <w:r w:rsidRPr="00CB0F48">
        <w:rPr>
          <w:lang w:eastAsia="zh-TW"/>
        </w:rPr>
        <w:t xml:space="preserve">Estimated changes in SWPA preference customer electricity sales relative to </w:t>
      </w:r>
      <w:r w:rsidR="002709A6">
        <w:rPr>
          <w:lang w:eastAsia="zh-TW"/>
        </w:rPr>
        <w:t xml:space="preserve">the </w:t>
      </w:r>
      <w:r w:rsidRPr="00CB0F48">
        <w:rPr>
          <w:lang w:eastAsia="zh-TW"/>
        </w:rPr>
        <w:t>baseline period due to projected changes in degree days</w:t>
      </w:r>
      <w:r>
        <w:rPr>
          <w:lang w:eastAsia="zh-TW"/>
        </w:rPr>
        <w:t>.</w:t>
      </w:r>
      <w:bookmarkEnd w:id="477"/>
    </w:p>
    <w:p w14:paraId="357A5672" w14:textId="3CAFDDA9" w:rsidR="00902D7A" w:rsidRDefault="00262227" w:rsidP="00597DA0">
      <w:pPr>
        <w:pStyle w:val="BodyText"/>
        <w:rPr>
          <w:rFonts w:cstheme="minorHAnsi"/>
        </w:rPr>
      </w:pPr>
      <w:r>
        <w:t>Changes in sales driven by HDDs and CDDs occur during the winter and summer, respectively. For each of the degree day–period combinations</w:t>
      </w:r>
      <w:r w:rsidRPr="00B47D9C">
        <w:t xml:space="preserve"> </w:t>
      </w:r>
      <w:r>
        <w:t>under all 24 CMIP6 projections</w:t>
      </w:r>
      <w:r w:rsidR="00902D7A">
        <w:t xml:space="preserve"> (</w:t>
      </w:r>
      <w:r w:rsidR="00902D7A">
        <w:fldChar w:fldCharType="begin"/>
      </w:r>
      <w:r w:rsidR="00902D7A">
        <w:instrText xml:space="preserve"> REF _Ref72856420 \h </w:instrText>
      </w:r>
      <w:r w:rsidR="00902D7A">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18</w:t>
      </w:r>
      <w:r w:rsidR="00902D7A">
        <w:fldChar w:fldCharType="end"/>
      </w:r>
      <w:r w:rsidR="00902D7A">
        <w:t xml:space="preserve">), electricity sales decrease in the winter months and increase in the summer months because of the trends in degree days </w:t>
      </w:r>
      <w:r w:rsidR="00902D7A">
        <w:lastRenderedPageBreak/>
        <w:t xml:space="preserve">summarized in </w:t>
      </w:r>
      <w:r w:rsidR="00902D7A">
        <w:fldChar w:fldCharType="begin"/>
      </w:r>
      <w:r w:rsidR="00902D7A">
        <w:instrText xml:space="preserve"> REF _Ref72856342 \h </w:instrText>
      </w:r>
      <w:r w:rsidR="00902D7A">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16</w:t>
      </w:r>
      <w:r w:rsidR="00902D7A">
        <w:fldChar w:fldCharType="end"/>
      </w:r>
      <w:r w:rsidR="00902D7A">
        <w:t xml:space="preserve"> and </w:t>
      </w:r>
      <w:r w:rsidR="00902D7A">
        <w:fldChar w:fldCharType="begin"/>
      </w:r>
      <w:r w:rsidR="00902D7A">
        <w:instrText xml:space="preserve"> REF _Ref72856355 \h </w:instrText>
      </w:r>
      <w:r w:rsidR="00902D7A">
        <w:fldChar w:fldCharType="separate"/>
      </w:r>
      <w:r w:rsidR="00EE0BF5">
        <w:rPr>
          <w:lang w:eastAsia="zh-TW"/>
        </w:rPr>
        <w:t>Figure</w:t>
      </w:r>
      <w:r w:rsidR="00EE0BF5" w:rsidRPr="00F61532">
        <w:rPr>
          <w:lang w:eastAsia="zh-TW"/>
        </w:rPr>
        <w:t xml:space="preserve"> </w:t>
      </w:r>
      <w:r w:rsidR="00EE0BF5">
        <w:rPr>
          <w:noProof/>
          <w:lang w:eastAsia="zh-TW"/>
        </w:rPr>
        <w:t>5</w:t>
      </w:r>
      <w:r w:rsidR="00EE0BF5" w:rsidRPr="00F61532">
        <w:rPr>
          <w:lang w:eastAsia="zh-TW"/>
        </w:rPr>
        <w:t>.</w:t>
      </w:r>
      <w:r w:rsidR="00EE0BF5">
        <w:rPr>
          <w:noProof/>
          <w:lang w:eastAsia="zh-TW"/>
        </w:rPr>
        <w:t>17</w:t>
      </w:r>
      <w:r w:rsidR="00902D7A">
        <w:fldChar w:fldCharType="end"/>
      </w:r>
      <w:r w:rsidR="00902D7A" w:rsidRPr="00FC5F84">
        <w:t xml:space="preserve">. </w:t>
      </w:r>
      <w:r>
        <w:t xml:space="preserve">Overall, </w:t>
      </w:r>
      <w:r w:rsidRPr="00FC5F84">
        <w:t>annual sales</w:t>
      </w:r>
      <w:r>
        <w:t xml:space="preserve"> from the preference customers to their end-use customers</w:t>
      </w:r>
      <w:r w:rsidRPr="00FC5F84">
        <w:t xml:space="preserve"> increase because the changes in summer sales </w:t>
      </w:r>
      <w:r>
        <w:t>from</w:t>
      </w:r>
      <w:r w:rsidRPr="00FC5F84">
        <w:t xml:space="preserve"> increase</w:t>
      </w:r>
      <w:r>
        <w:t>d</w:t>
      </w:r>
      <w:r w:rsidRPr="00FC5F84">
        <w:t xml:space="preserve"> CDDs are larger than the decrease in winter sales driven by decreases in HDDs</w:t>
      </w:r>
      <w:r>
        <w:t>. The median projected increase in annual sales relative to the 1980</w:t>
      </w:r>
      <w:r>
        <w:rPr>
          <w:rFonts w:cstheme="minorHAnsi"/>
        </w:rPr>
        <w:t>–</w:t>
      </w:r>
      <w:r>
        <w:t>2019 baseline period is 1.5% in 2020</w:t>
      </w:r>
      <w:r>
        <w:rPr>
          <w:rFonts w:cstheme="minorHAnsi"/>
        </w:rPr>
        <w:t>–</w:t>
      </w:r>
      <w:r>
        <w:t>2039 and 3.6% in 2040</w:t>
      </w:r>
      <w:r>
        <w:rPr>
          <w:rFonts w:cstheme="minorHAnsi"/>
        </w:rPr>
        <w:t>–2059.</w:t>
      </w:r>
    </w:p>
    <w:p w14:paraId="7811AE66" w14:textId="1D736442" w:rsidR="00F80C85" w:rsidRDefault="00262227" w:rsidP="00597DA0">
      <w:pPr>
        <w:pStyle w:val="BodyText"/>
      </w:pPr>
      <w:bookmarkStart w:id="478" w:name="_Hlk80012869"/>
      <w:r>
        <w:t>Based on projected temperature trends, the capacity and peaking power marketed by SWPA will likely be most valuable to the preference customers during the summer months. SWPA</w:t>
      </w:r>
      <w:r w:rsidR="00805545">
        <w:t>’</w:t>
      </w:r>
      <w:r>
        <w:t>s preference customers have some limited flexibility regarding the time of the year in which they receive their energy allocation (within the monthly and seasonal ranges specified in their contracts) to the extent that their preferred timing is feasible for the PMA given other federal hydropower operational constraints.</w:t>
      </w:r>
      <w:bookmarkEnd w:id="478"/>
    </w:p>
    <w:p w14:paraId="6B197EE3" w14:textId="0415F34A" w:rsidR="00F80C85" w:rsidRDefault="007C7A60" w:rsidP="00597DA0">
      <w:pPr>
        <w:pStyle w:val="BodyText"/>
      </w:pPr>
      <w:r>
        <w:t>An example of how changes in the timing of preference customer demand create challenges for the PMAs arose when SWPA experienced uncharacteristic increased demand from its preference customers during several early fall (September and October) heat waves over the 2015–2020 period. Increased demand at this time of year coincides with restricted hydropower availability (due to maintenance outages having typically been scheduled for fall or spring months) and has resulted in more costly replacement power purchases during those months (Fernandez, 2020).</w:t>
      </w:r>
    </w:p>
    <w:p w14:paraId="52298D10" w14:textId="7FE0047C" w:rsidR="005E3B67" w:rsidRDefault="00F80C85" w:rsidP="00597DA0">
      <w:pPr>
        <w:pStyle w:val="BodyText"/>
      </w:pPr>
      <w:r>
        <w:t xml:space="preserve">Results presented in Section </w:t>
      </w:r>
      <w:r>
        <w:fldChar w:fldCharType="begin"/>
      </w:r>
      <w:r>
        <w:instrText xml:space="preserve"> REF _Ref425756480 \r \h </w:instrText>
      </w:r>
      <w:r>
        <w:fldChar w:fldCharType="separate"/>
      </w:r>
      <w:r w:rsidR="00EE0BF5">
        <w:t>5.3.1</w:t>
      </w:r>
      <w:r>
        <w:fldChar w:fldCharType="end"/>
      </w:r>
      <w:r>
        <w:t xml:space="preserve"> </w:t>
      </w:r>
      <w:r w:rsidR="007C7A60">
        <w:t>show that annual hydropower generation is projected to increase within the SWPA areas in 2020</w:t>
      </w:r>
      <w:r w:rsidR="007C7A60">
        <w:rPr>
          <w:rFonts w:cstheme="minorHAnsi"/>
        </w:rPr>
        <w:t>–</w:t>
      </w:r>
      <w:r w:rsidR="007C7A60">
        <w:t>2059. However, in the near-term future period (2020</w:t>
      </w:r>
      <w:r w:rsidR="007C7A60">
        <w:rPr>
          <w:rFonts w:cstheme="minorHAnsi"/>
        </w:rPr>
        <w:t>–</w:t>
      </w:r>
      <w:r w:rsidR="007C7A60">
        <w:t>2039), fall shows stable or slightly decreasing generation in all the SWPA areas, which could prolong or exacerbate the imbalances between supply and demand experienced during the early fall period in recent years.</w:t>
      </w:r>
    </w:p>
    <w:p w14:paraId="53E6AD44" w14:textId="5391EF01" w:rsidR="00902D7A" w:rsidRDefault="00902D7A" w:rsidP="00294112">
      <w:pPr>
        <w:pStyle w:val="BodyText"/>
      </w:pPr>
    </w:p>
    <w:p w14:paraId="208AE962" w14:textId="77777777" w:rsidR="00902D7A" w:rsidRDefault="00902D7A" w:rsidP="00294112">
      <w:pPr>
        <w:pStyle w:val="BodyText"/>
      </w:pPr>
    </w:p>
    <w:p w14:paraId="1F158F6F" w14:textId="77777777" w:rsidR="009A09EA" w:rsidRDefault="009A09EA" w:rsidP="00294112">
      <w:pPr>
        <w:pStyle w:val="BodyText"/>
        <w:sectPr w:rsidR="009A09EA" w:rsidSect="00CC3514">
          <w:pgSz w:w="12240" w:h="15840" w:code="1"/>
          <w:pgMar w:top="1440" w:right="1440" w:bottom="1440" w:left="1440" w:header="720" w:footer="720" w:gutter="0"/>
          <w:cols w:space="720"/>
          <w:docGrid w:linePitch="360"/>
        </w:sectPr>
      </w:pPr>
    </w:p>
    <w:p w14:paraId="192C4907" w14:textId="77777777" w:rsidR="00ED20D5" w:rsidRDefault="00ED20D5" w:rsidP="00ED20D5">
      <w:pPr>
        <w:pStyle w:val="BodyText"/>
        <w:jc w:val="center"/>
      </w:pPr>
      <w:bookmarkStart w:id="479" w:name="_Ref425755881"/>
      <w:bookmarkStart w:id="480" w:name="_Ref425756262"/>
      <w:bookmarkStart w:id="481" w:name="_Ref425756438"/>
      <w:bookmarkStart w:id="482" w:name="_Ref425756535"/>
      <w:bookmarkStart w:id="483" w:name="_Ref425756750"/>
      <w:bookmarkStart w:id="484" w:name="_Toc377366398"/>
      <w:bookmarkStart w:id="485" w:name="_Toc377479281"/>
      <w:bookmarkStart w:id="486" w:name="_Toc377479404"/>
      <w:bookmarkStart w:id="487" w:name="_Toc377480612"/>
      <w:r>
        <w:lastRenderedPageBreak/>
        <w:t>(This page intentionally left blank)</w:t>
      </w:r>
    </w:p>
    <w:p w14:paraId="52FA51C1" w14:textId="77777777" w:rsidR="00ED20D5" w:rsidRDefault="00ED20D5" w:rsidP="00ED20D5">
      <w:pPr>
        <w:pStyle w:val="BodyText"/>
      </w:pPr>
    </w:p>
    <w:p w14:paraId="681F4C80" w14:textId="77777777" w:rsidR="00ED20D5" w:rsidRDefault="00ED20D5" w:rsidP="00ED20D5">
      <w:pPr>
        <w:pStyle w:val="BodyText"/>
        <w:sectPr w:rsidR="00ED20D5" w:rsidSect="00343DBC">
          <w:pgSz w:w="12240" w:h="15840" w:code="1"/>
          <w:pgMar w:top="1440" w:right="1440" w:bottom="1440" w:left="1440" w:header="720" w:footer="720" w:gutter="0"/>
          <w:cols w:space="720"/>
          <w:vAlign w:val="center"/>
          <w:docGrid w:linePitch="360"/>
        </w:sectPr>
      </w:pPr>
    </w:p>
    <w:p w14:paraId="13C6C037" w14:textId="1EDA0580" w:rsidR="0020715F" w:rsidRDefault="009F65EE" w:rsidP="00DE0A21">
      <w:pPr>
        <w:pStyle w:val="Heading1"/>
      </w:pPr>
      <w:bookmarkStart w:id="488" w:name="_Ref432925465"/>
      <w:bookmarkStart w:id="489" w:name="_Toc113380827"/>
      <w:bookmarkEnd w:id="479"/>
      <w:bookmarkEnd w:id="480"/>
      <w:bookmarkEnd w:id="481"/>
      <w:bookmarkEnd w:id="482"/>
      <w:bookmarkEnd w:id="483"/>
      <w:r w:rsidRPr="0020715F">
        <w:lastRenderedPageBreak/>
        <w:t xml:space="preserve">THE </w:t>
      </w:r>
      <w:r w:rsidR="008C3834">
        <w:t>SEPA</w:t>
      </w:r>
      <w:r>
        <w:t xml:space="preserve"> </w:t>
      </w:r>
      <w:r w:rsidRPr="0020715F">
        <w:t>REGION</w:t>
      </w:r>
      <w:bookmarkEnd w:id="488"/>
      <w:bookmarkEnd w:id="489"/>
    </w:p>
    <w:p w14:paraId="3377A70A" w14:textId="7CE94271" w:rsidR="004F615B" w:rsidRDefault="00B81F34" w:rsidP="004F615B">
      <w:pPr>
        <w:pStyle w:val="BodyText"/>
      </w:pPr>
      <w:r>
        <w:t>Following the methodology</w:t>
      </w:r>
      <w:r w:rsidR="004F615B">
        <w:t xml:space="preserve"> described in Section </w:t>
      </w:r>
      <w:r w:rsidR="004F615B">
        <w:fldChar w:fldCharType="begin"/>
      </w:r>
      <w:r w:rsidR="004F615B">
        <w:instrText xml:space="preserve"> REF _Ref425756108 \n \h </w:instrText>
      </w:r>
      <w:r w:rsidR="004F615B">
        <w:fldChar w:fldCharType="separate"/>
      </w:r>
      <w:r w:rsidR="00EE0BF5">
        <w:t>2</w:t>
      </w:r>
      <w:r w:rsidR="004F615B">
        <w:fldChar w:fldCharType="end"/>
      </w:r>
      <w:r w:rsidR="004F615B">
        <w:t xml:space="preserve">, the results for federal hydropower plants marketed by the </w:t>
      </w:r>
      <w:r w:rsidR="004F615B">
        <w:rPr>
          <w:rFonts w:eastAsia="PMingLiU"/>
          <w:lang w:eastAsia="zh-TW"/>
        </w:rPr>
        <w:t>SEPA</w:t>
      </w:r>
      <w:r w:rsidR="004F615B">
        <w:t xml:space="preserve"> are summarized in this section. Descriptions of the </w:t>
      </w:r>
      <w:r w:rsidR="00F05D78">
        <w:t>SEPA</w:t>
      </w:r>
      <w:r w:rsidR="004F615B">
        <w:t xml:space="preserve"> study areas, federal hydropower system</w:t>
      </w:r>
      <w:r w:rsidR="00FD3B5D">
        <w:t>s</w:t>
      </w:r>
      <w:r w:rsidR="004F615B">
        <w:t xml:space="preserve">, and power marketing practices are described in Section </w:t>
      </w:r>
      <w:r w:rsidR="00F05D78">
        <w:fldChar w:fldCharType="begin"/>
      </w:r>
      <w:r w:rsidR="00F05D78">
        <w:instrText xml:space="preserve"> REF _Ref69807930 \r \h </w:instrText>
      </w:r>
      <w:r w:rsidR="00F05D78">
        <w:fldChar w:fldCharType="separate"/>
      </w:r>
      <w:r w:rsidR="00EE0BF5">
        <w:t>6.1</w:t>
      </w:r>
      <w:r w:rsidR="00F05D78">
        <w:fldChar w:fldCharType="end"/>
      </w:r>
      <w:r w:rsidR="004F615B">
        <w:t>.</w:t>
      </w:r>
      <w:r w:rsidR="004F615B" w:rsidRPr="008F7AA7">
        <w:rPr>
          <w:rFonts w:hint="eastAsia"/>
        </w:rPr>
        <w:t xml:space="preserve"> </w:t>
      </w:r>
      <w:r w:rsidR="004F615B">
        <w:t xml:space="preserve">The projected future atmospheric and hydrologic conditions in the </w:t>
      </w:r>
      <w:r w:rsidR="00F05D78">
        <w:t xml:space="preserve">SEPA </w:t>
      </w:r>
      <w:r w:rsidR="004F615B">
        <w:t xml:space="preserve">region are discussed in </w:t>
      </w:r>
      <w:r w:rsidR="004F615B" w:rsidRPr="008F7AA7">
        <w:t>Section</w:t>
      </w:r>
      <w:r w:rsidR="004F615B">
        <w:t xml:space="preserve"> </w:t>
      </w:r>
      <w:r w:rsidR="00F05D78">
        <w:fldChar w:fldCharType="begin"/>
      </w:r>
      <w:r w:rsidR="00F05D78">
        <w:instrText xml:space="preserve"> REF _Ref69807932 \r \h </w:instrText>
      </w:r>
      <w:r w:rsidR="00F05D78">
        <w:fldChar w:fldCharType="separate"/>
      </w:r>
      <w:r w:rsidR="00EE0BF5">
        <w:t>6.2</w:t>
      </w:r>
      <w:r w:rsidR="00F05D78">
        <w:fldChar w:fldCharType="end"/>
      </w:r>
      <w:r w:rsidR="004F615B">
        <w:t xml:space="preserve">. </w:t>
      </w:r>
      <w:r w:rsidR="004F615B" w:rsidRPr="008F7AA7">
        <w:rPr>
          <w:rFonts w:hint="eastAsia"/>
        </w:rPr>
        <w:t xml:space="preserve">The potential </w:t>
      </w:r>
      <w:r w:rsidR="004F615B">
        <w:t xml:space="preserve">climate change </w:t>
      </w:r>
      <w:r w:rsidR="004F615B" w:rsidRPr="008F7AA7">
        <w:rPr>
          <w:rFonts w:hint="eastAsia"/>
        </w:rPr>
        <w:t xml:space="preserve">impacts on federal hydropower generation and </w:t>
      </w:r>
      <w:r w:rsidR="00F05D78">
        <w:t xml:space="preserve">SEPA </w:t>
      </w:r>
      <w:r w:rsidR="004F615B">
        <w:t xml:space="preserve">regional energy demands </w:t>
      </w:r>
      <w:r w:rsidR="004F615B" w:rsidRPr="008F7AA7">
        <w:rPr>
          <w:rFonts w:hint="eastAsia"/>
        </w:rPr>
        <w:t xml:space="preserve">are discussed in </w:t>
      </w:r>
      <w:r w:rsidR="004F615B" w:rsidRPr="008F7AA7">
        <w:t xml:space="preserve">Section </w:t>
      </w:r>
      <w:r w:rsidR="00F05D78">
        <w:fldChar w:fldCharType="begin"/>
      </w:r>
      <w:r w:rsidR="00F05D78">
        <w:instrText xml:space="preserve"> REF _Ref69807933 \r \h </w:instrText>
      </w:r>
      <w:r w:rsidR="00F05D78">
        <w:fldChar w:fldCharType="separate"/>
      </w:r>
      <w:r w:rsidR="00EE0BF5">
        <w:t>6.3</w:t>
      </w:r>
      <w:r w:rsidR="00F05D78">
        <w:fldChar w:fldCharType="end"/>
      </w:r>
      <w:r w:rsidR="004F615B" w:rsidRPr="008F7AA7">
        <w:t>.</w:t>
      </w:r>
    </w:p>
    <w:p w14:paraId="125AAF83" w14:textId="4BF95D5F" w:rsidR="0020715F" w:rsidRPr="0020715F" w:rsidRDefault="00174ED0" w:rsidP="00AD0C1C">
      <w:pPr>
        <w:pStyle w:val="Heading2"/>
      </w:pPr>
      <w:bookmarkStart w:id="490" w:name="_Ref69807930"/>
      <w:bookmarkStart w:id="491" w:name="_Toc113380828"/>
      <w:r>
        <w:t xml:space="preserve">SEPA </w:t>
      </w:r>
      <w:r w:rsidR="0020715F" w:rsidRPr="0020715F">
        <w:t>Regional Characteristics</w:t>
      </w:r>
      <w:bookmarkEnd w:id="490"/>
      <w:bookmarkEnd w:id="491"/>
    </w:p>
    <w:p w14:paraId="3C0BF4BB" w14:textId="5A652ED5" w:rsidR="0020715F" w:rsidRPr="0020715F" w:rsidRDefault="005B19AC" w:rsidP="0020715F">
      <w:pPr>
        <w:pStyle w:val="Heading3"/>
      </w:pPr>
      <w:bookmarkStart w:id="492" w:name="_Toc113380829"/>
      <w:r w:rsidRPr="006A3A0F">
        <w:t xml:space="preserve">Federal Hydropower </w:t>
      </w:r>
      <w:r>
        <w:t xml:space="preserve">in </w:t>
      </w:r>
      <w:r w:rsidR="004C5FCF">
        <w:t xml:space="preserve">the </w:t>
      </w:r>
      <w:r>
        <w:t>SEPA</w:t>
      </w:r>
      <w:r w:rsidR="004C5FCF">
        <w:t xml:space="preserve"> Region</w:t>
      </w:r>
      <w:bookmarkEnd w:id="492"/>
    </w:p>
    <w:p w14:paraId="3F678D9C" w14:textId="034BD052" w:rsidR="001B6FA1" w:rsidRDefault="00E9672F" w:rsidP="00697197">
      <w:pPr>
        <w:pStyle w:val="BodyText"/>
      </w:pPr>
      <w:r>
        <w:t>SEPA</w:t>
      </w:r>
      <w:r w:rsidR="00697197" w:rsidRPr="00416B1E">
        <w:t xml:space="preserve"> markets hydroelectric power in </w:t>
      </w:r>
      <w:r w:rsidR="00A74954">
        <w:t xml:space="preserve">10 </w:t>
      </w:r>
      <w:r w:rsidR="00697197" w:rsidRPr="00416B1E">
        <w:t>southeastern states and southern Illinois (</w:t>
      </w:r>
      <w:r w:rsidR="00697197">
        <w:fldChar w:fldCharType="begin"/>
      </w:r>
      <w:r w:rsidR="00697197">
        <w:instrText xml:space="preserve"> REF _Ref425353200 \h </w:instrText>
      </w:r>
      <w:r w:rsidR="00697197">
        <w:fldChar w:fldCharType="separate"/>
      </w:r>
      <w:r w:rsidR="00EE0BF5">
        <w:rPr>
          <w:lang w:eastAsia="zh-TW"/>
        </w:rPr>
        <w:t xml:space="preserve">Figure </w:t>
      </w:r>
      <w:r w:rsidR="00EE0BF5">
        <w:rPr>
          <w:noProof/>
          <w:lang w:eastAsia="zh-TW"/>
        </w:rPr>
        <w:t>6</w:t>
      </w:r>
      <w:r w:rsidR="00EE0BF5">
        <w:rPr>
          <w:lang w:eastAsia="zh-TW"/>
        </w:rPr>
        <w:t>.</w:t>
      </w:r>
      <w:r w:rsidR="00EE0BF5">
        <w:rPr>
          <w:noProof/>
          <w:lang w:eastAsia="zh-TW"/>
        </w:rPr>
        <w:t>1</w:t>
      </w:r>
      <w:r w:rsidR="00697197">
        <w:fldChar w:fldCharType="end"/>
      </w:r>
      <w:r w:rsidR="00697197" w:rsidRPr="00416B1E">
        <w:t xml:space="preserve">). </w:t>
      </w:r>
      <w:r w:rsidRPr="000546D7">
        <w:t xml:space="preserve">All federal hydropower </w:t>
      </w:r>
      <w:r w:rsidRPr="0020715F">
        <w:rPr>
          <w:rFonts w:eastAsia="PMingLiU" w:hint="eastAsia"/>
          <w:lang w:eastAsia="zh-TW"/>
        </w:rPr>
        <w:t>plants</w:t>
      </w:r>
      <w:r w:rsidRPr="000546D7">
        <w:t xml:space="preserve"> </w:t>
      </w:r>
      <w:r>
        <w:t xml:space="preserve">in the </w:t>
      </w:r>
      <w:r w:rsidR="006C6778">
        <w:t>s</w:t>
      </w:r>
      <w:r>
        <w:t>outheastern region</w:t>
      </w:r>
      <w:r w:rsidRPr="000546D7">
        <w:t xml:space="preserve"> are owned and operated by </w:t>
      </w:r>
      <w:r w:rsidR="009F65EE" w:rsidRPr="000546D7">
        <w:t>USACE</w:t>
      </w:r>
      <w:r w:rsidR="009F65EE">
        <w:t>.</w:t>
      </w:r>
      <w:r w:rsidR="009F65EE" w:rsidRPr="000546D7">
        <w:t xml:space="preserve"> </w:t>
      </w:r>
      <w:r w:rsidR="009F65EE" w:rsidRPr="00416B1E">
        <w:t>The</w:t>
      </w:r>
      <w:r w:rsidR="009F65EE">
        <w:t>se</w:t>
      </w:r>
      <w:r w:rsidR="009F65EE" w:rsidRPr="00416B1E">
        <w:t xml:space="preserve"> 22 USACE hydropower </w:t>
      </w:r>
      <w:r w:rsidR="009F65EE" w:rsidRPr="0020715F">
        <w:rPr>
          <w:rFonts w:eastAsia="PMingLiU" w:hint="eastAsia"/>
          <w:lang w:eastAsia="zh-TW"/>
        </w:rPr>
        <w:t xml:space="preserve">plants </w:t>
      </w:r>
      <w:r w:rsidR="009F65EE" w:rsidRPr="00416B1E">
        <w:t xml:space="preserve">have a total </w:t>
      </w:r>
      <w:r w:rsidR="009F65EE">
        <w:t xml:space="preserve">of 3,838 MW in </w:t>
      </w:r>
      <w:r w:rsidR="009F65EE" w:rsidRPr="00416B1E">
        <w:t xml:space="preserve">capacity and </w:t>
      </w:r>
      <w:r w:rsidR="009F65EE">
        <w:t xml:space="preserve">produce </w:t>
      </w:r>
      <w:r w:rsidR="009F65EE" w:rsidRPr="00416B1E">
        <w:t>7.</w:t>
      </w:r>
      <w:r w:rsidR="009F65EE">
        <w:t>3</w:t>
      </w:r>
      <w:r w:rsidR="009F65EE" w:rsidRPr="00416B1E">
        <w:t xml:space="preserve"> </w:t>
      </w:r>
      <w:r w:rsidR="009F65EE" w:rsidRPr="0020715F">
        <w:rPr>
          <w:rFonts w:eastAsia="PMingLiU" w:hint="eastAsia"/>
          <w:lang w:eastAsia="zh-TW"/>
        </w:rPr>
        <w:t>T</w:t>
      </w:r>
      <w:r w:rsidR="009F65EE" w:rsidRPr="00416B1E">
        <w:t>Wh</w:t>
      </w:r>
      <w:r w:rsidR="009F65EE" w:rsidRPr="0020715F">
        <w:rPr>
          <w:rFonts w:eastAsia="PMingLiU" w:hint="eastAsia"/>
          <w:lang w:eastAsia="zh-TW"/>
        </w:rPr>
        <w:t xml:space="preserve">/year </w:t>
      </w:r>
      <w:r w:rsidR="009F65EE">
        <w:rPr>
          <w:rFonts w:eastAsia="PMingLiU"/>
          <w:lang w:eastAsia="zh-TW"/>
        </w:rPr>
        <w:t xml:space="preserve">in </w:t>
      </w:r>
      <w:r w:rsidR="009F65EE" w:rsidRPr="00416B1E">
        <w:t>average annual generation</w:t>
      </w:r>
      <w:r w:rsidR="00697197" w:rsidRPr="00416B1E">
        <w:t xml:space="preserve"> </w:t>
      </w:r>
      <w:r w:rsidR="00697197" w:rsidRPr="0020715F">
        <w:rPr>
          <w:rFonts w:eastAsia="PMingLiU" w:hint="eastAsia"/>
          <w:lang w:eastAsia="zh-TW"/>
        </w:rPr>
        <w:t>(</w:t>
      </w:r>
      <w:r>
        <w:rPr>
          <w:rFonts w:eastAsia="PMingLiU"/>
          <w:lang w:eastAsia="zh-TW"/>
        </w:rPr>
        <w:fldChar w:fldCharType="begin"/>
      </w:r>
      <w:r>
        <w:rPr>
          <w:rFonts w:eastAsia="PMingLiU"/>
          <w:lang w:eastAsia="zh-TW"/>
        </w:rPr>
        <w:instrText xml:space="preserve"> </w:instrText>
      </w:r>
      <w:r>
        <w:rPr>
          <w:rFonts w:eastAsia="PMingLiU" w:hint="eastAsia"/>
          <w:lang w:eastAsia="zh-TW"/>
        </w:rPr>
        <w:instrText>REF _Ref425351744 \h</w:instrText>
      </w:r>
      <w:r>
        <w:rPr>
          <w:rFonts w:eastAsia="PMingLiU"/>
          <w:lang w:eastAsia="zh-TW"/>
        </w:rPr>
        <w:instrText xml:space="preserve"> </w:instrText>
      </w:r>
      <w:r>
        <w:rPr>
          <w:rFonts w:eastAsia="PMingLiU"/>
          <w:lang w:eastAsia="zh-TW"/>
        </w:rPr>
      </w:r>
      <w:r>
        <w:rPr>
          <w:rFonts w:eastAsia="PMingLiU"/>
          <w:lang w:eastAsia="zh-TW"/>
        </w:rPr>
        <w:fldChar w:fldCharType="separate"/>
      </w:r>
      <w:r w:rsidR="00EE0BF5" w:rsidRPr="00485D84">
        <w:rPr>
          <w:rFonts w:eastAsia="PMingLiU"/>
          <w:lang w:bidi="en-US"/>
        </w:rPr>
        <w:t xml:space="preserve">Table </w:t>
      </w:r>
      <w:r w:rsidR="00EE0BF5">
        <w:rPr>
          <w:rFonts w:eastAsia="PMingLiU"/>
          <w:noProof/>
          <w:lang w:bidi="en-US"/>
        </w:rPr>
        <w:t>6</w:t>
      </w:r>
      <w:r w:rsidR="00EE0BF5" w:rsidRPr="00485D84">
        <w:rPr>
          <w:rFonts w:eastAsia="PMingLiU"/>
          <w:lang w:bidi="en-US"/>
        </w:rPr>
        <w:t>.</w:t>
      </w:r>
      <w:r w:rsidR="00EE0BF5">
        <w:rPr>
          <w:rFonts w:eastAsia="PMingLiU"/>
          <w:noProof/>
          <w:lang w:bidi="en-US"/>
        </w:rPr>
        <w:t>1</w:t>
      </w:r>
      <w:r>
        <w:rPr>
          <w:rFonts w:eastAsia="PMingLiU"/>
          <w:lang w:eastAsia="zh-TW"/>
        </w:rPr>
        <w:fldChar w:fldCharType="end"/>
      </w:r>
      <w:r w:rsidR="00697197" w:rsidRPr="0020715F">
        <w:rPr>
          <w:rFonts w:eastAsia="PMingLiU" w:hint="eastAsia"/>
          <w:lang w:eastAsia="zh-TW"/>
        </w:rPr>
        <w:t>)</w:t>
      </w:r>
      <w:r w:rsidR="00697197" w:rsidRPr="00416B1E">
        <w:t>.</w:t>
      </w:r>
    </w:p>
    <w:p w14:paraId="78ADFB0C" w14:textId="3F7A28B2" w:rsidR="00697197" w:rsidRPr="00485D84" w:rsidRDefault="00697197" w:rsidP="00697197">
      <w:pPr>
        <w:pStyle w:val="TableCaption"/>
        <w:rPr>
          <w:rFonts w:eastAsia="PMingLiU"/>
          <w:lang w:bidi="en-US"/>
        </w:rPr>
      </w:pPr>
      <w:bookmarkStart w:id="493" w:name="_Ref425351744"/>
      <w:bookmarkStart w:id="494" w:name="_Toc113380985"/>
      <w:r w:rsidRPr="00485D84">
        <w:rPr>
          <w:rFonts w:eastAsia="PMingLiU"/>
          <w:lang w:bidi="en-US"/>
        </w:rPr>
        <w:t xml:space="preserve">Table </w:t>
      </w:r>
      <w:r w:rsidRPr="00485D84">
        <w:rPr>
          <w:rFonts w:eastAsia="PMingLiU"/>
          <w:lang w:bidi="en-US"/>
        </w:rPr>
        <w:fldChar w:fldCharType="begin"/>
      </w:r>
      <w:r w:rsidRPr="00485D84">
        <w:rPr>
          <w:rFonts w:eastAsia="PMingLiU"/>
          <w:lang w:bidi="en-US"/>
        </w:rPr>
        <w:instrText xml:space="preserve"> STYLEREF 1 \s </w:instrText>
      </w:r>
      <w:r w:rsidRPr="00485D84">
        <w:rPr>
          <w:rFonts w:eastAsia="PMingLiU"/>
          <w:lang w:bidi="en-US"/>
        </w:rPr>
        <w:fldChar w:fldCharType="separate"/>
      </w:r>
      <w:r w:rsidR="00EE0BF5">
        <w:rPr>
          <w:rFonts w:eastAsia="PMingLiU"/>
          <w:noProof/>
          <w:lang w:bidi="en-US"/>
        </w:rPr>
        <w:t>6</w:t>
      </w:r>
      <w:r w:rsidRPr="00485D84">
        <w:rPr>
          <w:rFonts w:eastAsia="PMingLiU"/>
          <w:lang w:bidi="en-US"/>
        </w:rPr>
        <w:fldChar w:fldCharType="end"/>
      </w:r>
      <w:r w:rsidRPr="00485D84">
        <w:rPr>
          <w:rFonts w:eastAsia="PMingLiU"/>
          <w:lang w:bidi="en-US"/>
        </w:rPr>
        <w:t>.</w:t>
      </w:r>
      <w:r w:rsidRPr="00485D84">
        <w:rPr>
          <w:rFonts w:eastAsia="PMingLiU"/>
          <w:lang w:bidi="en-US"/>
        </w:rPr>
        <w:fldChar w:fldCharType="begin"/>
      </w:r>
      <w:r w:rsidRPr="00485D84">
        <w:rPr>
          <w:rFonts w:eastAsia="PMingLiU"/>
          <w:lang w:bidi="en-US"/>
        </w:rPr>
        <w:instrText xml:space="preserve"> SEQ Table \* ARABIC \s 1 </w:instrText>
      </w:r>
      <w:r w:rsidRPr="00485D84">
        <w:rPr>
          <w:rFonts w:eastAsia="PMingLiU"/>
          <w:lang w:bidi="en-US"/>
        </w:rPr>
        <w:fldChar w:fldCharType="separate"/>
      </w:r>
      <w:r w:rsidR="00EE0BF5">
        <w:rPr>
          <w:rFonts w:eastAsia="PMingLiU"/>
          <w:noProof/>
          <w:lang w:bidi="en-US"/>
        </w:rPr>
        <w:t>1</w:t>
      </w:r>
      <w:r w:rsidRPr="00485D84">
        <w:rPr>
          <w:rFonts w:eastAsia="PMingLiU"/>
          <w:lang w:bidi="en-US"/>
        </w:rPr>
        <w:fldChar w:fldCharType="end"/>
      </w:r>
      <w:bookmarkEnd w:id="493"/>
      <w:r w:rsidRPr="00485D84">
        <w:rPr>
          <w:rFonts w:eastAsia="PMingLiU"/>
          <w:lang w:bidi="en-US"/>
        </w:rPr>
        <w:t xml:space="preserve">. </w:t>
      </w:r>
      <w:r w:rsidRPr="00485D84">
        <w:rPr>
          <w:rFonts w:eastAsia="PMingLiU" w:hint="eastAsia"/>
          <w:lang w:bidi="en-US"/>
        </w:rPr>
        <w:t>Summary of federal h</w:t>
      </w:r>
      <w:r w:rsidRPr="00485D84">
        <w:rPr>
          <w:rFonts w:eastAsia="PMingLiU"/>
          <w:lang w:bidi="en-US"/>
        </w:rPr>
        <w:t xml:space="preserve">ydropower </w:t>
      </w:r>
      <w:r w:rsidRPr="00485D84">
        <w:rPr>
          <w:rFonts w:eastAsia="PMingLiU" w:hint="eastAsia"/>
          <w:lang w:bidi="en-US"/>
        </w:rPr>
        <w:t xml:space="preserve">plants </w:t>
      </w:r>
      <w:r w:rsidRPr="00485D84">
        <w:rPr>
          <w:rFonts w:eastAsia="PMingLiU"/>
          <w:lang w:bidi="en-US"/>
        </w:rPr>
        <w:t xml:space="preserve">in </w:t>
      </w:r>
      <w:r>
        <w:rPr>
          <w:rFonts w:eastAsia="PMingLiU"/>
          <w:lang w:bidi="en-US"/>
        </w:rPr>
        <w:t>the SEPA</w:t>
      </w:r>
      <w:r w:rsidRPr="00485D84">
        <w:rPr>
          <w:rFonts w:eastAsia="PMingLiU"/>
          <w:lang w:bidi="en-US"/>
        </w:rPr>
        <w:t xml:space="preserve"> </w:t>
      </w:r>
      <w:r>
        <w:rPr>
          <w:rFonts w:eastAsia="PMingLiU"/>
          <w:lang w:bidi="en-US"/>
        </w:rPr>
        <w:t>region</w:t>
      </w:r>
      <w:bookmarkEnd w:id="494"/>
    </w:p>
    <w:tbl>
      <w:tblPr>
        <w:tblW w:w="9258" w:type="dxa"/>
        <w:jc w:val="center"/>
        <w:tblBorders>
          <w:top w:val="single" w:sz="12" w:space="0" w:color="000000"/>
          <w:bottom w:val="single" w:sz="12" w:space="0" w:color="000000"/>
        </w:tblBorders>
        <w:tblLayout w:type="fixed"/>
        <w:tblCellMar>
          <w:top w:w="29" w:type="dxa"/>
          <w:left w:w="58" w:type="dxa"/>
          <w:bottom w:w="29" w:type="dxa"/>
          <w:right w:w="58" w:type="dxa"/>
        </w:tblCellMar>
        <w:tblLook w:val="00A0" w:firstRow="1" w:lastRow="0" w:firstColumn="1" w:lastColumn="0" w:noHBand="0" w:noVBand="0"/>
      </w:tblPr>
      <w:tblGrid>
        <w:gridCol w:w="1188"/>
        <w:gridCol w:w="1692"/>
        <w:gridCol w:w="2010"/>
        <w:gridCol w:w="2010"/>
        <w:gridCol w:w="2358"/>
      </w:tblGrid>
      <w:tr w:rsidR="00697197" w:rsidRPr="00587E78" w14:paraId="23453742" w14:textId="77777777" w:rsidTr="00CD66C9">
        <w:trPr>
          <w:jc w:val="center"/>
        </w:trPr>
        <w:tc>
          <w:tcPr>
            <w:tcW w:w="1188" w:type="dxa"/>
            <w:tcBorders>
              <w:top w:val="single" w:sz="12" w:space="0" w:color="auto"/>
              <w:bottom w:val="single" w:sz="12" w:space="0" w:color="auto"/>
              <w:right w:val="nil"/>
            </w:tcBorders>
            <w:vAlign w:val="center"/>
          </w:tcPr>
          <w:p w14:paraId="4584E648" w14:textId="77777777" w:rsidR="00697197" w:rsidRPr="001F074D" w:rsidRDefault="00697197" w:rsidP="00CD66C9">
            <w:pPr>
              <w:pStyle w:val="TableHeading"/>
              <w:spacing w:before="0" w:after="0"/>
              <w:rPr>
                <w:caps/>
              </w:rPr>
            </w:pPr>
            <w:r w:rsidRPr="001F074D">
              <w:rPr>
                <w:lang w:eastAsia="zh-TW"/>
              </w:rPr>
              <w:t>Area</w:t>
            </w:r>
          </w:p>
        </w:tc>
        <w:tc>
          <w:tcPr>
            <w:tcW w:w="1692" w:type="dxa"/>
            <w:tcBorders>
              <w:top w:val="single" w:sz="12" w:space="0" w:color="auto"/>
              <w:left w:val="nil"/>
              <w:bottom w:val="single" w:sz="12" w:space="0" w:color="auto"/>
              <w:right w:val="nil"/>
            </w:tcBorders>
            <w:vAlign w:val="center"/>
          </w:tcPr>
          <w:p w14:paraId="168339CA" w14:textId="77777777" w:rsidR="00697197" w:rsidRPr="0020715F" w:rsidRDefault="00697197" w:rsidP="00CD66C9">
            <w:pPr>
              <w:pStyle w:val="TableHeading"/>
              <w:spacing w:before="0" w:after="0"/>
              <w:rPr>
                <w:rFonts w:eastAsia="PMingLiU"/>
                <w:caps/>
              </w:rPr>
            </w:pPr>
            <w:r w:rsidRPr="0020715F">
              <w:rPr>
                <w:rFonts w:eastAsia="PMingLiU" w:hint="eastAsia"/>
                <w:lang w:eastAsia="zh-TW"/>
              </w:rPr>
              <w:t>Area name</w:t>
            </w:r>
          </w:p>
        </w:tc>
        <w:tc>
          <w:tcPr>
            <w:tcW w:w="2010" w:type="dxa"/>
            <w:tcBorders>
              <w:top w:val="single" w:sz="12" w:space="0" w:color="auto"/>
              <w:left w:val="nil"/>
              <w:bottom w:val="single" w:sz="12" w:space="0" w:color="auto"/>
              <w:right w:val="nil"/>
            </w:tcBorders>
            <w:vAlign w:val="center"/>
          </w:tcPr>
          <w:p w14:paraId="434CC7DC" w14:textId="77777777" w:rsidR="00697197" w:rsidRPr="001F074D" w:rsidRDefault="00697197" w:rsidP="00CD66C9">
            <w:pPr>
              <w:pStyle w:val="TableHeading"/>
              <w:spacing w:before="0" w:after="0"/>
              <w:rPr>
                <w:caps/>
                <w:lang w:val="pt-BR"/>
              </w:rPr>
            </w:pPr>
            <w:r w:rsidRPr="001F074D">
              <w:rPr>
                <w:lang w:val="pt-BR"/>
              </w:rPr>
              <w:t xml:space="preserve">Number of </w:t>
            </w:r>
            <w:r>
              <w:rPr>
                <w:lang w:val="pt-BR"/>
              </w:rPr>
              <w:t xml:space="preserve">USACE </w:t>
            </w:r>
            <w:r w:rsidRPr="001F074D">
              <w:rPr>
                <w:lang w:val="pt-BR"/>
              </w:rPr>
              <w:t>plants</w:t>
            </w:r>
          </w:p>
        </w:tc>
        <w:tc>
          <w:tcPr>
            <w:tcW w:w="2010" w:type="dxa"/>
            <w:tcBorders>
              <w:top w:val="single" w:sz="12" w:space="0" w:color="auto"/>
              <w:left w:val="nil"/>
              <w:bottom w:val="single" w:sz="12" w:space="0" w:color="auto"/>
              <w:right w:val="nil"/>
            </w:tcBorders>
            <w:vAlign w:val="center"/>
          </w:tcPr>
          <w:p w14:paraId="739C15B7" w14:textId="77777777" w:rsidR="00697197" w:rsidRPr="001F074D" w:rsidRDefault="00697197" w:rsidP="00CD66C9">
            <w:pPr>
              <w:pStyle w:val="TableHeading"/>
              <w:spacing w:before="0" w:after="0"/>
              <w:rPr>
                <w:caps/>
                <w:lang w:val="pt-BR"/>
              </w:rPr>
            </w:pPr>
            <w:r>
              <w:rPr>
                <w:lang w:val="pt-BR"/>
              </w:rPr>
              <w:t>C</w:t>
            </w:r>
            <w:r w:rsidRPr="001F074D">
              <w:rPr>
                <w:lang w:val="pt-BR"/>
              </w:rPr>
              <w:t>apacity</w:t>
            </w:r>
            <w:r w:rsidRPr="001F074D">
              <w:rPr>
                <w:i/>
                <w:vertAlign w:val="superscript"/>
                <w:lang w:val="pt-BR"/>
              </w:rPr>
              <w:t>a</w:t>
            </w:r>
            <w:r w:rsidRPr="001F074D">
              <w:rPr>
                <w:lang w:val="pt-BR"/>
              </w:rPr>
              <w:t xml:space="preserve"> (MW)</w:t>
            </w:r>
          </w:p>
        </w:tc>
        <w:tc>
          <w:tcPr>
            <w:tcW w:w="2358" w:type="dxa"/>
            <w:tcBorders>
              <w:top w:val="single" w:sz="12" w:space="0" w:color="auto"/>
              <w:left w:val="nil"/>
              <w:bottom w:val="single" w:sz="12" w:space="0" w:color="auto"/>
            </w:tcBorders>
            <w:vAlign w:val="center"/>
          </w:tcPr>
          <w:p w14:paraId="45FA02AB" w14:textId="77777777" w:rsidR="00697197" w:rsidRPr="001F074D" w:rsidRDefault="00697197" w:rsidP="00CD66C9">
            <w:pPr>
              <w:pStyle w:val="TableHeading"/>
              <w:spacing w:before="0" w:after="0"/>
              <w:rPr>
                <w:caps/>
                <w:lang w:val="pt-BR"/>
              </w:rPr>
            </w:pPr>
            <w:r>
              <w:t xml:space="preserve">1980–2019 </w:t>
            </w:r>
            <w:r w:rsidRPr="001F074D">
              <w:rPr>
                <w:lang w:val="pt-BR"/>
              </w:rPr>
              <w:t>generation</w:t>
            </w:r>
            <w:r w:rsidRPr="001F074D">
              <w:rPr>
                <w:i/>
                <w:vertAlign w:val="superscript"/>
                <w:lang w:val="pt-BR"/>
              </w:rPr>
              <w:t>b</w:t>
            </w:r>
            <w:r w:rsidRPr="001F074D">
              <w:rPr>
                <w:lang w:val="pt-BR"/>
              </w:rPr>
              <w:t xml:space="preserve"> (</w:t>
            </w:r>
            <w:r w:rsidRPr="0020715F">
              <w:rPr>
                <w:rFonts w:eastAsia="PMingLiU" w:hint="eastAsia"/>
                <w:lang w:val="pt-BR" w:eastAsia="zh-TW"/>
              </w:rPr>
              <w:t>G</w:t>
            </w:r>
            <w:r w:rsidRPr="001F074D">
              <w:rPr>
                <w:lang w:val="pt-BR"/>
              </w:rPr>
              <w:t>Wh/year)</w:t>
            </w:r>
          </w:p>
        </w:tc>
      </w:tr>
      <w:tr w:rsidR="00697197" w:rsidRPr="00AA57E2" w14:paraId="062C0238" w14:textId="77777777" w:rsidTr="00CD66C9">
        <w:trPr>
          <w:jc w:val="center"/>
        </w:trPr>
        <w:tc>
          <w:tcPr>
            <w:tcW w:w="1188" w:type="dxa"/>
            <w:tcBorders>
              <w:top w:val="single" w:sz="12" w:space="0" w:color="auto"/>
              <w:bottom w:val="single" w:sz="4" w:space="0" w:color="auto"/>
              <w:right w:val="nil"/>
            </w:tcBorders>
            <w:vAlign w:val="bottom"/>
          </w:tcPr>
          <w:p w14:paraId="3165B05A" w14:textId="77777777" w:rsidR="00697197" w:rsidRPr="001F074D" w:rsidRDefault="00697197" w:rsidP="00CD66C9">
            <w:pPr>
              <w:pStyle w:val="TableText"/>
              <w:rPr>
                <w:szCs w:val="20"/>
              </w:rPr>
            </w:pPr>
            <w:r w:rsidRPr="001F074D">
              <w:rPr>
                <w:szCs w:val="20"/>
              </w:rPr>
              <w:t>SEPA-1</w:t>
            </w:r>
          </w:p>
        </w:tc>
        <w:tc>
          <w:tcPr>
            <w:tcW w:w="1692" w:type="dxa"/>
            <w:tcBorders>
              <w:top w:val="single" w:sz="12" w:space="0" w:color="auto"/>
              <w:left w:val="nil"/>
              <w:bottom w:val="single" w:sz="4" w:space="0" w:color="auto"/>
              <w:right w:val="nil"/>
            </w:tcBorders>
            <w:vAlign w:val="bottom"/>
          </w:tcPr>
          <w:p w14:paraId="252B2A37" w14:textId="77777777" w:rsidR="00697197" w:rsidRPr="001F074D" w:rsidRDefault="00697197" w:rsidP="00CD66C9">
            <w:pPr>
              <w:pStyle w:val="TableText"/>
              <w:rPr>
                <w:szCs w:val="20"/>
              </w:rPr>
            </w:pPr>
            <w:r w:rsidRPr="00406606">
              <w:rPr>
                <w:szCs w:val="20"/>
              </w:rPr>
              <w:t>Kerr-Philpot</w:t>
            </w:r>
            <w:r>
              <w:rPr>
                <w:szCs w:val="20"/>
              </w:rPr>
              <w:t>t</w:t>
            </w:r>
          </w:p>
        </w:tc>
        <w:tc>
          <w:tcPr>
            <w:tcW w:w="2010" w:type="dxa"/>
            <w:tcBorders>
              <w:top w:val="single" w:sz="12" w:space="0" w:color="auto"/>
              <w:left w:val="nil"/>
              <w:bottom w:val="single" w:sz="4" w:space="0" w:color="auto"/>
              <w:right w:val="nil"/>
            </w:tcBorders>
            <w:vAlign w:val="bottom"/>
          </w:tcPr>
          <w:p w14:paraId="03FF3855" w14:textId="77777777" w:rsidR="00697197" w:rsidRPr="001F074D" w:rsidRDefault="00697197" w:rsidP="00CD66C9">
            <w:pPr>
              <w:pStyle w:val="TableText"/>
              <w:jc w:val="center"/>
              <w:rPr>
                <w:szCs w:val="20"/>
              </w:rPr>
            </w:pPr>
            <w:r w:rsidRPr="001F074D">
              <w:rPr>
                <w:szCs w:val="20"/>
              </w:rPr>
              <w:t>2</w:t>
            </w:r>
          </w:p>
        </w:tc>
        <w:tc>
          <w:tcPr>
            <w:tcW w:w="2010" w:type="dxa"/>
            <w:tcBorders>
              <w:top w:val="single" w:sz="12" w:space="0" w:color="auto"/>
              <w:left w:val="nil"/>
              <w:bottom w:val="single" w:sz="4" w:space="0" w:color="auto"/>
              <w:right w:val="nil"/>
            </w:tcBorders>
            <w:vAlign w:val="center"/>
          </w:tcPr>
          <w:p w14:paraId="7120B8C4" w14:textId="77777777" w:rsidR="00697197" w:rsidRPr="001F074D" w:rsidRDefault="00697197" w:rsidP="00CD66C9">
            <w:pPr>
              <w:pStyle w:val="TableText"/>
              <w:jc w:val="center"/>
              <w:rPr>
                <w:szCs w:val="20"/>
              </w:rPr>
            </w:pPr>
            <w:r>
              <w:rPr>
                <w:color w:val="000000"/>
                <w:szCs w:val="20"/>
              </w:rPr>
              <w:t>311</w:t>
            </w:r>
          </w:p>
        </w:tc>
        <w:tc>
          <w:tcPr>
            <w:tcW w:w="2358" w:type="dxa"/>
            <w:tcBorders>
              <w:top w:val="single" w:sz="12" w:space="0" w:color="auto"/>
              <w:left w:val="nil"/>
              <w:bottom w:val="single" w:sz="4" w:space="0" w:color="auto"/>
            </w:tcBorders>
            <w:vAlign w:val="center"/>
          </w:tcPr>
          <w:p w14:paraId="0F5D37A2" w14:textId="77777777" w:rsidR="00697197" w:rsidRPr="0020715F" w:rsidRDefault="00697197" w:rsidP="00CD66C9">
            <w:pPr>
              <w:pStyle w:val="TableText"/>
              <w:jc w:val="center"/>
              <w:rPr>
                <w:rFonts w:eastAsia="PMingLiU"/>
                <w:szCs w:val="20"/>
                <w:lang w:eastAsia="zh-TW"/>
              </w:rPr>
            </w:pPr>
            <w:r>
              <w:rPr>
                <w:color w:val="000000"/>
                <w:szCs w:val="20"/>
              </w:rPr>
              <w:t>458</w:t>
            </w:r>
          </w:p>
        </w:tc>
      </w:tr>
      <w:tr w:rsidR="00697197" w:rsidRPr="00AA57E2" w14:paraId="14075805" w14:textId="77777777" w:rsidTr="00CD66C9">
        <w:trPr>
          <w:jc w:val="center"/>
        </w:trPr>
        <w:tc>
          <w:tcPr>
            <w:tcW w:w="1188" w:type="dxa"/>
            <w:tcBorders>
              <w:top w:val="single" w:sz="4" w:space="0" w:color="auto"/>
              <w:bottom w:val="single" w:sz="4" w:space="0" w:color="auto"/>
              <w:right w:val="nil"/>
            </w:tcBorders>
            <w:vAlign w:val="bottom"/>
          </w:tcPr>
          <w:p w14:paraId="615DD2F1" w14:textId="77777777" w:rsidR="00697197" w:rsidRPr="001F074D" w:rsidRDefault="00697197" w:rsidP="00CD66C9">
            <w:pPr>
              <w:pStyle w:val="TableText"/>
              <w:rPr>
                <w:szCs w:val="20"/>
              </w:rPr>
            </w:pPr>
            <w:r w:rsidRPr="001F074D">
              <w:rPr>
                <w:szCs w:val="20"/>
              </w:rPr>
              <w:t>SEPA-2</w:t>
            </w:r>
          </w:p>
        </w:tc>
        <w:tc>
          <w:tcPr>
            <w:tcW w:w="1692" w:type="dxa"/>
            <w:tcBorders>
              <w:top w:val="single" w:sz="4" w:space="0" w:color="auto"/>
              <w:left w:val="nil"/>
              <w:bottom w:val="single" w:sz="4" w:space="0" w:color="auto"/>
              <w:right w:val="nil"/>
            </w:tcBorders>
            <w:vAlign w:val="bottom"/>
          </w:tcPr>
          <w:p w14:paraId="67725505" w14:textId="77777777" w:rsidR="00697197" w:rsidRPr="001F074D" w:rsidRDefault="00697197" w:rsidP="00CD66C9">
            <w:pPr>
              <w:pStyle w:val="TableText"/>
              <w:rPr>
                <w:szCs w:val="20"/>
              </w:rPr>
            </w:pPr>
            <w:r w:rsidRPr="001F074D">
              <w:rPr>
                <w:szCs w:val="20"/>
              </w:rPr>
              <w:t>Cumberland</w:t>
            </w:r>
          </w:p>
        </w:tc>
        <w:tc>
          <w:tcPr>
            <w:tcW w:w="2010" w:type="dxa"/>
            <w:tcBorders>
              <w:top w:val="single" w:sz="4" w:space="0" w:color="auto"/>
              <w:left w:val="nil"/>
              <w:bottom w:val="single" w:sz="4" w:space="0" w:color="auto"/>
              <w:right w:val="nil"/>
            </w:tcBorders>
            <w:vAlign w:val="bottom"/>
          </w:tcPr>
          <w:p w14:paraId="2834891E" w14:textId="77777777" w:rsidR="00697197" w:rsidRPr="001F074D" w:rsidRDefault="00697197" w:rsidP="00CD66C9">
            <w:pPr>
              <w:pStyle w:val="TableText"/>
              <w:jc w:val="center"/>
              <w:rPr>
                <w:szCs w:val="20"/>
              </w:rPr>
            </w:pPr>
            <w:r w:rsidRPr="001F074D">
              <w:rPr>
                <w:szCs w:val="20"/>
              </w:rPr>
              <w:t>9</w:t>
            </w:r>
          </w:p>
        </w:tc>
        <w:tc>
          <w:tcPr>
            <w:tcW w:w="2010" w:type="dxa"/>
            <w:tcBorders>
              <w:top w:val="single" w:sz="4" w:space="0" w:color="auto"/>
              <w:left w:val="nil"/>
              <w:bottom w:val="single" w:sz="4" w:space="0" w:color="auto"/>
              <w:right w:val="nil"/>
            </w:tcBorders>
            <w:vAlign w:val="center"/>
          </w:tcPr>
          <w:p w14:paraId="027D17BF" w14:textId="77777777" w:rsidR="00697197" w:rsidRPr="0020715F" w:rsidRDefault="00697197" w:rsidP="00CD66C9">
            <w:pPr>
              <w:pStyle w:val="TableText"/>
              <w:jc w:val="center"/>
              <w:rPr>
                <w:rFonts w:eastAsia="PMingLiU"/>
                <w:szCs w:val="20"/>
                <w:lang w:eastAsia="zh-TW"/>
              </w:rPr>
            </w:pPr>
            <w:r>
              <w:rPr>
                <w:rFonts w:eastAsia="PMingLiU"/>
                <w:color w:val="000000"/>
                <w:szCs w:val="20"/>
                <w:lang w:eastAsia="zh-TW"/>
              </w:rPr>
              <w:t>932</w:t>
            </w:r>
          </w:p>
        </w:tc>
        <w:tc>
          <w:tcPr>
            <w:tcW w:w="2358" w:type="dxa"/>
            <w:tcBorders>
              <w:top w:val="single" w:sz="4" w:space="0" w:color="auto"/>
              <w:left w:val="nil"/>
              <w:bottom w:val="single" w:sz="4" w:space="0" w:color="auto"/>
            </w:tcBorders>
            <w:vAlign w:val="center"/>
          </w:tcPr>
          <w:p w14:paraId="1404B7AE" w14:textId="77777777" w:rsidR="00697197" w:rsidRPr="0020715F" w:rsidRDefault="00697197" w:rsidP="00CD66C9">
            <w:pPr>
              <w:pStyle w:val="TableText"/>
              <w:jc w:val="center"/>
              <w:rPr>
                <w:rFonts w:eastAsia="PMingLiU"/>
                <w:szCs w:val="20"/>
                <w:lang w:eastAsia="zh-TW"/>
              </w:rPr>
            </w:pPr>
            <w:r>
              <w:rPr>
                <w:rFonts w:eastAsia="PMingLiU"/>
                <w:color w:val="000000"/>
                <w:szCs w:val="20"/>
                <w:lang w:eastAsia="zh-TW"/>
              </w:rPr>
              <w:t>3,063</w:t>
            </w:r>
          </w:p>
        </w:tc>
      </w:tr>
      <w:tr w:rsidR="00697197" w:rsidRPr="00AA57E2" w14:paraId="05B9FD26" w14:textId="77777777" w:rsidTr="00CD66C9">
        <w:trPr>
          <w:jc w:val="center"/>
        </w:trPr>
        <w:tc>
          <w:tcPr>
            <w:tcW w:w="1188" w:type="dxa"/>
            <w:tcBorders>
              <w:top w:val="single" w:sz="4" w:space="0" w:color="auto"/>
              <w:bottom w:val="single" w:sz="4" w:space="0" w:color="auto"/>
              <w:right w:val="nil"/>
            </w:tcBorders>
            <w:vAlign w:val="bottom"/>
          </w:tcPr>
          <w:p w14:paraId="78C87F12" w14:textId="77777777" w:rsidR="00697197" w:rsidRPr="001F074D" w:rsidRDefault="00697197" w:rsidP="00CD66C9">
            <w:pPr>
              <w:pStyle w:val="TableText"/>
              <w:rPr>
                <w:szCs w:val="20"/>
              </w:rPr>
            </w:pPr>
            <w:r w:rsidRPr="001F074D">
              <w:rPr>
                <w:szCs w:val="20"/>
              </w:rPr>
              <w:t>SEPA-3</w:t>
            </w:r>
          </w:p>
        </w:tc>
        <w:tc>
          <w:tcPr>
            <w:tcW w:w="1692" w:type="dxa"/>
            <w:tcBorders>
              <w:top w:val="single" w:sz="4" w:space="0" w:color="auto"/>
              <w:left w:val="nil"/>
              <w:bottom w:val="single" w:sz="4" w:space="0" w:color="auto"/>
              <w:right w:val="nil"/>
            </w:tcBorders>
            <w:vAlign w:val="bottom"/>
          </w:tcPr>
          <w:p w14:paraId="3EBFCBC7" w14:textId="7C47E18B" w:rsidR="00697197" w:rsidRPr="001F074D" w:rsidRDefault="00697197" w:rsidP="00CD66C9">
            <w:pPr>
              <w:pStyle w:val="TableText"/>
              <w:rPr>
                <w:szCs w:val="20"/>
              </w:rPr>
            </w:pPr>
            <w:r w:rsidRPr="001F074D">
              <w:rPr>
                <w:szCs w:val="20"/>
              </w:rPr>
              <w:t>GA</w:t>
            </w:r>
            <w:r w:rsidR="00A56EFF">
              <w:rPr>
                <w:szCs w:val="20"/>
              </w:rPr>
              <w:t>/</w:t>
            </w:r>
            <w:r w:rsidRPr="001F074D">
              <w:rPr>
                <w:szCs w:val="20"/>
              </w:rPr>
              <w:t>AL</w:t>
            </w:r>
            <w:r w:rsidR="00A56EFF">
              <w:rPr>
                <w:szCs w:val="20"/>
              </w:rPr>
              <w:t>/</w:t>
            </w:r>
            <w:r w:rsidRPr="001F074D">
              <w:rPr>
                <w:szCs w:val="20"/>
              </w:rPr>
              <w:t>SC</w:t>
            </w:r>
          </w:p>
        </w:tc>
        <w:tc>
          <w:tcPr>
            <w:tcW w:w="2010" w:type="dxa"/>
            <w:tcBorders>
              <w:top w:val="single" w:sz="4" w:space="0" w:color="auto"/>
              <w:left w:val="nil"/>
              <w:bottom w:val="single" w:sz="4" w:space="0" w:color="auto"/>
              <w:right w:val="nil"/>
            </w:tcBorders>
            <w:vAlign w:val="bottom"/>
          </w:tcPr>
          <w:p w14:paraId="5EF95D0B" w14:textId="77777777" w:rsidR="00697197" w:rsidRPr="001F074D" w:rsidRDefault="00697197" w:rsidP="00CD66C9">
            <w:pPr>
              <w:pStyle w:val="TableText"/>
              <w:jc w:val="center"/>
              <w:rPr>
                <w:szCs w:val="20"/>
                <w:lang w:eastAsia="zh-TW"/>
              </w:rPr>
            </w:pPr>
            <w:r w:rsidRPr="001F074D">
              <w:rPr>
                <w:szCs w:val="20"/>
              </w:rPr>
              <w:t>10</w:t>
            </w:r>
          </w:p>
        </w:tc>
        <w:tc>
          <w:tcPr>
            <w:tcW w:w="2010" w:type="dxa"/>
            <w:tcBorders>
              <w:top w:val="single" w:sz="4" w:space="0" w:color="auto"/>
              <w:left w:val="nil"/>
              <w:bottom w:val="single" w:sz="4" w:space="0" w:color="auto"/>
              <w:right w:val="nil"/>
            </w:tcBorders>
            <w:vAlign w:val="center"/>
          </w:tcPr>
          <w:p w14:paraId="1F736157" w14:textId="77777777" w:rsidR="00697197" w:rsidRPr="0020715F" w:rsidRDefault="00697197" w:rsidP="00CD66C9">
            <w:pPr>
              <w:pStyle w:val="TableText"/>
              <w:jc w:val="center"/>
              <w:rPr>
                <w:rFonts w:eastAsia="PMingLiU"/>
                <w:szCs w:val="20"/>
                <w:lang w:eastAsia="zh-TW"/>
              </w:rPr>
            </w:pPr>
            <w:r>
              <w:rPr>
                <w:rFonts w:eastAsia="PMingLiU"/>
                <w:color w:val="000000"/>
                <w:szCs w:val="20"/>
                <w:lang w:eastAsia="zh-TW"/>
              </w:rPr>
              <w:t>2,552</w:t>
            </w:r>
          </w:p>
        </w:tc>
        <w:tc>
          <w:tcPr>
            <w:tcW w:w="2358" w:type="dxa"/>
            <w:tcBorders>
              <w:top w:val="single" w:sz="4" w:space="0" w:color="auto"/>
              <w:left w:val="nil"/>
              <w:bottom w:val="single" w:sz="4" w:space="0" w:color="auto"/>
            </w:tcBorders>
            <w:vAlign w:val="center"/>
          </w:tcPr>
          <w:p w14:paraId="286A0120" w14:textId="77777777" w:rsidR="00697197" w:rsidRPr="0020715F" w:rsidRDefault="00697197" w:rsidP="00CD66C9">
            <w:pPr>
              <w:pStyle w:val="TableText"/>
              <w:jc w:val="center"/>
              <w:rPr>
                <w:rFonts w:eastAsia="PMingLiU"/>
                <w:szCs w:val="20"/>
                <w:lang w:eastAsia="zh-TW"/>
              </w:rPr>
            </w:pPr>
            <w:r>
              <w:rPr>
                <w:rFonts w:eastAsia="PMingLiU"/>
                <w:color w:val="000000"/>
                <w:szCs w:val="20"/>
                <w:lang w:eastAsia="zh-TW"/>
              </w:rPr>
              <w:t>3,599</w:t>
            </w:r>
          </w:p>
        </w:tc>
      </w:tr>
      <w:tr w:rsidR="00697197" w:rsidRPr="00AA57E2" w14:paraId="560FAAF9" w14:textId="77777777" w:rsidTr="00CD66C9">
        <w:trPr>
          <w:jc w:val="center"/>
        </w:trPr>
        <w:tc>
          <w:tcPr>
            <w:tcW w:w="1188" w:type="dxa"/>
            <w:tcBorders>
              <w:top w:val="single" w:sz="4" w:space="0" w:color="auto"/>
              <w:bottom w:val="single" w:sz="4" w:space="0" w:color="auto"/>
              <w:right w:val="nil"/>
            </w:tcBorders>
            <w:vAlign w:val="bottom"/>
          </w:tcPr>
          <w:p w14:paraId="4B314A16" w14:textId="77777777" w:rsidR="00697197" w:rsidRPr="001F074D" w:rsidRDefault="00697197" w:rsidP="00CD66C9">
            <w:pPr>
              <w:pStyle w:val="TableText"/>
              <w:rPr>
                <w:szCs w:val="20"/>
              </w:rPr>
            </w:pPr>
            <w:r w:rsidRPr="001F074D">
              <w:rPr>
                <w:szCs w:val="20"/>
              </w:rPr>
              <w:t>SEPA-4</w:t>
            </w:r>
          </w:p>
        </w:tc>
        <w:tc>
          <w:tcPr>
            <w:tcW w:w="1692" w:type="dxa"/>
            <w:tcBorders>
              <w:top w:val="single" w:sz="4" w:space="0" w:color="auto"/>
              <w:left w:val="nil"/>
              <w:bottom w:val="single" w:sz="4" w:space="0" w:color="auto"/>
              <w:right w:val="nil"/>
            </w:tcBorders>
            <w:vAlign w:val="bottom"/>
          </w:tcPr>
          <w:p w14:paraId="3CF3F912" w14:textId="77777777" w:rsidR="00697197" w:rsidRPr="001F074D" w:rsidRDefault="00697197" w:rsidP="00CD66C9">
            <w:pPr>
              <w:pStyle w:val="TableText"/>
              <w:rPr>
                <w:szCs w:val="20"/>
              </w:rPr>
            </w:pPr>
            <w:r w:rsidRPr="001F074D">
              <w:rPr>
                <w:szCs w:val="20"/>
              </w:rPr>
              <w:t>Jim Woodruff</w:t>
            </w:r>
          </w:p>
        </w:tc>
        <w:tc>
          <w:tcPr>
            <w:tcW w:w="2010" w:type="dxa"/>
            <w:tcBorders>
              <w:top w:val="single" w:sz="4" w:space="0" w:color="auto"/>
              <w:left w:val="nil"/>
              <w:bottom w:val="single" w:sz="4" w:space="0" w:color="auto"/>
              <w:right w:val="nil"/>
            </w:tcBorders>
            <w:vAlign w:val="bottom"/>
          </w:tcPr>
          <w:p w14:paraId="76A70186" w14:textId="77777777" w:rsidR="00697197" w:rsidRPr="001F074D" w:rsidRDefault="00697197" w:rsidP="00CD66C9">
            <w:pPr>
              <w:pStyle w:val="TableText"/>
              <w:jc w:val="center"/>
              <w:rPr>
                <w:szCs w:val="20"/>
              </w:rPr>
            </w:pPr>
            <w:r w:rsidRPr="001F074D">
              <w:rPr>
                <w:szCs w:val="20"/>
              </w:rPr>
              <w:t>1</w:t>
            </w:r>
          </w:p>
        </w:tc>
        <w:tc>
          <w:tcPr>
            <w:tcW w:w="2010" w:type="dxa"/>
            <w:tcBorders>
              <w:top w:val="single" w:sz="4" w:space="0" w:color="auto"/>
              <w:left w:val="nil"/>
              <w:bottom w:val="single" w:sz="4" w:space="0" w:color="auto"/>
              <w:right w:val="nil"/>
            </w:tcBorders>
            <w:vAlign w:val="center"/>
          </w:tcPr>
          <w:p w14:paraId="7FF277A6" w14:textId="77777777" w:rsidR="00697197" w:rsidRPr="0020715F" w:rsidRDefault="00697197" w:rsidP="00CD66C9">
            <w:pPr>
              <w:pStyle w:val="TableText"/>
              <w:jc w:val="center"/>
              <w:rPr>
                <w:rFonts w:eastAsia="PMingLiU"/>
                <w:szCs w:val="20"/>
                <w:lang w:eastAsia="zh-TW"/>
              </w:rPr>
            </w:pPr>
            <w:r>
              <w:rPr>
                <w:color w:val="000000"/>
                <w:szCs w:val="20"/>
              </w:rPr>
              <w:t>44</w:t>
            </w:r>
          </w:p>
        </w:tc>
        <w:tc>
          <w:tcPr>
            <w:tcW w:w="2358" w:type="dxa"/>
            <w:tcBorders>
              <w:top w:val="single" w:sz="4" w:space="0" w:color="auto"/>
              <w:left w:val="nil"/>
              <w:bottom w:val="single" w:sz="4" w:space="0" w:color="auto"/>
            </w:tcBorders>
            <w:vAlign w:val="center"/>
          </w:tcPr>
          <w:p w14:paraId="13E512D1" w14:textId="77777777" w:rsidR="00697197" w:rsidRPr="0020715F" w:rsidRDefault="00697197" w:rsidP="00CD66C9">
            <w:pPr>
              <w:pStyle w:val="TableText"/>
              <w:jc w:val="center"/>
              <w:rPr>
                <w:rFonts w:eastAsia="PMingLiU"/>
                <w:szCs w:val="20"/>
                <w:lang w:eastAsia="zh-TW"/>
              </w:rPr>
            </w:pPr>
            <w:r>
              <w:rPr>
                <w:rFonts w:eastAsia="PMingLiU"/>
                <w:color w:val="000000"/>
                <w:szCs w:val="20"/>
                <w:lang w:eastAsia="zh-TW"/>
              </w:rPr>
              <w:t>202</w:t>
            </w:r>
          </w:p>
        </w:tc>
      </w:tr>
      <w:tr w:rsidR="00697197" w:rsidRPr="00AA57E2" w14:paraId="3A35D217" w14:textId="77777777" w:rsidTr="00CD66C9">
        <w:trPr>
          <w:jc w:val="center"/>
        </w:trPr>
        <w:tc>
          <w:tcPr>
            <w:tcW w:w="1188" w:type="dxa"/>
            <w:tcBorders>
              <w:top w:val="single" w:sz="4" w:space="0" w:color="auto"/>
              <w:bottom w:val="single" w:sz="12" w:space="0" w:color="auto"/>
              <w:right w:val="nil"/>
            </w:tcBorders>
            <w:vAlign w:val="bottom"/>
          </w:tcPr>
          <w:p w14:paraId="321F0480" w14:textId="77777777" w:rsidR="00697197" w:rsidRPr="008C2ABC" w:rsidRDefault="00697197" w:rsidP="00CD66C9">
            <w:pPr>
              <w:pStyle w:val="TableText"/>
              <w:rPr>
                <w:bCs/>
                <w:szCs w:val="20"/>
              </w:rPr>
            </w:pPr>
            <w:r w:rsidRPr="008C2ABC">
              <w:rPr>
                <w:bCs/>
                <w:szCs w:val="20"/>
              </w:rPr>
              <w:t>Total</w:t>
            </w:r>
          </w:p>
        </w:tc>
        <w:tc>
          <w:tcPr>
            <w:tcW w:w="1692" w:type="dxa"/>
            <w:tcBorders>
              <w:top w:val="single" w:sz="4" w:space="0" w:color="auto"/>
              <w:left w:val="nil"/>
              <w:bottom w:val="single" w:sz="12" w:space="0" w:color="auto"/>
              <w:right w:val="nil"/>
            </w:tcBorders>
            <w:vAlign w:val="bottom"/>
          </w:tcPr>
          <w:p w14:paraId="6AFC6782" w14:textId="77777777" w:rsidR="00697197" w:rsidRPr="008C2ABC" w:rsidRDefault="00697197" w:rsidP="00CD66C9">
            <w:pPr>
              <w:pStyle w:val="TableText"/>
              <w:rPr>
                <w:bCs/>
                <w:szCs w:val="20"/>
              </w:rPr>
            </w:pPr>
          </w:p>
        </w:tc>
        <w:tc>
          <w:tcPr>
            <w:tcW w:w="2010" w:type="dxa"/>
            <w:tcBorders>
              <w:top w:val="single" w:sz="4" w:space="0" w:color="auto"/>
              <w:left w:val="nil"/>
              <w:bottom w:val="single" w:sz="12" w:space="0" w:color="auto"/>
              <w:right w:val="nil"/>
            </w:tcBorders>
            <w:vAlign w:val="bottom"/>
          </w:tcPr>
          <w:p w14:paraId="701BCB3A" w14:textId="77777777" w:rsidR="00697197" w:rsidRPr="008C2ABC" w:rsidRDefault="00697197" w:rsidP="00CD66C9">
            <w:pPr>
              <w:pStyle w:val="TableText"/>
              <w:jc w:val="center"/>
              <w:rPr>
                <w:bCs/>
                <w:szCs w:val="20"/>
              </w:rPr>
            </w:pPr>
            <w:r w:rsidRPr="008C2ABC">
              <w:rPr>
                <w:bCs/>
                <w:szCs w:val="20"/>
              </w:rPr>
              <w:t>22</w:t>
            </w:r>
          </w:p>
        </w:tc>
        <w:tc>
          <w:tcPr>
            <w:tcW w:w="2010" w:type="dxa"/>
            <w:tcBorders>
              <w:top w:val="single" w:sz="4" w:space="0" w:color="auto"/>
              <w:left w:val="nil"/>
              <w:bottom w:val="single" w:sz="12" w:space="0" w:color="auto"/>
              <w:right w:val="nil"/>
            </w:tcBorders>
            <w:vAlign w:val="center"/>
          </w:tcPr>
          <w:p w14:paraId="75506A93" w14:textId="77777777" w:rsidR="00697197" w:rsidRPr="008C2ABC" w:rsidRDefault="00697197" w:rsidP="00CD66C9">
            <w:pPr>
              <w:pStyle w:val="TableText"/>
              <w:jc w:val="center"/>
              <w:rPr>
                <w:rFonts w:eastAsia="PMingLiU"/>
                <w:bCs/>
                <w:szCs w:val="20"/>
                <w:lang w:eastAsia="zh-TW"/>
              </w:rPr>
            </w:pPr>
            <w:r w:rsidRPr="008C2ABC">
              <w:rPr>
                <w:rFonts w:eastAsia="PMingLiU"/>
                <w:bCs/>
                <w:color w:val="000000"/>
                <w:szCs w:val="20"/>
                <w:lang w:eastAsia="zh-TW"/>
              </w:rPr>
              <w:t>3,838</w:t>
            </w:r>
          </w:p>
        </w:tc>
        <w:tc>
          <w:tcPr>
            <w:tcW w:w="2358" w:type="dxa"/>
            <w:tcBorders>
              <w:top w:val="single" w:sz="4" w:space="0" w:color="auto"/>
              <w:left w:val="nil"/>
              <w:bottom w:val="single" w:sz="12" w:space="0" w:color="auto"/>
            </w:tcBorders>
            <w:vAlign w:val="center"/>
          </w:tcPr>
          <w:p w14:paraId="29158902" w14:textId="77777777" w:rsidR="00697197" w:rsidRPr="008C2ABC" w:rsidRDefault="00697197" w:rsidP="00CD66C9">
            <w:pPr>
              <w:pStyle w:val="TableText"/>
              <w:jc w:val="center"/>
              <w:rPr>
                <w:rFonts w:eastAsia="PMingLiU"/>
                <w:bCs/>
                <w:szCs w:val="20"/>
                <w:lang w:eastAsia="zh-TW"/>
              </w:rPr>
            </w:pPr>
            <w:r w:rsidRPr="008C2ABC">
              <w:rPr>
                <w:bCs/>
                <w:color w:val="000000"/>
                <w:szCs w:val="20"/>
              </w:rPr>
              <w:t>7,323</w:t>
            </w:r>
          </w:p>
        </w:tc>
      </w:tr>
    </w:tbl>
    <w:p w14:paraId="32E20FA6" w14:textId="77777777" w:rsidR="00101B8E" w:rsidRPr="0020715F" w:rsidRDefault="00101B8E" w:rsidP="00101B8E">
      <w:pPr>
        <w:pStyle w:val="TableFootnote"/>
        <w:widowControl/>
        <w:rPr>
          <w:sz w:val="18"/>
        </w:rPr>
      </w:pPr>
      <w:r w:rsidRPr="0020715F">
        <w:rPr>
          <w:i/>
          <w:sz w:val="18"/>
          <w:vertAlign w:val="superscript"/>
        </w:rPr>
        <w:t>a</w:t>
      </w:r>
      <w:r w:rsidRPr="0020715F">
        <w:rPr>
          <w:sz w:val="18"/>
        </w:rPr>
        <w:t xml:space="preserve"> </w:t>
      </w:r>
      <w:r w:rsidRPr="00A27865">
        <w:rPr>
          <w:sz w:val="18"/>
        </w:rPr>
        <w:t>EIA 20</w:t>
      </w:r>
      <w:r w:rsidRPr="00A27865">
        <w:rPr>
          <w:rFonts w:hint="eastAsia"/>
          <w:sz w:val="18"/>
          <w:lang w:eastAsia="zh-TW"/>
        </w:rPr>
        <w:t>1</w:t>
      </w:r>
      <w:r>
        <w:rPr>
          <w:sz w:val="18"/>
          <w:lang w:eastAsia="zh-TW"/>
        </w:rPr>
        <w:t>9</w:t>
      </w:r>
      <w:r w:rsidRPr="00A27865">
        <w:rPr>
          <w:sz w:val="18"/>
        </w:rPr>
        <w:t xml:space="preserve"> total nameplate capacity, including both conventional hydro and pumped storage.</w:t>
      </w:r>
    </w:p>
    <w:p w14:paraId="5D22ED9E" w14:textId="257F2D25" w:rsidR="00697197" w:rsidRDefault="00101B8E" w:rsidP="00101B8E">
      <w:pPr>
        <w:pStyle w:val="BodyText"/>
      </w:pPr>
      <w:r w:rsidRPr="0020715F">
        <w:rPr>
          <w:i/>
          <w:sz w:val="18"/>
          <w:vertAlign w:val="superscript"/>
        </w:rPr>
        <w:t>b</w:t>
      </w:r>
      <w:r w:rsidRPr="0020715F">
        <w:rPr>
          <w:sz w:val="18"/>
        </w:rPr>
        <w:t xml:space="preserve"> </w:t>
      </w:r>
      <w:r w:rsidRPr="006A3A0F">
        <w:rPr>
          <w:sz w:val="18"/>
        </w:rPr>
        <w:t xml:space="preserve">EIA and </w:t>
      </w:r>
      <w:r>
        <w:rPr>
          <w:sz w:val="18"/>
        </w:rPr>
        <w:t xml:space="preserve">SEPA </w:t>
      </w:r>
      <w:r w:rsidRPr="006A3A0F">
        <w:rPr>
          <w:sz w:val="18"/>
        </w:rPr>
        <w:t>average annual generation from 19</w:t>
      </w:r>
      <w:r>
        <w:rPr>
          <w:sz w:val="18"/>
        </w:rPr>
        <w:t>8</w:t>
      </w:r>
      <w:r w:rsidRPr="006A3A0F">
        <w:rPr>
          <w:sz w:val="18"/>
        </w:rPr>
        <w:t>0 to 20</w:t>
      </w:r>
      <w:r w:rsidRPr="006A3A0F">
        <w:rPr>
          <w:rFonts w:hint="eastAsia"/>
          <w:sz w:val="18"/>
          <w:lang w:eastAsia="zh-TW"/>
        </w:rPr>
        <w:t>1</w:t>
      </w:r>
      <w:r>
        <w:rPr>
          <w:sz w:val="18"/>
          <w:lang w:eastAsia="zh-TW"/>
        </w:rPr>
        <w:t>9</w:t>
      </w:r>
      <w:r w:rsidRPr="006A3A0F">
        <w:rPr>
          <w:rFonts w:hint="eastAsia"/>
          <w:sz w:val="18"/>
          <w:lang w:eastAsia="zh-TW"/>
        </w:rPr>
        <w:t>,</w:t>
      </w:r>
      <w:r w:rsidRPr="006A3A0F">
        <w:rPr>
          <w:sz w:val="18"/>
        </w:rPr>
        <w:t xml:space="preserve"> </w:t>
      </w:r>
      <w:r w:rsidRPr="006A3A0F">
        <w:rPr>
          <w:rFonts w:hint="eastAsia"/>
          <w:sz w:val="18"/>
          <w:lang w:eastAsia="zh-TW"/>
        </w:rPr>
        <w:t>c</w:t>
      </w:r>
      <w:r w:rsidRPr="006A3A0F">
        <w:rPr>
          <w:sz w:val="18"/>
        </w:rPr>
        <w:t>onventional hydro only.</w:t>
      </w:r>
    </w:p>
    <w:p w14:paraId="038A67E3" w14:textId="685C2C09" w:rsidR="00697197" w:rsidRDefault="009F65EE" w:rsidP="00697197">
      <w:pPr>
        <w:pStyle w:val="BodyText"/>
      </w:pPr>
      <w:r w:rsidRPr="000546D7">
        <w:t xml:space="preserve">Most of the capacity (66%) is located at the </w:t>
      </w:r>
      <w:r w:rsidR="00A74954">
        <w:t xml:space="preserve">10 </w:t>
      </w:r>
      <w:r w:rsidRPr="000546D7">
        <w:t xml:space="preserve">projects </w:t>
      </w:r>
      <w:r>
        <w:t xml:space="preserve">along </w:t>
      </w:r>
      <w:r w:rsidRPr="000546D7">
        <w:t>large rivers flowing out of Georgia, Alabama, and South Carolina. The Cumberland River system a</w:t>
      </w:r>
      <w:r>
        <w:t>ccounts for most of the remainder (24</w:t>
      </w:r>
      <w:r w:rsidRPr="000546D7">
        <w:t xml:space="preserve">%) of </w:t>
      </w:r>
      <w:r>
        <w:t>SEPA</w:t>
      </w:r>
      <w:r w:rsidR="00805545">
        <w:t>’</w:t>
      </w:r>
      <w:r>
        <w:t xml:space="preserve">s </w:t>
      </w:r>
      <w:r w:rsidRPr="000546D7">
        <w:t xml:space="preserve">power capacity. </w:t>
      </w:r>
      <w:r>
        <w:t>SEPA</w:t>
      </w:r>
      <w:r w:rsidR="00805545">
        <w:t>’</w:t>
      </w:r>
      <w:r>
        <w:t xml:space="preserve">s </w:t>
      </w:r>
      <w:r w:rsidRPr="000546D7">
        <w:t xml:space="preserve">two largest </w:t>
      </w:r>
      <w:r w:rsidRPr="0020715F">
        <w:rPr>
          <w:rFonts w:eastAsia="PMingLiU" w:hint="eastAsia"/>
          <w:lang w:eastAsia="zh-TW"/>
        </w:rPr>
        <w:t>hydropower plants</w:t>
      </w:r>
      <w:r w:rsidRPr="000546D7">
        <w:t xml:space="preserve"> are Richard B. Russell (6</w:t>
      </w:r>
      <w:r>
        <w:t>28</w:t>
      </w:r>
      <w:r w:rsidRPr="000546D7">
        <w:t xml:space="preserve"> MW) and Carters (</w:t>
      </w:r>
      <w:r>
        <w:t xml:space="preserve">500 </w:t>
      </w:r>
      <w:r w:rsidRPr="000546D7">
        <w:t xml:space="preserve">MW). The smallest </w:t>
      </w:r>
      <w:r w:rsidRPr="0020715F">
        <w:rPr>
          <w:rFonts w:eastAsia="PMingLiU" w:hint="eastAsia"/>
          <w:lang w:eastAsia="zh-TW"/>
        </w:rPr>
        <w:t xml:space="preserve">hydropower plants </w:t>
      </w:r>
      <w:r w:rsidRPr="000546D7">
        <w:t>are J. Percy Priest (</w:t>
      </w:r>
      <w:r>
        <w:t>28</w:t>
      </w:r>
      <w:r w:rsidRPr="000546D7">
        <w:t xml:space="preserve"> MW) and Philpott (1</w:t>
      </w:r>
      <w:r>
        <w:t>4</w:t>
      </w:r>
      <w:r w:rsidRPr="000546D7">
        <w:t xml:space="preserve"> MW). </w:t>
      </w:r>
      <w:r w:rsidR="00504038">
        <w:t xml:space="preserve">The </w:t>
      </w:r>
      <w:r w:rsidR="00504038" w:rsidRPr="000546D7">
        <w:t>Richard B. Russell and Carters</w:t>
      </w:r>
      <w:r w:rsidRPr="000546D7">
        <w:t xml:space="preserve"> </w:t>
      </w:r>
      <w:r w:rsidRPr="0020715F">
        <w:rPr>
          <w:rFonts w:eastAsia="PMingLiU" w:hint="eastAsia"/>
          <w:lang w:eastAsia="zh-TW"/>
        </w:rPr>
        <w:t xml:space="preserve">hydropower plants </w:t>
      </w:r>
      <w:r w:rsidR="00504038">
        <w:t xml:space="preserve">also </w:t>
      </w:r>
      <w:r w:rsidRPr="000546D7">
        <w:t xml:space="preserve">have some reversible turbines </w:t>
      </w:r>
      <w:r w:rsidRPr="0020715F">
        <w:rPr>
          <w:rFonts w:eastAsia="PMingLiU" w:hint="eastAsia"/>
          <w:lang w:eastAsia="zh-TW"/>
        </w:rPr>
        <w:t>that may allow for pump</w:t>
      </w:r>
      <w:r w:rsidR="00A37431">
        <w:rPr>
          <w:rFonts w:eastAsia="PMingLiU"/>
          <w:lang w:eastAsia="zh-TW"/>
        </w:rPr>
        <w:t xml:space="preserve">ed </w:t>
      </w:r>
      <w:r w:rsidRPr="0020715F">
        <w:rPr>
          <w:rFonts w:eastAsia="PMingLiU" w:hint="eastAsia"/>
          <w:lang w:eastAsia="zh-TW"/>
        </w:rPr>
        <w:t>storage operation</w:t>
      </w:r>
      <w:r w:rsidRPr="000546D7">
        <w:t xml:space="preserve">. </w:t>
      </w:r>
      <w:r w:rsidRPr="00416B1E">
        <w:t xml:space="preserve">The oldest </w:t>
      </w:r>
      <w:r w:rsidRPr="0020715F">
        <w:rPr>
          <w:rFonts w:eastAsia="PMingLiU" w:hint="eastAsia"/>
          <w:lang w:eastAsia="zh-TW"/>
        </w:rPr>
        <w:t>hydropower plants</w:t>
      </w:r>
      <w:r w:rsidRPr="00416B1E">
        <w:t xml:space="preserve"> are Allatoona and Center Hill </w:t>
      </w:r>
      <w:r>
        <w:t>built in</w:t>
      </w:r>
      <w:r w:rsidRPr="00416B1E">
        <w:t xml:space="preserve"> 1950. The newest hydropower project is Richard B. Russell on the upper Savannah River, which began operation in 1984. The average age of USACE hydropower projects </w:t>
      </w:r>
      <w:r>
        <w:t xml:space="preserve">in the </w:t>
      </w:r>
      <w:r w:rsidR="00CC6433">
        <w:t>s</w:t>
      </w:r>
      <w:r>
        <w:t>outheastern region</w:t>
      </w:r>
      <w:r w:rsidRPr="00416B1E">
        <w:t xml:space="preserve"> is </w:t>
      </w:r>
      <w:r>
        <w:t>40</w:t>
      </w:r>
      <w:r w:rsidRPr="00416B1E">
        <w:t xml:space="preserve"> years</w:t>
      </w:r>
      <w:r w:rsidRPr="0020715F">
        <w:rPr>
          <w:rFonts w:eastAsia="PMingLiU" w:hint="eastAsia"/>
          <w:lang w:eastAsia="zh-TW"/>
        </w:rPr>
        <w:t>.</w:t>
      </w:r>
      <w:r w:rsidRPr="00416B1E">
        <w:t xml:space="preserve"> </w:t>
      </w:r>
      <w:r w:rsidRPr="0020715F">
        <w:rPr>
          <w:rFonts w:eastAsia="PMingLiU" w:hint="eastAsia"/>
          <w:lang w:eastAsia="zh-TW"/>
        </w:rPr>
        <w:t>Therefore, e</w:t>
      </w:r>
      <w:r w:rsidRPr="00416B1E">
        <w:t>quipment modernization and refurbishmen</w:t>
      </w:r>
      <w:r w:rsidRPr="0020715F">
        <w:rPr>
          <w:rFonts w:eastAsia="PMingLiU" w:hint="eastAsia"/>
          <w:lang w:eastAsia="zh-TW"/>
        </w:rPr>
        <w:t>t are also a common challenge for the federal hydropower plants in this region.</w:t>
      </w:r>
      <w:r w:rsidRPr="00756A5A">
        <w:t xml:space="preserve"> </w:t>
      </w:r>
      <w:r w:rsidRPr="000546D7">
        <w:t xml:space="preserve">A complete list of all federal hydropower </w:t>
      </w:r>
      <w:r>
        <w:t>plants</w:t>
      </w:r>
      <w:r w:rsidRPr="000546D7">
        <w:t xml:space="preserve"> </w:t>
      </w:r>
      <w:r>
        <w:t>in the SEPA region</w:t>
      </w:r>
      <w:r w:rsidRPr="000546D7">
        <w:t xml:space="preserve"> </w:t>
      </w:r>
      <w:r>
        <w:t xml:space="preserve">is provided </w:t>
      </w:r>
      <w:r w:rsidRPr="000546D7">
        <w:t xml:space="preserve">in </w:t>
      </w:r>
      <w:r w:rsidR="00896F84">
        <w:rPr>
          <w:snapToGrid/>
        </w:rPr>
        <w:fldChar w:fldCharType="begin"/>
      </w:r>
      <w:r w:rsidR="00896F84">
        <w:rPr>
          <w:snapToGrid/>
        </w:rPr>
        <w:instrText xml:space="preserve"> REF _Ref75948519 \n \h </w:instrText>
      </w:r>
      <w:r w:rsidR="00896F84">
        <w:rPr>
          <w:snapToGrid/>
        </w:rPr>
      </w:r>
      <w:r w:rsidR="00896F84">
        <w:rPr>
          <w:snapToGrid/>
        </w:rPr>
        <w:fldChar w:fldCharType="separate"/>
      </w:r>
      <w:r w:rsidR="00EE0BF5">
        <w:rPr>
          <w:snapToGrid/>
        </w:rPr>
        <w:t>APPENDIX B</w:t>
      </w:r>
      <w:r w:rsidR="00896F84">
        <w:rPr>
          <w:snapToGrid/>
        </w:rPr>
        <w:fldChar w:fldCharType="end"/>
      </w:r>
      <w:r w:rsidR="00756A5A" w:rsidRPr="000546D7">
        <w:t>.</w:t>
      </w:r>
    </w:p>
    <w:p w14:paraId="0BB61304" w14:textId="0307365B" w:rsidR="00272F1E" w:rsidRPr="0020715F" w:rsidRDefault="00272F1E" w:rsidP="00697197">
      <w:pPr>
        <w:pStyle w:val="BodyText"/>
        <w:rPr>
          <w:rFonts w:eastAsia="PMingLiU"/>
          <w:lang w:eastAsia="zh-TW"/>
        </w:rPr>
      </w:pPr>
      <w:r>
        <w:t>SEPA</w:t>
      </w:r>
      <w:r w:rsidRPr="005139F1">
        <w:t xml:space="preserve"> </w:t>
      </w:r>
      <w:r>
        <w:t>experiences</w:t>
      </w:r>
      <w:r w:rsidRPr="005139F1">
        <w:t xml:space="preserve"> some of the same water resources management challenges that occur in other parts of the </w:t>
      </w:r>
      <w:r>
        <w:t>United States.</w:t>
      </w:r>
      <w:r w:rsidRPr="005139F1">
        <w:t xml:space="preserve"> Growing demand for municipal and industrial water supply, especially in the rapidly growing Atlanta area of northern Georgia, is the most pressing issue (e.g., Magnuson</w:t>
      </w:r>
      <w:r w:rsidR="006D2A2E">
        <w:t>,</w:t>
      </w:r>
      <w:r w:rsidRPr="005139F1">
        <w:t xml:space="preserve"> 2009). Recreational and environmental water uses are also chang</w:t>
      </w:r>
      <w:r>
        <w:t>ing</w:t>
      </w:r>
      <w:r w:rsidRPr="005139F1">
        <w:t xml:space="preserve"> how surface water is managed (Whisnant et al.</w:t>
      </w:r>
      <w:r w:rsidR="00FE697A">
        <w:t>,</w:t>
      </w:r>
      <w:r w:rsidRPr="005139F1">
        <w:t xml:space="preserve"> 2009). Reallocati</w:t>
      </w:r>
      <w:r>
        <w:t xml:space="preserve">ng </w:t>
      </w:r>
      <w:r w:rsidRPr="005139F1">
        <w:t xml:space="preserve">water storage </w:t>
      </w:r>
      <w:r>
        <w:t xml:space="preserve">among </w:t>
      </w:r>
      <w:r w:rsidRPr="005139F1">
        <w:t xml:space="preserve">all of these competing water uses </w:t>
      </w:r>
      <w:r>
        <w:t>has had a</w:t>
      </w:r>
      <w:r w:rsidRPr="005139F1">
        <w:t xml:space="preserve"> gradual but increasingly adverse impact on federal hydropower production.</w:t>
      </w:r>
    </w:p>
    <w:p w14:paraId="3076424B" w14:textId="77777777" w:rsidR="003A6B02" w:rsidRDefault="003A6B02" w:rsidP="003A6B02">
      <w:pPr>
        <w:pStyle w:val="FIGUREposition"/>
      </w:pPr>
      <w:r>
        <w:rPr>
          <w:noProof/>
        </w:rPr>
        <w:lastRenderedPageBreak/>
        <w:drawing>
          <wp:inline distT="0" distB="0" distL="0" distR="0" wp14:anchorId="1D502760" wp14:editId="2703616C">
            <wp:extent cx="5944235" cy="71329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4235" cy="7132955"/>
                    </a:xfrm>
                    <a:prstGeom prst="rect">
                      <a:avLst/>
                    </a:prstGeom>
                    <a:noFill/>
                  </pic:spPr>
                </pic:pic>
              </a:graphicData>
            </a:graphic>
          </wp:inline>
        </w:drawing>
      </w:r>
    </w:p>
    <w:p w14:paraId="43DA0073" w14:textId="5EF89ED2" w:rsidR="003A6B02" w:rsidRPr="006869CA" w:rsidRDefault="003F6C94" w:rsidP="003A6B02">
      <w:pPr>
        <w:pStyle w:val="FigureCaption"/>
      </w:pPr>
      <w:bookmarkStart w:id="495" w:name="_Ref425353200"/>
      <w:bookmarkStart w:id="496" w:name="_Toc113380945"/>
      <w:r>
        <w:rPr>
          <w:lang w:eastAsia="zh-TW"/>
        </w:rPr>
        <w:t>Figure</w:t>
      </w:r>
      <w:r w:rsidR="003A6B02">
        <w:rPr>
          <w:lang w:eastAsia="zh-TW"/>
        </w:rPr>
        <w:t xml:space="preserve"> </w:t>
      </w:r>
      <w:r w:rsidR="003A6B02" w:rsidRPr="006869CA">
        <w:rPr>
          <w:lang w:eastAsia="zh-TW"/>
        </w:rPr>
        <w:fldChar w:fldCharType="begin"/>
      </w:r>
      <w:r w:rsidR="003A6B02" w:rsidRPr="006869CA">
        <w:rPr>
          <w:lang w:eastAsia="zh-TW"/>
        </w:rPr>
        <w:instrText xml:space="preserve"> STYLEREF 1 \s </w:instrText>
      </w:r>
      <w:r w:rsidR="003A6B02" w:rsidRPr="006869CA">
        <w:rPr>
          <w:lang w:eastAsia="zh-TW"/>
        </w:rPr>
        <w:fldChar w:fldCharType="separate"/>
      </w:r>
      <w:r w:rsidR="00EE0BF5">
        <w:rPr>
          <w:noProof/>
          <w:lang w:eastAsia="zh-TW"/>
        </w:rPr>
        <w:t>6</w:t>
      </w:r>
      <w:r w:rsidR="003A6B02" w:rsidRPr="006869CA">
        <w:rPr>
          <w:lang w:eastAsia="zh-TW"/>
        </w:rPr>
        <w:fldChar w:fldCharType="end"/>
      </w:r>
      <w:r w:rsidR="003A6B02">
        <w:rPr>
          <w:lang w:eastAsia="zh-TW"/>
        </w:rPr>
        <w:t>.</w:t>
      </w:r>
      <w:r w:rsidR="003A6B02" w:rsidRPr="006869CA">
        <w:rPr>
          <w:lang w:eastAsia="zh-TW"/>
        </w:rPr>
        <w:fldChar w:fldCharType="begin"/>
      </w:r>
      <w:r w:rsidR="003A6B02" w:rsidRPr="006869CA">
        <w:rPr>
          <w:lang w:eastAsia="zh-TW"/>
        </w:rPr>
        <w:instrText xml:space="preserve"> SEQ Figure \* ARABIC \s 1 </w:instrText>
      </w:r>
      <w:r w:rsidR="003A6B02" w:rsidRPr="006869CA">
        <w:rPr>
          <w:lang w:eastAsia="zh-TW"/>
        </w:rPr>
        <w:fldChar w:fldCharType="separate"/>
      </w:r>
      <w:r w:rsidR="00EE0BF5">
        <w:rPr>
          <w:noProof/>
          <w:lang w:eastAsia="zh-TW"/>
        </w:rPr>
        <w:t>1</w:t>
      </w:r>
      <w:r w:rsidR="003A6B02" w:rsidRPr="006869CA">
        <w:rPr>
          <w:lang w:eastAsia="zh-TW"/>
        </w:rPr>
        <w:fldChar w:fldCharType="end"/>
      </w:r>
      <w:bookmarkEnd w:id="495"/>
      <w:r w:rsidR="003A6B02" w:rsidRPr="006869CA">
        <w:rPr>
          <w:lang w:eastAsia="zh-TW"/>
        </w:rPr>
        <w:t xml:space="preserve">. </w:t>
      </w:r>
      <w:r w:rsidR="003A6B02" w:rsidRPr="00257B21">
        <w:rPr>
          <w:lang w:eastAsia="zh-TW"/>
        </w:rPr>
        <w:t xml:space="preserve">Map of </w:t>
      </w:r>
      <w:r w:rsidR="003A6B02" w:rsidRPr="00706985">
        <w:rPr>
          <w:lang w:eastAsia="zh-TW"/>
        </w:rPr>
        <w:t xml:space="preserve">the federal hydropower </w:t>
      </w:r>
      <w:r w:rsidR="003A6B02">
        <w:rPr>
          <w:lang w:eastAsia="zh-TW"/>
        </w:rPr>
        <w:t>plants</w:t>
      </w:r>
      <w:r w:rsidR="003A6B02" w:rsidRPr="00706985">
        <w:rPr>
          <w:lang w:eastAsia="zh-TW"/>
        </w:rPr>
        <w:t xml:space="preserve"> and </w:t>
      </w:r>
      <w:r w:rsidR="003A6B02">
        <w:rPr>
          <w:lang w:eastAsia="zh-TW"/>
        </w:rPr>
        <w:t>four study</w:t>
      </w:r>
      <w:r w:rsidR="003A6B02" w:rsidRPr="00706985">
        <w:rPr>
          <w:lang w:eastAsia="zh-TW"/>
        </w:rPr>
        <w:t xml:space="preserve"> areas</w:t>
      </w:r>
      <w:r w:rsidR="003A6B02">
        <w:rPr>
          <w:lang w:eastAsia="zh-TW"/>
        </w:rPr>
        <w:t xml:space="preserve"> </w:t>
      </w:r>
      <w:r w:rsidR="003A6B02" w:rsidRPr="00706985">
        <w:rPr>
          <w:lang w:eastAsia="zh-TW"/>
        </w:rPr>
        <w:t xml:space="preserve">in </w:t>
      </w:r>
      <w:r w:rsidR="003A6B02">
        <w:rPr>
          <w:lang w:eastAsia="zh-TW"/>
        </w:rPr>
        <w:t>the SEPA region</w:t>
      </w:r>
      <w:r w:rsidR="003A6B02" w:rsidRPr="00706985">
        <w:rPr>
          <w:lang w:eastAsia="zh-TW"/>
        </w:rPr>
        <w:t>.</w:t>
      </w:r>
      <w:bookmarkEnd w:id="496"/>
    </w:p>
    <w:p w14:paraId="06E09600" w14:textId="75EC4000" w:rsidR="00697197" w:rsidRPr="0020715F" w:rsidRDefault="009F65EE" w:rsidP="009F65EE">
      <w:pPr>
        <w:pStyle w:val="BodyText"/>
        <w:rPr>
          <w:rFonts w:eastAsia="PMingLiU"/>
          <w:lang w:eastAsia="zh-TW"/>
        </w:rPr>
      </w:pPr>
      <w:r w:rsidRPr="0020715F">
        <w:rPr>
          <w:rFonts w:eastAsia="PMingLiU" w:hint="eastAsia"/>
          <w:lang w:eastAsia="zh-TW"/>
        </w:rPr>
        <w:t xml:space="preserve">Considering </w:t>
      </w:r>
      <w:r w:rsidRPr="0020715F">
        <w:rPr>
          <w:rFonts w:eastAsia="PMingLiU"/>
          <w:lang w:eastAsia="zh-TW"/>
        </w:rPr>
        <w:t xml:space="preserve">the </w:t>
      </w:r>
      <w:r w:rsidRPr="0020715F">
        <w:rPr>
          <w:rFonts w:eastAsia="PMingLiU" w:hint="eastAsia"/>
          <w:lang w:eastAsia="zh-TW"/>
        </w:rPr>
        <w:t>power system and watershed boundaries</w:t>
      </w:r>
      <w:r w:rsidRPr="000546D7">
        <w:t xml:space="preserve">, the </w:t>
      </w:r>
      <w:r>
        <w:rPr>
          <w:rFonts w:eastAsia="PMingLiU"/>
          <w:lang w:eastAsia="zh-TW"/>
        </w:rPr>
        <w:t>SEPA region</w:t>
      </w:r>
      <w:r w:rsidRPr="0020715F">
        <w:rPr>
          <w:rFonts w:eastAsia="PMingLiU" w:hint="eastAsia"/>
          <w:lang w:eastAsia="zh-TW"/>
        </w:rPr>
        <w:t xml:space="preserve"> </w:t>
      </w:r>
      <w:r w:rsidRPr="000546D7">
        <w:t>is subdivided into four</w:t>
      </w:r>
      <w:r w:rsidRPr="0020715F">
        <w:rPr>
          <w:rFonts w:eastAsia="PMingLiU" w:hint="eastAsia"/>
          <w:lang w:eastAsia="zh-TW"/>
        </w:rPr>
        <w:t xml:space="preserve"> study areas</w:t>
      </w:r>
      <w:r>
        <w:rPr>
          <w:rFonts w:eastAsia="PMingLiU"/>
          <w:lang w:eastAsia="zh-TW"/>
        </w:rPr>
        <w:t xml:space="preserve">. </w:t>
      </w:r>
      <w:r w:rsidR="00CA6CEE">
        <w:rPr>
          <w:rFonts w:eastAsia="PMingLiU"/>
          <w:lang w:eastAsia="zh-TW"/>
        </w:rPr>
        <w:t>T</w:t>
      </w:r>
      <w:r>
        <w:rPr>
          <w:rFonts w:eastAsia="PMingLiU"/>
          <w:lang w:eastAsia="zh-TW"/>
        </w:rPr>
        <w:t>he SEPA region</w:t>
      </w:r>
      <w:r w:rsidRPr="00416B1E">
        <w:t xml:space="preserve"> is different from the other three </w:t>
      </w:r>
      <w:r>
        <w:t xml:space="preserve">PMA </w:t>
      </w:r>
      <w:r w:rsidRPr="00416B1E">
        <w:t xml:space="preserve">regions </w:t>
      </w:r>
      <w:r>
        <w:t xml:space="preserve">with </w:t>
      </w:r>
      <w:r w:rsidR="00CA6CEE">
        <w:t xml:space="preserve">its </w:t>
      </w:r>
      <w:r w:rsidRPr="00416B1E">
        <w:t>lower elevations, higher precipitation, and more heavily v</w:t>
      </w:r>
      <w:r>
        <w:t>egetated, deciduous land cover</w:t>
      </w:r>
      <w:r w:rsidR="00697197">
        <w:t>.</w:t>
      </w:r>
    </w:p>
    <w:p w14:paraId="70E730F3" w14:textId="2A8E34E7" w:rsidR="00697197" w:rsidRPr="000546D7" w:rsidRDefault="00697197" w:rsidP="002954B7">
      <w:pPr>
        <w:pStyle w:val="BulletListspace"/>
      </w:pPr>
      <w:r w:rsidRPr="00697197">
        <w:rPr>
          <w:b/>
          <w:bCs/>
        </w:rPr>
        <w:lastRenderedPageBreak/>
        <w:t xml:space="preserve">SEPA-1 </w:t>
      </w:r>
      <w:r w:rsidRPr="00697197">
        <w:rPr>
          <w:b/>
          <w:bCs/>
          <w:lang w:eastAsia="zh-TW"/>
        </w:rPr>
        <w:t>Kerr-Philpott</w:t>
      </w:r>
      <w:r w:rsidRPr="000546D7">
        <w:t xml:space="preserve">: </w:t>
      </w:r>
      <w:r w:rsidRPr="0020715F">
        <w:rPr>
          <w:rFonts w:eastAsia="PMingLiU" w:hint="eastAsia"/>
          <w:lang w:eastAsia="zh-TW"/>
        </w:rPr>
        <w:t>SEPA-1</w:t>
      </w:r>
      <w:r w:rsidRPr="00416B1E">
        <w:t xml:space="preserve"> is located in the upper half of the Roanoke River </w:t>
      </w:r>
      <w:r w:rsidR="003A449F" w:rsidRPr="00416B1E">
        <w:t>basin</w:t>
      </w:r>
      <w:r w:rsidRPr="00416B1E">
        <w:t xml:space="preserve"> above the John H. Kerr</w:t>
      </w:r>
      <w:r w:rsidR="003A6B02">
        <w:t xml:space="preserve"> plant</w:t>
      </w:r>
      <w:r w:rsidRPr="00416B1E">
        <w:t xml:space="preserve">. The watershed begins on the eastern slope of </w:t>
      </w:r>
      <w:r w:rsidR="00CA6CEE">
        <w:t xml:space="preserve">the </w:t>
      </w:r>
      <w:r w:rsidRPr="00416B1E">
        <w:t>Blue Ridge Mountains in southwestern Virginia and extends down into the mid-Atlantic coastal plain. The total drainage area is 7,866 mi</w:t>
      </w:r>
      <w:r w:rsidRPr="00416B1E">
        <w:rPr>
          <w:vertAlign w:val="superscript"/>
        </w:rPr>
        <w:t>2</w:t>
      </w:r>
      <w:r w:rsidRPr="00416B1E">
        <w:t xml:space="preserve">, making it one of the smallest </w:t>
      </w:r>
      <w:r w:rsidR="00CA6CEE">
        <w:t xml:space="preserve">regions </w:t>
      </w:r>
      <w:r w:rsidRPr="00416B1E">
        <w:t xml:space="preserve">evaluated in the 9505 </w:t>
      </w:r>
      <w:r w:rsidR="005C56CE" w:rsidRPr="00416B1E">
        <w:t>assessment</w:t>
      </w:r>
      <w:r w:rsidRPr="00416B1E">
        <w:t>. Elevations range from 3,743 to 299 ft</w:t>
      </w:r>
      <w:r>
        <w:t>,</w:t>
      </w:r>
      <w:r w:rsidRPr="00416B1E">
        <w:t xml:space="preserve"> with a median </w:t>
      </w:r>
      <w:r w:rsidR="00CA6CEE">
        <w:t xml:space="preserve">elevation </w:t>
      </w:r>
      <w:r w:rsidRPr="00416B1E">
        <w:t xml:space="preserve">of about 700 ft. Dominant land cover types are cropland–natural vegetation mosaic (52%), deciduous broadleaf forest (32%), mixed forest (8%), </w:t>
      </w:r>
      <w:r w:rsidR="00CA6CEE">
        <w:t>and</w:t>
      </w:r>
      <w:r w:rsidR="00CA6CEE" w:rsidRPr="00416B1E">
        <w:t xml:space="preserve"> </w:t>
      </w:r>
      <w:r w:rsidRPr="00416B1E">
        <w:t>minor cropland (3%).</w:t>
      </w:r>
    </w:p>
    <w:p w14:paraId="704DC7E5" w14:textId="0DA87588" w:rsidR="00697197" w:rsidRPr="000546D7" w:rsidRDefault="00697197" w:rsidP="002954B7">
      <w:pPr>
        <w:pStyle w:val="BulletListspace"/>
      </w:pPr>
      <w:r w:rsidRPr="00697197">
        <w:rPr>
          <w:b/>
          <w:bCs/>
        </w:rPr>
        <w:t>SEPA-2</w:t>
      </w:r>
      <w:r w:rsidRPr="00697197">
        <w:rPr>
          <w:rFonts w:hint="eastAsia"/>
          <w:b/>
          <w:bCs/>
          <w:lang w:eastAsia="zh-TW"/>
        </w:rPr>
        <w:t xml:space="preserve"> </w:t>
      </w:r>
      <w:r w:rsidRPr="00697197">
        <w:rPr>
          <w:b/>
          <w:bCs/>
        </w:rPr>
        <w:t>Cumberland</w:t>
      </w:r>
      <w:r w:rsidRPr="000546D7">
        <w:t xml:space="preserve">: </w:t>
      </w:r>
      <w:r w:rsidR="003A6B02">
        <w:t>T</w:t>
      </w:r>
      <w:r w:rsidRPr="000546D7">
        <w:t xml:space="preserve">he Cumberland River </w:t>
      </w:r>
      <w:r w:rsidR="003A449F" w:rsidRPr="000546D7">
        <w:t xml:space="preserve">basin </w:t>
      </w:r>
      <w:r w:rsidR="003A6B02">
        <w:t xml:space="preserve">is located </w:t>
      </w:r>
      <w:r w:rsidRPr="000546D7">
        <w:t>in Kentucky and Tennessee</w:t>
      </w:r>
      <w:r w:rsidR="00CA6CEE">
        <w:t>,</w:t>
      </w:r>
      <w:r w:rsidRPr="00416B1E">
        <w:t xml:space="preserve"> extending from the Appalachian Mountains westward to its confluence with the Tennessee and Ohio Rivers. The total drainage area is 17,607 mi</w:t>
      </w:r>
      <w:r w:rsidRPr="00416B1E">
        <w:rPr>
          <w:vertAlign w:val="superscript"/>
        </w:rPr>
        <w:t>2</w:t>
      </w:r>
      <w:r w:rsidRPr="00416B1E">
        <w:t>. Elevations range from over 4,000 ft in the eastern headwaters to 300 ft at the Ohio River</w:t>
      </w:r>
      <w:r>
        <w:t>,</w:t>
      </w:r>
      <w:r w:rsidRPr="00416B1E">
        <w:t xml:space="preserve"> with a median </w:t>
      </w:r>
      <w:r w:rsidR="00CA6CEE">
        <w:t xml:space="preserve">elevation </w:t>
      </w:r>
      <w:r w:rsidRPr="00416B1E">
        <w:t>of approximately 900 ft. Land cover is a diverse mixture of deciduous broadleaf forest (39%), cropland–natural vegetation mosaic (36%), cropland (17%), and mixed forest (3%).</w:t>
      </w:r>
    </w:p>
    <w:p w14:paraId="72FA9280" w14:textId="70CD262D" w:rsidR="00697197" w:rsidRPr="000546D7" w:rsidRDefault="00697197" w:rsidP="002954B7">
      <w:pPr>
        <w:pStyle w:val="BulletListspace"/>
      </w:pPr>
      <w:r w:rsidRPr="00697197">
        <w:rPr>
          <w:b/>
          <w:bCs/>
        </w:rPr>
        <w:t>SEPA-3</w:t>
      </w:r>
      <w:r w:rsidRPr="00697197">
        <w:rPr>
          <w:rFonts w:hint="eastAsia"/>
          <w:b/>
          <w:bCs/>
          <w:lang w:eastAsia="zh-TW"/>
        </w:rPr>
        <w:t xml:space="preserve"> </w:t>
      </w:r>
      <w:r w:rsidRPr="00697197">
        <w:rPr>
          <w:b/>
          <w:bCs/>
        </w:rPr>
        <w:t>GA</w:t>
      </w:r>
      <w:r w:rsidR="00A56EFF">
        <w:rPr>
          <w:b/>
          <w:bCs/>
        </w:rPr>
        <w:t>/</w:t>
      </w:r>
      <w:r w:rsidRPr="00697197">
        <w:rPr>
          <w:b/>
          <w:bCs/>
        </w:rPr>
        <w:t>AL</w:t>
      </w:r>
      <w:r w:rsidR="00A56EFF">
        <w:rPr>
          <w:b/>
          <w:bCs/>
        </w:rPr>
        <w:t>/</w:t>
      </w:r>
      <w:r w:rsidRPr="00697197">
        <w:rPr>
          <w:b/>
          <w:bCs/>
        </w:rPr>
        <w:t>SC</w:t>
      </w:r>
      <w:r w:rsidRPr="000546D7">
        <w:t xml:space="preserve">: </w:t>
      </w:r>
      <w:r w:rsidRPr="0020715F">
        <w:rPr>
          <w:rFonts w:eastAsia="PMingLiU" w:hint="eastAsia"/>
          <w:lang w:eastAsia="zh-TW"/>
        </w:rPr>
        <w:t>SEPA-3</w:t>
      </w:r>
      <w:r w:rsidRPr="00416B1E">
        <w:t xml:space="preserve"> covers the upper portions of three relatively large river basins, all of which have their headwaters in the southern Blue Ridge Mountains. The Savannah River flows to the Atlantic Ocean, and the Apalachicola and Alabama River systems flow to the Gulf of Mexico. The total drainage area of these three watersheds is 34,244 mi</w:t>
      </w:r>
      <w:r w:rsidRPr="00416B1E">
        <w:rPr>
          <w:vertAlign w:val="superscript"/>
        </w:rPr>
        <w:t>2</w:t>
      </w:r>
      <w:r w:rsidRPr="00416B1E">
        <w:t>. Elevations range from over 5,000 ft to about 40 ft, from mountains in the northern end to the southern coastal plains. The median elevation of this area is 682 ft. Land cover is mostly cropland–natural vegetation mosaic (42%) and mixed forest (35%), plus minor amounts of woody savanna (12%) and deciduous broadleaf forest (4%).</w:t>
      </w:r>
    </w:p>
    <w:p w14:paraId="11D33183" w14:textId="425BE547" w:rsidR="00697197" w:rsidRPr="000546D7" w:rsidRDefault="00697197" w:rsidP="002954B7">
      <w:pPr>
        <w:pStyle w:val="BulletListspace"/>
      </w:pPr>
      <w:r w:rsidRPr="00697197">
        <w:rPr>
          <w:b/>
          <w:bCs/>
        </w:rPr>
        <w:t>SEPA-4</w:t>
      </w:r>
      <w:r w:rsidRPr="00697197">
        <w:rPr>
          <w:rFonts w:hint="eastAsia"/>
          <w:b/>
          <w:bCs/>
          <w:lang w:eastAsia="zh-TW"/>
        </w:rPr>
        <w:t xml:space="preserve"> </w:t>
      </w:r>
      <w:r w:rsidRPr="00697197">
        <w:rPr>
          <w:b/>
          <w:bCs/>
          <w:lang w:eastAsia="zh-TW"/>
        </w:rPr>
        <w:t>Jim Woodruff</w:t>
      </w:r>
      <w:r w:rsidRPr="000546D7">
        <w:t xml:space="preserve">: </w:t>
      </w:r>
      <w:r w:rsidRPr="00416B1E">
        <w:t>SEPA-4 is defined by one small USACE hydropower project, the J</w:t>
      </w:r>
      <w:r w:rsidR="00BB5F43">
        <w:t xml:space="preserve">im </w:t>
      </w:r>
      <w:r w:rsidRPr="00416B1E">
        <w:t>Woodruff project</w:t>
      </w:r>
      <w:r>
        <w:t>,</w:t>
      </w:r>
      <w:r w:rsidRPr="00416B1E">
        <w:t xml:space="preserve"> located on the border </w:t>
      </w:r>
      <w:r>
        <w:t>between</w:t>
      </w:r>
      <w:r w:rsidRPr="00416B1E">
        <w:t xml:space="preserve"> Georgia and Florida. Power from this project is marketed separately by Southeastern; therefore, it defines a distinct area on the Georgia </w:t>
      </w:r>
      <w:r>
        <w:t>P</w:t>
      </w:r>
      <w:r w:rsidRPr="00416B1E">
        <w:t>iedmont and coastal plain. The total watershed area is 17,164 mi</w:t>
      </w:r>
      <w:r w:rsidRPr="00416B1E">
        <w:rPr>
          <w:vertAlign w:val="superscript"/>
        </w:rPr>
        <w:t>2</w:t>
      </w:r>
      <w:r w:rsidRPr="00416B1E">
        <w:t>, 39% of which comes from the upper Apalachicola River that flows through the Atlanta metropolitan area and from the Flint River. Land cover is primarily cropland–natural vegetation mosaic (50%), mixed forest (20%), cropland (17%), and woody savanna (9%).</w:t>
      </w:r>
    </w:p>
    <w:p w14:paraId="25537A74" w14:textId="77777777" w:rsidR="0040376D" w:rsidRPr="0020715F" w:rsidRDefault="0040376D" w:rsidP="0040376D">
      <w:pPr>
        <w:pStyle w:val="Heading3"/>
      </w:pPr>
      <w:bookmarkStart w:id="497" w:name="_Ref95320315"/>
      <w:bookmarkStart w:id="498" w:name="_Toc113380830"/>
      <w:r w:rsidRPr="0020715F">
        <w:t xml:space="preserve">Power Marketing </w:t>
      </w:r>
      <w:r>
        <w:t>by</w:t>
      </w:r>
      <w:r w:rsidRPr="0020715F">
        <w:t xml:space="preserve"> </w:t>
      </w:r>
      <w:r>
        <w:t>SEPA</w:t>
      </w:r>
      <w:bookmarkEnd w:id="497"/>
      <w:bookmarkEnd w:id="498"/>
    </w:p>
    <w:p w14:paraId="102D62A8" w14:textId="5D503BA7" w:rsidR="0040376D" w:rsidRDefault="0040376D" w:rsidP="00CD66C9">
      <w:pPr>
        <w:pStyle w:val="BodyText"/>
      </w:pPr>
      <w:bookmarkStart w:id="499" w:name="_Ref72853842"/>
      <w:r>
        <w:t xml:space="preserve">SEPA was established in 1950 as the PMA in charge of marketing the output from multipurpose USACE-owned dams in the </w:t>
      </w:r>
      <w:r w:rsidR="00CC6433">
        <w:t>s</w:t>
      </w:r>
      <w:r>
        <w:t>outheast</w:t>
      </w:r>
      <w:r w:rsidR="00CC6433">
        <w:t>ern United States</w:t>
      </w:r>
      <w:r>
        <w:t xml:space="preserve"> (apart for those owned and operated by TVA). SEPA markets the power and energy from 22 hydropower plants, in accordance with authorizations by the Flood Control Acts of 1938, 1944, 1950, and 1966. A general description of what a PMA is and how it conducts its mission is presented in Section </w:t>
      </w:r>
      <w:r>
        <w:fldChar w:fldCharType="begin"/>
      </w:r>
      <w:r>
        <w:instrText xml:space="preserve"> REF _Ref425756051 \r \h </w:instrText>
      </w:r>
      <w:r>
        <w:fldChar w:fldCharType="separate"/>
      </w:r>
      <w:r w:rsidR="00EE0BF5">
        <w:t>1.2.2</w:t>
      </w:r>
      <w:r>
        <w:fldChar w:fldCharType="end"/>
      </w:r>
      <w:r>
        <w:t xml:space="preserve">. As of 2019, SEPA had long-term contracts with 477 customers; except for one </w:t>
      </w:r>
      <w:r w:rsidR="00E61334">
        <w:t>IOU</w:t>
      </w:r>
      <w:r>
        <w:t>, all the other customers are public bodies or cooperatives.</w:t>
      </w:r>
    </w:p>
    <w:p w14:paraId="382E7A22" w14:textId="5114E412" w:rsidR="0040376D" w:rsidRDefault="0040376D" w:rsidP="00CD66C9">
      <w:pPr>
        <w:pStyle w:val="BodyText"/>
      </w:pPr>
      <w:r>
        <w:t>SEPA is the only PMA that does not own any transmission assets; instead, it delivers the federal hydropower to its customers through wheeling service contracts with other utilities in the region.</w:t>
      </w:r>
      <w:r w:rsidRPr="006D267E">
        <w:t xml:space="preserve"> </w:t>
      </w:r>
      <w:r>
        <w:t>The Kerr-Philpott subregion projects lie within the PJM</w:t>
      </w:r>
      <w:r w:rsidR="00091C15">
        <w:t xml:space="preserve"> Interconnection</w:t>
      </w:r>
      <w:r>
        <w:t xml:space="preserve"> service footprint. SEPA relies on PJM</w:t>
      </w:r>
      <w:r w:rsidR="00091C15" w:rsidRPr="00091C15">
        <w:t xml:space="preserve"> </w:t>
      </w:r>
      <w:r w:rsidR="00091C15">
        <w:t>Interconnection</w:t>
      </w:r>
      <w:r>
        <w:t xml:space="preserve"> transmission resources to wheel electricity from those projects to their customers. For that reason, SEPA joined PJM</w:t>
      </w:r>
      <w:r w:rsidR="00091C15" w:rsidRPr="00091C15">
        <w:t xml:space="preserve"> </w:t>
      </w:r>
      <w:r w:rsidR="00091C15">
        <w:t>Interconnection</w:t>
      </w:r>
      <w:r>
        <w:t xml:space="preserve"> in 2005. For all other projects,</w:t>
      </w:r>
      <w:r w:rsidRPr="00041E85">
        <w:t xml:space="preserve"> SEPA operators arrange for transmission to the</w:t>
      </w:r>
      <w:r>
        <w:t>ir respective</w:t>
      </w:r>
      <w:r w:rsidRPr="00041E85">
        <w:t xml:space="preserve"> preference customers. All power deliveries are registered in the OATI </w:t>
      </w:r>
      <w:r w:rsidR="00091C15" w:rsidRPr="00041E85">
        <w:t xml:space="preserve">(Open Access Technology International) </w:t>
      </w:r>
      <w:r w:rsidRPr="00041E85">
        <w:t>webSmartTag transaction-tagging system. This is an online system that operators use to coordinate transmission from the projects to the customers</w:t>
      </w:r>
      <w:r>
        <w:t xml:space="preserve"> (Fernandez, 2020).</w:t>
      </w:r>
      <w:r w:rsidR="00F80C85">
        <w:t xml:space="preserve"> </w:t>
      </w:r>
      <w:r>
        <w:t xml:space="preserve">For power allocations and rate-setting purposes, the fleet marketed by SEPA is divided into four subregions: Cumberland, </w:t>
      </w:r>
      <w:r w:rsidR="00833FA8">
        <w:t>GA/AL/SC</w:t>
      </w:r>
      <w:r>
        <w:t xml:space="preserve">, Kerr-Philpott, and Jim Woodruff. Marketing policies changed significantly in the 1980s. </w:t>
      </w:r>
      <w:bookmarkStart w:id="500" w:name="_Hlk75270708"/>
      <w:r>
        <w:t xml:space="preserve">The changes included expanding the number of preference customers served </w:t>
      </w:r>
      <w:r>
        <w:lastRenderedPageBreak/>
        <w:t>and ending capacity sales without energy contract commitments to the owners of the transmission lines delivering the federal hydropower to other customers.</w:t>
      </w:r>
    </w:p>
    <w:bookmarkEnd w:id="500"/>
    <w:p w14:paraId="6A103F8B" w14:textId="50D88DE4" w:rsidR="0040376D" w:rsidRDefault="0040376D" w:rsidP="00CD66C9">
      <w:pPr>
        <w:pStyle w:val="BodyText"/>
      </w:pPr>
      <w:r>
        <w:t>SEPA sells all the output from the federal hydropower plants through long-term contracts. Most contracts sell peaking power with a specified, fixed annual number of hours of energy per kilowatt of capacity. For instance, preference customers in the Cumberland subregion receive 1,500 h of peaking power per kilowatt of capacity contracted. In any month, these preference customers can schedule 60</w:t>
      </w:r>
      <w:r w:rsidR="00BB5F43">
        <w:t>–</w:t>
      </w:r>
      <w:r>
        <w:t>240 h</w:t>
      </w:r>
      <w:r w:rsidR="00BB5F43">
        <w:t>/kW</w:t>
      </w:r>
      <w:r>
        <w:t>. If they request more than 240 h of energy per kilowatt in a month, SEPA will only grant the request if the combined schedule of all preference customers does not exceed 240 h</w:t>
      </w:r>
      <w:r w:rsidR="00BB5F43">
        <w:t>/kW</w:t>
      </w:r>
      <w:r>
        <w:t>.</w:t>
      </w:r>
    </w:p>
    <w:p w14:paraId="5D49D268" w14:textId="19ED72E8" w:rsidR="00DB2F01" w:rsidRDefault="001B6FA1" w:rsidP="00CD66C9">
      <w:pPr>
        <w:pStyle w:val="BodyText"/>
      </w:pPr>
      <w:r>
        <w:fldChar w:fldCharType="begin"/>
      </w:r>
      <w:r>
        <w:instrText xml:space="preserve"> REF _Ref76023798 \h </w:instrText>
      </w:r>
      <w:r>
        <w:fldChar w:fldCharType="separate"/>
      </w:r>
      <w:r w:rsidR="00EE0BF5" w:rsidRPr="004C5793">
        <w:rPr>
          <w:rFonts w:eastAsia="PMingLiU"/>
        </w:rPr>
        <w:t xml:space="preserve">Table </w:t>
      </w:r>
      <w:r w:rsidR="00EE0BF5">
        <w:rPr>
          <w:rFonts w:eastAsia="PMingLiU"/>
          <w:noProof/>
        </w:rPr>
        <w:t>6</w:t>
      </w:r>
      <w:r w:rsidR="00EE0BF5">
        <w:rPr>
          <w:rFonts w:eastAsia="PMingLiU"/>
        </w:rPr>
        <w:t>.</w:t>
      </w:r>
      <w:r w:rsidR="00EE0BF5">
        <w:rPr>
          <w:rFonts w:eastAsia="PMingLiU"/>
          <w:noProof/>
        </w:rPr>
        <w:t>2</w:t>
      </w:r>
      <w:r>
        <w:fldChar w:fldCharType="end"/>
      </w:r>
      <w:r>
        <w:t xml:space="preserve"> </w:t>
      </w:r>
      <w:r w:rsidR="0040376D">
        <w:t>displays SEPA</w:t>
      </w:r>
      <w:r w:rsidR="00805545">
        <w:t>’</w:t>
      </w:r>
      <w:r w:rsidR="0040376D">
        <w:t>s capacity and energy rates for each of the four subregions in FY</w:t>
      </w:r>
      <w:r w:rsidR="006F4EF4">
        <w:t> 20</w:t>
      </w:r>
      <w:r w:rsidR="0040376D">
        <w:t>20. FERC approves the power rates on five-year terms subject to annual adjustments that reflect replacement power costs and new investments coming online.</w:t>
      </w:r>
    </w:p>
    <w:p w14:paraId="3D7CE6C1" w14:textId="6A066283" w:rsidR="00AA32DC" w:rsidRPr="00DE4A42" w:rsidRDefault="00CD10EC" w:rsidP="00CD10EC">
      <w:pPr>
        <w:pStyle w:val="TableCaption"/>
        <w:rPr>
          <w:b w:val="0"/>
          <w:bCs/>
          <w:szCs w:val="20"/>
        </w:rPr>
      </w:pPr>
      <w:bookmarkStart w:id="501" w:name="_Ref76023798"/>
      <w:bookmarkStart w:id="502" w:name="_Toc113380986"/>
      <w:r w:rsidRPr="004C5793">
        <w:rPr>
          <w:rFonts w:eastAsia="PMingLiU"/>
        </w:rPr>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6</w:t>
      </w:r>
      <w:r w:rsidRPr="004C5793">
        <w:rPr>
          <w:rFonts w:eastAsia="PMingLiU"/>
        </w:rPr>
        <w:fldChar w:fldCharType="end"/>
      </w:r>
      <w:r>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2</w:t>
      </w:r>
      <w:r w:rsidRPr="004C5793">
        <w:rPr>
          <w:rFonts w:eastAsia="PMingLiU"/>
        </w:rPr>
        <w:fldChar w:fldCharType="end"/>
      </w:r>
      <w:bookmarkEnd w:id="499"/>
      <w:bookmarkEnd w:id="501"/>
      <w:r w:rsidRPr="004C5793">
        <w:rPr>
          <w:rFonts w:eastAsia="PMingLiU"/>
        </w:rPr>
        <w:t>.</w:t>
      </w:r>
      <w:r>
        <w:rPr>
          <w:rFonts w:eastAsia="PMingLiU"/>
        </w:rPr>
        <w:t xml:space="preserve"> SEPA </w:t>
      </w:r>
      <w:r>
        <w:rPr>
          <w:bCs/>
          <w:szCs w:val="20"/>
        </w:rPr>
        <w:t>r</w:t>
      </w:r>
      <w:r w:rsidRPr="00CD10EC">
        <w:rPr>
          <w:bCs/>
          <w:szCs w:val="20"/>
        </w:rPr>
        <w:t>ate schedule summary (FY</w:t>
      </w:r>
      <w:r w:rsidR="006F4EF4">
        <w:t> 20</w:t>
      </w:r>
      <w:r w:rsidRPr="00CD10EC">
        <w:rPr>
          <w:bCs/>
          <w:szCs w:val="20"/>
        </w:rPr>
        <w:t>20)</w:t>
      </w:r>
      <w:bookmarkEnd w:id="502"/>
    </w:p>
    <w:tbl>
      <w:tblPr>
        <w:tblStyle w:val="PlainTable2"/>
        <w:tblW w:w="0" w:type="auto"/>
        <w:jc w:val="center"/>
        <w:tblLayout w:type="fixed"/>
        <w:tblCellMar>
          <w:top w:w="29" w:type="dxa"/>
          <w:left w:w="58" w:type="dxa"/>
          <w:bottom w:w="29" w:type="dxa"/>
          <w:right w:w="58" w:type="dxa"/>
        </w:tblCellMar>
        <w:tblLook w:val="04A0" w:firstRow="1" w:lastRow="0" w:firstColumn="1" w:lastColumn="0" w:noHBand="0" w:noVBand="1"/>
      </w:tblPr>
      <w:tblGrid>
        <w:gridCol w:w="3865"/>
        <w:gridCol w:w="1620"/>
        <w:gridCol w:w="1586"/>
      </w:tblGrid>
      <w:tr w:rsidR="00AA32DC" w:rsidRPr="00FC5F84" w14:paraId="1C5D8806" w14:textId="77777777" w:rsidTr="00CD66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5" w:type="dxa"/>
            <w:tcBorders>
              <w:top w:val="single" w:sz="12" w:space="0" w:color="auto"/>
              <w:bottom w:val="single" w:sz="12" w:space="0" w:color="auto"/>
            </w:tcBorders>
            <w:vAlign w:val="center"/>
          </w:tcPr>
          <w:p w14:paraId="7BAD5B38" w14:textId="08CE6748" w:rsidR="00AA32DC" w:rsidRPr="00FC5F84" w:rsidRDefault="00176385" w:rsidP="00CD66C9">
            <w:pPr>
              <w:spacing w:before="0" w:after="0" w:line="240" w:lineRule="auto"/>
              <w:ind w:firstLine="0"/>
              <w:jc w:val="center"/>
              <w:rPr>
                <w:sz w:val="20"/>
                <w:szCs w:val="20"/>
              </w:rPr>
            </w:pPr>
            <w:r>
              <w:rPr>
                <w:sz w:val="20"/>
                <w:szCs w:val="20"/>
              </w:rPr>
              <w:t>System</w:t>
            </w:r>
          </w:p>
        </w:tc>
        <w:tc>
          <w:tcPr>
            <w:tcW w:w="1620" w:type="dxa"/>
            <w:tcBorders>
              <w:top w:val="single" w:sz="12" w:space="0" w:color="auto"/>
              <w:bottom w:val="single" w:sz="12" w:space="0" w:color="auto"/>
            </w:tcBorders>
            <w:vAlign w:val="center"/>
          </w:tcPr>
          <w:p w14:paraId="44915CC5" w14:textId="7F74414F" w:rsidR="00AA32DC" w:rsidRPr="00FC5F84" w:rsidRDefault="00AA32DC" w:rsidP="00CD66C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Capacity rate</w:t>
            </w:r>
          </w:p>
          <w:p w14:paraId="17A0BAED" w14:textId="77777777" w:rsidR="00AA32DC" w:rsidRPr="00FC5F84" w:rsidRDefault="00AA32DC" w:rsidP="00CD66C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($/kW-month)</w:t>
            </w:r>
          </w:p>
        </w:tc>
        <w:tc>
          <w:tcPr>
            <w:tcW w:w="1586" w:type="dxa"/>
            <w:tcBorders>
              <w:top w:val="single" w:sz="12" w:space="0" w:color="auto"/>
              <w:bottom w:val="single" w:sz="12" w:space="0" w:color="auto"/>
            </w:tcBorders>
            <w:vAlign w:val="center"/>
          </w:tcPr>
          <w:p w14:paraId="0C2FC2E9" w14:textId="29FA80CA" w:rsidR="00AA32DC" w:rsidRPr="00FC5F84" w:rsidRDefault="00AA32DC" w:rsidP="00CD66C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Energy rate</w:t>
            </w:r>
          </w:p>
          <w:p w14:paraId="1F550996" w14:textId="77777777" w:rsidR="00AA32DC" w:rsidRPr="00FC5F84" w:rsidRDefault="00AA32DC" w:rsidP="00CD66C9">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(mills/kWh)</w:t>
            </w:r>
          </w:p>
        </w:tc>
      </w:tr>
      <w:tr w:rsidR="00AA32DC" w:rsidRPr="00FC5F84" w14:paraId="436D59DB" w14:textId="77777777" w:rsidTr="00CD66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5" w:type="dxa"/>
            <w:tcBorders>
              <w:top w:val="single" w:sz="12" w:space="0" w:color="auto"/>
            </w:tcBorders>
            <w:vAlign w:val="center"/>
          </w:tcPr>
          <w:p w14:paraId="4B38216D" w14:textId="77777777" w:rsidR="00AA32DC" w:rsidRPr="00176385" w:rsidRDefault="00AA32DC" w:rsidP="00CD66C9">
            <w:pPr>
              <w:spacing w:before="0" w:after="0" w:line="240" w:lineRule="auto"/>
              <w:ind w:firstLine="0"/>
              <w:rPr>
                <w:b w:val="0"/>
                <w:bCs w:val="0"/>
                <w:sz w:val="20"/>
                <w:szCs w:val="20"/>
              </w:rPr>
            </w:pPr>
            <w:r w:rsidRPr="00176385">
              <w:rPr>
                <w:b w:val="0"/>
                <w:bCs w:val="0"/>
                <w:sz w:val="20"/>
                <w:szCs w:val="20"/>
              </w:rPr>
              <w:t>Cumberland</w:t>
            </w:r>
          </w:p>
        </w:tc>
        <w:tc>
          <w:tcPr>
            <w:tcW w:w="1620" w:type="dxa"/>
            <w:tcBorders>
              <w:top w:val="single" w:sz="12" w:space="0" w:color="auto"/>
            </w:tcBorders>
            <w:vAlign w:val="center"/>
          </w:tcPr>
          <w:p w14:paraId="436724DE" w14:textId="2650CC52" w:rsidR="00AA32DC" w:rsidRPr="00FC5F84" w:rsidRDefault="00AA32DC" w:rsidP="007A39BF">
            <w:pPr>
              <w:tabs>
                <w:tab w:val="decimal" w:pos="664"/>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3.43</w:t>
            </w:r>
            <w:r w:rsidR="00176385" w:rsidRPr="00176385">
              <w:rPr>
                <w:i/>
                <w:iCs/>
                <w:sz w:val="20"/>
                <w:szCs w:val="20"/>
                <w:vertAlign w:val="superscript"/>
              </w:rPr>
              <w:t>a</w:t>
            </w:r>
          </w:p>
        </w:tc>
        <w:tc>
          <w:tcPr>
            <w:tcW w:w="1586" w:type="dxa"/>
            <w:tcBorders>
              <w:top w:val="single" w:sz="12" w:space="0" w:color="auto"/>
            </w:tcBorders>
            <w:vAlign w:val="center"/>
          </w:tcPr>
          <w:p w14:paraId="66FE436B" w14:textId="77777777" w:rsidR="00AA32DC" w:rsidRPr="00FC5F84" w:rsidRDefault="00AA32DC" w:rsidP="007A39BF">
            <w:pPr>
              <w:tabs>
                <w:tab w:val="decimal" w:pos="668"/>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12.835</w:t>
            </w:r>
          </w:p>
        </w:tc>
      </w:tr>
      <w:tr w:rsidR="00AA32DC" w:rsidRPr="00FC5F84" w14:paraId="5C018F95" w14:textId="77777777" w:rsidTr="00CD66C9">
        <w:trPr>
          <w:jc w:val="center"/>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7F7F7F" w:themeColor="text1" w:themeTint="80"/>
              <w:bottom w:val="single" w:sz="4" w:space="0" w:color="7F7F7F" w:themeColor="text1" w:themeTint="80"/>
            </w:tcBorders>
            <w:vAlign w:val="center"/>
          </w:tcPr>
          <w:p w14:paraId="551CF54F" w14:textId="1EC8362D" w:rsidR="00AA32DC" w:rsidRPr="00176385" w:rsidRDefault="00833FA8" w:rsidP="00CD66C9">
            <w:pPr>
              <w:spacing w:before="0" w:after="0" w:line="240" w:lineRule="auto"/>
              <w:ind w:firstLine="0"/>
              <w:rPr>
                <w:b w:val="0"/>
                <w:bCs w:val="0"/>
                <w:sz w:val="20"/>
                <w:szCs w:val="20"/>
              </w:rPr>
            </w:pPr>
            <w:r>
              <w:rPr>
                <w:b w:val="0"/>
                <w:bCs w:val="0"/>
                <w:sz w:val="20"/>
                <w:szCs w:val="20"/>
              </w:rPr>
              <w:t>GA/AL/SC</w:t>
            </w:r>
          </w:p>
        </w:tc>
        <w:tc>
          <w:tcPr>
            <w:tcW w:w="1620" w:type="dxa"/>
            <w:tcBorders>
              <w:top w:val="single" w:sz="4" w:space="0" w:color="7F7F7F" w:themeColor="text1" w:themeTint="80"/>
              <w:bottom w:val="single" w:sz="4" w:space="0" w:color="7F7F7F" w:themeColor="text1" w:themeTint="80"/>
            </w:tcBorders>
            <w:vAlign w:val="center"/>
          </w:tcPr>
          <w:p w14:paraId="52FBADDE" w14:textId="04BB3F55" w:rsidR="00AA32DC" w:rsidRPr="00FC5F84" w:rsidRDefault="00AA32DC" w:rsidP="007A39BF">
            <w:pPr>
              <w:tabs>
                <w:tab w:val="decimal" w:pos="664"/>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4.09</w:t>
            </w:r>
            <w:r w:rsidR="00176385" w:rsidRPr="00176385">
              <w:rPr>
                <w:i/>
                <w:iCs/>
                <w:sz w:val="20"/>
                <w:szCs w:val="20"/>
                <w:vertAlign w:val="superscript"/>
              </w:rPr>
              <w:t>b</w:t>
            </w:r>
          </w:p>
        </w:tc>
        <w:tc>
          <w:tcPr>
            <w:tcW w:w="1586" w:type="dxa"/>
            <w:tcBorders>
              <w:top w:val="single" w:sz="4" w:space="0" w:color="7F7F7F" w:themeColor="text1" w:themeTint="80"/>
              <w:bottom w:val="single" w:sz="4" w:space="0" w:color="7F7F7F" w:themeColor="text1" w:themeTint="80"/>
            </w:tcBorders>
            <w:vAlign w:val="center"/>
          </w:tcPr>
          <w:p w14:paraId="1C49F325" w14:textId="77777777" w:rsidR="00AA32DC" w:rsidRPr="00FC5F84" w:rsidRDefault="00AA32DC" w:rsidP="007A39BF">
            <w:pPr>
              <w:tabs>
                <w:tab w:val="decimal" w:pos="668"/>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12.33</w:t>
            </w:r>
          </w:p>
        </w:tc>
      </w:tr>
      <w:tr w:rsidR="00AA32DC" w:rsidRPr="00FC5F84" w14:paraId="6C60B727" w14:textId="77777777" w:rsidTr="00CD66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65" w:type="dxa"/>
            <w:vAlign w:val="center"/>
          </w:tcPr>
          <w:p w14:paraId="42EE295C" w14:textId="77777777" w:rsidR="00AA32DC" w:rsidRPr="00176385" w:rsidRDefault="00AA32DC" w:rsidP="00CD66C9">
            <w:pPr>
              <w:spacing w:before="0" w:after="0" w:line="240" w:lineRule="auto"/>
              <w:ind w:firstLine="0"/>
              <w:rPr>
                <w:b w:val="0"/>
                <w:bCs w:val="0"/>
                <w:sz w:val="20"/>
                <w:szCs w:val="20"/>
              </w:rPr>
            </w:pPr>
            <w:r w:rsidRPr="00176385">
              <w:rPr>
                <w:b w:val="0"/>
                <w:bCs w:val="0"/>
                <w:sz w:val="20"/>
                <w:szCs w:val="20"/>
              </w:rPr>
              <w:t>Kerr-Philpott</w:t>
            </w:r>
          </w:p>
        </w:tc>
        <w:tc>
          <w:tcPr>
            <w:tcW w:w="1620" w:type="dxa"/>
            <w:vAlign w:val="center"/>
          </w:tcPr>
          <w:p w14:paraId="45B58D48" w14:textId="77777777" w:rsidR="00AA32DC" w:rsidRPr="00FC5F84" w:rsidRDefault="00AA32DC" w:rsidP="007A39BF">
            <w:pPr>
              <w:tabs>
                <w:tab w:val="decimal" w:pos="664"/>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4.40</w:t>
            </w:r>
          </w:p>
        </w:tc>
        <w:tc>
          <w:tcPr>
            <w:tcW w:w="1586" w:type="dxa"/>
            <w:vAlign w:val="center"/>
          </w:tcPr>
          <w:p w14:paraId="60F9DB58" w14:textId="77777777" w:rsidR="00AA32DC" w:rsidRPr="00FC5F84" w:rsidRDefault="00AA32DC" w:rsidP="007A39BF">
            <w:pPr>
              <w:tabs>
                <w:tab w:val="decimal" w:pos="668"/>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17.80</w:t>
            </w:r>
          </w:p>
        </w:tc>
      </w:tr>
      <w:tr w:rsidR="00AA32DC" w:rsidRPr="00FC5F84" w14:paraId="4CC77B07" w14:textId="77777777" w:rsidTr="00CD66C9">
        <w:trPr>
          <w:jc w:val="center"/>
        </w:trPr>
        <w:tc>
          <w:tcPr>
            <w:cnfStyle w:val="001000000000" w:firstRow="0" w:lastRow="0" w:firstColumn="1" w:lastColumn="0" w:oddVBand="0" w:evenVBand="0" w:oddHBand="0" w:evenHBand="0" w:firstRowFirstColumn="0" w:firstRowLastColumn="0" w:lastRowFirstColumn="0" w:lastRowLastColumn="0"/>
            <w:tcW w:w="3865" w:type="dxa"/>
            <w:tcBorders>
              <w:top w:val="single" w:sz="4" w:space="0" w:color="7F7F7F" w:themeColor="text1" w:themeTint="80"/>
              <w:bottom w:val="single" w:sz="12" w:space="0" w:color="auto"/>
            </w:tcBorders>
            <w:vAlign w:val="center"/>
          </w:tcPr>
          <w:p w14:paraId="555F3A7E" w14:textId="77777777" w:rsidR="00AA32DC" w:rsidRPr="00176385" w:rsidRDefault="00AA32DC" w:rsidP="00CD66C9">
            <w:pPr>
              <w:spacing w:before="0" w:after="0" w:line="240" w:lineRule="auto"/>
              <w:ind w:firstLine="0"/>
              <w:rPr>
                <w:b w:val="0"/>
                <w:bCs w:val="0"/>
                <w:sz w:val="20"/>
                <w:szCs w:val="20"/>
              </w:rPr>
            </w:pPr>
            <w:r w:rsidRPr="00176385">
              <w:rPr>
                <w:b w:val="0"/>
                <w:bCs w:val="0"/>
                <w:sz w:val="20"/>
                <w:szCs w:val="20"/>
              </w:rPr>
              <w:t>Jim Woodruff</w:t>
            </w:r>
          </w:p>
        </w:tc>
        <w:tc>
          <w:tcPr>
            <w:tcW w:w="1620" w:type="dxa"/>
            <w:tcBorders>
              <w:top w:val="single" w:sz="4" w:space="0" w:color="7F7F7F" w:themeColor="text1" w:themeTint="80"/>
              <w:bottom w:val="single" w:sz="12" w:space="0" w:color="auto"/>
            </w:tcBorders>
            <w:vAlign w:val="center"/>
          </w:tcPr>
          <w:p w14:paraId="4153E032" w14:textId="77777777" w:rsidR="00AA32DC" w:rsidRPr="00FC5F84" w:rsidRDefault="00AA32DC" w:rsidP="007A39BF">
            <w:pPr>
              <w:tabs>
                <w:tab w:val="decimal" w:pos="664"/>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7.74</w:t>
            </w:r>
          </w:p>
        </w:tc>
        <w:tc>
          <w:tcPr>
            <w:tcW w:w="1586" w:type="dxa"/>
            <w:tcBorders>
              <w:top w:val="single" w:sz="4" w:space="0" w:color="7F7F7F" w:themeColor="text1" w:themeTint="80"/>
              <w:bottom w:val="single" w:sz="12" w:space="0" w:color="auto"/>
            </w:tcBorders>
            <w:vAlign w:val="center"/>
          </w:tcPr>
          <w:p w14:paraId="49CCB1A2" w14:textId="1E7955AE" w:rsidR="00AA32DC" w:rsidRPr="00FC5F84" w:rsidRDefault="00AA32DC" w:rsidP="007A39BF">
            <w:pPr>
              <w:tabs>
                <w:tab w:val="decimal" w:pos="668"/>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20.44</w:t>
            </w:r>
            <w:r w:rsidR="00176385" w:rsidRPr="00176385">
              <w:rPr>
                <w:i/>
                <w:iCs/>
                <w:sz w:val="20"/>
                <w:szCs w:val="20"/>
                <w:vertAlign w:val="superscript"/>
              </w:rPr>
              <w:t>c</w:t>
            </w:r>
          </w:p>
        </w:tc>
      </w:tr>
    </w:tbl>
    <w:p w14:paraId="3939EAE5" w14:textId="77777777" w:rsidR="00176385" w:rsidRDefault="00176385" w:rsidP="00CD66C9">
      <w:pPr>
        <w:spacing w:before="120" w:after="0" w:line="240" w:lineRule="auto"/>
        <w:ind w:left="1170" w:right="1080" w:firstLine="0"/>
        <w:rPr>
          <w:sz w:val="18"/>
          <w:szCs w:val="18"/>
        </w:rPr>
      </w:pPr>
      <w:r w:rsidRPr="00176385">
        <w:rPr>
          <w:i/>
          <w:iCs/>
          <w:sz w:val="18"/>
          <w:szCs w:val="18"/>
          <w:vertAlign w:val="superscript"/>
        </w:rPr>
        <w:t>a</w:t>
      </w:r>
      <w:r>
        <w:rPr>
          <w:sz w:val="18"/>
          <w:szCs w:val="18"/>
        </w:rPr>
        <w:t xml:space="preserve"> </w:t>
      </w:r>
      <w:r w:rsidR="00AA32DC" w:rsidRPr="00176385">
        <w:rPr>
          <w:sz w:val="18"/>
          <w:szCs w:val="18"/>
        </w:rPr>
        <w:t>Customers served through transmission lines owned by Duke Energy Progress (Western Division) pay a capacity rate of $3.904/kW-month and East Kentucky Power Cooperative pays a capacity rate of $1.826/kW-month.</w:t>
      </w:r>
    </w:p>
    <w:p w14:paraId="1BC799F5" w14:textId="0EFA4434" w:rsidR="00AA32DC" w:rsidRPr="00176385" w:rsidRDefault="00176385" w:rsidP="00CD66C9">
      <w:pPr>
        <w:spacing w:before="0" w:after="0" w:line="240" w:lineRule="auto"/>
        <w:ind w:left="1170" w:right="1080" w:firstLine="0"/>
        <w:rPr>
          <w:sz w:val="18"/>
          <w:szCs w:val="18"/>
        </w:rPr>
      </w:pPr>
      <w:r w:rsidRPr="00176385">
        <w:rPr>
          <w:i/>
          <w:iCs/>
          <w:sz w:val="18"/>
          <w:szCs w:val="18"/>
          <w:vertAlign w:val="superscript"/>
        </w:rPr>
        <w:t>b</w:t>
      </w:r>
      <w:r>
        <w:rPr>
          <w:sz w:val="18"/>
          <w:szCs w:val="18"/>
        </w:rPr>
        <w:t xml:space="preserve"> </w:t>
      </w:r>
      <w:r w:rsidR="00AA32DC" w:rsidRPr="00176385">
        <w:rPr>
          <w:sz w:val="18"/>
          <w:szCs w:val="18"/>
        </w:rPr>
        <w:t>The capacity rate for South Mississippi Electric Power Association is $4.81/kW-month.</w:t>
      </w:r>
    </w:p>
    <w:p w14:paraId="13961728" w14:textId="6FC053A8" w:rsidR="00176385" w:rsidRDefault="00176385" w:rsidP="00CD66C9">
      <w:pPr>
        <w:spacing w:before="0" w:line="240" w:lineRule="auto"/>
        <w:ind w:left="1170" w:right="1080" w:firstLine="0"/>
        <w:rPr>
          <w:sz w:val="18"/>
          <w:szCs w:val="18"/>
        </w:rPr>
      </w:pPr>
      <w:r w:rsidRPr="00176385">
        <w:rPr>
          <w:i/>
          <w:iCs/>
          <w:sz w:val="18"/>
          <w:szCs w:val="18"/>
          <w:vertAlign w:val="superscript"/>
        </w:rPr>
        <w:t>c</w:t>
      </w:r>
      <w:r>
        <w:rPr>
          <w:sz w:val="18"/>
          <w:szCs w:val="18"/>
        </w:rPr>
        <w:t xml:space="preserve"> </w:t>
      </w:r>
      <w:r w:rsidRPr="00176385">
        <w:rPr>
          <w:sz w:val="18"/>
          <w:szCs w:val="18"/>
        </w:rPr>
        <w:t xml:space="preserve">Duke Energy Florida pays a monthly rate equal to 100% of the calculated saving in the cost of fuel per </w:t>
      </w:r>
      <w:r w:rsidR="007A39BF">
        <w:rPr>
          <w:sz w:val="18"/>
          <w:szCs w:val="18"/>
        </w:rPr>
        <w:t>kilowatt-hour</w:t>
      </w:r>
      <w:r w:rsidRPr="00176385">
        <w:rPr>
          <w:sz w:val="18"/>
          <w:szCs w:val="18"/>
        </w:rPr>
        <w:t>.</w:t>
      </w:r>
    </w:p>
    <w:p w14:paraId="14340CEF" w14:textId="7FC11611" w:rsidR="0040376D" w:rsidRDefault="0040376D" w:rsidP="00CD66C9">
      <w:pPr>
        <w:pStyle w:val="BodyText"/>
      </w:pPr>
      <w:r>
        <w:t>SEPA, in partnership with USACE, is in the process of reviewing the allocation of the joint use costs of the multipurpose hydropower facilities whose power it markets. Joint use costs are those that cannot be exclusively attributed to one of the authorized purposes of the facility, such as hydropower, recreation, water supply, fish and wildlife, or water quality, and must therefore be shared among multiple purposes. The costs allocated to the hydropower purpose are expected to decrease because since the facilities were built, additional non-hydropower purposes have been authorized or received increased water allocations. If the costs allocated to the hydropower purpose decrease, SEPA</w:t>
      </w:r>
      <w:r w:rsidR="00805545">
        <w:t>’</w:t>
      </w:r>
      <w:r>
        <w:t xml:space="preserve">s cost-based rates to its preference customers will also decrease. Based on electricity load forecasts produced before the 2008 recession, some SEPA customers acquired extra capacity that has not been needed. Those customers are now deciding how to manage this excess </w:t>
      </w:r>
      <w:r w:rsidR="00EF5A07">
        <w:t xml:space="preserve">capacity. This excess capacity has </w:t>
      </w:r>
      <w:r>
        <w:t>been the reason for some recent SEPA contract cancellations (CRS, 2019). In FY</w:t>
      </w:r>
      <w:r w:rsidR="006F4EF4">
        <w:t> 20</w:t>
      </w:r>
      <w:r>
        <w:t xml:space="preserve">18, 11 preference customers with a combined allocation of approximately 85 MW in the </w:t>
      </w:r>
      <w:r w:rsidR="00833FA8">
        <w:t>GA/AL/SC</w:t>
      </w:r>
      <w:r>
        <w:t xml:space="preserve"> subregion submitted a 25-month notice to terminate their contracts. In May 2019, another customer from that subregion with an allocation of 13.4 MW submitted a contract cancellation notice. SEPA is reallocating the capacity and energy from those customers to 65 others in the same subregion that expressed interest in a supplemental allocation.</w:t>
      </w:r>
    </w:p>
    <w:p w14:paraId="2BE0FBBA" w14:textId="4DA0DB7F" w:rsidR="0040376D" w:rsidRDefault="0040376D" w:rsidP="00CD66C9">
      <w:pPr>
        <w:pStyle w:val="BodyText"/>
      </w:pPr>
      <w:r>
        <w:t xml:space="preserve">SEPA is also experiencing challenges to maintain competitively priced electricity rates because the amount of water allocated to hydropower has been decreasing as other water resource uses, particularly urban water supply, take priority. Multiple competing uses for the regional water supply in addition to sustained drought conditions (low precipitation levels) have resulted in an increased need for replacement power purchases. For many customers, the replacement power costs are higher than alternative sources, </w:t>
      </w:r>
      <w:r>
        <w:lastRenderedPageBreak/>
        <w:t xml:space="preserve">prompting some to reconsider their federal hydropower contracts, reduce contract volumes, or cancel </w:t>
      </w:r>
      <w:r w:rsidR="00833FA8">
        <w:t xml:space="preserve">contracts </w:t>
      </w:r>
      <w:r>
        <w:t>(Fernandez, 2020).</w:t>
      </w:r>
    </w:p>
    <w:p w14:paraId="2F116BE2" w14:textId="77777777" w:rsidR="00FF4917" w:rsidRDefault="00FF4917" w:rsidP="00CD66C9">
      <w:pPr>
        <w:pStyle w:val="BodyText"/>
      </w:pPr>
    </w:p>
    <w:p w14:paraId="2B891EAF" w14:textId="007F81F0" w:rsidR="0020715F" w:rsidRPr="0020715F" w:rsidRDefault="00510B4A" w:rsidP="00AD0C1C">
      <w:pPr>
        <w:pStyle w:val="Heading2"/>
      </w:pPr>
      <w:bookmarkStart w:id="503" w:name="_Ref425756699"/>
      <w:bookmarkStart w:id="504" w:name="_Ref425756709"/>
      <w:bookmarkStart w:id="505" w:name="_Ref425756721"/>
      <w:bookmarkStart w:id="506" w:name="_Ref69807932"/>
      <w:bookmarkStart w:id="507" w:name="_Toc113380831"/>
      <w:r w:rsidRPr="00DE36AC">
        <w:t xml:space="preserve">Future Climate in </w:t>
      </w:r>
      <w:r w:rsidR="00E0058B">
        <w:t xml:space="preserve">the </w:t>
      </w:r>
      <w:bookmarkEnd w:id="503"/>
      <w:bookmarkEnd w:id="504"/>
      <w:bookmarkEnd w:id="505"/>
      <w:r w:rsidR="001100CF">
        <w:t>SEPA</w:t>
      </w:r>
      <w:r w:rsidR="00E0058B">
        <w:t xml:space="preserve"> Region</w:t>
      </w:r>
      <w:bookmarkEnd w:id="506"/>
      <w:bookmarkEnd w:id="507"/>
    </w:p>
    <w:p w14:paraId="0FBE8DE5" w14:textId="77777777" w:rsidR="0020715F" w:rsidRPr="0020715F" w:rsidRDefault="0020715F" w:rsidP="0020715F">
      <w:pPr>
        <w:pStyle w:val="Heading3"/>
      </w:pPr>
      <w:bookmarkStart w:id="508" w:name="_Ref81829397"/>
      <w:bookmarkStart w:id="509" w:name="_Toc113380832"/>
      <w:r w:rsidRPr="0020715F">
        <w:t>Regional Climate Projections</w:t>
      </w:r>
      <w:bookmarkEnd w:id="508"/>
      <w:bookmarkEnd w:id="509"/>
    </w:p>
    <w:p w14:paraId="76473D89" w14:textId="439A5D96" w:rsidR="00EA2DAF" w:rsidRDefault="00EA2DAF" w:rsidP="00EA2DAF">
      <w:pPr>
        <w:pStyle w:val="BodyText"/>
      </w:pPr>
      <w:r>
        <w:t xml:space="preserve">The annual temperatures for the baseline (1980–2019) and future (2020–2059) </w:t>
      </w:r>
      <w:r w:rsidR="002605AB">
        <w:t xml:space="preserve">periods </w:t>
      </w:r>
      <w:r>
        <w:t xml:space="preserve">are presented in </w:t>
      </w:r>
      <w:r>
        <w:fldChar w:fldCharType="begin"/>
      </w:r>
      <w:r>
        <w:instrText xml:space="preserve"> REF _Ref72856557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2</w:t>
      </w:r>
      <w:r>
        <w:fldChar w:fldCharType="end"/>
      </w:r>
      <w:r>
        <w:t xml:space="preserve">. The gray lines show the annual mean temperature from 24 sets of downscaled </w:t>
      </w:r>
      <w:r w:rsidR="00D56B5F">
        <w:t>climate</w:t>
      </w:r>
      <w:r>
        <w:t xml:space="preserve"> projections, the black line represents the </w:t>
      </w:r>
      <w:r w:rsidR="005E23BA">
        <w:t>multimodel</w:t>
      </w:r>
      <w:r>
        <w:t xml:space="preserve"> median, and the blue and green lines show the Daymet and Livneh historical observations, respectively. These plots show interannual variability and annual trends for projections</w:t>
      </w:r>
      <w:r w:rsidR="002605AB">
        <w:t>,</w:t>
      </w:r>
      <w:r>
        <w:t xml:space="preserve"> as well as the observations. The climate models are not expected to replicate the exact timing of historical interannual and decadal variability. Therefore, they do not completely follow the historical interannual values. The corresponding probability distribution for the baseline and future periods are compared in the right panel. A two-sample </w:t>
      </w:r>
      <w:r w:rsidRPr="00AF2A55">
        <w:t>Kolmogorov</w:t>
      </w:r>
      <w:r>
        <w:t>-</w:t>
      </w:r>
      <w:r w:rsidRPr="00AF2A55">
        <w:t>Smirnov test</w:t>
      </w:r>
      <w:r>
        <w:t xml:space="preserve"> at the 5% significance level </w:t>
      </w:r>
      <w:r w:rsidR="00FA280A">
        <w:t>was</w:t>
      </w:r>
      <w:r>
        <w:t xml:space="preserve"> used to determine </w:t>
      </w:r>
      <w:r w:rsidR="00635C2E">
        <w:rPr>
          <w:rFonts w:eastAsia="PMingLiU"/>
          <w:lang w:eastAsia="zh-TW"/>
        </w:rPr>
        <w:t xml:space="preserve">whether </w:t>
      </w:r>
      <w:r>
        <w:t>the difference between the baseline and future periods is statistically significant.</w:t>
      </w:r>
    </w:p>
    <w:p w14:paraId="506D8786" w14:textId="241D5414" w:rsidR="00FF4917" w:rsidRDefault="00FF4917" w:rsidP="00FF4917">
      <w:pPr>
        <w:pStyle w:val="BodyText"/>
      </w:pPr>
      <w:r w:rsidRPr="00F61532">
        <w:t>In all four assessment areas (</w:t>
      </w:r>
      <w:r>
        <w:t>SE</w:t>
      </w:r>
      <w:r w:rsidRPr="00F61532">
        <w:t>PA-1</w:t>
      </w:r>
      <w:r>
        <w:t>–</w:t>
      </w:r>
      <w:r w:rsidRPr="00F61532">
        <w:t>4),</w:t>
      </w:r>
      <w:r>
        <w:t xml:space="preserve"> the ensemble model median captures the increasing trend in annual mean temperature present in the observations during the historical period. However, there is significant variability across the ensemble members, which reflects the importance of using a multimodel ensemble approach. In the future period, annual mean temperature is projected to continually increase across all four areas. A comparison of the probability distribution of the multimodel mean annual temperature for the historical and future periods also shows a statistically significant shift toward a warmer climate across all SEPA areas (</w:t>
      </w:r>
      <w:r>
        <w:fldChar w:fldCharType="begin"/>
      </w:r>
      <w:r>
        <w:instrText xml:space="preserve"> REF _Ref72856557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2</w:t>
      </w:r>
      <w:r>
        <w:fldChar w:fldCharType="end"/>
      </w:r>
      <w:r>
        <w:t>).</w:t>
      </w:r>
    </w:p>
    <w:p w14:paraId="14F4F46D" w14:textId="6D760B4F" w:rsidR="00FF4917" w:rsidRDefault="00FF4917" w:rsidP="00FF4917">
      <w:pPr>
        <w:pStyle w:val="BodyText"/>
        <w:rPr>
          <w:rFonts w:eastAsia="PMingLiU"/>
          <w:lang w:eastAsia="zh-TW"/>
        </w:rPr>
      </w:pPr>
      <w:r w:rsidRPr="004C111D">
        <w:t xml:space="preserve">The annual and seasonal changes in temperature are further summarized in </w:t>
      </w:r>
      <w:r>
        <w:fldChar w:fldCharType="begin"/>
      </w:r>
      <w:r>
        <w:instrText xml:space="preserve"> REF _Ref422829177 \h </w:instrText>
      </w:r>
      <w: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3</w:t>
      </w:r>
      <w:r>
        <w:fldChar w:fldCharType="end"/>
      </w:r>
      <w:r w:rsidRPr="004C111D">
        <w:t xml:space="preserve">. The change is presented as </w:t>
      </w:r>
      <w:r>
        <w:t xml:space="preserve">the </w:t>
      </w:r>
      <w:r w:rsidRPr="004C111D">
        <w:t>difference in temperature during the future periods (2020</w:t>
      </w:r>
      <w:r>
        <w:t>–</w:t>
      </w:r>
      <w:r w:rsidRPr="004C111D">
        <w:t>2039 near-term and 2040</w:t>
      </w:r>
      <w:r>
        <w:t>–</w:t>
      </w:r>
      <w:r w:rsidRPr="004C111D">
        <w:t>2059 mid</w:t>
      </w:r>
      <w:r>
        <w:t>-</w:t>
      </w:r>
      <w:r w:rsidRPr="004C111D">
        <w:t xml:space="preserve">term) </w:t>
      </w:r>
      <w:r>
        <w:t xml:space="preserve">compared with </w:t>
      </w:r>
      <w:r w:rsidRPr="004C111D">
        <w:t>the baseline period (1980</w:t>
      </w:r>
      <w:r>
        <w:t>–</w:t>
      </w:r>
      <w:r w:rsidRPr="004C111D">
        <w:t>2019) in degree</w:t>
      </w:r>
      <w:r>
        <w:t>s</w:t>
      </w:r>
      <w:r w:rsidRPr="004C111D">
        <w:t xml:space="preserve"> </w:t>
      </w:r>
      <w:r>
        <w:t>Fahrenheit</w:t>
      </w:r>
      <w:r w:rsidRPr="004C111D">
        <w:t xml:space="preserve">. </w:t>
      </w:r>
      <w:r w:rsidRPr="004C111D">
        <w:rPr>
          <w:rFonts w:eastAsia="PMingLiU"/>
          <w:lang w:eastAsia="zh-TW"/>
        </w:rPr>
        <w:t xml:space="preserve">Each box plot shows the spread across </w:t>
      </w:r>
      <w:r>
        <w:rPr>
          <w:rFonts w:eastAsia="PMingLiU"/>
          <w:lang w:eastAsia="zh-TW"/>
        </w:rPr>
        <w:t xml:space="preserve">24 sets of </w:t>
      </w:r>
      <w:r w:rsidRPr="004C111D">
        <w:rPr>
          <w:rFonts w:eastAsia="PMingLiU"/>
          <w:lang w:eastAsia="zh-TW"/>
        </w:rPr>
        <w:t xml:space="preserve">downscaled </w:t>
      </w:r>
      <w:r>
        <w:rPr>
          <w:rFonts w:eastAsia="PMingLiU"/>
          <w:lang w:eastAsia="zh-TW"/>
        </w:rPr>
        <w:t xml:space="preserve">climate projections; </w:t>
      </w:r>
      <w:r w:rsidRPr="004C111D">
        <w:rPr>
          <w:rFonts w:eastAsia="PMingLiU"/>
          <w:lang w:eastAsia="zh-TW"/>
        </w:rPr>
        <w:t>the central mark indicat</w:t>
      </w:r>
      <w:r>
        <w:rPr>
          <w:rFonts w:eastAsia="PMingLiU"/>
          <w:lang w:eastAsia="zh-TW"/>
        </w:rPr>
        <w:t>es</w:t>
      </w:r>
      <w:r w:rsidRPr="004C111D">
        <w:rPr>
          <w:rFonts w:eastAsia="PMingLiU"/>
          <w:lang w:eastAsia="zh-TW"/>
        </w:rPr>
        <w:t xml:space="preserve"> the </w:t>
      </w:r>
      <w:r>
        <w:rPr>
          <w:rFonts w:eastAsia="PMingLiU"/>
          <w:lang w:eastAsia="zh-TW"/>
        </w:rPr>
        <w:t>multimodel</w:t>
      </w:r>
      <w:r w:rsidRPr="004C111D">
        <w:rPr>
          <w:rFonts w:eastAsia="PMingLiU"/>
          <w:lang w:eastAsia="zh-TW"/>
        </w:rPr>
        <w:t xml:space="preserve"> median, </w:t>
      </w:r>
      <w:r>
        <w:rPr>
          <w:rFonts w:eastAsia="PMingLiU"/>
          <w:lang w:eastAsia="zh-TW"/>
        </w:rPr>
        <w:t xml:space="preserve">and </w:t>
      </w:r>
      <w:r w:rsidRPr="004C111D">
        <w:rPr>
          <w:rFonts w:eastAsia="PMingLiU"/>
          <w:lang w:eastAsia="zh-TW"/>
        </w:rPr>
        <w:t>the edges of the box indicat</w:t>
      </w:r>
      <w:r>
        <w:rPr>
          <w:rFonts w:eastAsia="PMingLiU"/>
          <w:lang w:eastAsia="zh-TW"/>
        </w:rPr>
        <w:t>e</w:t>
      </w:r>
      <w:r w:rsidRPr="004C111D">
        <w:rPr>
          <w:rFonts w:eastAsia="PMingLiU"/>
          <w:lang w:eastAsia="zh-TW"/>
        </w:rPr>
        <w:t xml:space="preserve"> the </w:t>
      </w:r>
      <w:r>
        <w:rPr>
          <w:rFonts w:eastAsia="PMingLiU"/>
          <w:lang w:eastAsia="zh-TW"/>
        </w:rPr>
        <w:t>25</w:t>
      </w:r>
      <w:r w:rsidRPr="00FA458A">
        <w:rPr>
          <w:rFonts w:eastAsia="PMingLiU"/>
          <w:lang w:eastAsia="zh-TW"/>
        </w:rPr>
        <w:t>th</w:t>
      </w:r>
      <w:r>
        <w:rPr>
          <w:rFonts w:eastAsia="PMingLiU"/>
          <w:lang w:eastAsia="zh-TW"/>
        </w:rPr>
        <w:t xml:space="preserve"> </w:t>
      </w:r>
      <w:r w:rsidRPr="004C111D">
        <w:rPr>
          <w:rFonts w:eastAsia="PMingLiU"/>
          <w:lang w:eastAsia="zh-TW"/>
        </w:rPr>
        <w:t xml:space="preserve">and </w:t>
      </w:r>
      <w:r>
        <w:rPr>
          <w:rFonts w:eastAsia="PMingLiU"/>
          <w:lang w:eastAsia="zh-TW"/>
        </w:rPr>
        <w:t>75</w:t>
      </w:r>
      <w:r w:rsidRPr="00FA458A">
        <w:rPr>
          <w:rFonts w:eastAsia="PMingLiU"/>
          <w:lang w:eastAsia="zh-TW"/>
        </w:rPr>
        <w:t>th</w:t>
      </w:r>
      <w:r w:rsidRPr="004C111D">
        <w:rPr>
          <w:rFonts w:eastAsia="PMingLiU"/>
          <w:lang w:eastAsia="zh-TW"/>
        </w:rPr>
        <w:t xml:space="preserve"> percentiles.</w:t>
      </w:r>
      <w:r w:rsidRPr="00DB4A52">
        <w:rPr>
          <w:rFonts w:eastAsia="PMingLiU"/>
          <w:lang w:eastAsia="zh-TW"/>
        </w:rPr>
        <w:t xml:space="preserve"> </w:t>
      </w:r>
      <w:r>
        <w:rPr>
          <w:rFonts w:eastAsia="PMingLiU"/>
          <w:lang w:eastAsia="zh-TW"/>
        </w:rPr>
        <w:t xml:space="preserve">The maximum </w:t>
      </w:r>
      <w:r w:rsidRPr="00726701">
        <w:rPr>
          <w:rFonts w:eastAsia="PMingLiU"/>
          <w:lang w:eastAsia="zh-TW"/>
        </w:rPr>
        <w:t>whisker length</w:t>
      </w:r>
      <w:r>
        <w:rPr>
          <w:rFonts w:eastAsia="PMingLiU"/>
          <w:lang w:eastAsia="zh-TW"/>
        </w:rPr>
        <w:t xml:space="preserve"> is 1.5 times the box height (25</w:t>
      </w:r>
      <w:r w:rsidRPr="00FA458A">
        <w:rPr>
          <w:rFonts w:eastAsia="PMingLiU"/>
          <w:lang w:eastAsia="zh-TW"/>
        </w:rPr>
        <w:t>th</w:t>
      </w:r>
      <w:r>
        <w:rPr>
          <w:rFonts w:eastAsia="PMingLiU"/>
          <w:lang w:eastAsia="zh-TW"/>
        </w:rPr>
        <w:t xml:space="preserve"> to 75</w:t>
      </w:r>
      <w:r w:rsidRPr="00FA458A">
        <w:rPr>
          <w:rFonts w:eastAsia="PMingLiU"/>
          <w:lang w:eastAsia="zh-TW"/>
        </w:rPr>
        <w:t>th</w:t>
      </w:r>
      <w:r w:rsidRPr="00AE42EB">
        <w:rPr>
          <w:rFonts w:eastAsia="PMingLiU"/>
          <w:lang w:eastAsia="zh-TW"/>
        </w:rPr>
        <w:t xml:space="preserve"> </w:t>
      </w:r>
      <w:r w:rsidRPr="004C111D">
        <w:rPr>
          <w:rFonts w:eastAsia="PMingLiU"/>
          <w:lang w:eastAsia="zh-TW"/>
        </w:rPr>
        <w:t>percentiles</w:t>
      </w:r>
      <w:r>
        <w:rPr>
          <w:rFonts w:eastAsia="PMingLiU"/>
          <w:lang w:eastAsia="zh-TW"/>
        </w:rPr>
        <w:t>). Ensemble members outside of the maximum whisker length denoted by x are considered statistical outliers (but should not be excluded in the context of climate change).</w:t>
      </w:r>
    </w:p>
    <w:p w14:paraId="58E80130" w14:textId="77777777" w:rsidR="00FF4917" w:rsidRDefault="00FF4917" w:rsidP="00EA2DAF">
      <w:pPr>
        <w:pStyle w:val="BodyText"/>
      </w:pPr>
    </w:p>
    <w:p w14:paraId="41C9D1E2" w14:textId="77777777" w:rsidR="00C353DD" w:rsidRDefault="00D001C9" w:rsidP="00D001C9">
      <w:pPr>
        <w:pStyle w:val="BodyText"/>
        <w:keepLines/>
        <w:jc w:val="center"/>
        <w:rPr>
          <w:lang w:eastAsia="zh-TW"/>
        </w:rPr>
      </w:pPr>
      <w:r>
        <w:rPr>
          <w:noProof/>
        </w:rPr>
        <w:lastRenderedPageBreak/>
        <w:drawing>
          <wp:inline distT="0" distB="0" distL="0" distR="0" wp14:anchorId="17C55F5B" wp14:editId="60329DD9">
            <wp:extent cx="5486396" cy="1828799"/>
            <wp:effectExtent l="0" t="0" r="635" b="63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pic:cNvPicPr>
                      <a:picLocks noChangeAspect="1" noChangeArrowheads="1"/>
                    </pic:cNvPicPr>
                  </pic:nvPicPr>
                  <pic:blipFill>
                    <a:blip r:embed="rId224"/>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065D893A" wp14:editId="40D9F089">
            <wp:extent cx="5486396" cy="1828799"/>
            <wp:effectExtent l="0" t="0" r="635" b="63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a:picLocks noChangeAspect="1" noChangeArrowheads="1"/>
                    </pic:cNvPicPr>
                  </pic:nvPicPr>
                  <pic:blipFill>
                    <a:blip r:embed="rId225"/>
                    <a:stretch>
                      <a:fillRect/>
                    </a:stretch>
                  </pic:blipFill>
                  <pic:spPr bwMode="auto">
                    <a:xfrm>
                      <a:off x="0" y="0"/>
                      <a:ext cx="5486396" cy="1828799"/>
                    </a:xfrm>
                    <a:prstGeom prst="rect">
                      <a:avLst/>
                    </a:prstGeom>
                    <a:noFill/>
                    <a:ln>
                      <a:noFill/>
                    </a:ln>
                  </pic:spPr>
                </pic:pic>
              </a:graphicData>
            </a:graphic>
          </wp:inline>
        </w:drawing>
      </w:r>
    </w:p>
    <w:p w14:paraId="796A8394" w14:textId="1D578659" w:rsidR="00260B81" w:rsidRDefault="00D001C9" w:rsidP="00CD66C9">
      <w:pPr>
        <w:pStyle w:val="FIGUREposition"/>
        <w:rPr>
          <w:lang w:eastAsia="zh-TW"/>
        </w:rPr>
      </w:pPr>
      <w:r>
        <w:rPr>
          <w:noProof/>
        </w:rPr>
        <w:drawing>
          <wp:inline distT="0" distB="0" distL="0" distR="0" wp14:anchorId="2BE5A502" wp14:editId="4934BF28">
            <wp:extent cx="5486396" cy="1828799"/>
            <wp:effectExtent l="0" t="0" r="635" b="63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pic:cNvPicPr>
                      <a:picLocks noChangeAspect="1" noChangeArrowheads="1"/>
                    </pic:cNvPicPr>
                  </pic:nvPicPr>
                  <pic:blipFill>
                    <a:blip r:embed="rId226"/>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1A18BDFA" wp14:editId="2BD1E1C5">
            <wp:extent cx="5486396" cy="1828799"/>
            <wp:effectExtent l="0" t="0" r="635" b="63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pic:cNvPicPr>
                      <a:picLocks noChangeAspect="1" noChangeArrowheads="1"/>
                    </pic:cNvPicPr>
                  </pic:nvPicPr>
                  <pic:blipFill>
                    <a:blip r:embed="rId227"/>
                    <a:stretch>
                      <a:fillRect/>
                    </a:stretch>
                  </pic:blipFill>
                  <pic:spPr bwMode="auto">
                    <a:xfrm>
                      <a:off x="0" y="0"/>
                      <a:ext cx="5486396" cy="1828799"/>
                    </a:xfrm>
                    <a:prstGeom prst="rect">
                      <a:avLst/>
                    </a:prstGeom>
                    <a:noFill/>
                    <a:ln>
                      <a:noFill/>
                    </a:ln>
                  </pic:spPr>
                </pic:pic>
              </a:graphicData>
            </a:graphic>
          </wp:inline>
        </w:drawing>
      </w:r>
    </w:p>
    <w:p w14:paraId="7272693D" w14:textId="23BBB95E" w:rsidR="00260B81" w:rsidRDefault="003F6C94" w:rsidP="00260B81">
      <w:pPr>
        <w:pStyle w:val="FigureCaption"/>
        <w:rPr>
          <w:lang w:eastAsia="zh-TW"/>
        </w:rPr>
      </w:pPr>
      <w:bookmarkStart w:id="510" w:name="_Ref72856557"/>
      <w:bookmarkStart w:id="511" w:name="_Toc113380946"/>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6</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2</w:t>
      </w:r>
      <w:r w:rsidR="00260B81" w:rsidRPr="00F61532">
        <w:rPr>
          <w:lang w:eastAsia="zh-TW"/>
        </w:rPr>
        <w:fldChar w:fldCharType="end"/>
      </w:r>
      <w:bookmarkEnd w:id="510"/>
      <w:r w:rsidR="00260B81" w:rsidRPr="00F61532">
        <w:rPr>
          <w:lang w:eastAsia="zh-TW"/>
        </w:rPr>
        <w:t xml:space="preserve">. Projected annual mean temperature in </w:t>
      </w:r>
      <w:r w:rsidR="00260B81">
        <w:rPr>
          <w:lang w:eastAsia="zh-TW"/>
        </w:rPr>
        <w:t>the SEPA region.</w:t>
      </w:r>
      <w:bookmarkEnd w:id="511"/>
    </w:p>
    <w:p w14:paraId="2677B61E" w14:textId="77777777" w:rsidR="00833FA8" w:rsidRDefault="00833FA8" w:rsidP="00CD66C9">
      <w:pPr>
        <w:pStyle w:val="FIGUREposition"/>
        <w:rPr>
          <w:lang w:eastAsia="zh-TW"/>
        </w:rPr>
      </w:pPr>
      <w:r>
        <w:rPr>
          <w:noProof/>
        </w:rPr>
        <w:lastRenderedPageBreak/>
        <w:drawing>
          <wp:inline distT="0" distB="0" distL="0" distR="0" wp14:anchorId="5D674171" wp14:editId="5D4675A0">
            <wp:extent cx="2743200" cy="18288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31B5257" wp14:editId="7A32BDED">
            <wp:extent cx="2743200" cy="18288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07AD23B7" wp14:editId="183FC547">
            <wp:extent cx="2743200" cy="18288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617FE532" wp14:editId="0288960B">
            <wp:extent cx="2743200" cy="18288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5992522C" w14:textId="10473D7D" w:rsidR="00833FA8" w:rsidRDefault="00833FA8" w:rsidP="00833FA8">
      <w:pPr>
        <w:pStyle w:val="FigureCaption"/>
        <w:rPr>
          <w:lang w:eastAsia="zh-TW"/>
        </w:rPr>
      </w:pPr>
      <w:bookmarkStart w:id="512" w:name="_Ref422829177"/>
      <w:bookmarkStart w:id="513" w:name="_Toc436744777"/>
      <w:bookmarkStart w:id="514" w:name="_Toc113380947"/>
      <w:r>
        <w:rPr>
          <w:lang w:eastAsia="zh-TW"/>
        </w:rPr>
        <w:t>Figure</w:t>
      </w:r>
      <w:r w:rsidRPr="00A328DA">
        <w:rPr>
          <w:lang w:eastAsia="zh-TW"/>
        </w:rPr>
        <w:t xml:space="preserve"> </w:t>
      </w:r>
      <w:r w:rsidRPr="00A328DA">
        <w:rPr>
          <w:lang w:eastAsia="zh-TW"/>
        </w:rPr>
        <w:fldChar w:fldCharType="begin"/>
      </w:r>
      <w:r w:rsidRPr="00A328DA">
        <w:rPr>
          <w:lang w:eastAsia="zh-TW"/>
        </w:rPr>
        <w:instrText xml:space="preserve"> STYLEREF 1 \s </w:instrText>
      </w:r>
      <w:r w:rsidRPr="00A328DA">
        <w:rPr>
          <w:lang w:eastAsia="zh-TW"/>
        </w:rPr>
        <w:fldChar w:fldCharType="separate"/>
      </w:r>
      <w:r w:rsidR="00EE0BF5">
        <w:rPr>
          <w:noProof/>
          <w:lang w:eastAsia="zh-TW"/>
        </w:rPr>
        <w:t>6</w:t>
      </w:r>
      <w:r w:rsidRPr="00A328DA">
        <w:rPr>
          <w:lang w:eastAsia="zh-TW"/>
        </w:rPr>
        <w:fldChar w:fldCharType="end"/>
      </w:r>
      <w:r w:rsidRPr="00A328DA">
        <w:rPr>
          <w:lang w:eastAsia="zh-TW"/>
        </w:rPr>
        <w:t>.</w:t>
      </w:r>
      <w:r w:rsidRPr="00A328DA">
        <w:rPr>
          <w:lang w:eastAsia="zh-TW"/>
        </w:rPr>
        <w:fldChar w:fldCharType="begin"/>
      </w:r>
      <w:r w:rsidRPr="00A328DA">
        <w:rPr>
          <w:lang w:eastAsia="zh-TW"/>
        </w:rPr>
        <w:instrText xml:space="preserve"> SEQ Figure \* ARABIC \s 1 </w:instrText>
      </w:r>
      <w:r w:rsidRPr="00A328DA">
        <w:rPr>
          <w:lang w:eastAsia="zh-TW"/>
        </w:rPr>
        <w:fldChar w:fldCharType="separate"/>
      </w:r>
      <w:r w:rsidR="00EE0BF5">
        <w:rPr>
          <w:noProof/>
          <w:lang w:eastAsia="zh-TW"/>
        </w:rPr>
        <w:t>3</w:t>
      </w:r>
      <w:r w:rsidRPr="00A328DA">
        <w:rPr>
          <w:lang w:eastAsia="zh-TW"/>
        </w:rPr>
        <w:fldChar w:fldCharType="end"/>
      </w:r>
      <w:bookmarkEnd w:id="512"/>
      <w:r w:rsidRPr="00A328DA">
        <w:rPr>
          <w:lang w:eastAsia="zh-TW"/>
        </w:rPr>
        <w:t xml:space="preserve">. </w:t>
      </w:r>
      <w:r w:rsidRPr="00F61532">
        <w:rPr>
          <w:lang w:eastAsia="zh-TW"/>
        </w:rPr>
        <w:t xml:space="preserve">Projected change of annual and seasonal mean temperature in </w:t>
      </w:r>
      <w:r>
        <w:rPr>
          <w:lang w:eastAsia="zh-TW"/>
        </w:rPr>
        <w:t>the SEPA region</w:t>
      </w:r>
      <w:r w:rsidRPr="00F61532">
        <w:rPr>
          <w:lang w:eastAsia="zh-TW"/>
        </w:rPr>
        <w:t>.</w:t>
      </w:r>
      <w:bookmarkEnd w:id="513"/>
      <w:bookmarkEnd w:id="514"/>
    </w:p>
    <w:p w14:paraId="511EBA6D" w14:textId="77777777" w:rsidR="00D36042" w:rsidRDefault="00D36042" w:rsidP="00D9580F">
      <w:pPr>
        <w:pStyle w:val="BodyText"/>
        <w:rPr>
          <w:szCs w:val="24"/>
          <w:lang w:eastAsia="zh-TW"/>
        </w:rPr>
      </w:pPr>
    </w:p>
    <w:p w14:paraId="0A124AD1" w14:textId="3FDFC1A7" w:rsidR="00D9580F" w:rsidRDefault="00D9580F" w:rsidP="00D9580F">
      <w:pPr>
        <w:pStyle w:val="BodyText"/>
        <w:rPr>
          <w:szCs w:val="24"/>
        </w:rPr>
      </w:pPr>
      <w:r w:rsidRPr="00256806">
        <w:rPr>
          <w:szCs w:val="24"/>
          <w:lang w:eastAsia="zh-TW"/>
        </w:rPr>
        <w:t>The annual and seasonal changes in precipitation over the SEPA regions are summarized in</w:t>
      </w:r>
      <w:r w:rsidR="00DB1739">
        <w:rPr>
          <w:szCs w:val="24"/>
          <w:lang w:eastAsia="zh-TW"/>
        </w:rPr>
        <w:t xml:space="preserve"> </w:t>
      </w:r>
      <w:r w:rsidR="00DB1739">
        <w:rPr>
          <w:szCs w:val="24"/>
          <w:lang w:eastAsia="zh-TW"/>
        </w:rPr>
        <w:fldChar w:fldCharType="begin"/>
      </w:r>
      <w:r w:rsidR="00DB1739">
        <w:rPr>
          <w:szCs w:val="24"/>
          <w:lang w:eastAsia="zh-TW"/>
        </w:rPr>
        <w:instrText xml:space="preserve"> REF _Ref72856614 </w:instrText>
      </w:r>
      <w:r w:rsidR="00DB1739">
        <w:rPr>
          <w:szCs w:val="24"/>
          <w:lang w:eastAsia="zh-TW"/>
        </w:rP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4</w:t>
      </w:r>
      <w:r w:rsidR="00DB1739">
        <w:rPr>
          <w:szCs w:val="24"/>
          <w:lang w:eastAsia="zh-TW"/>
        </w:rPr>
        <w:fldChar w:fldCharType="end"/>
      </w:r>
      <w:r w:rsidRPr="00256806">
        <w:rPr>
          <w:szCs w:val="24"/>
          <w:lang w:eastAsia="zh-TW"/>
        </w:rPr>
        <w:t xml:space="preserve"> </w:t>
      </w:r>
      <w:r w:rsidR="00DB1739">
        <w:rPr>
          <w:szCs w:val="24"/>
          <w:lang w:eastAsia="zh-TW"/>
        </w:rPr>
        <w:t xml:space="preserve">and </w:t>
      </w:r>
      <w:r>
        <w:rPr>
          <w:szCs w:val="24"/>
        </w:rPr>
        <w:fldChar w:fldCharType="begin"/>
      </w:r>
      <w:r>
        <w:rPr>
          <w:szCs w:val="24"/>
          <w:lang w:eastAsia="zh-TW"/>
        </w:rPr>
        <w:instrText xml:space="preserve"> REF _Ref72856625 \h </w:instrText>
      </w:r>
      <w:r>
        <w:rPr>
          <w:szCs w:val="24"/>
        </w:rPr>
      </w:r>
      <w:r>
        <w:rPr>
          <w:szCs w:val="24"/>
        </w:rP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5</w:t>
      </w:r>
      <w:r>
        <w:rPr>
          <w:szCs w:val="24"/>
        </w:rPr>
        <w:fldChar w:fldCharType="end"/>
      </w:r>
      <w:r w:rsidRPr="00256806">
        <w:rPr>
          <w:szCs w:val="24"/>
        </w:rPr>
        <w:t xml:space="preserve">. </w:t>
      </w:r>
      <w:r>
        <w:rPr>
          <w:szCs w:val="24"/>
        </w:rPr>
        <w:t>For both</w:t>
      </w:r>
      <w:r w:rsidRPr="00256806">
        <w:rPr>
          <w:szCs w:val="24"/>
        </w:rPr>
        <w:t xml:space="preserve"> the near-term (2020</w:t>
      </w:r>
      <w:r>
        <w:rPr>
          <w:szCs w:val="24"/>
        </w:rPr>
        <w:t>–</w:t>
      </w:r>
      <w:r w:rsidRPr="00256806">
        <w:rPr>
          <w:szCs w:val="24"/>
        </w:rPr>
        <w:t>2039) and mid-term (2040</w:t>
      </w:r>
      <w:r>
        <w:rPr>
          <w:szCs w:val="24"/>
        </w:rPr>
        <w:t>–</w:t>
      </w:r>
      <w:r w:rsidRPr="00256806">
        <w:rPr>
          <w:szCs w:val="24"/>
        </w:rPr>
        <w:t>2059)</w:t>
      </w:r>
      <w:r>
        <w:rPr>
          <w:szCs w:val="24"/>
        </w:rPr>
        <w:t xml:space="preserve"> future periods</w:t>
      </w:r>
      <w:r w:rsidRPr="00256806">
        <w:rPr>
          <w:szCs w:val="24"/>
        </w:rPr>
        <w:t xml:space="preserve">, the ensemble median annual precipitation is projected to increase over </w:t>
      </w:r>
      <w:r>
        <w:rPr>
          <w:szCs w:val="24"/>
        </w:rPr>
        <w:t xml:space="preserve">the </w:t>
      </w:r>
      <w:r w:rsidRPr="00256806">
        <w:rPr>
          <w:szCs w:val="24"/>
        </w:rPr>
        <w:t xml:space="preserve">four </w:t>
      </w:r>
      <w:r>
        <w:rPr>
          <w:szCs w:val="24"/>
        </w:rPr>
        <w:t>areas,</w:t>
      </w:r>
      <w:r w:rsidRPr="00256806">
        <w:rPr>
          <w:szCs w:val="24"/>
        </w:rPr>
        <w:t xml:space="preserve"> with </w:t>
      </w:r>
      <w:r>
        <w:rPr>
          <w:szCs w:val="24"/>
        </w:rPr>
        <w:t xml:space="preserve">a </w:t>
      </w:r>
      <w:r w:rsidRPr="00256806">
        <w:rPr>
          <w:szCs w:val="24"/>
        </w:rPr>
        <w:t>higher increase projected during the mid</w:t>
      </w:r>
      <w:r>
        <w:rPr>
          <w:szCs w:val="24"/>
        </w:rPr>
        <w:t>-</w:t>
      </w:r>
      <w:r w:rsidRPr="00256806">
        <w:rPr>
          <w:szCs w:val="24"/>
        </w:rPr>
        <w:t>term</w:t>
      </w:r>
      <w:r>
        <w:rPr>
          <w:szCs w:val="24"/>
        </w:rPr>
        <w:t xml:space="preserve"> </w:t>
      </w:r>
      <w:r w:rsidR="00470D6C">
        <w:rPr>
          <w:szCs w:val="24"/>
        </w:rPr>
        <w:t xml:space="preserve">future </w:t>
      </w:r>
      <w:r>
        <w:rPr>
          <w:szCs w:val="24"/>
        </w:rPr>
        <w:t>period</w:t>
      </w:r>
      <w:r w:rsidRPr="00256806">
        <w:rPr>
          <w:szCs w:val="24"/>
        </w:rPr>
        <w:t xml:space="preserve">. </w:t>
      </w:r>
      <w:r>
        <w:rPr>
          <w:szCs w:val="24"/>
        </w:rPr>
        <w:t xml:space="preserve">These changes in annual precipitation are in accordance with other studies based on CMIP5 and CMIP6 models that show an increase in precipitation over the </w:t>
      </w:r>
      <w:r w:rsidR="00CC6433">
        <w:rPr>
          <w:szCs w:val="24"/>
        </w:rPr>
        <w:t>s</w:t>
      </w:r>
      <w:r>
        <w:rPr>
          <w:szCs w:val="24"/>
        </w:rPr>
        <w:t>outheast</w:t>
      </w:r>
      <w:r w:rsidR="00CC6433">
        <w:rPr>
          <w:szCs w:val="24"/>
        </w:rPr>
        <w:t>ern United States</w:t>
      </w:r>
      <w:r>
        <w:rPr>
          <w:szCs w:val="24"/>
        </w:rPr>
        <w:t xml:space="preserve"> (Almazroui et al., 2021; Ashfaq et al., 2016). On a</w:t>
      </w:r>
      <w:r w:rsidRPr="00256806">
        <w:rPr>
          <w:szCs w:val="24"/>
        </w:rPr>
        <w:t xml:space="preserve"> seasonal scale, </w:t>
      </w:r>
      <w:r>
        <w:rPr>
          <w:szCs w:val="24"/>
        </w:rPr>
        <w:t xml:space="preserve">the </w:t>
      </w:r>
      <w:r w:rsidRPr="00256806">
        <w:rPr>
          <w:szCs w:val="24"/>
        </w:rPr>
        <w:t xml:space="preserve">largest increase in median precipitation is projected during </w:t>
      </w:r>
      <w:r>
        <w:rPr>
          <w:szCs w:val="24"/>
        </w:rPr>
        <w:t xml:space="preserve">the </w:t>
      </w:r>
      <w:r w:rsidRPr="00256806">
        <w:rPr>
          <w:szCs w:val="24"/>
        </w:rPr>
        <w:t xml:space="preserve">winter and spring across all four </w:t>
      </w:r>
      <w:r>
        <w:rPr>
          <w:szCs w:val="24"/>
        </w:rPr>
        <w:t xml:space="preserve">areas </w:t>
      </w:r>
      <w:r w:rsidRPr="00256806">
        <w:rPr>
          <w:szCs w:val="24"/>
        </w:rPr>
        <w:t xml:space="preserve">in </w:t>
      </w:r>
      <w:r>
        <w:rPr>
          <w:szCs w:val="24"/>
        </w:rPr>
        <w:t xml:space="preserve">the </w:t>
      </w:r>
      <w:r w:rsidRPr="00256806">
        <w:rPr>
          <w:szCs w:val="24"/>
        </w:rPr>
        <w:t>mid</w:t>
      </w:r>
      <w:r>
        <w:rPr>
          <w:szCs w:val="24"/>
        </w:rPr>
        <w:t>-</w:t>
      </w:r>
      <w:r w:rsidRPr="00256806">
        <w:rPr>
          <w:szCs w:val="24"/>
        </w:rPr>
        <w:t>term</w:t>
      </w:r>
      <w:r>
        <w:rPr>
          <w:szCs w:val="24"/>
        </w:rPr>
        <w:t xml:space="preserve"> </w:t>
      </w:r>
      <w:r w:rsidR="00470D6C">
        <w:rPr>
          <w:szCs w:val="24"/>
        </w:rPr>
        <w:t xml:space="preserve">future </w:t>
      </w:r>
      <w:r>
        <w:rPr>
          <w:szCs w:val="24"/>
        </w:rPr>
        <w:t>period</w:t>
      </w:r>
      <w:r w:rsidRPr="00256806">
        <w:rPr>
          <w:szCs w:val="24"/>
        </w:rPr>
        <w:t>. SEPA-1 and SEPA-4 also project</w:t>
      </w:r>
      <w:r w:rsidR="00FB7A82">
        <w:rPr>
          <w:szCs w:val="24"/>
        </w:rPr>
        <w:t>ed</w:t>
      </w:r>
      <w:r w:rsidRPr="00256806">
        <w:rPr>
          <w:szCs w:val="24"/>
        </w:rPr>
        <w:t xml:space="preserve"> </w:t>
      </w:r>
      <w:r>
        <w:rPr>
          <w:szCs w:val="24"/>
        </w:rPr>
        <w:t xml:space="preserve">an </w:t>
      </w:r>
      <w:r w:rsidRPr="00256806">
        <w:rPr>
          <w:szCs w:val="24"/>
        </w:rPr>
        <w:t xml:space="preserve">increase </w:t>
      </w:r>
      <w:r>
        <w:rPr>
          <w:szCs w:val="24"/>
        </w:rPr>
        <w:t xml:space="preserve">in precipitation </w:t>
      </w:r>
      <w:r w:rsidRPr="00256806">
        <w:rPr>
          <w:szCs w:val="24"/>
        </w:rPr>
        <w:t xml:space="preserve">during </w:t>
      </w:r>
      <w:r>
        <w:rPr>
          <w:szCs w:val="24"/>
        </w:rPr>
        <w:t>the summer and</w:t>
      </w:r>
      <w:r w:rsidRPr="00256806">
        <w:rPr>
          <w:szCs w:val="24"/>
        </w:rPr>
        <w:t xml:space="preserve"> fall.</w:t>
      </w:r>
    </w:p>
    <w:p w14:paraId="481734C6" w14:textId="47D60AF2" w:rsidR="00D36042" w:rsidRDefault="00D36042" w:rsidP="00D36042">
      <w:pPr>
        <w:pStyle w:val="BodyText"/>
        <w:rPr>
          <w:lang w:eastAsia="zh-TW"/>
        </w:rPr>
      </w:pPr>
      <w:r w:rsidRPr="00256806">
        <w:rPr>
          <w:szCs w:val="24"/>
          <w:lang w:eastAsia="zh-TW"/>
        </w:rPr>
        <w:t xml:space="preserve">The annual and seasonal changes in precipitation over the SEPA regions are summarized in </w:t>
      </w:r>
      <w:r>
        <w:rPr>
          <w:szCs w:val="24"/>
        </w:rPr>
        <w:fldChar w:fldCharType="begin"/>
      </w:r>
      <w:r>
        <w:rPr>
          <w:szCs w:val="24"/>
          <w:lang w:eastAsia="zh-TW"/>
        </w:rPr>
        <w:instrText xml:space="preserve"> REF _Ref72856625 \h </w:instrText>
      </w:r>
      <w:r>
        <w:rPr>
          <w:szCs w:val="24"/>
        </w:rPr>
      </w:r>
      <w:r>
        <w:rPr>
          <w:szCs w:val="24"/>
        </w:rP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5</w:t>
      </w:r>
      <w:r>
        <w:rPr>
          <w:szCs w:val="24"/>
        </w:rPr>
        <w:fldChar w:fldCharType="end"/>
      </w:r>
      <w:r w:rsidRPr="00256806">
        <w:rPr>
          <w:szCs w:val="24"/>
        </w:rPr>
        <w:t xml:space="preserve">. </w:t>
      </w:r>
      <w:r>
        <w:rPr>
          <w:szCs w:val="24"/>
        </w:rPr>
        <w:t>For both</w:t>
      </w:r>
      <w:r w:rsidRPr="00256806">
        <w:rPr>
          <w:szCs w:val="24"/>
        </w:rPr>
        <w:t xml:space="preserve"> the near-term (2020</w:t>
      </w:r>
      <w:r>
        <w:rPr>
          <w:szCs w:val="24"/>
        </w:rPr>
        <w:t>–</w:t>
      </w:r>
      <w:r w:rsidRPr="00256806">
        <w:rPr>
          <w:szCs w:val="24"/>
        </w:rPr>
        <w:t>2039) and mid-term (2040</w:t>
      </w:r>
      <w:r>
        <w:rPr>
          <w:szCs w:val="24"/>
        </w:rPr>
        <w:t>–</w:t>
      </w:r>
      <w:r w:rsidRPr="00256806">
        <w:rPr>
          <w:szCs w:val="24"/>
        </w:rPr>
        <w:t>2059)</w:t>
      </w:r>
      <w:r>
        <w:rPr>
          <w:szCs w:val="24"/>
        </w:rPr>
        <w:t xml:space="preserve"> future periods</w:t>
      </w:r>
      <w:r w:rsidRPr="00256806">
        <w:rPr>
          <w:szCs w:val="24"/>
        </w:rPr>
        <w:t xml:space="preserve">, the ensemble median annual precipitation is projected to increase over </w:t>
      </w:r>
      <w:r>
        <w:rPr>
          <w:szCs w:val="24"/>
        </w:rPr>
        <w:t xml:space="preserve">the </w:t>
      </w:r>
      <w:r w:rsidRPr="00256806">
        <w:rPr>
          <w:szCs w:val="24"/>
        </w:rPr>
        <w:t xml:space="preserve">four </w:t>
      </w:r>
      <w:r>
        <w:rPr>
          <w:szCs w:val="24"/>
        </w:rPr>
        <w:t>areas,</w:t>
      </w:r>
      <w:r w:rsidRPr="00256806">
        <w:rPr>
          <w:szCs w:val="24"/>
        </w:rPr>
        <w:t xml:space="preserve"> with </w:t>
      </w:r>
      <w:r>
        <w:rPr>
          <w:szCs w:val="24"/>
        </w:rPr>
        <w:t xml:space="preserve">a </w:t>
      </w:r>
      <w:r w:rsidRPr="00256806">
        <w:rPr>
          <w:szCs w:val="24"/>
        </w:rPr>
        <w:t>higher increase projected during the mid</w:t>
      </w:r>
      <w:r>
        <w:rPr>
          <w:szCs w:val="24"/>
        </w:rPr>
        <w:t>-</w:t>
      </w:r>
      <w:r w:rsidRPr="00256806">
        <w:rPr>
          <w:szCs w:val="24"/>
        </w:rPr>
        <w:t>term</w:t>
      </w:r>
      <w:r>
        <w:rPr>
          <w:szCs w:val="24"/>
        </w:rPr>
        <w:t xml:space="preserve"> future period</w:t>
      </w:r>
      <w:r w:rsidRPr="00256806">
        <w:rPr>
          <w:szCs w:val="24"/>
        </w:rPr>
        <w:t xml:space="preserve">. </w:t>
      </w:r>
      <w:r>
        <w:rPr>
          <w:szCs w:val="24"/>
        </w:rPr>
        <w:t>These changes in annual precipitation are in accordance with other studies based on CMIP5 and CMIP6 models that show an increase in precipitation over the southeastern United States (Almazroui et al., 2021; Ashfaq et al., 2016). On a</w:t>
      </w:r>
      <w:r w:rsidRPr="00256806">
        <w:rPr>
          <w:szCs w:val="24"/>
        </w:rPr>
        <w:t xml:space="preserve"> seasonal scale, </w:t>
      </w:r>
      <w:r>
        <w:rPr>
          <w:szCs w:val="24"/>
        </w:rPr>
        <w:t xml:space="preserve">the </w:t>
      </w:r>
      <w:r w:rsidRPr="00256806">
        <w:rPr>
          <w:szCs w:val="24"/>
        </w:rPr>
        <w:t xml:space="preserve">largest increase in median precipitation is projected during </w:t>
      </w:r>
      <w:r>
        <w:rPr>
          <w:szCs w:val="24"/>
        </w:rPr>
        <w:t xml:space="preserve">the </w:t>
      </w:r>
      <w:r w:rsidRPr="00256806">
        <w:rPr>
          <w:szCs w:val="24"/>
        </w:rPr>
        <w:t xml:space="preserve">winter and spring across all four </w:t>
      </w:r>
      <w:r>
        <w:rPr>
          <w:szCs w:val="24"/>
        </w:rPr>
        <w:t xml:space="preserve">areas </w:t>
      </w:r>
      <w:r w:rsidRPr="00256806">
        <w:rPr>
          <w:szCs w:val="24"/>
        </w:rPr>
        <w:t xml:space="preserve">in </w:t>
      </w:r>
      <w:r>
        <w:rPr>
          <w:szCs w:val="24"/>
        </w:rPr>
        <w:t xml:space="preserve">the </w:t>
      </w:r>
      <w:r w:rsidRPr="00256806">
        <w:rPr>
          <w:szCs w:val="24"/>
        </w:rPr>
        <w:t>mid</w:t>
      </w:r>
      <w:r>
        <w:rPr>
          <w:szCs w:val="24"/>
        </w:rPr>
        <w:t>-</w:t>
      </w:r>
      <w:r w:rsidRPr="00256806">
        <w:rPr>
          <w:szCs w:val="24"/>
        </w:rPr>
        <w:t>term</w:t>
      </w:r>
      <w:r>
        <w:rPr>
          <w:szCs w:val="24"/>
        </w:rPr>
        <w:t xml:space="preserve"> future period</w:t>
      </w:r>
      <w:r w:rsidRPr="00256806">
        <w:rPr>
          <w:szCs w:val="24"/>
        </w:rPr>
        <w:t>. SEPA-1 and SEPA-4 also project</w:t>
      </w:r>
      <w:r>
        <w:rPr>
          <w:szCs w:val="24"/>
        </w:rPr>
        <w:t>ed</w:t>
      </w:r>
      <w:r w:rsidRPr="00256806">
        <w:rPr>
          <w:szCs w:val="24"/>
        </w:rPr>
        <w:t xml:space="preserve"> </w:t>
      </w:r>
      <w:r>
        <w:rPr>
          <w:szCs w:val="24"/>
        </w:rPr>
        <w:t xml:space="preserve">an </w:t>
      </w:r>
      <w:r w:rsidRPr="00256806">
        <w:rPr>
          <w:szCs w:val="24"/>
        </w:rPr>
        <w:t xml:space="preserve">increase </w:t>
      </w:r>
      <w:r>
        <w:rPr>
          <w:szCs w:val="24"/>
        </w:rPr>
        <w:t xml:space="preserve">in precipitation </w:t>
      </w:r>
      <w:r w:rsidRPr="00256806">
        <w:rPr>
          <w:szCs w:val="24"/>
        </w:rPr>
        <w:t xml:space="preserve">during </w:t>
      </w:r>
      <w:r>
        <w:rPr>
          <w:szCs w:val="24"/>
        </w:rPr>
        <w:t>the summer and</w:t>
      </w:r>
      <w:r w:rsidRPr="00256806">
        <w:rPr>
          <w:szCs w:val="24"/>
        </w:rPr>
        <w:t xml:space="preserve"> fall.</w:t>
      </w:r>
    </w:p>
    <w:p w14:paraId="4D342AE1" w14:textId="77777777" w:rsidR="00D36042" w:rsidRPr="00D9580F" w:rsidRDefault="00D36042" w:rsidP="00D9580F">
      <w:pPr>
        <w:pStyle w:val="BodyText"/>
        <w:rPr>
          <w:lang w:eastAsia="zh-TW"/>
        </w:rPr>
      </w:pPr>
    </w:p>
    <w:p w14:paraId="0DEBC99D" w14:textId="77777777" w:rsidR="00F16614" w:rsidRDefault="00F16614" w:rsidP="00CD66C9">
      <w:pPr>
        <w:pStyle w:val="FIGUREposition"/>
        <w:rPr>
          <w:lang w:eastAsia="zh-TW"/>
        </w:rPr>
      </w:pPr>
      <w:r>
        <w:rPr>
          <w:noProof/>
        </w:rPr>
        <w:lastRenderedPageBreak/>
        <w:drawing>
          <wp:inline distT="0" distB="0" distL="0" distR="0" wp14:anchorId="51F5248B" wp14:editId="4487CCC0">
            <wp:extent cx="5486396" cy="1828799"/>
            <wp:effectExtent l="0" t="0" r="635" b="63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pic:cNvPicPr>
                      <a:picLocks noChangeAspect="1" noChangeArrowheads="1"/>
                    </pic:cNvPicPr>
                  </pic:nvPicPr>
                  <pic:blipFill>
                    <a:blip r:embed="rId232"/>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28C6BCF1" wp14:editId="6B4B1F32">
            <wp:extent cx="5486396" cy="1828799"/>
            <wp:effectExtent l="0" t="0" r="635" b="63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pic:cNvPicPr>
                      <a:picLocks noChangeAspect="1" noChangeArrowheads="1"/>
                    </pic:cNvPicPr>
                  </pic:nvPicPr>
                  <pic:blipFill>
                    <a:blip r:embed="rId233"/>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3BF8C377" wp14:editId="516F8146">
            <wp:extent cx="5486396" cy="1828799"/>
            <wp:effectExtent l="0" t="0" r="635" b="63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pic:cNvPicPr>
                      <a:picLocks noChangeAspect="1" noChangeArrowheads="1"/>
                    </pic:cNvPicPr>
                  </pic:nvPicPr>
                  <pic:blipFill>
                    <a:blip r:embed="rId234"/>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3DBF3A7D" wp14:editId="6C33A200">
            <wp:extent cx="5486396" cy="1828799"/>
            <wp:effectExtent l="0" t="0" r="635" b="63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pic:cNvPicPr>
                      <a:picLocks noChangeAspect="1" noChangeArrowheads="1"/>
                    </pic:cNvPicPr>
                  </pic:nvPicPr>
                  <pic:blipFill>
                    <a:blip r:embed="rId235"/>
                    <a:stretch>
                      <a:fillRect/>
                    </a:stretch>
                  </pic:blipFill>
                  <pic:spPr bwMode="auto">
                    <a:xfrm>
                      <a:off x="0" y="0"/>
                      <a:ext cx="5486396" cy="1828799"/>
                    </a:xfrm>
                    <a:prstGeom prst="rect">
                      <a:avLst/>
                    </a:prstGeom>
                    <a:noFill/>
                    <a:ln>
                      <a:noFill/>
                    </a:ln>
                  </pic:spPr>
                </pic:pic>
              </a:graphicData>
            </a:graphic>
          </wp:inline>
        </w:drawing>
      </w:r>
    </w:p>
    <w:p w14:paraId="29A249C7" w14:textId="3ED02BF9" w:rsidR="00F16614" w:rsidRDefault="00F16614" w:rsidP="00F16614">
      <w:pPr>
        <w:pStyle w:val="FigureCaption"/>
        <w:rPr>
          <w:b w:val="0"/>
        </w:rPr>
      </w:pPr>
      <w:bookmarkStart w:id="515" w:name="_Ref72856614"/>
      <w:bookmarkStart w:id="516" w:name="_Toc113380948"/>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4</w:t>
      </w:r>
      <w:r w:rsidRPr="00F61532">
        <w:rPr>
          <w:lang w:eastAsia="zh-TW"/>
        </w:rPr>
        <w:fldChar w:fldCharType="end"/>
      </w:r>
      <w:bookmarkEnd w:id="515"/>
      <w:r w:rsidRPr="00F61532">
        <w:rPr>
          <w:lang w:eastAsia="zh-TW"/>
        </w:rPr>
        <w:t xml:space="preserve">. Projected annual </w:t>
      </w:r>
      <w:r>
        <w:rPr>
          <w:lang w:eastAsia="zh-TW"/>
        </w:rPr>
        <w:t>total precipitation</w:t>
      </w:r>
      <w:r w:rsidRPr="00F61532">
        <w:rPr>
          <w:lang w:eastAsia="zh-TW"/>
        </w:rPr>
        <w:t xml:space="preserve"> in </w:t>
      </w:r>
      <w:r>
        <w:rPr>
          <w:lang w:eastAsia="zh-TW"/>
        </w:rPr>
        <w:t>the SEPA region.</w:t>
      </w:r>
      <w:bookmarkEnd w:id="516"/>
    </w:p>
    <w:p w14:paraId="046B5C66" w14:textId="77777777" w:rsidR="00F16614" w:rsidRDefault="00F16614" w:rsidP="00CD66C9">
      <w:pPr>
        <w:pStyle w:val="FIGUREposition"/>
        <w:rPr>
          <w:lang w:eastAsia="zh-TW"/>
        </w:rPr>
      </w:pPr>
      <w:r>
        <w:rPr>
          <w:noProof/>
        </w:rPr>
        <w:lastRenderedPageBreak/>
        <w:drawing>
          <wp:inline distT="0" distB="0" distL="0" distR="0" wp14:anchorId="7BF36F2D" wp14:editId="44FD1599">
            <wp:extent cx="2743200" cy="182880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3C3258FD" wp14:editId="728CA38B">
            <wp:extent cx="2743200" cy="182880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86B1032" wp14:editId="5E591C03">
            <wp:extent cx="2743200" cy="18288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B9494BB" wp14:editId="2E1A8428">
            <wp:extent cx="2743200" cy="18288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25C46F6D" w14:textId="6A4AB053" w:rsidR="00F16614" w:rsidRDefault="00F16614" w:rsidP="00F16614">
      <w:pPr>
        <w:pStyle w:val="FigureCaption"/>
        <w:rPr>
          <w:lang w:eastAsia="zh-TW"/>
        </w:rPr>
      </w:pPr>
      <w:bookmarkStart w:id="517" w:name="_Ref72856625"/>
      <w:bookmarkStart w:id="518" w:name="_Toc113380949"/>
      <w:r>
        <w:rPr>
          <w:lang w:eastAsia="zh-TW"/>
        </w:rPr>
        <w:t>Figure</w:t>
      </w:r>
      <w:r w:rsidRPr="00A328DA">
        <w:rPr>
          <w:lang w:eastAsia="zh-TW"/>
        </w:rPr>
        <w:t xml:space="preserve"> </w:t>
      </w:r>
      <w:r w:rsidRPr="00A328DA">
        <w:rPr>
          <w:lang w:eastAsia="zh-TW"/>
        </w:rPr>
        <w:fldChar w:fldCharType="begin"/>
      </w:r>
      <w:r w:rsidRPr="00A328DA">
        <w:rPr>
          <w:lang w:eastAsia="zh-TW"/>
        </w:rPr>
        <w:instrText xml:space="preserve"> STYLEREF 1 \s </w:instrText>
      </w:r>
      <w:r w:rsidRPr="00A328DA">
        <w:rPr>
          <w:lang w:eastAsia="zh-TW"/>
        </w:rPr>
        <w:fldChar w:fldCharType="separate"/>
      </w:r>
      <w:r w:rsidR="00EE0BF5">
        <w:rPr>
          <w:noProof/>
          <w:lang w:eastAsia="zh-TW"/>
        </w:rPr>
        <w:t>6</w:t>
      </w:r>
      <w:r w:rsidRPr="00A328DA">
        <w:rPr>
          <w:lang w:eastAsia="zh-TW"/>
        </w:rPr>
        <w:fldChar w:fldCharType="end"/>
      </w:r>
      <w:r w:rsidRPr="00A328DA">
        <w:rPr>
          <w:lang w:eastAsia="zh-TW"/>
        </w:rPr>
        <w:t>.</w:t>
      </w:r>
      <w:r w:rsidRPr="00A328DA">
        <w:rPr>
          <w:lang w:eastAsia="zh-TW"/>
        </w:rPr>
        <w:fldChar w:fldCharType="begin"/>
      </w:r>
      <w:r w:rsidRPr="00A328DA">
        <w:rPr>
          <w:lang w:eastAsia="zh-TW"/>
        </w:rPr>
        <w:instrText xml:space="preserve"> SEQ Figure \* ARABIC \s 1 </w:instrText>
      </w:r>
      <w:r w:rsidRPr="00A328DA">
        <w:rPr>
          <w:lang w:eastAsia="zh-TW"/>
        </w:rPr>
        <w:fldChar w:fldCharType="separate"/>
      </w:r>
      <w:r w:rsidR="00EE0BF5">
        <w:rPr>
          <w:noProof/>
          <w:lang w:eastAsia="zh-TW"/>
        </w:rPr>
        <w:t>5</w:t>
      </w:r>
      <w:r w:rsidRPr="00A328DA">
        <w:rPr>
          <w:lang w:eastAsia="zh-TW"/>
        </w:rPr>
        <w:fldChar w:fldCharType="end"/>
      </w:r>
      <w:bookmarkEnd w:id="517"/>
      <w:r w:rsidRPr="00A328DA">
        <w:rPr>
          <w:lang w:eastAsia="zh-TW"/>
        </w:rPr>
        <w:t xml:space="preserve">. </w:t>
      </w:r>
      <w:r w:rsidRPr="00F61532">
        <w:rPr>
          <w:lang w:eastAsia="zh-TW"/>
        </w:rPr>
        <w:t xml:space="preserve">Projected change of annual and seasonal </w:t>
      </w:r>
      <w:r>
        <w:rPr>
          <w:lang w:eastAsia="zh-TW"/>
        </w:rPr>
        <w:t>total precipitation</w:t>
      </w:r>
      <w:r w:rsidRPr="00F61532">
        <w:rPr>
          <w:lang w:eastAsia="zh-TW"/>
        </w:rPr>
        <w:t xml:space="preserve"> in </w:t>
      </w:r>
      <w:r>
        <w:rPr>
          <w:lang w:eastAsia="zh-TW"/>
        </w:rPr>
        <w:t>the SEPA region</w:t>
      </w:r>
      <w:r w:rsidRPr="00F61532">
        <w:rPr>
          <w:lang w:eastAsia="zh-TW"/>
        </w:rPr>
        <w:t>.</w:t>
      </w:r>
      <w:bookmarkEnd w:id="518"/>
    </w:p>
    <w:p w14:paraId="4DD4C5F6" w14:textId="77777777" w:rsidR="009C6B84" w:rsidRPr="009C6B84" w:rsidRDefault="009C6B84" w:rsidP="009C6B84">
      <w:pPr>
        <w:pStyle w:val="BodyText"/>
        <w:rPr>
          <w:lang w:eastAsia="zh-TW"/>
        </w:rPr>
      </w:pPr>
    </w:p>
    <w:p w14:paraId="3E7C94E9" w14:textId="4A1221A4" w:rsidR="0020715F" w:rsidRPr="0020715F" w:rsidRDefault="0020715F" w:rsidP="0020715F">
      <w:pPr>
        <w:pStyle w:val="Heading3"/>
      </w:pPr>
      <w:bookmarkStart w:id="519" w:name="_Ref81723091"/>
      <w:bookmarkStart w:id="520" w:name="_Toc113380833"/>
      <w:r w:rsidRPr="0020715F">
        <w:t xml:space="preserve">Regional </w:t>
      </w:r>
      <w:r w:rsidR="00C01F68">
        <w:t>Hydrologic</w:t>
      </w:r>
      <w:r w:rsidRPr="0020715F">
        <w:t xml:space="preserve"> Projections</w:t>
      </w:r>
      <w:bookmarkEnd w:id="519"/>
      <w:bookmarkEnd w:id="520"/>
    </w:p>
    <w:p w14:paraId="6358613A" w14:textId="21674E69" w:rsidR="00B77269" w:rsidRDefault="00D81236" w:rsidP="00B77269">
      <w:pPr>
        <w:pStyle w:val="BodyText"/>
      </w:pPr>
      <w:r w:rsidRPr="00E60DBA">
        <w:t xml:space="preserve">The runoff projections for each of the SEPA regions are illustrated in </w:t>
      </w:r>
      <w:r>
        <w:fldChar w:fldCharType="begin"/>
      </w:r>
      <w:r>
        <w:instrText xml:space="preserve"> REF _Ref72856656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6</w:t>
      </w:r>
      <w:r>
        <w:fldChar w:fldCharType="end"/>
      </w:r>
      <w:r w:rsidRPr="00E60DBA">
        <w:t xml:space="preserve"> and </w:t>
      </w:r>
      <w:r>
        <w:fldChar w:fldCharType="begin"/>
      </w:r>
      <w:r>
        <w:instrText xml:space="preserve"> REF _Ref72856663 \h </w:instrText>
      </w:r>
      <w: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7</w:t>
      </w:r>
      <w:r>
        <w:fldChar w:fldCharType="end"/>
      </w:r>
      <w:r w:rsidRPr="00E60DBA">
        <w:t xml:space="preserve">. </w:t>
      </w:r>
      <w:r>
        <w:t xml:space="preserve">The annual total runoff in baseline (1980–2019) and future (2020–2059) </w:t>
      </w:r>
      <w:r w:rsidR="002605AB">
        <w:t xml:space="preserve">periods </w:t>
      </w:r>
      <w:r w:rsidR="00A017F3">
        <w:t xml:space="preserve">is </w:t>
      </w:r>
      <w:r>
        <w:t xml:space="preserve">presented in </w:t>
      </w:r>
      <w:r>
        <w:fldChar w:fldCharType="begin"/>
      </w:r>
      <w:r>
        <w:instrText xml:space="preserve"> REF _Ref72856656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6</w:t>
      </w:r>
      <w:r>
        <w:fldChar w:fldCharType="end"/>
      </w:r>
      <w:r>
        <w:t xml:space="preserve">. The gray lines show annual runoff from 48 sets of hydrologic projections, the black line represents the </w:t>
      </w:r>
      <w:r w:rsidR="005E23BA">
        <w:t>multimodel</w:t>
      </w:r>
      <w:r>
        <w:t xml:space="preserve"> median, and the blue and green lines show the control simulations driven by Daymet and Livneh observations, respectively</w:t>
      </w:r>
      <w:r w:rsidRPr="00E60DBA">
        <w:t xml:space="preserve">. </w:t>
      </w:r>
      <w:r>
        <w:t>The corresponding probability distributions are compared in the right panel</w:t>
      </w:r>
      <w:r w:rsidRPr="00E60DBA">
        <w:t xml:space="preserve">. </w:t>
      </w:r>
      <w:r w:rsidRPr="007573EB">
        <w:t xml:space="preserve">The annual and seasonal changes in runoff are further summarized in </w:t>
      </w:r>
      <w:r>
        <w:fldChar w:fldCharType="begin"/>
      </w:r>
      <w:r>
        <w:instrText xml:space="preserve"> REF _Ref72856663 \h </w:instrText>
      </w:r>
      <w: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7</w:t>
      </w:r>
      <w:r>
        <w:fldChar w:fldCharType="end"/>
      </w:r>
      <w:r w:rsidRPr="007573EB">
        <w:t>. Change is defined as the percent</w:t>
      </w:r>
      <w:r w:rsidR="004B5CC9">
        <w:t>age</w:t>
      </w:r>
      <w:r w:rsidRPr="007573EB">
        <w:t xml:space="preserve"> difference of future periods (2020–2039 and 2040–2059) compared </w:t>
      </w:r>
      <w:r w:rsidR="008118EF">
        <w:t xml:space="preserve">with </w:t>
      </w:r>
      <w:r w:rsidRPr="007573EB">
        <w:t>the baseline period</w:t>
      </w:r>
      <w:r w:rsidR="008F4FBC">
        <w:t xml:space="preserve"> (</w:t>
      </w:r>
      <w:r w:rsidR="008F4FBC" w:rsidRPr="007573EB">
        <w:t>1980–2019</w:t>
      </w:r>
      <w:r w:rsidR="008F4FBC">
        <w:t>)</w:t>
      </w:r>
      <w:r w:rsidRPr="007573EB">
        <w:t xml:space="preserve">. Each box plot shows the spread across 48 ensemble </w:t>
      </w:r>
      <w:r>
        <w:rPr>
          <w:rFonts w:eastAsia="PMingLiU"/>
          <w:lang w:eastAsia="zh-TW"/>
        </w:rPr>
        <w:t>members</w:t>
      </w:r>
      <w:r w:rsidR="002B1200">
        <w:rPr>
          <w:rFonts w:eastAsia="PMingLiU"/>
          <w:lang w:eastAsia="zh-TW"/>
        </w:rPr>
        <w:t>;</w:t>
      </w:r>
      <w:r w:rsidRPr="007573EB">
        <w:t xml:space="preserve"> the central mark </w:t>
      </w:r>
      <w:r w:rsidR="002B1200">
        <w:t xml:space="preserve">indicates </w:t>
      </w:r>
      <w:r w:rsidRPr="007573EB">
        <w:t xml:space="preserve">the </w:t>
      </w:r>
      <w:r w:rsidR="005E23BA">
        <w:t>multimodel</w:t>
      </w:r>
      <w:r w:rsidRPr="007573EB">
        <w:t xml:space="preserve"> median, </w:t>
      </w:r>
      <w:r w:rsidR="002B1200">
        <w:t xml:space="preserve">and </w:t>
      </w:r>
      <w:r w:rsidRPr="007573EB">
        <w:t xml:space="preserve">the edges of the box </w:t>
      </w:r>
      <w:r w:rsidR="002B1200">
        <w:t xml:space="preserve">indicate </w:t>
      </w:r>
      <w:r w:rsidRPr="007573EB">
        <w:t xml:space="preserve">the </w:t>
      </w:r>
      <w:r w:rsidR="00BF3E4A">
        <w:t>25</w:t>
      </w:r>
      <w:r w:rsidR="00FA458A" w:rsidRPr="00FA458A">
        <w:t>th</w:t>
      </w:r>
      <w:r w:rsidR="00B77269">
        <w:t xml:space="preserve"> </w:t>
      </w:r>
      <w:r w:rsidRPr="007573EB">
        <w:t xml:space="preserve">and </w:t>
      </w:r>
      <w:r w:rsidR="00BF3E4A">
        <w:t>75</w:t>
      </w:r>
      <w:r w:rsidR="00FA458A" w:rsidRPr="00FA458A">
        <w:t>th</w:t>
      </w:r>
      <w:r w:rsidR="00B77269">
        <w:t xml:space="preserve"> </w:t>
      </w:r>
      <w:r w:rsidRPr="007573EB">
        <w:t>percentiles</w:t>
      </w:r>
      <w:r>
        <w:t>.</w:t>
      </w:r>
      <w:r w:rsidRPr="00565E8D">
        <w:rPr>
          <w:rFonts w:eastAsia="PMingLiU"/>
          <w:lang w:eastAsia="zh-TW"/>
        </w:rPr>
        <w:t xml:space="preserve"> </w:t>
      </w:r>
      <w:r>
        <w:rPr>
          <w:rFonts w:eastAsia="PMingLiU"/>
          <w:lang w:eastAsia="zh-TW"/>
        </w:rPr>
        <w:t xml:space="preserve">The maximum </w:t>
      </w:r>
      <w:r w:rsidRPr="00726701">
        <w:rPr>
          <w:rFonts w:eastAsia="PMingLiU"/>
          <w:lang w:eastAsia="zh-TW"/>
        </w:rPr>
        <w:t>whisker length</w:t>
      </w:r>
      <w:r>
        <w:rPr>
          <w:rFonts w:eastAsia="PMingLiU"/>
          <w:lang w:eastAsia="zh-TW"/>
        </w:rPr>
        <w:t xml:space="preserve"> is 1.5 times </w:t>
      </w:r>
      <w:r w:rsidR="002C5082">
        <w:rPr>
          <w:rFonts w:eastAsia="PMingLiU"/>
          <w:lang w:eastAsia="zh-TW"/>
        </w:rPr>
        <w:t xml:space="preserve">the </w:t>
      </w:r>
      <w:r>
        <w:rPr>
          <w:rFonts w:eastAsia="PMingLiU"/>
          <w:lang w:eastAsia="zh-TW"/>
        </w:rPr>
        <w:t>box height (</w:t>
      </w:r>
      <w:r w:rsidR="00BF3E4A">
        <w:rPr>
          <w:rFonts w:eastAsia="PMingLiU"/>
          <w:lang w:eastAsia="zh-TW"/>
        </w:rPr>
        <w:t>25</w:t>
      </w:r>
      <w:r w:rsidR="00FA458A" w:rsidRPr="00FA458A">
        <w:rPr>
          <w:rFonts w:eastAsia="PMingLiU"/>
          <w:lang w:eastAsia="zh-TW"/>
        </w:rPr>
        <w:t>th</w:t>
      </w:r>
      <w:r>
        <w:rPr>
          <w:rFonts w:eastAsia="PMingLiU"/>
          <w:lang w:eastAsia="zh-TW"/>
        </w:rPr>
        <w:t xml:space="preserve"> to </w:t>
      </w:r>
      <w:r w:rsidR="00BF3E4A">
        <w:rPr>
          <w:rFonts w:eastAsia="PMingLiU"/>
          <w:lang w:eastAsia="zh-TW"/>
        </w:rPr>
        <w:t>75</w:t>
      </w:r>
      <w:r w:rsidR="00FA458A" w:rsidRPr="00FA458A">
        <w:rPr>
          <w:rFonts w:eastAsia="PMingLiU"/>
          <w:lang w:eastAsia="zh-TW"/>
        </w:rPr>
        <w:t>th</w:t>
      </w:r>
      <w:r w:rsidR="00B77269">
        <w:rPr>
          <w:rFonts w:eastAsia="PMingLiU"/>
          <w:lang w:eastAsia="zh-TW"/>
        </w:rPr>
        <w:t xml:space="preserve"> </w:t>
      </w:r>
      <w:r w:rsidRPr="004C111D">
        <w:rPr>
          <w:rFonts w:eastAsia="PMingLiU"/>
          <w:lang w:eastAsia="zh-TW"/>
        </w:rPr>
        <w:t>percentiles</w:t>
      </w:r>
      <w:r>
        <w:rPr>
          <w:rFonts w:eastAsia="PMingLiU"/>
          <w:lang w:eastAsia="zh-TW"/>
        </w:rPr>
        <w:t xml:space="preserve">). Ensemble members outside of the maximum whisker length are considered as </w:t>
      </w:r>
      <w:r w:rsidR="000D2A50">
        <w:rPr>
          <w:rFonts w:eastAsia="PMingLiU"/>
          <w:lang w:eastAsia="zh-TW"/>
        </w:rPr>
        <w:t>statistical outliers (but should not be excluded in the context of climate change)</w:t>
      </w:r>
      <w:r w:rsidRPr="007573EB">
        <w:t>.</w:t>
      </w:r>
    </w:p>
    <w:p w14:paraId="418E2AD8" w14:textId="77777777" w:rsidR="005F2BCC" w:rsidRDefault="00D001C9" w:rsidP="00896E91">
      <w:pPr>
        <w:pStyle w:val="BodyText"/>
        <w:keepLines/>
        <w:jc w:val="center"/>
        <w:rPr>
          <w:noProof/>
        </w:rPr>
      </w:pPr>
      <w:r>
        <w:rPr>
          <w:noProof/>
        </w:rPr>
        <w:lastRenderedPageBreak/>
        <w:drawing>
          <wp:inline distT="0" distB="0" distL="0" distR="0" wp14:anchorId="4FA06C40" wp14:editId="62A60230">
            <wp:extent cx="5486396" cy="1828798"/>
            <wp:effectExtent l="0" t="0" r="635" b="63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pic:cNvPicPr>
                      <a:picLocks noChangeAspect="1" noChangeArrowheads="1"/>
                    </pic:cNvPicPr>
                  </pic:nvPicPr>
                  <pic:blipFill>
                    <a:blip r:embed="rId240"/>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2BDE2075" wp14:editId="2453D8F4">
            <wp:extent cx="5486396" cy="1828798"/>
            <wp:effectExtent l="0" t="0" r="635" b="63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pic:cNvPicPr>
                      <a:picLocks noChangeAspect="1" noChangeArrowheads="1"/>
                    </pic:cNvPicPr>
                  </pic:nvPicPr>
                  <pic:blipFill>
                    <a:blip r:embed="rId241"/>
                    <a:stretch>
                      <a:fillRect/>
                    </a:stretch>
                  </pic:blipFill>
                  <pic:spPr bwMode="auto">
                    <a:xfrm>
                      <a:off x="0" y="0"/>
                      <a:ext cx="5486396" cy="1828798"/>
                    </a:xfrm>
                    <a:prstGeom prst="rect">
                      <a:avLst/>
                    </a:prstGeom>
                    <a:noFill/>
                    <a:ln>
                      <a:noFill/>
                    </a:ln>
                  </pic:spPr>
                </pic:pic>
              </a:graphicData>
            </a:graphic>
          </wp:inline>
        </w:drawing>
      </w:r>
    </w:p>
    <w:p w14:paraId="7454AE1B" w14:textId="060E7BE3" w:rsidR="00260B81" w:rsidRDefault="000F67D8" w:rsidP="00CD66C9">
      <w:pPr>
        <w:pStyle w:val="FIGUREposition"/>
        <w:rPr>
          <w:rFonts w:eastAsia="PMingLiU"/>
          <w:lang w:eastAsia="zh-TW"/>
        </w:rPr>
      </w:pPr>
      <w:r w:rsidRPr="000F67D8">
        <w:rPr>
          <w:noProof/>
        </w:rPr>
        <w:t xml:space="preserve"> </w:t>
      </w:r>
      <w:r>
        <w:rPr>
          <w:noProof/>
        </w:rPr>
        <w:drawing>
          <wp:inline distT="0" distB="0" distL="0" distR="0" wp14:anchorId="206876A6" wp14:editId="629C778C">
            <wp:extent cx="5486396" cy="1828798"/>
            <wp:effectExtent l="0" t="0" r="635"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a:picLocks noChangeAspect="1" noChangeArrowheads="1"/>
                    </pic:cNvPicPr>
                  </pic:nvPicPr>
                  <pic:blipFill>
                    <a:blip r:embed="rId242"/>
                    <a:stretch>
                      <a:fillRect/>
                    </a:stretch>
                  </pic:blipFill>
                  <pic:spPr bwMode="auto">
                    <a:xfrm>
                      <a:off x="0" y="0"/>
                      <a:ext cx="5486396" cy="1828798"/>
                    </a:xfrm>
                    <a:prstGeom prst="rect">
                      <a:avLst/>
                    </a:prstGeom>
                    <a:noFill/>
                    <a:ln>
                      <a:noFill/>
                    </a:ln>
                  </pic:spPr>
                </pic:pic>
              </a:graphicData>
            </a:graphic>
          </wp:inline>
        </w:drawing>
      </w:r>
      <w:r w:rsidR="00D001C9">
        <w:rPr>
          <w:noProof/>
        </w:rPr>
        <w:drawing>
          <wp:inline distT="0" distB="0" distL="0" distR="0" wp14:anchorId="72522E0A" wp14:editId="16A54D44">
            <wp:extent cx="5486396" cy="1828798"/>
            <wp:effectExtent l="0" t="0" r="635" b="63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pic:cNvPicPr>
                      <a:picLocks noChangeAspect="1" noChangeArrowheads="1"/>
                    </pic:cNvPicPr>
                  </pic:nvPicPr>
                  <pic:blipFill>
                    <a:blip r:embed="rId243"/>
                    <a:stretch>
                      <a:fillRect/>
                    </a:stretch>
                  </pic:blipFill>
                  <pic:spPr bwMode="auto">
                    <a:xfrm>
                      <a:off x="0" y="0"/>
                      <a:ext cx="5486396" cy="1828798"/>
                    </a:xfrm>
                    <a:prstGeom prst="rect">
                      <a:avLst/>
                    </a:prstGeom>
                    <a:noFill/>
                    <a:ln>
                      <a:noFill/>
                    </a:ln>
                  </pic:spPr>
                </pic:pic>
              </a:graphicData>
            </a:graphic>
          </wp:inline>
        </w:drawing>
      </w:r>
    </w:p>
    <w:p w14:paraId="70BB9539" w14:textId="31995FF4" w:rsidR="00D9580F" w:rsidRPr="00D9580F" w:rsidRDefault="003F6C94" w:rsidP="00D9580F">
      <w:pPr>
        <w:pStyle w:val="FigureCaption"/>
        <w:rPr>
          <w:lang w:eastAsia="zh-TW"/>
        </w:rPr>
      </w:pPr>
      <w:bookmarkStart w:id="521" w:name="_Ref72856656"/>
      <w:bookmarkStart w:id="522" w:name="_Toc113380950"/>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6</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6</w:t>
      </w:r>
      <w:r w:rsidR="00260B81" w:rsidRPr="00F61532">
        <w:rPr>
          <w:lang w:eastAsia="zh-TW"/>
        </w:rPr>
        <w:fldChar w:fldCharType="end"/>
      </w:r>
      <w:bookmarkEnd w:id="521"/>
      <w:r w:rsidR="00260B81" w:rsidRPr="00F61532">
        <w:rPr>
          <w:lang w:eastAsia="zh-TW"/>
        </w:rPr>
        <w:t xml:space="preserve">. Projected annual </w:t>
      </w:r>
      <w:r w:rsidR="00260B81">
        <w:rPr>
          <w:lang w:eastAsia="zh-TW"/>
        </w:rPr>
        <w:t>total runoff</w:t>
      </w:r>
      <w:r w:rsidR="00260B81" w:rsidRPr="00F61532">
        <w:rPr>
          <w:lang w:eastAsia="zh-TW"/>
        </w:rPr>
        <w:t xml:space="preserve"> in </w:t>
      </w:r>
      <w:r w:rsidR="00260B81">
        <w:rPr>
          <w:lang w:eastAsia="zh-TW"/>
        </w:rPr>
        <w:t>the SEPA region.</w:t>
      </w:r>
      <w:bookmarkEnd w:id="522"/>
    </w:p>
    <w:p w14:paraId="33238EB9" w14:textId="5353659D" w:rsidR="00896E91" w:rsidRDefault="00896E91" w:rsidP="00CD66C9">
      <w:pPr>
        <w:pStyle w:val="FIGUREposition"/>
        <w:rPr>
          <w:rFonts w:eastAsia="PMingLiU"/>
          <w:lang w:eastAsia="zh-TW"/>
        </w:rPr>
      </w:pPr>
      <w:r>
        <w:rPr>
          <w:noProof/>
        </w:rPr>
        <w:lastRenderedPageBreak/>
        <w:drawing>
          <wp:inline distT="0" distB="0" distL="0" distR="0" wp14:anchorId="40F1B354" wp14:editId="137972A3">
            <wp:extent cx="2743200" cy="182880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477FB822" wp14:editId="09C7BF1B">
            <wp:extent cx="2743200" cy="18288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42C6A274" wp14:editId="3A06FD3C">
            <wp:extent cx="2743200" cy="18288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73A67FC0" wp14:editId="64DD6440">
            <wp:extent cx="2743200" cy="18288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1FCB4A25" w14:textId="703A9C8B" w:rsidR="00896E91" w:rsidRDefault="003F6C94" w:rsidP="00896E91">
      <w:pPr>
        <w:pStyle w:val="FigureCaption"/>
        <w:rPr>
          <w:lang w:eastAsia="zh-TW"/>
        </w:rPr>
      </w:pPr>
      <w:bookmarkStart w:id="523" w:name="_Ref72856663"/>
      <w:bookmarkStart w:id="524" w:name="_Toc113380951"/>
      <w:r>
        <w:rPr>
          <w:lang w:eastAsia="zh-TW"/>
        </w:rPr>
        <w:t>Figure</w:t>
      </w:r>
      <w:r w:rsidR="00896E91" w:rsidRPr="00A328DA">
        <w:rPr>
          <w:lang w:eastAsia="zh-TW"/>
        </w:rPr>
        <w:t xml:space="preserve"> </w:t>
      </w:r>
      <w:r w:rsidR="00896E91" w:rsidRPr="00A328DA">
        <w:rPr>
          <w:lang w:eastAsia="zh-TW"/>
        </w:rPr>
        <w:fldChar w:fldCharType="begin"/>
      </w:r>
      <w:r w:rsidR="00896E91" w:rsidRPr="00A328DA">
        <w:rPr>
          <w:lang w:eastAsia="zh-TW"/>
        </w:rPr>
        <w:instrText xml:space="preserve"> STYLEREF 1 \s </w:instrText>
      </w:r>
      <w:r w:rsidR="00896E91" w:rsidRPr="00A328DA">
        <w:rPr>
          <w:lang w:eastAsia="zh-TW"/>
        </w:rPr>
        <w:fldChar w:fldCharType="separate"/>
      </w:r>
      <w:r w:rsidR="00EE0BF5">
        <w:rPr>
          <w:noProof/>
          <w:lang w:eastAsia="zh-TW"/>
        </w:rPr>
        <w:t>6</w:t>
      </w:r>
      <w:r w:rsidR="00896E91" w:rsidRPr="00A328DA">
        <w:rPr>
          <w:lang w:eastAsia="zh-TW"/>
        </w:rPr>
        <w:fldChar w:fldCharType="end"/>
      </w:r>
      <w:r w:rsidR="00896E91" w:rsidRPr="00A328DA">
        <w:rPr>
          <w:lang w:eastAsia="zh-TW"/>
        </w:rPr>
        <w:t>.</w:t>
      </w:r>
      <w:r w:rsidR="00896E91" w:rsidRPr="00A328DA">
        <w:rPr>
          <w:lang w:eastAsia="zh-TW"/>
        </w:rPr>
        <w:fldChar w:fldCharType="begin"/>
      </w:r>
      <w:r w:rsidR="00896E91" w:rsidRPr="00A328DA">
        <w:rPr>
          <w:lang w:eastAsia="zh-TW"/>
        </w:rPr>
        <w:instrText xml:space="preserve"> SEQ Figure \* ARABIC \s 1 </w:instrText>
      </w:r>
      <w:r w:rsidR="00896E91" w:rsidRPr="00A328DA">
        <w:rPr>
          <w:lang w:eastAsia="zh-TW"/>
        </w:rPr>
        <w:fldChar w:fldCharType="separate"/>
      </w:r>
      <w:r w:rsidR="00EE0BF5">
        <w:rPr>
          <w:noProof/>
          <w:lang w:eastAsia="zh-TW"/>
        </w:rPr>
        <w:t>7</w:t>
      </w:r>
      <w:r w:rsidR="00896E91" w:rsidRPr="00A328DA">
        <w:rPr>
          <w:lang w:eastAsia="zh-TW"/>
        </w:rPr>
        <w:fldChar w:fldCharType="end"/>
      </w:r>
      <w:bookmarkEnd w:id="523"/>
      <w:r w:rsidR="00896E91" w:rsidRPr="00A328DA">
        <w:rPr>
          <w:lang w:eastAsia="zh-TW"/>
        </w:rPr>
        <w:t xml:space="preserve">. </w:t>
      </w:r>
      <w:r w:rsidR="00896E91" w:rsidRPr="00F61532">
        <w:rPr>
          <w:lang w:eastAsia="zh-TW"/>
        </w:rPr>
        <w:t xml:space="preserve">Projected change of annual and seasonal </w:t>
      </w:r>
      <w:r w:rsidR="00896E91">
        <w:rPr>
          <w:lang w:eastAsia="zh-TW"/>
        </w:rPr>
        <w:t>total runoff</w:t>
      </w:r>
      <w:r w:rsidR="00896E91" w:rsidRPr="00F61532">
        <w:rPr>
          <w:lang w:eastAsia="zh-TW"/>
        </w:rPr>
        <w:t xml:space="preserve"> in </w:t>
      </w:r>
      <w:r w:rsidR="00896E91">
        <w:rPr>
          <w:lang w:eastAsia="zh-TW"/>
        </w:rPr>
        <w:t>the SEPA region</w:t>
      </w:r>
      <w:r w:rsidR="00896E91" w:rsidRPr="00F61532">
        <w:rPr>
          <w:lang w:eastAsia="zh-TW"/>
        </w:rPr>
        <w:t>.</w:t>
      </w:r>
      <w:bookmarkEnd w:id="524"/>
    </w:p>
    <w:p w14:paraId="3CCDA427" w14:textId="613C227A" w:rsidR="00D9580F" w:rsidRDefault="00D9580F" w:rsidP="00D9580F">
      <w:pPr>
        <w:pStyle w:val="BodyText"/>
      </w:pPr>
      <w:r>
        <w:t>The shifts of probability distributions (</w:t>
      </w:r>
      <w:r>
        <w:fldChar w:fldCharType="begin"/>
      </w:r>
      <w:r>
        <w:instrText xml:space="preserve"> REF _Ref72856656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6</w:t>
      </w:r>
      <w:r>
        <w:fldChar w:fldCharType="end"/>
      </w:r>
      <w:r>
        <w:t xml:space="preserve">) suggest that the annual runoff is projected to increase </w:t>
      </w:r>
      <w:r w:rsidRPr="00C75C6E">
        <w:t xml:space="preserve">in the future period </w:t>
      </w:r>
      <w:r>
        <w:t xml:space="preserve">and the distributions are </w:t>
      </w:r>
      <w:r w:rsidRPr="00C75C6E">
        <w:t xml:space="preserve">statistically </w:t>
      </w:r>
      <w:r>
        <w:t>different</w:t>
      </w:r>
      <w:r w:rsidRPr="007573EB">
        <w:t>.</w:t>
      </w:r>
      <w:r>
        <w:t xml:space="preserve"> Additionally, the probability distributions in all SEPA areas are projected to widen, indicating that the range of interannual variability is expected to increase. Such changes are more prominent and easily noticeable in SEPA-3 and </w:t>
      </w:r>
      <w:r w:rsidRPr="00E277B4">
        <w:t>SEPA-4. The maximum increase in median annual runoff is projected in the range of 6.</w:t>
      </w:r>
      <w:r w:rsidRPr="00F66DE3">
        <w:t>2</w:t>
      </w:r>
      <w:r>
        <w:t xml:space="preserve">% to </w:t>
      </w:r>
      <w:r w:rsidRPr="00F66DE3">
        <w:t>14.9%</w:t>
      </w:r>
      <w:r>
        <w:t>,</w:t>
      </w:r>
      <w:r w:rsidRPr="00F66DE3">
        <w:t xml:space="preserve"> with the greatest change in SEPA-4 and the least increase in SEPA-1. More specifically, the median annual runoff is projected to increase across </w:t>
      </w:r>
      <w:r w:rsidRPr="0094042B">
        <w:t xml:space="preserve">all study areas in the range of </w:t>
      </w:r>
      <w:r w:rsidRPr="00154652">
        <w:t>0.4</w:t>
      </w:r>
      <w:r>
        <w:t xml:space="preserve">% to </w:t>
      </w:r>
      <w:r w:rsidRPr="00154652">
        <w:t>13.2%</w:t>
      </w:r>
      <w:r w:rsidRPr="00E277B4">
        <w:t xml:space="preserve"> in the near-term and </w:t>
      </w:r>
      <w:r w:rsidRPr="00154652">
        <w:t>8.8</w:t>
      </w:r>
      <w:r>
        <w:t xml:space="preserve">% to </w:t>
      </w:r>
      <w:r w:rsidRPr="00154652">
        <w:t>16.8%</w:t>
      </w:r>
      <w:r w:rsidRPr="00E277B4">
        <w:t xml:space="preserve"> in the mid-term future periods. The range of annual runoff change is higher </w:t>
      </w:r>
      <w:r w:rsidRPr="00F66DE3">
        <w:t>in the mid-term future</w:t>
      </w:r>
      <w:r w:rsidRPr="0094042B">
        <w:t xml:space="preserve"> period</w:t>
      </w:r>
      <w:r>
        <w:t>,</w:t>
      </w:r>
      <w:r w:rsidRPr="007573EB">
        <w:t xml:space="preserve"> indicating greater uncertainties in runoff projections.</w:t>
      </w:r>
    </w:p>
    <w:p w14:paraId="5C3A3B98" w14:textId="375097AA" w:rsidR="005F2BCC" w:rsidRPr="005F2BCC" w:rsidRDefault="00BD6124" w:rsidP="005F2BCC">
      <w:pPr>
        <w:pStyle w:val="BodyText"/>
        <w:rPr>
          <w:lang w:eastAsia="zh-TW"/>
        </w:rPr>
      </w:pPr>
      <w:r w:rsidRPr="007573EB">
        <w:t xml:space="preserve">At </w:t>
      </w:r>
      <w:r>
        <w:t>the</w:t>
      </w:r>
      <w:r w:rsidRPr="007573EB">
        <w:t xml:space="preserve"> seasonal scale, </w:t>
      </w:r>
      <w:r>
        <w:t xml:space="preserve">the ensemble median winter runoff is projected to increase across all SEPA areas in the range of 1.3% to 14.1% in the near-term future period, and the change is expected to further increase in the range of 13.7% to 18.4% in the mid-term future period. The spring runoff is projected to increase across all SEPA areas in the range of 0.9% to 5.6% in the near-term and up to 12.3% to 22.4% in the mid-term future periods. Summer runoff is expected to increase across all SEPA areas by 4.8%–8.6% in the near-term and 5.9%–14.5% in the mid-term future periods. The fall runoff is also expected to increase across all SEPA areas, except for SEPA-2, in the range of 4.7% to 20% in the near-term and 2.5% to 23.3% in the mid-term future periods. The fall runoff in SEPA-2 is projected to decrease by 0.6% in the near-term and increase by 2.4% in the mid-term future periods. </w:t>
      </w:r>
      <w:r w:rsidRPr="007573EB">
        <w:t>The trends in winter</w:t>
      </w:r>
      <w:r>
        <w:t>, spring,</w:t>
      </w:r>
      <w:r w:rsidRPr="007573EB">
        <w:t xml:space="preserve"> and summer runoff projections indicate that these changes would be stronger in magnitude</w:t>
      </w:r>
      <w:r>
        <w:t xml:space="preserve"> in </w:t>
      </w:r>
      <w:r w:rsidRPr="007573EB">
        <w:t xml:space="preserve">the </w:t>
      </w:r>
      <w:r>
        <w:t>mid-term future</w:t>
      </w:r>
      <w:r w:rsidRPr="007573EB">
        <w:t xml:space="preserve"> period, although also accompanied with greater uncertainties </w:t>
      </w:r>
      <w:r>
        <w:t>across all</w:t>
      </w:r>
      <w:r w:rsidRPr="007573EB">
        <w:t xml:space="preserve"> ensemble members.</w:t>
      </w:r>
    </w:p>
    <w:p w14:paraId="47B2B017" w14:textId="08B88A02" w:rsidR="00B77269" w:rsidRDefault="00B77269" w:rsidP="00CD66C9">
      <w:pPr>
        <w:pStyle w:val="BodyText"/>
      </w:pPr>
      <w:r w:rsidRPr="000E02CA">
        <w:t xml:space="preserve">An additional analysis </w:t>
      </w:r>
      <w:r>
        <w:t>of</w:t>
      </w:r>
      <w:r w:rsidRPr="000E02CA">
        <w:t xml:space="preserve"> extreme runoff is shown in </w:t>
      </w:r>
      <w:r>
        <w:fldChar w:fldCharType="begin"/>
      </w:r>
      <w:r>
        <w:instrText xml:space="preserve"> REF _Ref72856733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8</w:t>
      </w:r>
      <w:r>
        <w:fldChar w:fldCharType="end"/>
      </w:r>
      <w:r w:rsidRPr="000E02CA">
        <w:t xml:space="preserve">, which presents future changes in ensemble median high runoff (i.e., </w:t>
      </w:r>
      <w:r>
        <w:t>95</w:t>
      </w:r>
      <w:r w:rsidR="00FA458A" w:rsidRPr="00FA458A">
        <w:t>th</w:t>
      </w:r>
      <w:r w:rsidR="000B2A68">
        <w:t xml:space="preserve"> </w:t>
      </w:r>
      <w:r w:rsidRPr="000E02CA">
        <w:t>percentile of daily runoff) and median low runoff (i.e.,</w:t>
      </w:r>
      <w:r>
        <w:t xml:space="preserve"> 5</w:t>
      </w:r>
      <w:r w:rsidR="00FA458A" w:rsidRPr="00FA458A">
        <w:t>th</w:t>
      </w:r>
      <w:r w:rsidR="000B2A68">
        <w:t xml:space="preserve"> </w:t>
      </w:r>
      <w:r w:rsidRPr="000E02CA">
        <w:t xml:space="preserve">percentile </w:t>
      </w:r>
      <w:r>
        <w:t xml:space="preserve">of </w:t>
      </w:r>
      <w:r>
        <w:rPr>
          <w:color w:val="000000" w:themeColor="text1"/>
          <w:lang w:eastAsia="zh-TW"/>
        </w:rPr>
        <w:t xml:space="preserve">7-day average </w:t>
      </w:r>
      <w:r w:rsidRPr="000E02CA">
        <w:t xml:space="preserve">runoff) </w:t>
      </w:r>
      <w:r>
        <w:t>in</w:t>
      </w:r>
      <w:r w:rsidRPr="000E02CA">
        <w:t xml:space="preserve"> both future projection periods. High </w:t>
      </w:r>
      <w:r>
        <w:t>r</w:t>
      </w:r>
      <w:r w:rsidRPr="000E02CA">
        <w:t>unoff is generally projected to increase in both future period</w:t>
      </w:r>
      <w:r>
        <w:t>s</w:t>
      </w:r>
      <w:r w:rsidRPr="000E02CA">
        <w:t xml:space="preserve"> across all SEPA </w:t>
      </w:r>
      <w:r>
        <w:t>areas</w:t>
      </w:r>
      <w:r w:rsidRPr="000E02CA">
        <w:t xml:space="preserve">. The change is expected to be stronger in the </w:t>
      </w:r>
      <w:r>
        <w:t>mid-</w:t>
      </w:r>
      <w:r>
        <w:lastRenderedPageBreak/>
        <w:t>term future period</w:t>
      </w:r>
      <w:r w:rsidRPr="000E02CA">
        <w:t xml:space="preserve">. The low runoff shows a mixed response and </w:t>
      </w:r>
      <w:r>
        <w:t xml:space="preserve">is </w:t>
      </w:r>
      <w:r w:rsidRPr="000E02CA">
        <w:t xml:space="preserve">spatially heterogenous. The low runoff conditions are expected to decrease in portions of SEPA-1, </w:t>
      </w:r>
      <w:r>
        <w:t>SEPA-</w:t>
      </w:r>
      <w:r w:rsidRPr="000E02CA">
        <w:t>2</w:t>
      </w:r>
      <w:r>
        <w:t>,</w:t>
      </w:r>
      <w:r w:rsidRPr="000E02CA">
        <w:t xml:space="preserve"> and </w:t>
      </w:r>
      <w:r>
        <w:t>SEPA-</w:t>
      </w:r>
      <w:r w:rsidRPr="000E02CA">
        <w:t xml:space="preserve">3. These results suggest </w:t>
      </w:r>
      <w:r>
        <w:t>increasing</w:t>
      </w:r>
      <w:r w:rsidRPr="000E02CA">
        <w:t xml:space="preserve"> likelihood of </w:t>
      </w:r>
      <w:r>
        <w:t xml:space="preserve">more </w:t>
      </w:r>
      <w:r w:rsidRPr="000E02CA">
        <w:t xml:space="preserve">frequent flood events, </w:t>
      </w:r>
      <w:r w:rsidRPr="000E02CA">
        <w:rPr>
          <w:rFonts w:hint="eastAsia"/>
        </w:rPr>
        <w:t>which</w:t>
      </w:r>
      <w:r w:rsidRPr="000E02CA">
        <w:t xml:space="preserve"> may increase the difficulty of water management in future climate condition</w:t>
      </w:r>
      <w:r>
        <w:t>s</w:t>
      </w:r>
      <w:r w:rsidRPr="000E02CA">
        <w:t>. The</w:t>
      </w:r>
      <w:r>
        <w:t>se</w:t>
      </w:r>
      <w:r w:rsidRPr="000E02CA">
        <w:t xml:space="preserve"> areas may experience </w:t>
      </w:r>
      <w:r>
        <w:t xml:space="preserve">both </w:t>
      </w:r>
      <w:r w:rsidRPr="000E02CA">
        <w:t xml:space="preserve">increase </w:t>
      </w:r>
      <w:r>
        <w:t>in</w:t>
      </w:r>
      <w:r w:rsidRPr="000E02CA">
        <w:t xml:space="preserve"> high runoff and decrease in low runoff conditions </w:t>
      </w:r>
      <w:r>
        <w:t xml:space="preserve">owing to the </w:t>
      </w:r>
      <w:r w:rsidRPr="000E02CA">
        <w:t>intensification of hydrologic cycle</w:t>
      </w:r>
      <w:r w:rsidR="006900AF">
        <w:t>s</w:t>
      </w:r>
      <w:r w:rsidRPr="000E02CA">
        <w:t xml:space="preserve"> at local scales.</w:t>
      </w:r>
    </w:p>
    <w:p w14:paraId="4C4990AF" w14:textId="77777777" w:rsidR="00D9580F" w:rsidRDefault="00D9580F" w:rsidP="00D9580F">
      <w:pPr>
        <w:pStyle w:val="FIGUREposition"/>
        <w:rPr>
          <w:lang w:eastAsia="zh-TW"/>
        </w:rPr>
      </w:pPr>
      <w:r>
        <w:rPr>
          <w:noProof/>
          <w:lang w:eastAsia="zh-TW"/>
        </w:rPr>
        <w:drawing>
          <wp:inline distT="0" distB="0" distL="0" distR="0" wp14:anchorId="694F9565" wp14:editId="2D232FBD">
            <wp:extent cx="5486400" cy="5486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248"/>
                    <a:stretch>
                      <a:fillRect/>
                    </a:stretch>
                  </pic:blipFill>
                  <pic:spPr bwMode="auto">
                    <a:xfrm>
                      <a:off x="0" y="0"/>
                      <a:ext cx="5486400" cy="5486400"/>
                    </a:xfrm>
                    <a:prstGeom prst="rect">
                      <a:avLst/>
                    </a:prstGeom>
                    <a:noFill/>
                    <a:ln>
                      <a:noFill/>
                    </a:ln>
                  </pic:spPr>
                </pic:pic>
              </a:graphicData>
            </a:graphic>
          </wp:inline>
        </w:drawing>
      </w:r>
    </w:p>
    <w:p w14:paraId="3D405D7F" w14:textId="7859BCBD" w:rsidR="00D9580F" w:rsidRPr="00F61532" w:rsidRDefault="00D9580F" w:rsidP="00D9580F">
      <w:pPr>
        <w:pStyle w:val="FigureCaption"/>
        <w:rPr>
          <w:b w:val="0"/>
        </w:rPr>
      </w:pPr>
      <w:bookmarkStart w:id="525" w:name="_Ref72856733"/>
      <w:bookmarkStart w:id="526" w:name="_Toc113380952"/>
      <w:bookmarkStart w:id="527" w:name="_Toc72785207"/>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8</w:t>
      </w:r>
      <w:r w:rsidRPr="00F61532">
        <w:rPr>
          <w:lang w:eastAsia="zh-TW"/>
        </w:rPr>
        <w:fldChar w:fldCharType="end"/>
      </w:r>
      <w:bookmarkEnd w:id="525"/>
      <w:r w:rsidRPr="00F61532">
        <w:rPr>
          <w:lang w:eastAsia="zh-TW"/>
        </w:rPr>
        <w:t xml:space="preserve">. </w:t>
      </w:r>
      <w:r w:rsidRPr="00F422BB">
        <w:rPr>
          <w:lang w:eastAsia="zh-TW"/>
        </w:rPr>
        <w:t xml:space="preserve">Projected change of high and low runoff in the </w:t>
      </w:r>
      <w:r>
        <w:rPr>
          <w:lang w:eastAsia="zh-TW"/>
        </w:rPr>
        <w:t>SEPA</w:t>
      </w:r>
      <w:r w:rsidRPr="00F422BB">
        <w:rPr>
          <w:lang w:eastAsia="zh-TW"/>
        </w:rPr>
        <w:t xml:space="preserve"> region</w:t>
      </w:r>
      <w:r>
        <w:rPr>
          <w:lang w:eastAsia="zh-TW"/>
        </w:rPr>
        <w:t>.</w:t>
      </w:r>
      <w:bookmarkEnd w:id="526"/>
    </w:p>
    <w:bookmarkEnd w:id="527"/>
    <w:p w14:paraId="3BC6A016" w14:textId="00F1B670" w:rsidR="000F67D8" w:rsidRDefault="000F67D8" w:rsidP="000F67D8">
      <w:pPr>
        <w:pStyle w:val="BodyText"/>
      </w:pPr>
      <w:r>
        <w:rPr>
          <w:color w:val="000000" w:themeColor="text1"/>
          <w:lang w:eastAsia="zh-TW"/>
        </w:rPr>
        <w:t xml:space="preserve">To evaluate the impacts of </w:t>
      </w:r>
      <w:r>
        <w:t>modeling</w:t>
      </w:r>
      <w:r w:rsidRPr="00B81A63">
        <w:t xml:space="preserve"> choices (</w:t>
      </w:r>
      <w:r>
        <w:t>six</w:t>
      </w:r>
      <w:r w:rsidRPr="00B81A63">
        <w:t xml:space="preserve"> </w:t>
      </w:r>
      <w:r>
        <w:t>CM</w:t>
      </w:r>
      <w:r w:rsidRPr="00B81A63">
        <w:t xml:space="preserve">s, </w:t>
      </w:r>
      <w:r>
        <w:t>two</w:t>
      </w:r>
      <w:r w:rsidRPr="00B81A63">
        <w:t xml:space="preserve"> </w:t>
      </w:r>
      <w:r>
        <w:t>DSs</w:t>
      </w:r>
      <w:r w:rsidRPr="00B81A63">
        <w:t xml:space="preserve">, </w:t>
      </w:r>
      <w:r>
        <w:t>two</w:t>
      </w:r>
      <w:r w:rsidRPr="00B81A63">
        <w:t xml:space="preserve"> </w:t>
      </w:r>
      <w:r>
        <w:t>MetFs</w:t>
      </w:r>
      <w:r w:rsidRPr="00B81A63">
        <w:t xml:space="preserve">, </w:t>
      </w:r>
      <w:r>
        <w:t>and two</w:t>
      </w:r>
      <w:r w:rsidRPr="00B81A63">
        <w:t xml:space="preserve"> </w:t>
      </w:r>
      <w:r>
        <w:t>HMs</w:t>
      </w:r>
      <w:r w:rsidRPr="00B81A63">
        <w:t xml:space="preserve">) </w:t>
      </w:r>
      <w:r>
        <w:t xml:space="preserve">on the projection of future runoff in </w:t>
      </w:r>
      <w:r w:rsidRPr="006268D6">
        <w:t xml:space="preserve">each </w:t>
      </w:r>
      <w:r>
        <w:t>SEPA</w:t>
      </w:r>
      <w:r w:rsidRPr="006268D6">
        <w:t xml:space="preserve"> area, </w:t>
      </w:r>
      <w:r>
        <w:t xml:space="preserve">an </w:t>
      </w:r>
      <w:r w:rsidRPr="006268D6">
        <w:t xml:space="preserve">ANOVA </w:t>
      </w:r>
      <w:r>
        <w:t xml:space="preserve">was conducted and is illustrated </w:t>
      </w:r>
      <w:r w:rsidRPr="006268D6">
        <w:t xml:space="preserve">in </w:t>
      </w:r>
      <w:r>
        <w:rPr>
          <w:highlight w:val="yellow"/>
        </w:rPr>
        <w:fldChar w:fldCharType="begin"/>
      </w:r>
      <w:r>
        <w:instrText xml:space="preserve"> REF _Ref72856765 \h </w:instrText>
      </w:r>
      <w:r>
        <w:rPr>
          <w:highlight w:val="yellow"/>
        </w:rPr>
      </w:r>
      <w:r>
        <w:rPr>
          <w:highlight w:val="yellow"/>
        </w:rP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9</w:t>
      </w:r>
      <w:r>
        <w:rPr>
          <w:highlight w:val="yellow"/>
        </w:rPr>
        <w:fldChar w:fldCharType="end"/>
      </w:r>
      <w:r w:rsidRPr="000E02CA">
        <w:t xml:space="preserve">. </w:t>
      </w:r>
      <w:r w:rsidRPr="006268D6">
        <w:t>The box</w:t>
      </w:r>
      <w:r>
        <w:t xml:space="preserve"> </w:t>
      </w:r>
      <w:r w:rsidRPr="006268D6">
        <w:t>plots show the magnitude of change (future minus baseline)</w:t>
      </w:r>
      <w:r>
        <w:t xml:space="preserve"> </w:t>
      </w:r>
      <w:r w:rsidRPr="006268D6">
        <w:t xml:space="preserve">in median annual runoff </w:t>
      </w:r>
      <w:r>
        <w:t>across</w:t>
      </w:r>
      <w:r w:rsidRPr="006268D6">
        <w:t xml:space="preserve"> 48 ensemble</w:t>
      </w:r>
      <w:r>
        <w:t xml:space="preserve"> member</w:t>
      </w:r>
      <w:r w:rsidRPr="006268D6">
        <w:t xml:space="preserve">s, grouped by each of the four </w:t>
      </w:r>
      <w:r>
        <w:t>modeling choices</w:t>
      </w:r>
      <w:r w:rsidRPr="000E02CA">
        <w:t xml:space="preserve">. </w:t>
      </w:r>
      <w:r>
        <w:t>The box plots provide a quantitative way to evaluate the range of possible outcomes in runoff response based on different modeling choices</w:t>
      </w:r>
      <w:r w:rsidRPr="000E02CA">
        <w:t xml:space="preserve">. </w:t>
      </w:r>
      <w:r>
        <w:t xml:space="preserve">ANOVA results </w:t>
      </w:r>
      <w:r w:rsidRPr="00B81A63">
        <w:t xml:space="preserve">indicate that </w:t>
      </w:r>
      <w:r w:rsidR="00F32AA2">
        <w:rPr>
          <w:rFonts w:eastAsia="PMingLiU"/>
          <w:lang w:eastAsia="zh-TW"/>
        </w:rPr>
        <w:t xml:space="preserve">the </w:t>
      </w:r>
      <w:r>
        <w:t xml:space="preserve">CM is </w:t>
      </w:r>
      <w:r w:rsidRPr="00B81A63">
        <w:t xml:space="preserve">generally the </w:t>
      </w:r>
      <w:r w:rsidR="00C753AB">
        <w:rPr>
          <w:rFonts w:eastAsia="PMingLiU"/>
          <w:lang w:eastAsia="zh-TW"/>
        </w:rPr>
        <w:t xml:space="preserve">most </w:t>
      </w:r>
      <w:r w:rsidRPr="00B81A63">
        <w:t xml:space="preserve">dominant contributor to the </w:t>
      </w:r>
      <w:r>
        <w:t>total variance of future runoff projections</w:t>
      </w:r>
      <w:r w:rsidRPr="000E02CA">
        <w:t xml:space="preserve">. The contribution of </w:t>
      </w:r>
      <w:r w:rsidR="00F32AA2">
        <w:rPr>
          <w:rFonts w:eastAsia="PMingLiU"/>
          <w:lang w:eastAsia="zh-TW"/>
        </w:rPr>
        <w:t xml:space="preserve">the </w:t>
      </w:r>
      <w:r>
        <w:t xml:space="preserve">CM </w:t>
      </w:r>
      <w:r w:rsidRPr="000E02CA">
        <w:t xml:space="preserve">toward total variance </w:t>
      </w:r>
      <w:r>
        <w:t xml:space="preserve">in annual runoff change ranges from 73% to 90% in the </w:t>
      </w:r>
      <w:r w:rsidRPr="000E02CA">
        <w:t>SEPA region.</w:t>
      </w:r>
      <w:r>
        <w:t xml:space="preserve"> The interaction between </w:t>
      </w:r>
      <w:r w:rsidR="00F32AA2">
        <w:rPr>
          <w:rFonts w:eastAsia="PMingLiU"/>
          <w:lang w:eastAsia="zh-TW"/>
        </w:rPr>
        <w:t xml:space="preserve">the </w:t>
      </w:r>
      <w:r>
        <w:t xml:space="preserve">CM and DS is the second most </w:t>
      </w:r>
      <w:r>
        <w:lastRenderedPageBreak/>
        <w:t>dominant</w:t>
      </w:r>
      <w:r w:rsidDel="006E60EF">
        <w:t xml:space="preserve"> </w:t>
      </w:r>
      <w:r>
        <w:t xml:space="preserve">contributor in SEPA-1, SEPA-2, and SEPA-3. </w:t>
      </w:r>
      <w:r w:rsidRPr="000E02CA">
        <w:t xml:space="preserve">The </w:t>
      </w:r>
      <w:r>
        <w:t xml:space="preserve">CM </w:t>
      </w:r>
      <w:r w:rsidRPr="000E02CA">
        <w:t xml:space="preserve">remains a dominant factor even at </w:t>
      </w:r>
      <w:r>
        <w:t xml:space="preserve">the </w:t>
      </w:r>
      <w:r w:rsidRPr="000E02CA">
        <w:t xml:space="preserve">seasonal scale </w:t>
      </w:r>
      <w:r>
        <w:t xml:space="preserve">across </w:t>
      </w:r>
      <w:r w:rsidRPr="000E02CA">
        <w:t>all four SEPA areas</w:t>
      </w:r>
      <w:r>
        <w:t xml:space="preserve"> (</w:t>
      </w:r>
      <w:r>
        <w:rPr>
          <w:color w:val="000000" w:themeColor="text1"/>
        </w:rPr>
        <w:fldChar w:fldCharType="begin"/>
      </w:r>
      <w:r>
        <w:instrText xml:space="preserve"> REF _Ref81739142 \n \h </w:instrText>
      </w:r>
      <w:r>
        <w:rPr>
          <w:color w:val="000000" w:themeColor="text1"/>
        </w:rPr>
      </w:r>
      <w:r>
        <w:rPr>
          <w:color w:val="000000" w:themeColor="text1"/>
        </w:rPr>
        <w:fldChar w:fldCharType="separate"/>
      </w:r>
      <w:r w:rsidR="00EE0BF5">
        <w:t>APPENDIX E</w:t>
      </w:r>
      <w:r>
        <w:rPr>
          <w:color w:val="000000" w:themeColor="text1"/>
        </w:rPr>
        <w:fldChar w:fldCharType="end"/>
      </w:r>
      <w:r>
        <w:t>).</w:t>
      </w:r>
    </w:p>
    <w:p w14:paraId="1CB73FAC" w14:textId="77777777" w:rsidR="00D9580F" w:rsidRDefault="00D9580F" w:rsidP="00D9580F">
      <w:pPr>
        <w:pStyle w:val="FIGUREposition"/>
        <w:rPr>
          <w:rFonts w:eastAsia="PMingLiU"/>
          <w:lang w:eastAsia="zh-TW"/>
        </w:rPr>
      </w:pPr>
      <w:r>
        <w:rPr>
          <w:noProof/>
        </w:rPr>
        <w:drawing>
          <wp:inline distT="0" distB="0" distL="0" distR="0" wp14:anchorId="052EBEEA" wp14:editId="6D5ECBC1">
            <wp:extent cx="5486400" cy="5217067"/>
            <wp:effectExtent l="0" t="0" r="0" b="317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9">
                      <a:extLst>
                        <a:ext uri="{28A0092B-C50C-407E-A947-70E740481C1C}">
                          <a14:useLocalDpi xmlns:a14="http://schemas.microsoft.com/office/drawing/2010/main" val="0"/>
                        </a:ext>
                      </a:extLst>
                    </a:blip>
                    <a:srcRect t="4909"/>
                    <a:stretch/>
                  </pic:blipFill>
                  <pic:spPr bwMode="auto">
                    <a:xfrm>
                      <a:off x="0" y="0"/>
                      <a:ext cx="5486400" cy="5217067"/>
                    </a:xfrm>
                    <a:prstGeom prst="rect">
                      <a:avLst/>
                    </a:prstGeom>
                    <a:noFill/>
                    <a:ln>
                      <a:noFill/>
                    </a:ln>
                    <a:extLst>
                      <a:ext uri="{53640926-AAD7-44D8-BBD7-CCE9431645EC}">
                        <a14:shadowObscured xmlns:a14="http://schemas.microsoft.com/office/drawing/2010/main"/>
                      </a:ext>
                    </a:extLst>
                  </pic:spPr>
                </pic:pic>
              </a:graphicData>
            </a:graphic>
          </wp:inline>
        </w:drawing>
      </w:r>
    </w:p>
    <w:p w14:paraId="3D126162" w14:textId="620DA96B" w:rsidR="00D9580F" w:rsidRDefault="00D9580F" w:rsidP="00D9580F">
      <w:pPr>
        <w:pStyle w:val="FigureCaption"/>
        <w:rPr>
          <w:b w:val="0"/>
        </w:rPr>
      </w:pPr>
      <w:bookmarkStart w:id="528" w:name="_Ref72856765"/>
      <w:bookmarkStart w:id="529" w:name="_Toc113380953"/>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9</w:t>
      </w:r>
      <w:r w:rsidRPr="00F61532">
        <w:rPr>
          <w:lang w:eastAsia="zh-TW"/>
        </w:rPr>
        <w:fldChar w:fldCharType="end"/>
      </w:r>
      <w:bookmarkEnd w:id="528"/>
      <w:r w:rsidRPr="00F61532">
        <w:rPr>
          <w:lang w:eastAsia="zh-TW"/>
        </w:rPr>
        <w:t xml:space="preserve">. </w:t>
      </w:r>
      <w:r>
        <w:rPr>
          <w:lang w:eastAsia="zh-TW"/>
        </w:rPr>
        <w:t xml:space="preserve">ANOVA of </w:t>
      </w:r>
      <w:r w:rsidRPr="00F61532">
        <w:rPr>
          <w:lang w:eastAsia="zh-TW"/>
        </w:rPr>
        <w:t xml:space="preserve">annual </w:t>
      </w:r>
      <w:r>
        <w:rPr>
          <w:lang w:eastAsia="zh-TW"/>
        </w:rPr>
        <w:t>total runoff</w:t>
      </w:r>
      <w:r w:rsidRPr="00F61532">
        <w:rPr>
          <w:lang w:eastAsia="zh-TW"/>
        </w:rPr>
        <w:t xml:space="preserve"> in </w:t>
      </w:r>
      <w:r>
        <w:rPr>
          <w:lang w:eastAsia="zh-TW"/>
        </w:rPr>
        <w:t>the SEPA region.</w:t>
      </w:r>
      <w:bookmarkEnd w:id="529"/>
    </w:p>
    <w:p w14:paraId="5296521F" w14:textId="65C07CAA" w:rsidR="00992673" w:rsidRDefault="007F505D" w:rsidP="00CD66C9">
      <w:pPr>
        <w:pStyle w:val="BodyText"/>
        <w:rPr>
          <w:lang w:eastAsia="zh-CN"/>
        </w:rPr>
      </w:pPr>
      <w:r>
        <w:t>T</w:t>
      </w:r>
      <w:r w:rsidRPr="002E2E19">
        <w:t xml:space="preserve">he </w:t>
      </w:r>
      <w:r>
        <w:t>LEM</w:t>
      </w:r>
      <w:r w:rsidR="009D58A6">
        <w:t>-</w:t>
      </w:r>
      <w:r>
        <w:t xml:space="preserve">simulated reservoir </w:t>
      </w:r>
      <w:r w:rsidRPr="002E2E19">
        <w:t xml:space="preserve">evaporation </w:t>
      </w:r>
      <w:r w:rsidR="00CE2D9D">
        <w:t>loss from</w:t>
      </w:r>
      <w:r>
        <w:t xml:space="preserve"> federal hydropower reservoirs </w:t>
      </w:r>
      <w:r w:rsidRPr="002E2E19">
        <w:t xml:space="preserve">in the </w:t>
      </w:r>
      <w:r>
        <w:t>SEPA</w:t>
      </w:r>
      <w:r w:rsidRPr="002E2E19">
        <w:t xml:space="preserve"> region </w:t>
      </w:r>
      <w:r>
        <w:t>is</w:t>
      </w:r>
      <w:r w:rsidRPr="002E2E19">
        <w:t xml:space="preserve"> illustrated in </w:t>
      </w:r>
      <w:r>
        <w:fldChar w:fldCharType="begin"/>
      </w:r>
      <w:r>
        <w:instrText xml:space="preserve"> REF _Ref72856788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10</w:t>
      </w:r>
      <w:r>
        <w:fldChar w:fldCharType="end"/>
      </w:r>
      <w:r w:rsidR="00087EBB">
        <w:t>.</w:t>
      </w:r>
      <w:r w:rsidRPr="002E2E19">
        <w:t xml:space="preserve"> </w:t>
      </w:r>
      <w:r w:rsidR="00087EBB">
        <w:t>T</w:t>
      </w:r>
      <w:r w:rsidR="00E7509E">
        <w:t>he</w:t>
      </w:r>
      <w:r w:rsidRPr="002E2E19">
        <w:t xml:space="preserve"> </w:t>
      </w:r>
      <w:r>
        <w:rPr>
          <w:lang w:eastAsia="zh-CN"/>
        </w:rPr>
        <w:t>blue</w:t>
      </w:r>
      <w:r w:rsidRPr="002E2E19">
        <w:t xml:space="preserve"> </w:t>
      </w:r>
      <w:r>
        <w:t xml:space="preserve">and green </w:t>
      </w:r>
      <w:r w:rsidRPr="002E2E19">
        <w:t xml:space="preserve">lines </w:t>
      </w:r>
      <w:r>
        <w:t xml:space="preserve">show annual reservoir </w:t>
      </w:r>
      <w:r w:rsidRPr="002E2E19">
        <w:t xml:space="preserve">evaporation </w:t>
      </w:r>
      <w:r w:rsidR="00CE2D9D">
        <w:t xml:space="preserve">loss </w:t>
      </w:r>
      <w:r>
        <w:t>(in units of million acre-f</w:t>
      </w:r>
      <w:r w:rsidR="00A127B1">
        <w:t>ee</w:t>
      </w:r>
      <w:r>
        <w:t xml:space="preserve">t) from 24 </w:t>
      </w:r>
      <w:bookmarkStart w:id="530" w:name="_Hlk76012466"/>
      <w:r w:rsidR="00CE2D9D">
        <w:t>projections</w:t>
      </w:r>
      <w:r w:rsidR="00CE2D9D" w:rsidDel="00B72B69">
        <w:t xml:space="preserve"> </w:t>
      </w:r>
      <w:r w:rsidR="00CE2D9D">
        <w:t>that were either bias-corrected or trained by</w:t>
      </w:r>
      <w:bookmarkEnd w:id="530"/>
      <w:r w:rsidR="00CE2D9D">
        <w:t xml:space="preserve"> </w:t>
      </w:r>
      <w:r>
        <w:t xml:space="preserve">Daymet and 24 </w:t>
      </w:r>
      <w:r w:rsidR="00CE2D9D">
        <w:t>projections</w:t>
      </w:r>
      <w:r w:rsidR="00CE2D9D" w:rsidDel="00B72B69">
        <w:t xml:space="preserve"> </w:t>
      </w:r>
      <w:r w:rsidR="00CE2D9D">
        <w:t xml:space="preserve">that were either bias-corrected or trained by </w:t>
      </w:r>
      <w:r>
        <w:t>Livneh.</w:t>
      </w:r>
      <w:r w:rsidRPr="002E2E19">
        <w:t xml:space="preserve"> </w:t>
      </w:r>
      <w:r>
        <w:t>The dark blue</w:t>
      </w:r>
      <w:r w:rsidRPr="002E2E19">
        <w:t xml:space="preserve"> </w:t>
      </w:r>
      <w:r>
        <w:t xml:space="preserve">and dark green </w:t>
      </w:r>
      <w:r w:rsidRPr="002E2E19">
        <w:t>line</w:t>
      </w:r>
      <w:r w:rsidR="00A127B1">
        <w:t>s</w:t>
      </w:r>
      <w:r w:rsidRPr="002E2E19">
        <w:t xml:space="preserve"> represen</w:t>
      </w:r>
      <w:r>
        <w:t>t</w:t>
      </w:r>
      <w:r w:rsidRPr="002E2E19">
        <w:t xml:space="preserve"> </w:t>
      </w:r>
      <w:r>
        <w:rPr>
          <w:rFonts w:hint="eastAsia"/>
          <w:lang w:eastAsia="zh-CN"/>
        </w:rPr>
        <w:t>the</w:t>
      </w:r>
      <w:r>
        <w:rPr>
          <w:lang w:eastAsia="zh-CN"/>
        </w:rPr>
        <w:t xml:space="preserve"> </w:t>
      </w:r>
      <w:r>
        <w:t xml:space="preserve">control simulations driven by </w:t>
      </w:r>
      <w:r w:rsidR="00CE2D9D">
        <w:t xml:space="preserve">1980–2019 </w:t>
      </w:r>
      <w:r>
        <w:t xml:space="preserve">Daymet and </w:t>
      </w:r>
      <w:r w:rsidR="00CE2D9D">
        <w:t xml:space="preserve">1980–2013 </w:t>
      </w:r>
      <w:r>
        <w:t xml:space="preserve">Livneh, respectively. </w:t>
      </w:r>
      <w:r>
        <w:rPr>
          <w:rFonts w:hint="eastAsia"/>
          <w:lang w:eastAsia="zh-CN"/>
        </w:rPr>
        <w:t>The</w:t>
      </w:r>
      <w:r>
        <w:rPr>
          <w:lang w:eastAsia="zh-CN"/>
        </w:rPr>
        <w:t xml:space="preserve"> right panel shows the probability density distribution</w:t>
      </w:r>
      <w:r w:rsidR="00CE2D9D">
        <w:rPr>
          <w:lang w:eastAsia="zh-CN"/>
        </w:rPr>
        <w:t>s</w:t>
      </w:r>
      <w:r>
        <w:rPr>
          <w:lang w:eastAsia="zh-CN"/>
        </w:rPr>
        <w:t xml:space="preserve"> of annual evaporation loss </w:t>
      </w:r>
      <w:r w:rsidR="00CE2D9D">
        <w:rPr>
          <w:lang w:eastAsia="zh-CN"/>
        </w:rPr>
        <w:t xml:space="preserve">in </w:t>
      </w:r>
      <w:r>
        <w:rPr>
          <w:lang w:eastAsia="zh-CN"/>
        </w:rPr>
        <w:t>both baseline (1980–2019) and future (2020–2059) periods</w:t>
      </w:r>
      <w:r w:rsidR="00992673">
        <w:rPr>
          <w:lang w:eastAsia="zh-CN"/>
        </w:rPr>
        <w:t>.</w:t>
      </w:r>
    </w:p>
    <w:p w14:paraId="2CA63465" w14:textId="2EAA4579" w:rsidR="002954B5" w:rsidRDefault="002954B5" w:rsidP="00CD66C9">
      <w:pPr>
        <w:pStyle w:val="FIGUREposition"/>
      </w:pPr>
      <w:r>
        <w:rPr>
          <w:noProof/>
        </w:rPr>
        <w:lastRenderedPageBreak/>
        <w:drawing>
          <wp:inline distT="0" distB="0" distL="0" distR="0" wp14:anchorId="69C777AD" wp14:editId="0F635026">
            <wp:extent cx="5486390" cy="1828797"/>
            <wp:effectExtent l="0" t="0" r="635" b="63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pic:cNvPicPr>
                      <a:picLocks noChangeAspect="1" noChangeArrowheads="1"/>
                    </pic:cNvPicPr>
                  </pic:nvPicPr>
                  <pic:blipFill>
                    <a:blip r:embed="rId250"/>
                    <a:stretch>
                      <a:fillRect/>
                    </a:stretch>
                  </pic:blipFill>
                  <pic:spPr bwMode="auto">
                    <a:xfrm>
                      <a:off x="0" y="0"/>
                      <a:ext cx="5486390" cy="1828797"/>
                    </a:xfrm>
                    <a:prstGeom prst="rect">
                      <a:avLst/>
                    </a:prstGeom>
                    <a:noFill/>
                    <a:ln>
                      <a:noFill/>
                    </a:ln>
                  </pic:spPr>
                </pic:pic>
              </a:graphicData>
            </a:graphic>
          </wp:inline>
        </w:drawing>
      </w:r>
    </w:p>
    <w:p w14:paraId="7F34DB22" w14:textId="1AA8C64B" w:rsidR="002954B5" w:rsidRDefault="002954B5" w:rsidP="002954B5">
      <w:pPr>
        <w:pStyle w:val="FigureCaption"/>
        <w:rPr>
          <w:b w:val="0"/>
        </w:rPr>
      </w:pPr>
      <w:bookmarkStart w:id="531" w:name="_Ref72856788"/>
      <w:bookmarkStart w:id="532" w:name="_Toc11338095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10</w:t>
      </w:r>
      <w:r w:rsidRPr="00F61532">
        <w:rPr>
          <w:lang w:eastAsia="zh-TW"/>
        </w:rPr>
        <w:fldChar w:fldCharType="end"/>
      </w:r>
      <w:bookmarkEnd w:id="531"/>
      <w:r w:rsidRPr="00F61532">
        <w:rPr>
          <w:lang w:eastAsia="zh-TW"/>
        </w:rPr>
        <w:t xml:space="preserve">. Projected annual </w:t>
      </w:r>
      <w:r>
        <w:rPr>
          <w:lang w:eastAsia="zh-TW"/>
        </w:rPr>
        <w:t xml:space="preserve">total reservoir evaporation </w:t>
      </w:r>
      <w:r w:rsidRPr="00F61532">
        <w:rPr>
          <w:lang w:eastAsia="zh-TW"/>
        </w:rPr>
        <w:t xml:space="preserve">in </w:t>
      </w:r>
      <w:r>
        <w:rPr>
          <w:lang w:eastAsia="zh-TW"/>
        </w:rPr>
        <w:t>the SEPA region.</w:t>
      </w:r>
      <w:bookmarkEnd w:id="532"/>
    </w:p>
    <w:p w14:paraId="466E0FF8" w14:textId="2DD08C38" w:rsidR="00537391" w:rsidRDefault="00537391" w:rsidP="00CD66C9">
      <w:pPr>
        <w:pStyle w:val="BodyText"/>
      </w:pPr>
      <w:r w:rsidRPr="00780920">
        <w:t>The</w:t>
      </w:r>
      <w:r w:rsidRPr="00FB4622">
        <w:t xml:space="preserve"> </w:t>
      </w:r>
      <w:r>
        <w:t xml:space="preserve">results in </w:t>
      </w:r>
      <w:r>
        <w:fldChar w:fldCharType="begin"/>
      </w:r>
      <w:r>
        <w:instrText xml:space="preserve"> REF _Ref72856788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10</w:t>
      </w:r>
      <w:r>
        <w:fldChar w:fldCharType="end"/>
      </w:r>
      <w:r>
        <w:t xml:space="preserve"> can be partitioned into two groups. The </w:t>
      </w:r>
      <w:r w:rsidRPr="00FB4622">
        <w:t xml:space="preserve">high-value group contains the 24 members </w:t>
      </w:r>
      <w:r>
        <w:t>that are associated with</w:t>
      </w:r>
      <w:r w:rsidRPr="00FB4622">
        <w:t xml:space="preserve"> Daymet</w:t>
      </w:r>
      <w:r>
        <w:t>, and t</w:t>
      </w:r>
      <w:r w:rsidRPr="00FB4622">
        <w:t xml:space="preserve">he low-value group </w:t>
      </w:r>
      <w:r>
        <w:t>contains</w:t>
      </w:r>
      <w:r w:rsidRPr="00FB4622">
        <w:t xml:space="preserve"> the 24 members </w:t>
      </w:r>
      <w:r>
        <w:t xml:space="preserve">that are associated with </w:t>
      </w:r>
      <w:r w:rsidRPr="00FB4622">
        <w:t>Livneh.</w:t>
      </w:r>
      <w:r>
        <w:t xml:space="preserve"> The difference is values is</w:t>
      </w:r>
      <w:r w:rsidRPr="00FB4622">
        <w:t xml:space="preserve"> </w:t>
      </w:r>
      <w:r w:rsidR="000A6D6D">
        <w:t>caused by</w:t>
      </w:r>
      <w:r>
        <w:t xml:space="preserve"> </w:t>
      </w:r>
      <w:r w:rsidRPr="00FB4622">
        <w:t xml:space="preserve">wind speed </w:t>
      </w:r>
      <w:r>
        <w:t xml:space="preserve">differences </w:t>
      </w:r>
      <w:r w:rsidRPr="00FB4622">
        <w:t>between the</w:t>
      </w:r>
      <w:r>
        <w:t>se</w:t>
      </w:r>
      <w:r w:rsidRPr="00FB4622">
        <w:t xml:space="preserve"> two</w:t>
      </w:r>
      <w:r w:rsidR="00D64187">
        <w:t xml:space="preserve"> data sets,</w:t>
      </w:r>
      <w:r w:rsidRPr="00FB4622">
        <w:t xml:space="preserve"> </w:t>
      </w:r>
      <w:r>
        <w:t>which</w:t>
      </w:r>
      <w:r w:rsidRPr="00FB4622">
        <w:t xml:space="preserve"> has the </w:t>
      </w:r>
      <w:r w:rsidR="008B07E7">
        <w:t>greatest</w:t>
      </w:r>
      <w:r w:rsidR="008B07E7" w:rsidRPr="00FB4622">
        <w:t xml:space="preserve"> </w:t>
      </w:r>
      <w:r w:rsidRPr="00FB4622">
        <w:t>impact on the evaporation rate</w:t>
      </w:r>
      <w:r>
        <w:t xml:space="preserve">s (Section </w:t>
      </w:r>
      <w:r>
        <w:fldChar w:fldCharType="begin"/>
      </w:r>
      <w:r>
        <w:instrText xml:space="preserve"> REF _Ref81829260 \n \h </w:instrText>
      </w:r>
      <w:r>
        <w:fldChar w:fldCharType="separate"/>
      </w:r>
      <w:r w:rsidR="00EE0BF5">
        <w:t>3.2.2</w:t>
      </w:r>
      <w:r>
        <w:fldChar w:fldCharType="end"/>
      </w:r>
      <w:r>
        <w:t>)</w:t>
      </w:r>
      <w:r w:rsidRPr="00FB4622">
        <w:t xml:space="preserve">. </w:t>
      </w:r>
      <w:r>
        <w:t xml:space="preserve">A comparison with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t xml:space="preserve"> data (not shown) suggests that the NARR wind speed used with Daymet is more accurate, </w:t>
      </w:r>
      <w:r w:rsidR="00376C71">
        <w:t xml:space="preserve">whereas </w:t>
      </w:r>
      <w:r>
        <w:t>the NCEP1 wind speed used in Livneh tends to underestimate</w:t>
      </w:r>
      <w:r w:rsidRPr="00DB3410">
        <w:t xml:space="preserve"> </w:t>
      </w:r>
      <w:r>
        <w:t>more considerably (Moreo, 2015). T</w:t>
      </w:r>
      <w:r w:rsidRPr="00FB4622">
        <w:t xml:space="preserve">he reservoir </w:t>
      </w:r>
      <w:r>
        <w:t xml:space="preserve">evaporation loss also depends on the </w:t>
      </w:r>
      <w:r w:rsidRPr="00FB4622">
        <w:t>projected reservoir area</w:t>
      </w:r>
      <w:r>
        <w:t>,</w:t>
      </w:r>
      <w:r w:rsidRPr="00FB4622">
        <w:t xml:space="preserve"> </w:t>
      </w:r>
      <w:r>
        <w:t>which is inferred from runoff simulated by either VIC or PRMS. T</w:t>
      </w:r>
      <w:r w:rsidRPr="00FB4622">
        <w:t>he</w:t>
      </w:r>
      <w:r>
        <w:t xml:space="preserve"> projected runoff associated with Daymet or Livneh is not significantly different because</w:t>
      </w:r>
      <w:r w:rsidRPr="00F8632C">
        <w:t xml:space="preserve"> the </w:t>
      </w:r>
      <w:r>
        <w:t xml:space="preserve">HMs were calibrated separately by both MetFs </w:t>
      </w:r>
      <w:r w:rsidRPr="00573254">
        <w:t xml:space="preserve">against the </w:t>
      </w:r>
      <w:r>
        <w:t>same</w:t>
      </w:r>
      <w:r w:rsidRPr="00573254">
        <w:t xml:space="preserve"> USGS WaterWatch</w:t>
      </w:r>
      <w:r w:rsidR="005606E5">
        <w:t xml:space="preserve"> data set </w:t>
      </w:r>
      <w:r>
        <w:t xml:space="preserve">(Section </w:t>
      </w:r>
      <w:r>
        <w:fldChar w:fldCharType="begin"/>
      </w:r>
      <w:r>
        <w:instrText xml:space="preserve"> REF _Ref81816912 \n \h </w:instrText>
      </w:r>
      <w:r>
        <w:fldChar w:fldCharType="separate"/>
      </w:r>
      <w:r w:rsidR="00EE0BF5">
        <w:t>2.5.3</w:t>
      </w:r>
      <w:r>
        <w:fldChar w:fldCharType="end"/>
      </w:r>
      <w:r>
        <w:t>) to minimize the impacts of different meteorological forcings on HMs</w:t>
      </w:r>
      <w:r w:rsidRPr="00F8632C">
        <w:t xml:space="preserve">. </w:t>
      </w:r>
      <w:r w:rsidRPr="00FB4622">
        <w:t xml:space="preserve">Therefore, the difference </w:t>
      </w:r>
      <w:r>
        <w:t xml:space="preserve">in reservoir </w:t>
      </w:r>
      <w:r w:rsidRPr="00FB4622">
        <w:t xml:space="preserve">evaporation loss </w:t>
      </w:r>
      <w:r>
        <w:t xml:space="preserve">in the SEPA region </w:t>
      </w:r>
      <w:r w:rsidRPr="00FB4622">
        <w:t xml:space="preserve">is mainly caused by the </w:t>
      </w:r>
      <w:r>
        <w:t xml:space="preserve">difference in </w:t>
      </w:r>
      <w:r w:rsidRPr="00FB4622">
        <w:t>projected evaporation rate</w:t>
      </w:r>
      <w:r>
        <w:t xml:space="preserve"> driven by two different MetFs</w:t>
      </w:r>
      <w:r w:rsidRPr="00FB4622">
        <w:t>.</w:t>
      </w:r>
    </w:p>
    <w:p w14:paraId="3C145287" w14:textId="3A7DDC00" w:rsidR="00E277B4" w:rsidRDefault="00E277B4" w:rsidP="00E277B4">
      <w:pPr>
        <w:pStyle w:val="BodyText"/>
      </w:pPr>
      <w:r>
        <w:t>Despite</w:t>
      </w:r>
      <w:r w:rsidRPr="003E65AF">
        <w:t xml:space="preserve"> the </w:t>
      </w:r>
      <w:r>
        <w:t xml:space="preserve">systematic differences </w:t>
      </w:r>
      <w:r w:rsidRPr="003E65AF">
        <w:t xml:space="preserve">between the two groups, the reservoir evaporation </w:t>
      </w:r>
      <w:r>
        <w:t xml:space="preserve">loss </w:t>
      </w:r>
      <w:r w:rsidRPr="003E65AF">
        <w:t xml:space="preserve">shows a clear </w:t>
      </w:r>
      <w:r>
        <w:t xml:space="preserve">increasing </w:t>
      </w:r>
      <w:r w:rsidRPr="003E65AF">
        <w:t>trend</w:t>
      </w:r>
      <w:r>
        <w:t xml:space="preserve"> (as indicated by the </w:t>
      </w:r>
      <w:r w:rsidRPr="006056F7">
        <w:rPr>
          <w:lang w:eastAsia="zh-CN"/>
        </w:rPr>
        <w:t xml:space="preserve">two-sample Kolmogorov-Smirnov test performed at </w:t>
      </w:r>
      <w:r w:rsidR="00F61C24">
        <w:rPr>
          <w:lang w:eastAsia="zh-CN"/>
        </w:rPr>
        <w:t xml:space="preserve">the </w:t>
      </w:r>
      <w:r w:rsidRPr="006056F7">
        <w:rPr>
          <w:lang w:eastAsia="zh-CN"/>
        </w:rPr>
        <w:t>5% significance</w:t>
      </w:r>
      <w:r>
        <w:rPr>
          <w:lang w:eastAsia="zh-CN"/>
        </w:rPr>
        <w:t xml:space="preserve"> level). </w:t>
      </w:r>
      <w:r>
        <w:t>The Livneh-based future reservoir evaporation projections increase significantly from 1.8 MAF in 1980 to 1.88 MAF in 2059, and the Daymet-based projections also increase by about the same magnitude from 2 MAF</w:t>
      </w:r>
      <w:r w:rsidR="006D6D64">
        <w:t xml:space="preserve"> in 1980</w:t>
      </w:r>
      <w:r>
        <w:t xml:space="preserve"> to 2.08 MAF</w:t>
      </w:r>
      <w:r w:rsidR="006D6D64">
        <w:t xml:space="preserve"> in 2059</w:t>
      </w:r>
      <w:r>
        <w:t>.</w:t>
      </w:r>
      <w:r w:rsidRPr="0009214D">
        <w:t xml:space="preserve"> </w:t>
      </w:r>
      <w:r w:rsidR="00CF6ED0" w:rsidRPr="00844DF4">
        <w:t>The average percentage increment is about 3.3% over the 80 years, which is the smallest among all PMA regions. Of the changes in</w:t>
      </w:r>
      <w:r w:rsidR="00CF6ED0">
        <w:t xml:space="preserve"> the</w:t>
      </w:r>
      <w:r w:rsidR="00CF6ED0" w:rsidRPr="00844DF4">
        <w:t xml:space="preserve"> SEPA reservoir evaporation losses, about 63% were </w:t>
      </w:r>
      <w:r w:rsidR="00CF6ED0">
        <w:t>attributed to</w:t>
      </w:r>
      <w:r w:rsidR="00CF6ED0" w:rsidRPr="00844DF4">
        <w:t xml:space="preserve"> </w:t>
      </w:r>
      <w:r w:rsidR="00CF6ED0">
        <w:t xml:space="preserve">changes in </w:t>
      </w:r>
      <w:r w:rsidR="00CF6ED0" w:rsidRPr="00844DF4">
        <w:t xml:space="preserve">reservoir area, </w:t>
      </w:r>
      <w:r w:rsidR="00B479B6">
        <w:t xml:space="preserve">and </w:t>
      </w:r>
      <w:r w:rsidR="00CF6ED0" w:rsidRPr="00844DF4">
        <w:t xml:space="preserve">37% were affected by </w:t>
      </w:r>
      <w:r w:rsidR="00CF6ED0">
        <w:t xml:space="preserve">changes in </w:t>
      </w:r>
      <w:r w:rsidR="00CF6ED0" w:rsidRPr="00844DF4">
        <w:t>evaporation rate.</w:t>
      </w:r>
    </w:p>
    <w:p w14:paraId="7EA68232" w14:textId="5FF5F73C" w:rsidR="00992673" w:rsidRDefault="007F505D" w:rsidP="00CD66C9">
      <w:pPr>
        <w:pStyle w:val="BodyText"/>
      </w:pPr>
      <w:r w:rsidRPr="003E65AF">
        <w:t xml:space="preserve">The annual and seasonal changes of </w:t>
      </w:r>
      <w:r w:rsidR="00D97801">
        <w:t xml:space="preserve">monthly </w:t>
      </w:r>
      <w:r w:rsidRPr="003E65AF">
        <w:t xml:space="preserve">reservoir evaporation </w:t>
      </w:r>
      <w:r w:rsidR="00E75F5B">
        <w:t xml:space="preserve">loss </w:t>
      </w:r>
      <w:bookmarkStart w:id="533" w:name="_Hlk76018643"/>
      <w:r w:rsidR="00E75F5B">
        <w:t xml:space="preserve">(in units of </w:t>
      </w:r>
      <w:r w:rsidR="001B7B04">
        <w:t xml:space="preserve">thousand acre-feet per </w:t>
      </w:r>
      <w:r w:rsidR="00D97801">
        <w:t>month</w:t>
      </w:r>
      <w:r w:rsidR="00E75F5B">
        <w:t xml:space="preserve">) </w:t>
      </w:r>
      <w:bookmarkEnd w:id="533"/>
      <w:r w:rsidRPr="003E65AF">
        <w:t xml:space="preserve">from federal hydropower reservoirs in the </w:t>
      </w:r>
      <w:r>
        <w:t>SEPA</w:t>
      </w:r>
      <w:r w:rsidRPr="003E65AF">
        <w:t xml:space="preserve"> region </w:t>
      </w:r>
      <w:r>
        <w:t>are depicted</w:t>
      </w:r>
      <w:r w:rsidRPr="003E65AF">
        <w:t xml:space="preserve"> </w:t>
      </w:r>
      <w:r w:rsidRPr="002E2E19">
        <w:t xml:space="preserve">in </w:t>
      </w:r>
      <w:r>
        <w:fldChar w:fldCharType="begin"/>
      </w:r>
      <w:r>
        <w:instrText xml:space="preserve"> REF _Ref72856811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11</w:t>
      </w:r>
      <w:r>
        <w:fldChar w:fldCharType="end"/>
      </w:r>
      <w:r>
        <w:t xml:space="preserve">. The trend of increasing reservoir evaporation </w:t>
      </w:r>
      <w:r w:rsidR="00E75F5B">
        <w:t xml:space="preserve">loss </w:t>
      </w:r>
      <w:r>
        <w:t>is persistent in both near-term (2020–2039) and mid-term (2040–2059) future periods</w:t>
      </w:r>
      <w:r w:rsidR="00E75F5B">
        <w:t xml:space="preserve"> </w:t>
      </w:r>
      <w:r w:rsidR="00E75F5B" w:rsidRPr="00AD27A0">
        <w:t>with respect to the baseline period (1980</w:t>
      </w:r>
      <w:r w:rsidR="00E75F5B">
        <w:t>–</w:t>
      </w:r>
      <w:r w:rsidR="00E75F5B" w:rsidRPr="00AD27A0">
        <w:t>2019)</w:t>
      </w:r>
      <w:r>
        <w:t xml:space="preserve">. The annual ensemble median evaporation loss is projected to increase by </w:t>
      </w:r>
      <w:r w:rsidR="00D97801">
        <w:t>3</w:t>
      </w:r>
      <w:r>
        <w:t xml:space="preserve"> KAF</w:t>
      </w:r>
      <w:r w:rsidR="00D97801">
        <w:t>/month</w:t>
      </w:r>
      <w:r>
        <w:t xml:space="preserve"> in the near-term and </w:t>
      </w:r>
      <w:r w:rsidR="00D97801">
        <w:t>6</w:t>
      </w:r>
      <w:r>
        <w:t xml:space="preserve"> KAF</w:t>
      </w:r>
      <w:r w:rsidR="00D97801">
        <w:t>/month</w:t>
      </w:r>
      <w:r>
        <w:t xml:space="preserve"> in the mid-term</w:t>
      </w:r>
      <w:r w:rsidR="00E75F5B">
        <w:t xml:space="preserve"> future periods</w:t>
      </w:r>
      <w:r>
        <w:t>. The</w:t>
      </w:r>
      <w:r w:rsidRPr="003E65AF">
        <w:t xml:space="preserve"> </w:t>
      </w:r>
      <w:r>
        <w:t xml:space="preserve">ensemble median of spring </w:t>
      </w:r>
      <w:r w:rsidR="00E75F5B">
        <w:t xml:space="preserve">reservoir </w:t>
      </w:r>
      <w:r w:rsidRPr="003E65AF">
        <w:t xml:space="preserve">evaporation </w:t>
      </w:r>
      <w:r>
        <w:t xml:space="preserve">is projected to increase by about </w:t>
      </w:r>
      <w:r w:rsidR="00D97801">
        <w:t>5</w:t>
      </w:r>
      <w:r>
        <w:t xml:space="preserve"> KAF</w:t>
      </w:r>
      <w:r w:rsidR="00D97801">
        <w:t>/month</w:t>
      </w:r>
      <w:r w:rsidRPr="003E65AF">
        <w:t xml:space="preserve"> </w:t>
      </w:r>
      <w:r>
        <w:t xml:space="preserve">in the near-term future period, and about </w:t>
      </w:r>
      <w:r w:rsidR="00D97801">
        <w:t>3</w:t>
      </w:r>
      <w:r>
        <w:t xml:space="preserve"> KAF</w:t>
      </w:r>
      <w:r w:rsidR="00D97801">
        <w:t>/month</w:t>
      </w:r>
      <w:r>
        <w:t xml:space="preserve"> in the mid-term </w:t>
      </w:r>
      <w:r w:rsidR="00470D6C">
        <w:rPr>
          <w:szCs w:val="24"/>
        </w:rPr>
        <w:t xml:space="preserve">future </w:t>
      </w:r>
      <w:r>
        <w:t>period. The projected reservoir evaporation has the smallest change in summer, with t</w:t>
      </w:r>
      <w:r w:rsidRPr="003E65AF">
        <w:t xml:space="preserve">he </w:t>
      </w:r>
      <w:r>
        <w:t xml:space="preserve">ensemble median projected to increase by </w:t>
      </w:r>
      <w:r w:rsidR="00D97801">
        <w:t>2</w:t>
      </w:r>
      <w:r>
        <w:t xml:space="preserve"> KAF</w:t>
      </w:r>
      <w:r w:rsidR="00D97801">
        <w:t>/month</w:t>
      </w:r>
      <w:r w:rsidR="00306C31">
        <w:t xml:space="preserve"> in the near-term</w:t>
      </w:r>
      <w:r w:rsidRPr="003E65AF">
        <w:t xml:space="preserve"> </w:t>
      </w:r>
      <w:r>
        <w:t xml:space="preserve">and </w:t>
      </w:r>
      <w:r w:rsidR="00D97801">
        <w:t>3</w:t>
      </w:r>
      <w:r>
        <w:t xml:space="preserve"> KAF</w:t>
      </w:r>
      <w:r w:rsidR="00D97801">
        <w:t>/month</w:t>
      </w:r>
      <w:r>
        <w:t xml:space="preserve"> in the mid-term future periods. There is a large </w:t>
      </w:r>
      <w:r w:rsidR="00E75F5B">
        <w:t xml:space="preserve">increase </w:t>
      </w:r>
      <w:r>
        <w:t>in fall</w:t>
      </w:r>
      <w:r w:rsidR="00306C31">
        <w:t>,</w:t>
      </w:r>
      <w:r>
        <w:t xml:space="preserve"> with </w:t>
      </w:r>
      <w:r w:rsidR="00E7509E">
        <w:t xml:space="preserve">the </w:t>
      </w:r>
      <w:r>
        <w:t xml:space="preserve">ensemble median projected to increase by </w:t>
      </w:r>
      <w:r w:rsidR="00D97801">
        <w:t>3</w:t>
      </w:r>
      <w:r>
        <w:t xml:space="preserve"> KAF</w:t>
      </w:r>
      <w:r w:rsidR="00D97801">
        <w:t>/month</w:t>
      </w:r>
      <w:r w:rsidRPr="003E65AF">
        <w:t xml:space="preserve"> </w:t>
      </w:r>
      <w:r w:rsidR="00306C31">
        <w:t xml:space="preserve">in the near-term </w:t>
      </w:r>
      <w:r>
        <w:t xml:space="preserve">and </w:t>
      </w:r>
      <w:r w:rsidR="00D97801">
        <w:t>12</w:t>
      </w:r>
      <w:r>
        <w:t xml:space="preserve"> KAF</w:t>
      </w:r>
      <w:r w:rsidR="00D97801">
        <w:t>/month</w:t>
      </w:r>
      <w:r>
        <w:t xml:space="preserve"> in the mid-term future periods. The</w:t>
      </w:r>
      <w:r w:rsidRPr="003E65AF">
        <w:t xml:space="preserve"> </w:t>
      </w:r>
      <w:r>
        <w:t xml:space="preserve">ensemble median of the winter </w:t>
      </w:r>
      <w:r w:rsidRPr="003E65AF">
        <w:t xml:space="preserve">evaporation </w:t>
      </w:r>
      <w:r>
        <w:t>loss</w:t>
      </w:r>
      <w:r w:rsidRPr="003E65AF">
        <w:t xml:space="preserve"> </w:t>
      </w:r>
      <w:r>
        <w:t xml:space="preserve">is projected to increase by </w:t>
      </w:r>
      <w:r w:rsidR="00D97801">
        <w:t>4</w:t>
      </w:r>
      <w:r>
        <w:t xml:space="preserve"> KAF</w:t>
      </w:r>
      <w:r w:rsidR="00D97801">
        <w:t>/month</w:t>
      </w:r>
      <w:r w:rsidRPr="003E65AF">
        <w:t xml:space="preserve"> </w:t>
      </w:r>
      <w:r>
        <w:t xml:space="preserve">in the near-term and </w:t>
      </w:r>
      <w:r w:rsidR="00D97801">
        <w:t>7</w:t>
      </w:r>
      <w:r>
        <w:t xml:space="preserve"> KAF</w:t>
      </w:r>
      <w:r w:rsidR="00D97801">
        <w:t>/month</w:t>
      </w:r>
      <w:r>
        <w:t xml:space="preserve"> in the mid-term future period</w:t>
      </w:r>
      <w:r w:rsidR="00E75F5B">
        <w:t>s</w:t>
      </w:r>
      <w:r w:rsidR="00992673">
        <w:t>.</w:t>
      </w:r>
    </w:p>
    <w:p w14:paraId="530500C5" w14:textId="79FD8FEF" w:rsidR="00190CDE" w:rsidRDefault="00190CDE" w:rsidP="00CD66C9">
      <w:pPr>
        <w:pStyle w:val="FIGUREposition"/>
      </w:pPr>
      <w:r>
        <w:rPr>
          <w:noProof/>
        </w:rPr>
        <w:lastRenderedPageBreak/>
        <w:drawing>
          <wp:inline distT="0" distB="0" distL="0" distR="0" wp14:anchorId="5B76F7D1" wp14:editId="5BC01959">
            <wp:extent cx="2743200" cy="182880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pic:cNvPicPr>
                      <a:picLocks noChangeAspect="1" noChangeArrowheads="1"/>
                    </pic:cNvPicPr>
                  </pic:nvPicPr>
                  <pic:blipFill>
                    <a:blip r:embed="rId251"/>
                    <a:stretch>
                      <a:fillRect/>
                    </a:stretch>
                  </pic:blipFill>
                  <pic:spPr bwMode="auto">
                    <a:xfrm>
                      <a:off x="0" y="0"/>
                      <a:ext cx="2743200" cy="1828800"/>
                    </a:xfrm>
                    <a:prstGeom prst="rect">
                      <a:avLst/>
                    </a:prstGeom>
                    <a:noFill/>
                    <a:ln>
                      <a:noFill/>
                    </a:ln>
                  </pic:spPr>
                </pic:pic>
              </a:graphicData>
            </a:graphic>
          </wp:inline>
        </w:drawing>
      </w:r>
    </w:p>
    <w:p w14:paraId="01FB7A16" w14:textId="6697BC58" w:rsidR="00190CDE" w:rsidRDefault="003F6C94" w:rsidP="00190CDE">
      <w:pPr>
        <w:pStyle w:val="FigureCaption"/>
        <w:rPr>
          <w:lang w:eastAsia="zh-TW"/>
        </w:rPr>
      </w:pPr>
      <w:bookmarkStart w:id="534" w:name="_Ref72856811"/>
      <w:bookmarkStart w:id="535" w:name="_Toc113380955"/>
      <w:r>
        <w:rPr>
          <w:lang w:eastAsia="zh-TW"/>
        </w:rPr>
        <w:t>Figure</w:t>
      </w:r>
      <w:r w:rsidR="00190CDE" w:rsidRPr="00F61532">
        <w:rPr>
          <w:lang w:eastAsia="zh-TW"/>
        </w:rPr>
        <w:t xml:space="preserve"> </w:t>
      </w:r>
      <w:r w:rsidR="00190CDE" w:rsidRPr="00F61532">
        <w:rPr>
          <w:lang w:eastAsia="zh-TW"/>
        </w:rPr>
        <w:fldChar w:fldCharType="begin"/>
      </w:r>
      <w:r w:rsidR="00190CDE" w:rsidRPr="00F61532">
        <w:rPr>
          <w:lang w:eastAsia="zh-TW"/>
        </w:rPr>
        <w:instrText xml:space="preserve"> STYLEREF 1 \s </w:instrText>
      </w:r>
      <w:r w:rsidR="00190CDE" w:rsidRPr="00F61532">
        <w:rPr>
          <w:lang w:eastAsia="zh-TW"/>
        </w:rPr>
        <w:fldChar w:fldCharType="separate"/>
      </w:r>
      <w:r w:rsidR="00EE0BF5">
        <w:rPr>
          <w:noProof/>
          <w:lang w:eastAsia="zh-TW"/>
        </w:rPr>
        <w:t>6</w:t>
      </w:r>
      <w:r w:rsidR="00190CDE" w:rsidRPr="00F61532">
        <w:rPr>
          <w:lang w:eastAsia="zh-TW"/>
        </w:rPr>
        <w:fldChar w:fldCharType="end"/>
      </w:r>
      <w:r w:rsidR="00190CDE" w:rsidRPr="00F61532">
        <w:rPr>
          <w:lang w:eastAsia="zh-TW"/>
        </w:rPr>
        <w:t>.</w:t>
      </w:r>
      <w:r w:rsidR="00190CDE" w:rsidRPr="00F61532">
        <w:rPr>
          <w:lang w:eastAsia="zh-TW"/>
        </w:rPr>
        <w:fldChar w:fldCharType="begin"/>
      </w:r>
      <w:r w:rsidR="00190CDE" w:rsidRPr="00F61532">
        <w:rPr>
          <w:lang w:eastAsia="zh-TW"/>
        </w:rPr>
        <w:instrText xml:space="preserve"> SEQ Figure \* ARABIC \s 1 </w:instrText>
      </w:r>
      <w:r w:rsidR="00190CDE" w:rsidRPr="00F61532">
        <w:rPr>
          <w:lang w:eastAsia="zh-TW"/>
        </w:rPr>
        <w:fldChar w:fldCharType="separate"/>
      </w:r>
      <w:r w:rsidR="00EE0BF5">
        <w:rPr>
          <w:noProof/>
          <w:lang w:eastAsia="zh-TW"/>
        </w:rPr>
        <w:t>11</w:t>
      </w:r>
      <w:r w:rsidR="00190CDE" w:rsidRPr="00F61532">
        <w:rPr>
          <w:lang w:eastAsia="zh-TW"/>
        </w:rPr>
        <w:fldChar w:fldCharType="end"/>
      </w:r>
      <w:bookmarkEnd w:id="534"/>
      <w:r w:rsidR="00190CDE" w:rsidRPr="00F61532">
        <w:rPr>
          <w:lang w:eastAsia="zh-TW"/>
        </w:rPr>
        <w:t xml:space="preserve">. Projected change of annual and seasonal </w:t>
      </w:r>
      <w:r w:rsidR="00190CDE">
        <w:rPr>
          <w:lang w:eastAsia="zh-TW"/>
        </w:rPr>
        <w:t xml:space="preserve">total reservoir evaporation </w:t>
      </w:r>
      <w:r w:rsidR="00190CDE" w:rsidRPr="00F61532">
        <w:rPr>
          <w:lang w:eastAsia="zh-TW"/>
        </w:rPr>
        <w:t xml:space="preserve">in </w:t>
      </w:r>
      <w:r w:rsidR="00190CDE">
        <w:rPr>
          <w:lang w:eastAsia="zh-TW"/>
        </w:rPr>
        <w:t>the SEPA region.</w:t>
      </w:r>
      <w:bookmarkEnd w:id="535"/>
    </w:p>
    <w:p w14:paraId="502A2100" w14:textId="0D9854D3" w:rsidR="00D9580F" w:rsidRDefault="00D9580F" w:rsidP="00D9580F">
      <w:pPr>
        <w:pStyle w:val="BodyText"/>
      </w:pPr>
      <w:r>
        <w:rPr>
          <w:rFonts w:eastAsia="PMingLiU"/>
          <w:lang w:eastAsia="zh-TW"/>
        </w:rPr>
        <w:t xml:space="preserve">The source of variance in the projected change in annual </w:t>
      </w:r>
      <w:r w:rsidRPr="00434DEB">
        <w:t xml:space="preserve">reservoir evaporation loss </w:t>
      </w:r>
      <w:r>
        <w:t xml:space="preserve">from </w:t>
      </w:r>
      <w:r w:rsidRPr="00434DEB">
        <w:t xml:space="preserve">federal </w:t>
      </w:r>
      <w:r>
        <w:t xml:space="preserve">hydropower </w:t>
      </w:r>
      <w:r w:rsidRPr="00434DEB">
        <w:t>reservoir</w:t>
      </w:r>
      <w:r>
        <w:t>s</w:t>
      </w:r>
      <w:r w:rsidRPr="00434DEB">
        <w:t xml:space="preserve"> </w:t>
      </w:r>
      <w:r>
        <w:t xml:space="preserve">in the SEPA region </w:t>
      </w:r>
      <w:r>
        <w:rPr>
          <w:rFonts w:eastAsia="PMingLiU"/>
          <w:lang w:eastAsia="zh-TW"/>
        </w:rPr>
        <w:t xml:space="preserve">is shown in </w:t>
      </w:r>
      <w:r>
        <w:fldChar w:fldCharType="begin"/>
      </w:r>
      <w:r>
        <w:instrText xml:space="preserve"> REF _Ref72856820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12</w:t>
      </w:r>
      <w:r>
        <w:fldChar w:fldCharType="end"/>
      </w:r>
      <w:r w:rsidRPr="00434DEB">
        <w:t xml:space="preserve">. </w:t>
      </w:r>
      <w:r w:rsidRPr="006268D6">
        <w:t>The box</w:t>
      </w:r>
      <w:r>
        <w:t xml:space="preserve"> </w:t>
      </w:r>
      <w:r w:rsidRPr="006268D6">
        <w:t>plots show the magnitude of change (future minus baseline)</w:t>
      </w:r>
      <w:r>
        <w:t xml:space="preserve"> for the</w:t>
      </w:r>
      <w:r w:rsidRPr="006268D6">
        <w:t xml:space="preserve"> median annual </w:t>
      </w:r>
      <w:r w:rsidRPr="00434DEB">
        <w:t xml:space="preserve">reservoir </w:t>
      </w:r>
      <w:r>
        <w:t>evaporation loss</w:t>
      </w:r>
      <w:r w:rsidRPr="006268D6">
        <w:t xml:space="preserve"> </w:t>
      </w:r>
      <w:r>
        <w:t>across</w:t>
      </w:r>
      <w:r w:rsidRPr="006268D6">
        <w:t xml:space="preserve"> 48 ensemble</w:t>
      </w:r>
      <w:r>
        <w:t xml:space="preserve"> member</w:t>
      </w:r>
      <w:r w:rsidRPr="006268D6">
        <w:t xml:space="preserve">s grouped by each of the four </w:t>
      </w:r>
      <w:r>
        <w:t>modeling choices</w:t>
      </w:r>
      <w:r w:rsidRPr="00434DEB">
        <w:t xml:space="preserve"> (CM, DS, MetF, and HM). The bottom panel shows the portion of variance from the ANOVA for each modeling choice</w:t>
      </w:r>
      <w:r w:rsidRPr="00F17534">
        <w:t>.</w:t>
      </w:r>
    </w:p>
    <w:p w14:paraId="70D3A741" w14:textId="77777777" w:rsidR="00E277B4" w:rsidRDefault="00E277B4" w:rsidP="00CD66C9">
      <w:pPr>
        <w:pStyle w:val="FIGUREposition"/>
        <w:rPr>
          <w:rFonts w:eastAsia="PMingLiU"/>
          <w:lang w:eastAsia="zh-TW"/>
        </w:rPr>
      </w:pPr>
      <w:r>
        <w:rPr>
          <w:noProof/>
        </w:rPr>
        <w:drawing>
          <wp:inline distT="0" distB="0" distL="0" distR="0" wp14:anchorId="253A4EBC" wp14:editId="668BAC6F">
            <wp:extent cx="3657600" cy="3358342"/>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pic:cNvPicPr>
                      <a:picLocks noChangeAspect="1" noChangeArrowheads="1"/>
                    </pic:cNvPicPr>
                  </pic:nvPicPr>
                  <pic:blipFill rotWithShape="1">
                    <a:blip r:embed="rId252"/>
                    <a:srcRect t="8181"/>
                    <a:stretch/>
                  </pic:blipFill>
                  <pic:spPr bwMode="auto">
                    <a:xfrm>
                      <a:off x="0" y="0"/>
                      <a:ext cx="3657600" cy="3358342"/>
                    </a:xfrm>
                    <a:prstGeom prst="rect">
                      <a:avLst/>
                    </a:prstGeom>
                    <a:noFill/>
                    <a:ln>
                      <a:noFill/>
                    </a:ln>
                    <a:extLst>
                      <a:ext uri="{53640926-AAD7-44D8-BBD7-CCE9431645EC}">
                        <a14:shadowObscured xmlns:a14="http://schemas.microsoft.com/office/drawing/2010/main"/>
                      </a:ext>
                    </a:extLst>
                  </pic:spPr>
                </pic:pic>
              </a:graphicData>
            </a:graphic>
          </wp:inline>
        </w:drawing>
      </w:r>
    </w:p>
    <w:p w14:paraId="02C45EB4" w14:textId="7AEA7344" w:rsidR="00E277B4" w:rsidRDefault="00E277B4" w:rsidP="00E277B4">
      <w:pPr>
        <w:pStyle w:val="FigureCaption"/>
        <w:rPr>
          <w:lang w:eastAsia="zh-TW"/>
        </w:rPr>
      </w:pPr>
      <w:bookmarkStart w:id="536" w:name="_Ref72856820"/>
      <w:bookmarkStart w:id="537" w:name="_Toc11338095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12</w:t>
      </w:r>
      <w:r w:rsidRPr="00F61532">
        <w:rPr>
          <w:lang w:eastAsia="zh-TW"/>
        </w:rPr>
        <w:fldChar w:fldCharType="end"/>
      </w:r>
      <w:bookmarkEnd w:id="536"/>
      <w:r w:rsidRPr="00F61532">
        <w:rPr>
          <w:lang w:eastAsia="zh-TW"/>
        </w:rPr>
        <w:t xml:space="preserve">. </w:t>
      </w:r>
      <w:r>
        <w:rPr>
          <w:lang w:eastAsia="zh-TW"/>
        </w:rPr>
        <w:t xml:space="preserve">ANOVA of </w:t>
      </w:r>
      <w:r w:rsidRPr="00F61532">
        <w:rPr>
          <w:lang w:eastAsia="zh-TW"/>
        </w:rPr>
        <w:t xml:space="preserve">annual </w:t>
      </w:r>
      <w:r>
        <w:rPr>
          <w:lang w:eastAsia="zh-TW"/>
        </w:rPr>
        <w:t xml:space="preserve">total reservoir evaporation </w:t>
      </w:r>
      <w:r w:rsidRPr="00F61532">
        <w:rPr>
          <w:lang w:eastAsia="zh-TW"/>
        </w:rPr>
        <w:t xml:space="preserve">in </w:t>
      </w:r>
      <w:r>
        <w:rPr>
          <w:lang w:eastAsia="zh-TW"/>
        </w:rPr>
        <w:t>the SEPA region.</w:t>
      </w:r>
      <w:bookmarkEnd w:id="537"/>
    </w:p>
    <w:p w14:paraId="67164D23" w14:textId="7DCB0C79" w:rsidR="00DB2F01" w:rsidRDefault="00DB2F01" w:rsidP="00DB2F01">
      <w:pPr>
        <w:pStyle w:val="BodyText"/>
      </w:pPr>
      <w:bookmarkStart w:id="538" w:name="_Hlk74145886"/>
      <w:bookmarkStart w:id="539" w:name="_Hlk74129854"/>
      <w:r w:rsidRPr="00F17534">
        <w:t xml:space="preserve">ANOVA results </w:t>
      </w:r>
      <w:r>
        <w:t xml:space="preserve">in </w:t>
      </w:r>
      <w:r>
        <w:fldChar w:fldCharType="begin"/>
      </w:r>
      <w:r>
        <w:instrText xml:space="preserve"> REF _Ref72856820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12</w:t>
      </w:r>
      <w:r>
        <w:fldChar w:fldCharType="end"/>
      </w:r>
      <w:r>
        <w:t xml:space="preserve"> </w:t>
      </w:r>
      <w:r w:rsidRPr="00F17534">
        <w:t xml:space="preserve">indicate that </w:t>
      </w:r>
      <w:r w:rsidR="00F32AA2">
        <w:rPr>
          <w:rFonts w:eastAsia="PMingLiU"/>
          <w:lang w:eastAsia="zh-TW"/>
        </w:rPr>
        <w:t xml:space="preserve">the </w:t>
      </w:r>
      <w:r w:rsidRPr="00F17534">
        <w:t xml:space="preserve">CM is the </w:t>
      </w:r>
      <w:r w:rsidR="00F32AA2">
        <w:t xml:space="preserve">most </w:t>
      </w:r>
      <w:r w:rsidRPr="00F17534">
        <w:t xml:space="preserve">dominant </w:t>
      </w:r>
      <w:r w:rsidR="00F32AA2">
        <w:t xml:space="preserve">contributor </w:t>
      </w:r>
      <w:r>
        <w:t>for</w:t>
      </w:r>
      <w:r w:rsidRPr="00F17534">
        <w:t xml:space="preserve"> </w:t>
      </w:r>
      <w:r>
        <w:t xml:space="preserve">the projected changes of </w:t>
      </w:r>
      <w:r w:rsidRPr="00F17534">
        <w:t xml:space="preserve">future evaporation </w:t>
      </w:r>
      <w:r>
        <w:t>loss, which</w:t>
      </w:r>
      <w:r w:rsidRPr="00F17534">
        <w:t xml:space="preserve"> accounts for nearly 70% of the total variance. The most significant change is projected by ACCESS-CM2 </w:t>
      </w:r>
      <w:r>
        <w:t>(</w:t>
      </w:r>
      <w:r w:rsidRPr="00F17534">
        <w:t>0.08 MAF</w:t>
      </w:r>
      <w:r>
        <w:t>)</w:t>
      </w:r>
      <w:r w:rsidRPr="00F17534">
        <w:t xml:space="preserve">, </w:t>
      </w:r>
      <w:r>
        <w:t xml:space="preserve">whereas </w:t>
      </w:r>
      <w:r w:rsidRPr="00F17534">
        <w:t xml:space="preserve">the </w:t>
      </w:r>
      <w:r>
        <w:t xml:space="preserve">smallest amounts of </w:t>
      </w:r>
      <w:r w:rsidRPr="00F17534">
        <w:t>chang</w:t>
      </w:r>
      <w:r>
        <w:t>e are</w:t>
      </w:r>
      <w:r w:rsidRPr="00F17534">
        <w:t xml:space="preserve"> projected by CNRM-ESM2, MPI-ESM1, and MRI-ESM2 </w:t>
      </w:r>
      <w:r>
        <w:t>(</w:t>
      </w:r>
      <w:r w:rsidRPr="00F17534">
        <w:t>0.045 MAF</w:t>
      </w:r>
      <w:r>
        <w:t>)</w:t>
      </w:r>
      <w:r w:rsidRPr="00F17534">
        <w:t xml:space="preserve">. The combination of </w:t>
      </w:r>
      <w:r w:rsidR="00C753AB">
        <w:rPr>
          <w:rFonts w:eastAsia="PMingLiU"/>
          <w:lang w:eastAsia="zh-TW"/>
        </w:rPr>
        <w:t xml:space="preserve">the </w:t>
      </w:r>
      <w:r w:rsidRPr="00F17534">
        <w:t xml:space="preserve">CM and HM contributes to </w:t>
      </w:r>
      <w:r>
        <w:t xml:space="preserve">more than </w:t>
      </w:r>
      <w:r w:rsidRPr="00F17534">
        <w:t xml:space="preserve">20% of the total variance. </w:t>
      </w:r>
      <w:r w:rsidR="00F32AA2">
        <w:t xml:space="preserve">The </w:t>
      </w:r>
      <w:r w:rsidRPr="00F17534">
        <w:t xml:space="preserve">HM contributes </w:t>
      </w:r>
      <w:r>
        <w:t xml:space="preserve">about </w:t>
      </w:r>
      <w:r w:rsidRPr="00F17534">
        <w:t>7%, and PRMS projects more evaporation than VIC.</w:t>
      </w:r>
      <w:r>
        <w:t xml:space="preserve"> At the seasonal scale (</w:t>
      </w:r>
      <w:r>
        <w:fldChar w:fldCharType="begin"/>
      </w:r>
      <w:r>
        <w:instrText xml:space="preserve"> REF _Ref81738890 \n \h </w:instrText>
      </w:r>
      <w:r>
        <w:fldChar w:fldCharType="separate"/>
      </w:r>
      <w:r w:rsidR="00EE0BF5">
        <w:t>APPENDIX F</w:t>
      </w:r>
      <w:r>
        <w:fldChar w:fldCharType="end"/>
      </w:r>
      <w:r>
        <w:t xml:space="preserve">), </w:t>
      </w:r>
      <w:r w:rsidRPr="000463C4">
        <w:t xml:space="preserve">the ANOVA indicates that </w:t>
      </w:r>
      <w:r>
        <w:t xml:space="preserve">certain contributing </w:t>
      </w:r>
      <w:r w:rsidRPr="000463C4">
        <w:t>factors may have more substantial impac</w:t>
      </w:r>
      <w:r>
        <w:t>ts</w:t>
      </w:r>
      <w:r w:rsidRPr="000463C4">
        <w:t xml:space="preserve"> than </w:t>
      </w:r>
      <w:r>
        <w:t>at</w:t>
      </w:r>
      <w:r w:rsidRPr="000463C4">
        <w:t xml:space="preserve"> the annual scale. </w:t>
      </w:r>
      <w:r>
        <w:t xml:space="preserve">In spring and winter, </w:t>
      </w:r>
      <w:r w:rsidR="00F32AA2">
        <w:rPr>
          <w:rFonts w:eastAsia="PMingLiU"/>
          <w:lang w:eastAsia="zh-TW"/>
        </w:rPr>
        <w:t xml:space="preserve">the </w:t>
      </w:r>
      <w:r w:rsidRPr="000463C4">
        <w:t>CM explains near</w:t>
      </w:r>
      <w:r>
        <w:t>ly</w:t>
      </w:r>
      <w:r w:rsidRPr="000463C4">
        <w:t xml:space="preserve"> </w:t>
      </w:r>
      <w:r>
        <w:t>90</w:t>
      </w:r>
      <w:r w:rsidRPr="000463C4">
        <w:t xml:space="preserve">% of </w:t>
      </w:r>
      <w:r>
        <w:t xml:space="preserve">the </w:t>
      </w:r>
      <w:r w:rsidRPr="000463C4">
        <w:t>evaporation loss variance</w:t>
      </w:r>
      <w:r>
        <w:t>. Among these models, ACCESS-</w:t>
      </w:r>
      <w:r>
        <w:lastRenderedPageBreak/>
        <w:t>CM2</w:t>
      </w:r>
      <w:r w:rsidRPr="000463C4">
        <w:t xml:space="preserve"> </w:t>
      </w:r>
      <w:r>
        <w:t xml:space="preserve">projects the largest change, whereas MPI-ESM1 projects the smallest. In </w:t>
      </w:r>
      <w:r w:rsidR="00F32AA2">
        <w:t xml:space="preserve">the </w:t>
      </w:r>
      <w:r>
        <w:t xml:space="preserve">summer and fall, the contribution of </w:t>
      </w:r>
      <w:r w:rsidR="00F32AA2">
        <w:t xml:space="preserve">the </w:t>
      </w:r>
      <w:r>
        <w:t xml:space="preserve">CM decreases to around 40%. The combination of </w:t>
      </w:r>
      <w:r w:rsidR="00C753AB">
        <w:rPr>
          <w:rFonts w:eastAsia="PMingLiU"/>
          <w:lang w:eastAsia="zh-TW"/>
        </w:rPr>
        <w:t xml:space="preserve">the </w:t>
      </w:r>
      <w:r>
        <w:t xml:space="preserve">CM and DS is the second most dominant contributor, which can explain 40% of the evaporation loss variance in </w:t>
      </w:r>
      <w:r w:rsidR="00F32AA2">
        <w:t xml:space="preserve">the </w:t>
      </w:r>
      <w:r>
        <w:t xml:space="preserve">summer, and 36% in </w:t>
      </w:r>
      <w:r w:rsidR="00F32AA2">
        <w:t xml:space="preserve">the </w:t>
      </w:r>
      <w:r>
        <w:t>fall.</w:t>
      </w:r>
      <w:bookmarkEnd w:id="538"/>
      <w:bookmarkEnd w:id="539"/>
      <w:r w:rsidRPr="00CC0193">
        <w:t xml:space="preserve"> </w:t>
      </w:r>
      <w:r>
        <w:t>Although the choice of MetFs (i.e., Daymet or Livneh) may significantly influence the projected value of reservoir evaporation loss (</w:t>
      </w:r>
      <w:r>
        <w:fldChar w:fldCharType="begin"/>
      </w:r>
      <w:r>
        <w:instrText xml:space="preserve"> REF _Ref72856788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10</w:t>
      </w:r>
      <w:r>
        <w:fldChar w:fldCharType="end"/>
      </w:r>
      <w:r>
        <w:t>), the difference is systematic and largely reduced when examining the change from baseline to future periods. This shows that even with large model/data bias, the relative change is still considered reliable and used in many hydroclimate impact assessment studies.</w:t>
      </w:r>
    </w:p>
    <w:p w14:paraId="3B82A9F5" w14:textId="77777777" w:rsidR="008D75D0" w:rsidRDefault="008D75D0" w:rsidP="00DB2F01">
      <w:pPr>
        <w:pStyle w:val="BodyText"/>
      </w:pPr>
    </w:p>
    <w:p w14:paraId="54B0D74D" w14:textId="486A6250" w:rsidR="0020715F" w:rsidRPr="0020715F" w:rsidRDefault="0020715F" w:rsidP="00AD0C1C">
      <w:pPr>
        <w:pStyle w:val="Heading2"/>
      </w:pPr>
      <w:bookmarkStart w:id="540" w:name="_Ref69807933"/>
      <w:bookmarkStart w:id="541" w:name="_Toc113380834"/>
      <w:r w:rsidRPr="0020715F">
        <w:t xml:space="preserve">Climate Effects on Federal Hydropower in </w:t>
      </w:r>
      <w:r w:rsidR="00E0058B">
        <w:t xml:space="preserve">the </w:t>
      </w:r>
      <w:r w:rsidR="001100CF">
        <w:t>SEPA</w:t>
      </w:r>
      <w:r w:rsidR="00E0058B">
        <w:t xml:space="preserve"> Region</w:t>
      </w:r>
      <w:bookmarkEnd w:id="540"/>
      <w:bookmarkEnd w:id="541"/>
    </w:p>
    <w:p w14:paraId="0C17E7A1" w14:textId="77777777" w:rsidR="0020715F" w:rsidRPr="0020715F" w:rsidRDefault="0020715F" w:rsidP="0020715F">
      <w:pPr>
        <w:pStyle w:val="Heading3"/>
      </w:pPr>
      <w:bookmarkStart w:id="542" w:name="_Ref425756601"/>
      <w:bookmarkStart w:id="543" w:name="_Toc113380835"/>
      <w:r w:rsidRPr="0020715F">
        <w:t>Projection</w:t>
      </w:r>
      <w:r w:rsidR="00510B4A">
        <w:t>s</w:t>
      </w:r>
      <w:r w:rsidRPr="0020715F">
        <w:t xml:space="preserve"> of Hydropower Generation</w:t>
      </w:r>
      <w:bookmarkEnd w:id="542"/>
      <w:bookmarkEnd w:id="543"/>
    </w:p>
    <w:p w14:paraId="374DD6BD" w14:textId="36602981" w:rsidR="00606C69" w:rsidRDefault="00606C69" w:rsidP="00606C69">
      <w:pPr>
        <w:pStyle w:val="BodyText"/>
      </w:pPr>
      <w:r w:rsidRPr="00882352">
        <w:rPr>
          <w:rFonts w:eastAsia="PMingLiU"/>
          <w:lang w:eastAsia="zh-TW"/>
        </w:rPr>
        <w:t xml:space="preserve">Using the </w:t>
      </w:r>
      <w:r w:rsidRPr="3ADD3F87">
        <w:rPr>
          <w:rFonts w:eastAsia="PMingLiU"/>
          <w:lang w:eastAsia="zh-TW"/>
        </w:rPr>
        <w:t xml:space="preserve">two hydropower </w:t>
      </w:r>
      <w:r>
        <w:rPr>
          <w:rFonts w:eastAsia="PMingLiU"/>
          <w:lang w:eastAsia="zh-TW"/>
        </w:rPr>
        <w:t>model</w:t>
      </w:r>
      <w:r w:rsidRPr="3ADD3F87">
        <w:rPr>
          <w:rFonts w:eastAsia="PMingLiU"/>
          <w:lang w:eastAsia="zh-TW"/>
        </w:rPr>
        <w:t>s</w:t>
      </w:r>
      <w:r w:rsidRPr="00882352">
        <w:rPr>
          <w:rFonts w:eastAsia="PMingLiU"/>
          <w:lang w:eastAsia="zh-TW"/>
        </w:rPr>
        <w:t xml:space="preserve"> described in Section</w:t>
      </w:r>
      <w:r>
        <w:rPr>
          <w:rFonts w:eastAsia="PMingLiU"/>
          <w:lang w:eastAsia="zh-TW"/>
        </w:rPr>
        <w:t xml:space="preserve"> </w:t>
      </w:r>
      <w:r>
        <w:rPr>
          <w:rFonts w:eastAsia="PMingLiU"/>
          <w:lang w:eastAsia="zh-TW"/>
        </w:rPr>
        <w:fldChar w:fldCharType="begin"/>
      </w:r>
      <w:r>
        <w:rPr>
          <w:rFonts w:eastAsia="PMingLiU"/>
          <w:lang w:eastAsia="zh-TW"/>
        </w:rPr>
        <w:instrText xml:space="preserve"> REF _Ref425755954 \r \h </w:instrText>
      </w:r>
      <w:r>
        <w:rPr>
          <w:rFonts w:eastAsia="PMingLiU"/>
          <w:lang w:eastAsia="zh-TW"/>
        </w:rPr>
      </w:r>
      <w:r>
        <w:rPr>
          <w:rFonts w:eastAsia="PMingLiU"/>
          <w:lang w:eastAsia="zh-TW"/>
        </w:rPr>
        <w:fldChar w:fldCharType="separate"/>
      </w:r>
      <w:r w:rsidR="00EE0BF5">
        <w:rPr>
          <w:rFonts w:eastAsia="PMingLiU"/>
          <w:lang w:eastAsia="zh-TW"/>
        </w:rPr>
        <w:t>2.6</w:t>
      </w:r>
      <w:r>
        <w:rPr>
          <w:rFonts w:eastAsia="PMingLiU"/>
          <w:lang w:eastAsia="zh-TW"/>
        </w:rPr>
        <w:fldChar w:fldCharType="end"/>
      </w:r>
      <w:r w:rsidRPr="00882352">
        <w:rPr>
          <w:rFonts w:eastAsia="PMingLiU"/>
          <w:lang w:eastAsia="zh-TW"/>
        </w:rPr>
        <w:t xml:space="preserve">, </w:t>
      </w:r>
      <w:r>
        <w:rPr>
          <w:rFonts w:eastAsia="PMingLiU"/>
          <w:lang w:eastAsia="zh-TW"/>
        </w:rPr>
        <w:t xml:space="preserve">the </w:t>
      </w:r>
      <w:r w:rsidRPr="00882352">
        <w:rPr>
          <w:rFonts w:eastAsia="PMingLiU"/>
          <w:lang w:eastAsia="zh-TW"/>
        </w:rPr>
        <w:t>projection</w:t>
      </w:r>
      <w:r w:rsidR="003F05AD">
        <w:rPr>
          <w:rFonts w:eastAsia="PMingLiU"/>
          <w:lang w:eastAsia="zh-TW"/>
        </w:rPr>
        <w:t>s</w:t>
      </w:r>
      <w:r w:rsidRPr="00882352">
        <w:rPr>
          <w:rFonts w:eastAsia="PMingLiU"/>
          <w:lang w:eastAsia="zh-TW"/>
        </w:rPr>
        <w:t xml:space="preserve"> of monthly generation </w:t>
      </w:r>
      <w:r>
        <w:rPr>
          <w:rFonts w:eastAsia="PMingLiU"/>
          <w:lang w:eastAsia="zh-TW"/>
        </w:rPr>
        <w:t xml:space="preserve">in the </w:t>
      </w:r>
      <w:r w:rsidRPr="3ADD3F87">
        <w:rPr>
          <w:rFonts w:eastAsia="PMingLiU"/>
          <w:lang w:eastAsia="zh-TW"/>
        </w:rPr>
        <w:t xml:space="preserve">SEPA </w:t>
      </w:r>
      <w:r>
        <w:rPr>
          <w:rFonts w:eastAsia="PMingLiU"/>
          <w:lang w:eastAsia="zh-TW"/>
        </w:rPr>
        <w:t>region</w:t>
      </w:r>
      <w:r w:rsidRPr="00882352">
        <w:rPr>
          <w:rFonts w:eastAsia="PMingLiU"/>
          <w:lang w:eastAsia="zh-TW"/>
        </w:rPr>
        <w:t xml:space="preserve"> are calculated for each of the </w:t>
      </w:r>
      <w:r>
        <w:rPr>
          <w:rFonts w:eastAsia="PMingLiU"/>
          <w:lang w:eastAsia="zh-TW"/>
        </w:rPr>
        <w:t>96</w:t>
      </w:r>
      <w:r w:rsidRPr="00882352">
        <w:rPr>
          <w:rFonts w:eastAsia="PMingLiU"/>
          <w:lang w:eastAsia="zh-TW"/>
        </w:rPr>
        <w:t xml:space="preserve"> </w:t>
      </w:r>
      <w:r>
        <w:rPr>
          <w:rFonts w:eastAsia="PMingLiU"/>
          <w:lang w:eastAsia="zh-TW"/>
        </w:rPr>
        <w:t xml:space="preserve">unique combinations of </w:t>
      </w:r>
      <w:r w:rsidR="00D566BA">
        <w:rPr>
          <w:rFonts w:eastAsia="PMingLiU"/>
          <w:lang w:eastAsia="zh-TW"/>
        </w:rPr>
        <w:t>CMs</w:t>
      </w:r>
      <w:r>
        <w:rPr>
          <w:rFonts w:eastAsia="PMingLiU"/>
          <w:lang w:eastAsia="zh-TW"/>
        </w:rPr>
        <w:t xml:space="preserve">, </w:t>
      </w:r>
      <w:r w:rsidR="001E1DC5">
        <w:rPr>
          <w:rFonts w:eastAsia="PMingLiU"/>
          <w:lang w:eastAsia="zh-TW"/>
        </w:rPr>
        <w:t>DS</w:t>
      </w:r>
      <w:r>
        <w:rPr>
          <w:rFonts w:eastAsia="PMingLiU"/>
          <w:lang w:eastAsia="zh-TW"/>
        </w:rPr>
        <w:t xml:space="preserve">s, </w:t>
      </w:r>
      <w:r w:rsidR="00D566BA">
        <w:rPr>
          <w:rFonts w:eastAsia="PMingLiU"/>
          <w:lang w:eastAsia="zh-TW"/>
        </w:rPr>
        <w:t>MetFs</w:t>
      </w:r>
      <w:r w:rsidRPr="3ADD3F87">
        <w:rPr>
          <w:rFonts w:eastAsia="PMingLiU"/>
          <w:lang w:eastAsia="zh-TW"/>
        </w:rPr>
        <w:t xml:space="preserve">, </w:t>
      </w:r>
      <w:r>
        <w:rPr>
          <w:rFonts w:eastAsia="PMingLiU"/>
          <w:lang w:eastAsia="zh-TW"/>
        </w:rPr>
        <w:t xml:space="preserve">and </w:t>
      </w:r>
      <w:r w:rsidR="00533D84">
        <w:rPr>
          <w:rFonts w:eastAsia="PMingLiU"/>
          <w:lang w:eastAsia="zh-TW"/>
        </w:rPr>
        <w:t xml:space="preserve">HMs </w:t>
      </w:r>
      <w:r>
        <w:rPr>
          <w:rFonts w:eastAsia="PMingLiU"/>
          <w:lang w:eastAsia="zh-TW"/>
        </w:rPr>
        <w:t xml:space="preserve">and </w:t>
      </w:r>
      <w:r w:rsidR="00533D84">
        <w:rPr>
          <w:rFonts w:eastAsia="PMingLiU"/>
          <w:lang w:eastAsia="zh-TW"/>
        </w:rPr>
        <w:t>PM</w:t>
      </w:r>
      <w:r>
        <w:rPr>
          <w:rFonts w:eastAsia="PMingLiU"/>
          <w:lang w:eastAsia="zh-TW"/>
        </w:rPr>
        <w:t>s</w:t>
      </w:r>
      <w:r w:rsidRPr="00882352">
        <w:rPr>
          <w:rFonts w:eastAsia="PMingLiU"/>
          <w:lang w:eastAsia="zh-TW"/>
        </w:rPr>
        <w:t xml:space="preserve">. </w:t>
      </w:r>
      <w:r w:rsidRPr="00CC508E">
        <w:t xml:space="preserve">Projections based on </w:t>
      </w:r>
      <w:r w:rsidR="005E23BA">
        <w:t>multimodel</w:t>
      </w:r>
      <w:r w:rsidRPr="00CC508E">
        <w:t xml:space="preserve"> ensemble</w:t>
      </w:r>
      <w:r>
        <w:t>s</w:t>
      </w:r>
      <w:r w:rsidRPr="00CC508E">
        <w:t xml:space="preserve"> are </w:t>
      </w:r>
      <w:r>
        <w:t>summarized in terms of</w:t>
      </w:r>
      <w:r w:rsidRPr="00CC508E">
        <w:t xml:space="preserve"> </w:t>
      </w:r>
      <w:r>
        <w:t xml:space="preserve">the </w:t>
      </w:r>
      <w:r w:rsidRPr="00CC508E">
        <w:t>mean annual</w:t>
      </w:r>
      <w:r>
        <w:t xml:space="preserve"> and </w:t>
      </w:r>
      <w:r w:rsidRPr="00CC508E">
        <w:t xml:space="preserve">seasonal changes for </w:t>
      </w:r>
      <w:r>
        <w:t xml:space="preserve">the </w:t>
      </w:r>
      <w:r w:rsidRPr="00CC508E">
        <w:t>near-term (20</w:t>
      </w:r>
      <w:r>
        <w:t>20</w:t>
      </w:r>
      <w:r w:rsidRPr="00CC508E">
        <w:t>–203</w:t>
      </w:r>
      <w:r>
        <w:t>9</w:t>
      </w:r>
      <w:r w:rsidRPr="00CC508E">
        <w:t xml:space="preserve">) and </w:t>
      </w:r>
      <w:r>
        <w:t>mid-term</w:t>
      </w:r>
      <w:r w:rsidRPr="00CC508E">
        <w:t xml:space="preserve"> (20</w:t>
      </w:r>
      <w:r>
        <w:t>40</w:t>
      </w:r>
      <w:r w:rsidRPr="00CC508E">
        <w:t>–205</w:t>
      </w:r>
      <w:r>
        <w:t>9</w:t>
      </w:r>
      <w:r w:rsidRPr="00CC508E">
        <w:t>)</w:t>
      </w:r>
      <w:r>
        <w:t xml:space="preserve"> future </w:t>
      </w:r>
      <w:r w:rsidRPr="00CC508E">
        <w:t>period</w:t>
      </w:r>
      <w:r>
        <w:t>s</w:t>
      </w:r>
      <w:r w:rsidRPr="00CC508E">
        <w:t xml:space="preserve"> </w:t>
      </w:r>
      <w:r>
        <w:t xml:space="preserve">compared </w:t>
      </w:r>
      <w:r w:rsidR="00DA5123">
        <w:t xml:space="preserve">with </w:t>
      </w:r>
      <w:r w:rsidRPr="00CC508E">
        <w:t>the baseline period (</w:t>
      </w:r>
      <w:r>
        <w:t>1980</w:t>
      </w:r>
      <w:r w:rsidRPr="00CC508E">
        <w:t>–</w:t>
      </w:r>
      <w:r>
        <w:t>2019</w:t>
      </w:r>
      <w:r w:rsidRPr="00CC508E">
        <w:t xml:space="preserve">). </w:t>
      </w:r>
    </w:p>
    <w:p w14:paraId="4033D7EB" w14:textId="2E176515" w:rsidR="00606C69" w:rsidRDefault="00606C69" w:rsidP="00606C69">
      <w:pPr>
        <w:pStyle w:val="BodyText"/>
        <w:rPr>
          <w:rFonts w:eastAsia="PMingLiU"/>
          <w:lang w:eastAsia="zh-TW"/>
        </w:rPr>
      </w:pPr>
      <w:r w:rsidRPr="4AA7083E">
        <w:rPr>
          <w:rFonts w:eastAsia="PMingLiU"/>
          <w:lang w:eastAsia="zh-TW"/>
        </w:rPr>
        <w:t xml:space="preserve">The interannual variability of annual hydropower generation for the baseline and future periods </w:t>
      </w:r>
      <w:r w:rsidR="00DA5123">
        <w:rPr>
          <w:rFonts w:eastAsia="PMingLiU"/>
          <w:lang w:eastAsia="zh-TW"/>
        </w:rPr>
        <w:t>is</w:t>
      </w:r>
      <w:r w:rsidR="00DA5123" w:rsidRPr="4AA7083E">
        <w:rPr>
          <w:rFonts w:eastAsia="PMingLiU"/>
          <w:lang w:eastAsia="zh-TW"/>
        </w:rPr>
        <w:t xml:space="preserve"> </w:t>
      </w:r>
      <w:r w:rsidRPr="4AA7083E">
        <w:rPr>
          <w:rFonts w:eastAsia="PMingLiU"/>
          <w:lang w:eastAsia="zh-TW"/>
        </w:rPr>
        <w:t>shown in</w:t>
      </w:r>
      <w:r>
        <w:t xml:space="preserve"> </w:t>
      </w:r>
      <w:r>
        <w:fldChar w:fldCharType="begin"/>
      </w:r>
      <w:r>
        <w:instrText xml:space="preserve"> REF _Ref72857080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13</w:t>
      </w:r>
      <w:r>
        <w:fldChar w:fldCharType="end"/>
      </w:r>
      <w:r w:rsidRPr="4AA7083E">
        <w:rPr>
          <w:rFonts w:eastAsia="PMingLiU"/>
          <w:lang w:eastAsia="zh-TW"/>
        </w:rPr>
        <w:t xml:space="preserve">. The gray lines </w:t>
      </w:r>
      <w:r>
        <w:t xml:space="preserve">show the annual total generation for </w:t>
      </w:r>
      <w:r w:rsidR="002E5962">
        <w:t xml:space="preserve">all </w:t>
      </w:r>
      <w:r>
        <w:t>96 member</w:t>
      </w:r>
      <w:r w:rsidR="002E5962">
        <w:t>s</w:t>
      </w:r>
      <w:r>
        <w:t xml:space="preserve"> of the ensemble hydropower projections</w:t>
      </w:r>
      <w:r w:rsidRPr="4AA7083E">
        <w:rPr>
          <w:rFonts w:eastAsia="PMingLiU"/>
          <w:lang w:eastAsia="zh-TW"/>
        </w:rPr>
        <w:t xml:space="preserve">, the black line represents the </w:t>
      </w:r>
      <w:r>
        <w:rPr>
          <w:rFonts w:eastAsia="PMingLiU"/>
          <w:lang w:eastAsia="zh-TW"/>
        </w:rPr>
        <w:t>ensemble</w:t>
      </w:r>
      <w:r w:rsidRPr="4AA7083E">
        <w:rPr>
          <w:rFonts w:eastAsia="PMingLiU"/>
          <w:lang w:eastAsia="zh-TW"/>
        </w:rPr>
        <w:t xml:space="preserve"> median, the </w:t>
      </w:r>
      <w:r w:rsidR="004E16CD">
        <w:rPr>
          <w:rFonts w:eastAsia="PMingLiU"/>
          <w:lang w:eastAsia="zh-TW"/>
        </w:rPr>
        <w:t>black</w:t>
      </w:r>
      <w:r w:rsidRPr="4AA7083E">
        <w:rPr>
          <w:rFonts w:eastAsia="PMingLiU"/>
          <w:lang w:eastAsia="zh-TW"/>
        </w:rPr>
        <w:t xml:space="preserve"> line represents the </w:t>
      </w:r>
      <w:r>
        <w:rPr>
          <w:rFonts w:eastAsia="PMingLiU"/>
          <w:lang w:eastAsia="zh-TW"/>
        </w:rPr>
        <w:t>ensemble</w:t>
      </w:r>
      <w:r w:rsidRPr="4AA7083E">
        <w:rPr>
          <w:rFonts w:eastAsia="PMingLiU"/>
          <w:lang w:eastAsia="zh-TW"/>
        </w:rPr>
        <w:t xml:space="preserve"> median</w:t>
      </w:r>
      <w:r w:rsidR="003A029B">
        <w:rPr>
          <w:rFonts w:eastAsia="PMingLiU"/>
          <w:lang w:eastAsia="zh-TW"/>
        </w:rPr>
        <w:t>;</w:t>
      </w:r>
      <w:r w:rsidRPr="4AA7083E">
        <w:rPr>
          <w:rFonts w:eastAsia="PMingLiU"/>
          <w:lang w:eastAsia="zh-TW"/>
        </w:rPr>
        <w:t xml:space="preserve"> the </w:t>
      </w:r>
      <w:r w:rsidR="004E16CD">
        <w:rPr>
          <w:rFonts w:eastAsia="PMingLiU"/>
          <w:lang w:eastAsia="zh-TW"/>
        </w:rPr>
        <w:t>blue</w:t>
      </w:r>
      <w:r w:rsidRPr="4AA7083E">
        <w:rPr>
          <w:rFonts w:eastAsia="PMingLiU"/>
          <w:lang w:eastAsia="zh-TW"/>
        </w:rPr>
        <w:t xml:space="preserve"> line shows the 1980–2019 historic observation from EIA and PMAs. The corresponding probability distributions </w:t>
      </w:r>
      <w:r>
        <w:rPr>
          <w:rFonts w:eastAsia="PMingLiU"/>
          <w:lang w:eastAsia="zh-TW"/>
        </w:rPr>
        <w:t xml:space="preserve">of annual generation </w:t>
      </w:r>
      <w:r w:rsidRPr="4AA7083E">
        <w:rPr>
          <w:rFonts w:eastAsia="PMingLiU"/>
          <w:lang w:eastAsia="zh-TW"/>
        </w:rPr>
        <w:t xml:space="preserve">in the baseline and future periods are compared in the right panel. </w:t>
      </w:r>
      <w:r w:rsidR="00624DFD" w:rsidRPr="4AA7083E">
        <w:rPr>
          <w:rFonts w:eastAsia="PMingLiU"/>
          <w:lang w:eastAsia="zh-TW"/>
        </w:rPr>
        <w:t xml:space="preserve">A two-sample Kolmogorov-Smirnov test </w:t>
      </w:r>
      <w:r w:rsidR="00624DFD">
        <w:t>at the 5% significance level</w:t>
      </w:r>
      <w:r w:rsidR="00624DFD" w:rsidRPr="4AA7083E">
        <w:rPr>
          <w:rFonts w:eastAsia="PMingLiU"/>
          <w:lang w:eastAsia="zh-TW"/>
        </w:rPr>
        <w:t xml:space="preserve"> </w:t>
      </w:r>
      <w:r w:rsidR="00624DFD">
        <w:t>was</w:t>
      </w:r>
      <w:r w:rsidR="00624DFD" w:rsidRPr="4AA7083E">
        <w:rPr>
          <w:rFonts w:eastAsia="PMingLiU"/>
          <w:lang w:eastAsia="zh-TW"/>
        </w:rPr>
        <w:t xml:space="preserve"> used to determine </w:t>
      </w:r>
      <w:r w:rsidR="00624DFD">
        <w:rPr>
          <w:rFonts w:eastAsia="PMingLiU"/>
          <w:lang w:eastAsia="zh-TW"/>
        </w:rPr>
        <w:t xml:space="preserve">whether </w:t>
      </w:r>
      <w:r w:rsidR="00624DFD" w:rsidRPr="4AA7083E">
        <w:rPr>
          <w:rFonts w:eastAsia="PMingLiU"/>
          <w:lang w:eastAsia="zh-TW"/>
        </w:rPr>
        <w:t>the difference between</w:t>
      </w:r>
      <w:r w:rsidR="00624DFD">
        <w:rPr>
          <w:rFonts w:eastAsia="PMingLiU"/>
          <w:lang w:eastAsia="zh-TW"/>
        </w:rPr>
        <w:t xml:space="preserve"> the</w:t>
      </w:r>
      <w:r w:rsidR="00624DFD" w:rsidRPr="4AA7083E">
        <w:rPr>
          <w:rFonts w:eastAsia="PMingLiU"/>
          <w:lang w:eastAsia="zh-TW"/>
        </w:rPr>
        <w:t xml:space="preserve"> baseline and future periods </w:t>
      </w:r>
      <w:r w:rsidR="00624DFD">
        <w:rPr>
          <w:rFonts w:eastAsia="PMingLiU"/>
          <w:lang w:eastAsia="zh-TW"/>
        </w:rPr>
        <w:t>are</w:t>
      </w:r>
      <w:r w:rsidR="00624DFD" w:rsidRPr="4AA7083E">
        <w:rPr>
          <w:rFonts w:eastAsia="PMingLiU"/>
          <w:lang w:eastAsia="zh-TW"/>
        </w:rPr>
        <w:t xml:space="preserve"> statistically significant</w:t>
      </w:r>
      <w:r w:rsidRPr="4AA7083E">
        <w:rPr>
          <w:rFonts w:eastAsia="PMingLiU"/>
          <w:lang w:eastAsia="zh-TW"/>
        </w:rPr>
        <w:t>.</w:t>
      </w:r>
    </w:p>
    <w:p w14:paraId="055D6E99" w14:textId="24EBF05E" w:rsidR="00315A19" w:rsidRDefault="00315A19" w:rsidP="00606C69">
      <w:pPr>
        <w:pStyle w:val="BodyText"/>
        <w:rPr>
          <w:rFonts w:eastAsia="PMingLiU"/>
          <w:lang w:eastAsia="zh-TW"/>
        </w:rPr>
      </w:pPr>
      <w:r>
        <w:rPr>
          <w:rFonts w:eastAsia="PMingLiU"/>
          <w:lang w:eastAsia="zh-TW"/>
        </w:rPr>
        <w:t>The comparison (</w:t>
      </w:r>
      <w:r>
        <w:rPr>
          <w:rFonts w:eastAsia="PMingLiU"/>
          <w:lang w:eastAsia="zh-TW"/>
        </w:rPr>
        <w:fldChar w:fldCharType="begin"/>
      </w:r>
      <w:r>
        <w:rPr>
          <w:rFonts w:eastAsia="PMingLiU"/>
          <w:lang w:eastAsia="zh-TW"/>
        </w:rPr>
        <w:instrText xml:space="preserve"> REF _Ref72857080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13</w:t>
      </w:r>
      <w:r>
        <w:rPr>
          <w:rFonts w:eastAsia="PMingLiU"/>
          <w:lang w:eastAsia="zh-TW"/>
        </w:rPr>
        <w:fldChar w:fldCharType="end"/>
      </w:r>
      <w:r>
        <w:rPr>
          <w:rFonts w:eastAsia="PMingLiU"/>
          <w:lang w:eastAsia="zh-TW"/>
        </w:rPr>
        <w:t>, left column) suggests that the range of simulated and observed annual hydropower is generally consistent across all SEPA areas. However, the shapes of the probability distributions revealed that significant changes in interannual variability will occur in some SEPA areas. Specifically, in SEPA-1, SEPA-2, and SEPA-3, the future generations showed wider distributions with lower, rounder, and shifted peaks (</w:t>
      </w:r>
      <w:r>
        <w:rPr>
          <w:rFonts w:eastAsia="PMingLiU"/>
          <w:lang w:eastAsia="zh-TW"/>
        </w:rPr>
        <w:fldChar w:fldCharType="begin"/>
      </w:r>
      <w:r>
        <w:rPr>
          <w:rFonts w:eastAsia="PMingLiU"/>
          <w:lang w:eastAsia="zh-TW"/>
        </w:rPr>
        <w:instrText xml:space="preserve"> REF _Ref72857080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13</w:t>
      </w:r>
      <w:r>
        <w:rPr>
          <w:rFonts w:eastAsia="PMingLiU"/>
          <w:lang w:eastAsia="zh-TW"/>
        </w:rPr>
        <w:fldChar w:fldCharType="end"/>
      </w:r>
      <w:r>
        <w:t>, right column</w:t>
      </w:r>
      <w:r>
        <w:rPr>
          <w:rFonts w:eastAsia="PMingLiU"/>
          <w:lang w:eastAsia="zh-TW"/>
        </w:rPr>
        <w:t xml:space="preserve">), </w:t>
      </w:r>
      <w:r w:rsidR="008C72D4">
        <w:rPr>
          <w:rFonts w:eastAsia="PMingLiU"/>
          <w:lang w:eastAsia="zh-TW"/>
        </w:rPr>
        <w:t>suggesting that the annual generation in the future period will deviate more frequently and more substantially from a higher median than in the baseline period. The upper tail</w:t>
      </w:r>
      <w:r w:rsidR="00B479B6">
        <w:rPr>
          <w:rFonts w:eastAsia="PMingLiU"/>
          <w:lang w:eastAsia="zh-TW"/>
        </w:rPr>
        <w:t>s</w:t>
      </w:r>
      <w:r w:rsidR="008C72D4">
        <w:rPr>
          <w:rFonts w:eastAsia="PMingLiU"/>
          <w:lang w:eastAsia="zh-TW"/>
        </w:rPr>
        <w:t xml:space="preserve"> in SEPA-1 and SEPA-3 indicate more frequent extreme higher generation. For SEPA-4, </w:t>
      </w:r>
      <w:r w:rsidR="008C72D4" w:rsidRPr="64B33465">
        <w:rPr>
          <w:rFonts w:eastAsia="PMingLiU"/>
          <w:lang w:eastAsia="zh-TW"/>
        </w:rPr>
        <w:t>the general shapes of the</w:t>
      </w:r>
      <w:r w:rsidR="008C72D4">
        <w:rPr>
          <w:rFonts w:eastAsia="PMingLiU"/>
          <w:lang w:eastAsia="zh-TW"/>
        </w:rPr>
        <w:t xml:space="preserve"> probability distributions for baseline and future periods</w:t>
      </w:r>
      <w:r w:rsidR="008C72D4" w:rsidRPr="64B33465">
        <w:rPr>
          <w:rFonts w:eastAsia="PMingLiU"/>
          <w:lang w:eastAsia="zh-TW"/>
        </w:rPr>
        <w:t xml:space="preserve"> do not substantially differ. However the distribution of annual future projection displays an upper tail not even present in the baseline period, denoting unseen high annual generation in the future.</w:t>
      </w:r>
    </w:p>
    <w:p w14:paraId="762179E5" w14:textId="3082B71B" w:rsidR="008D75D0" w:rsidRDefault="008D75D0" w:rsidP="008D75D0">
      <w:pPr>
        <w:pStyle w:val="BodyText"/>
        <w:rPr>
          <w:rFonts w:eastAsia="PMingLiU"/>
          <w:lang w:eastAsia="zh-TW"/>
        </w:rPr>
      </w:pPr>
      <w:r w:rsidRPr="00882352">
        <w:rPr>
          <w:rFonts w:eastAsia="PMingLiU"/>
          <w:lang w:eastAsia="zh-TW"/>
        </w:rPr>
        <w:t xml:space="preserve">The annual and seasonal change </w:t>
      </w:r>
      <w:r w:rsidRPr="490D0E70">
        <w:rPr>
          <w:rFonts w:eastAsia="PMingLiU"/>
          <w:lang w:eastAsia="zh-TW"/>
        </w:rPr>
        <w:t>in</w:t>
      </w:r>
      <w:r w:rsidRPr="00882352">
        <w:rPr>
          <w:rFonts w:eastAsia="PMingLiU"/>
          <w:lang w:eastAsia="zh-TW"/>
        </w:rPr>
        <w:t xml:space="preserve"> hydropower generation </w:t>
      </w:r>
      <w:r>
        <w:rPr>
          <w:rFonts w:eastAsia="PMingLiU"/>
          <w:lang w:eastAsia="zh-TW"/>
        </w:rPr>
        <w:t>is</w:t>
      </w:r>
      <w:r>
        <w:rPr>
          <w:rFonts w:eastAsia="PMingLiU" w:hint="eastAsia"/>
          <w:lang w:eastAsia="zh-TW"/>
        </w:rPr>
        <w:t xml:space="preserve"> further </w:t>
      </w:r>
      <w:r w:rsidRPr="00882352">
        <w:rPr>
          <w:rFonts w:eastAsia="PMingLiU"/>
          <w:lang w:eastAsia="zh-TW"/>
        </w:rPr>
        <w:t>summarized in</w:t>
      </w:r>
      <w:r>
        <w:t xml:space="preserve"> </w:t>
      </w:r>
      <w:r>
        <w:fldChar w:fldCharType="begin"/>
      </w:r>
      <w:r>
        <w:instrText xml:space="preserve"> REF _Ref72857092 \h </w:instrText>
      </w:r>
      <w:r>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14</w:t>
      </w:r>
      <w:r>
        <w:fldChar w:fldCharType="end"/>
      </w:r>
      <w:r w:rsidRPr="00882352">
        <w:rPr>
          <w:rFonts w:eastAsia="PMingLiU"/>
          <w:lang w:eastAsia="zh-TW"/>
        </w:rPr>
        <w:t xml:space="preserve">. </w:t>
      </w:r>
      <w:r>
        <w:rPr>
          <w:rFonts w:eastAsia="PMingLiU"/>
          <w:lang w:eastAsia="zh-TW"/>
        </w:rPr>
        <w:t>The c</w:t>
      </w:r>
      <w:r w:rsidRPr="00882352">
        <w:rPr>
          <w:rFonts w:eastAsia="PMingLiU"/>
          <w:lang w:eastAsia="zh-TW"/>
        </w:rPr>
        <w:t>hange is defined as the percentage difference of future periods (20</w:t>
      </w:r>
      <w:r>
        <w:rPr>
          <w:rFonts w:eastAsia="PMingLiU"/>
          <w:lang w:eastAsia="zh-TW"/>
        </w:rPr>
        <w:t>20</w:t>
      </w:r>
      <w:r w:rsidRPr="00882352">
        <w:rPr>
          <w:rFonts w:eastAsia="PMingLiU"/>
          <w:lang w:eastAsia="zh-TW"/>
        </w:rPr>
        <w:t>–203</w:t>
      </w:r>
      <w:r>
        <w:rPr>
          <w:rFonts w:eastAsia="PMingLiU"/>
          <w:lang w:eastAsia="zh-TW"/>
        </w:rPr>
        <w:t>9</w:t>
      </w:r>
      <w:r w:rsidRPr="00882352">
        <w:rPr>
          <w:rFonts w:eastAsia="PMingLiU"/>
          <w:lang w:eastAsia="zh-TW"/>
        </w:rPr>
        <w:t xml:space="preserve"> and 20</w:t>
      </w:r>
      <w:r>
        <w:rPr>
          <w:rFonts w:eastAsia="PMingLiU"/>
          <w:lang w:eastAsia="zh-TW"/>
        </w:rPr>
        <w:t>40</w:t>
      </w:r>
      <w:r w:rsidRPr="00882352">
        <w:rPr>
          <w:rFonts w:eastAsia="PMingLiU"/>
          <w:lang w:eastAsia="zh-TW"/>
        </w:rPr>
        <w:t>–205</w:t>
      </w:r>
      <w:r>
        <w:rPr>
          <w:rFonts w:eastAsia="PMingLiU"/>
          <w:lang w:eastAsia="zh-TW"/>
        </w:rPr>
        <w:t>9</w:t>
      </w:r>
      <w:r w:rsidRPr="00882352">
        <w:rPr>
          <w:rFonts w:eastAsia="PMingLiU"/>
          <w:lang w:eastAsia="zh-TW"/>
        </w:rPr>
        <w:t>) compar</w:t>
      </w:r>
      <w:r>
        <w:rPr>
          <w:rFonts w:eastAsia="PMingLiU"/>
          <w:lang w:eastAsia="zh-TW"/>
        </w:rPr>
        <w:t>ed</w:t>
      </w:r>
      <w:r w:rsidRPr="00882352">
        <w:rPr>
          <w:rFonts w:eastAsia="PMingLiU"/>
          <w:lang w:eastAsia="zh-TW"/>
        </w:rPr>
        <w:t xml:space="preserve"> </w:t>
      </w:r>
      <w:r>
        <w:t>with</w:t>
      </w:r>
      <w:r w:rsidRPr="00882352" w:rsidDel="0080656F">
        <w:rPr>
          <w:rFonts w:eastAsia="PMingLiU"/>
          <w:lang w:eastAsia="zh-TW"/>
        </w:rPr>
        <w:t xml:space="preserve"> </w:t>
      </w:r>
      <w:r w:rsidRPr="00882352">
        <w:rPr>
          <w:rFonts w:eastAsia="PMingLiU"/>
          <w:lang w:eastAsia="zh-TW"/>
        </w:rPr>
        <w:t>the baseline period</w:t>
      </w:r>
      <w:r>
        <w:rPr>
          <w:rFonts w:eastAsia="PMingLiU"/>
          <w:lang w:eastAsia="zh-TW"/>
        </w:rPr>
        <w:t xml:space="preserve"> (</w:t>
      </w:r>
      <w:r w:rsidRPr="007573EB">
        <w:t>1980–2019</w:t>
      </w:r>
      <w:r>
        <w:t>)</w:t>
      </w:r>
      <w:r w:rsidRPr="00882352">
        <w:rPr>
          <w:rFonts w:eastAsia="PMingLiU"/>
          <w:lang w:eastAsia="zh-TW"/>
        </w:rPr>
        <w:t xml:space="preserve">. Each box plot shows the spread across </w:t>
      </w:r>
      <w:r>
        <w:rPr>
          <w:rFonts w:eastAsia="PMingLiU"/>
          <w:lang w:eastAsia="zh-TW"/>
        </w:rPr>
        <w:t>96 multimodel combinations;</w:t>
      </w:r>
      <w:r w:rsidRPr="00882352">
        <w:rPr>
          <w:rFonts w:eastAsia="PMingLiU"/>
          <w:lang w:eastAsia="zh-TW"/>
        </w:rPr>
        <w:t xml:space="preserve"> the central mark </w:t>
      </w:r>
      <w:r>
        <w:t xml:space="preserve">indicates </w:t>
      </w:r>
      <w:r w:rsidRPr="00882352">
        <w:rPr>
          <w:rFonts w:eastAsia="PMingLiU"/>
          <w:lang w:eastAsia="zh-TW"/>
        </w:rPr>
        <w:t xml:space="preserve">the </w:t>
      </w:r>
      <w:r>
        <w:rPr>
          <w:rFonts w:eastAsia="PMingLiU"/>
          <w:lang w:eastAsia="zh-TW"/>
        </w:rPr>
        <w:t>multimodel</w:t>
      </w:r>
      <w:r w:rsidRPr="00882352">
        <w:rPr>
          <w:rFonts w:eastAsia="PMingLiU"/>
          <w:lang w:eastAsia="zh-TW"/>
        </w:rPr>
        <w:t xml:space="preserve"> median, </w:t>
      </w:r>
      <w:r>
        <w:rPr>
          <w:rFonts w:eastAsia="PMingLiU"/>
          <w:lang w:eastAsia="zh-TW"/>
        </w:rPr>
        <w:t xml:space="preserve">and </w:t>
      </w:r>
      <w:r w:rsidRPr="00882352">
        <w:rPr>
          <w:rFonts w:eastAsia="PMingLiU"/>
          <w:lang w:eastAsia="zh-TW"/>
        </w:rPr>
        <w:t xml:space="preserve">the edges of box </w:t>
      </w:r>
      <w:r>
        <w:t xml:space="preserve">indicate </w:t>
      </w:r>
      <w:r w:rsidRPr="00882352">
        <w:rPr>
          <w:rFonts w:eastAsia="PMingLiU"/>
          <w:lang w:eastAsia="zh-TW"/>
        </w:rPr>
        <w:t xml:space="preserve">the </w:t>
      </w:r>
      <w:r>
        <w:rPr>
          <w:rFonts w:eastAsia="PMingLiU"/>
          <w:lang w:eastAsia="zh-TW"/>
        </w:rPr>
        <w:t>25</w:t>
      </w:r>
      <w:r w:rsidRPr="00FA458A">
        <w:rPr>
          <w:rFonts w:eastAsia="PMingLiU"/>
          <w:lang w:eastAsia="zh-TW"/>
        </w:rPr>
        <w:t>th</w:t>
      </w:r>
      <w:r>
        <w:rPr>
          <w:rFonts w:eastAsia="PMingLiU"/>
          <w:lang w:eastAsia="zh-TW"/>
        </w:rPr>
        <w:t xml:space="preserve"> </w:t>
      </w:r>
      <w:r w:rsidRPr="00882352">
        <w:rPr>
          <w:rFonts w:eastAsia="PMingLiU"/>
          <w:lang w:eastAsia="zh-TW"/>
        </w:rPr>
        <w:t xml:space="preserve">and </w:t>
      </w:r>
      <w:r>
        <w:rPr>
          <w:rFonts w:eastAsia="PMingLiU"/>
          <w:lang w:eastAsia="zh-TW"/>
        </w:rPr>
        <w:t>75</w:t>
      </w:r>
      <w:r w:rsidRPr="00FA458A">
        <w:rPr>
          <w:rFonts w:eastAsia="PMingLiU"/>
          <w:lang w:eastAsia="zh-TW"/>
        </w:rPr>
        <w:t>th</w:t>
      </w:r>
      <w:r>
        <w:rPr>
          <w:rFonts w:eastAsia="PMingLiU"/>
          <w:lang w:eastAsia="zh-TW"/>
        </w:rPr>
        <w:t xml:space="preserve"> </w:t>
      </w:r>
      <w:r w:rsidRPr="00882352">
        <w:rPr>
          <w:rFonts w:eastAsia="PMingLiU"/>
          <w:lang w:eastAsia="zh-TW"/>
        </w:rPr>
        <w:t>percentiles</w:t>
      </w:r>
      <w:r>
        <w:rPr>
          <w:rFonts w:eastAsia="PMingLiU"/>
          <w:lang w:eastAsia="zh-TW"/>
        </w:rPr>
        <w:t>.</w:t>
      </w:r>
      <w:r w:rsidRPr="00180B52">
        <w:rPr>
          <w:rFonts w:eastAsia="PMingLiU"/>
          <w:lang w:eastAsia="zh-TW"/>
        </w:rPr>
        <w:t xml:space="preserve"> </w:t>
      </w:r>
      <w:r>
        <w:rPr>
          <w:rFonts w:eastAsia="PMingLiU"/>
          <w:lang w:eastAsia="zh-TW"/>
        </w:rPr>
        <w:t xml:space="preserve">The maximum </w:t>
      </w:r>
      <w:r w:rsidRPr="00726701">
        <w:rPr>
          <w:rFonts w:eastAsia="PMingLiU"/>
          <w:lang w:eastAsia="zh-TW"/>
        </w:rPr>
        <w:t>whisker length</w:t>
      </w:r>
      <w:r>
        <w:rPr>
          <w:rFonts w:eastAsia="PMingLiU"/>
          <w:lang w:eastAsia="zh-TW"/>
        </w:rPr>
        <w:t xml:space="preserve"> is 1.5 times the box height (25</w:t>
      </w:r>
      <w:r w:rsidRPr="00FA458A">
        <w:rPr>
          <w:rFonts w:eastAsia="PMingLiU"/>
          <w:lang w:eastAsia="zh-TW"/>
        </w:rPr>
        <w:t>th</w:t>
      </w:r>
      <w:r>
        <w:rPr>
          <w:rFonts w:eastAsia="PMingLiU"/>
          <w:lang w:eastAsia="zh-TW"/>
        </w:rPr>
        <w:t xml:space="preserve"> to 75</w:t>
      </w:r>
      <w:r w:rsidRPr="00FA458A">
        <w:rPr>
          <w:rFonts w:eastAsia="PMingLiU"/>
          <w:lang w:eastAsia="zh-TW"/>
        </w:rPr>
        <w:t>th</w:t>
      </w:r>
      <w:r>
        <w:rPr>
          <w:rFonts w:eastAsia="PMingLiU"/>
          <w:lang w:eastAsia="zh-TW"/>
        </w:rPr>
        <w:t xml:space="preserve"> </w:t>
      </w:r>
      <w:r w:rsidRPr="004C111D">
        <w:rPr>
          <w:rFonts w:eastAsia="PMingLiU"/>
          <w:lang w:eastAsia="zh-TW"/>
        </w:rPr>
        <w:t>percentiles</w:t>
      </w:r>
      <w:r>
        <w:rPr>
          <w:rFonts w:eastAsia="PMingLiU"/>
          <w:lang w:eastAsia="zh-TW"/>
        </w:rPr>
        <w:t>). Ensemble members outside of the maximum whisker length are considered as statistical outliers (but should not be excluded in the context of climate change)</w:t>
      </w:r>
      <w:r w:rsidRPr="00882352">
        <w:rPr>
          <w:rFonts w:eastAsia="PMingLiU"/>
          <w:lang w:eastAsia="zh-TW"/>
        </w:rPr>
        <w:t>.</w:t>
      </w:r>
    </w:p>
    <w:p w14:paraId="16FCAA64" w14:textId="77777777" w:rsidR="008D75D0" w:rsidRDefault="008D75D0" w:rsidP="00606C69">
      <w:pPr>
        <w:pStyle w:val="BodyText"/>
        <w:rPr>
          <w:rFonts w:eastAsia="PMingLiU"/>
          <w:lang w:eastAsia="zh-TW"/>
        </w:rPr>
      </w:pPr>
    </w:p>
    <w:p w14:paraId="199AB661" w14:textId="1FE75F63" w:rsidR="00260B81" w:rsidRDefault="00D001C9" w:rsidP="00CD66C9">
      <w:pPr>
        <w:pStyle w:val="FIGUREposition"/>
        <w:rPr>
          <w:rFonts w:eastAsia="PMingLiU"/>
          <w:szCs w:val="24"/>
          <w:lang w:eastAsia="zh-TW"/>
        </w:rPr>
      </w:pPr>
      <w:r>
        <w:rPr>
          <w:noProof/>
        </w:rPr>
        <w:lastRenderedPageBreak/>
        <w:drawing>
          <wp:inline distT="0" distB="0" distL="0" distR="0" wp14:anchorId="39A1A90F" wp14:editId="5D012680">
            <wp:extent cx="5486396" cy="1828798"/>
            <wp:effectExtent l="0" t="0" r="635" b="63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pic:cNvPicPr>
                      <a:picLocks noChangeAspect="1" noChangeArrowheads="1"/>
                    </pic:cNvPicPr>
                  </pic:nvPicPr>
                  <pic:blipFill>
                    <a:blip r:embed="rId253"/>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52F61E22" wp14:editId="7090F163">
            <wp:extent cx="5486396" cy="1828798"/>
            <wp:effectExtent l="0" t="0" r="635" b="63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pic:cNvPicPr>
                      <a:picLocks noChangeAspect="1" noChangeArrowheads="1"/>
                    </pic:cNvPicPr>
                  </pic:nvPicPr>
                  <pic:blipFill>
                    <a:blip r:embed="rId254"/>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1D851D78" wp14:editId="456F7FD1">
            <wp:extent cx="5486396" cy="1828798"/>
            <wp:effectExtent l="0" t="0" r="635" b="63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pic:cNvPicPr>
                      <a:picLocks noChangeAspect="1" noChangeArrowheads="1"/>
                    </pic:cNvPicPr>
                  </pic:nvPicPr>
                  <pic:blipFill>
                    <a:blip r:embed="rId255"/>
                    <a:stretch>
                      <a:fillRect/>
                    </a:stretch>
                  </pic:blipFill>
                  <pic:spPr bwMode="auto">
                    <a:xfrm>
                      <a:off x="0" y="0"/>
                      <a:ext cx="5486396" cy="1828798"/>
                    </a:xfrm>
                    <a:prstGeom prst="rect">
                      <a:avLst/>
                    </a:prstGeom>
                    <a:noFill/>
                    <a:ln>
                      <a:noFill/>
                    </a:ln>
                  </pic:spPr>
                </pic:pic>
              </a:graphicData>
            </a:graphic>
          </wp:inline>
        </w:drawing>
      </w:r>
      <w:r>
        <w:rPr>
          <w:noProof/>
        </w:rPr>
        <w:drawing>
          <wp:inline distT="0" distB="0" distL="0" distR="0" wp14:anchorId="6DD9A45B" wp14:editId="212D0CA0">
            <wp:extent cx="5486396" cy="1828798"/>
            <wp:effectExtent l="0" t="0" r="635" b="63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pic:cNvPicPr>
                      <a:picLocks noChangeAspect="1" noChangeArrowheads="1"/>
                    </pic:cNvPicPr>
                  </pic:nvPicPr>
                  <pic:blipFill>
                    <a:blip r:embed="rId256"/>
                    <a:stretch>
                      <a:fillRect/>
                    </a:stretch>
                  </pic:blipFill>
                  <pic:spPr bwMode="auto">
                    <a:xfrm>
                      <a:off x="0" y="0"/>
                      <a:ext cx="5486396" cy="1828798"/>
                    </a:xfrm>
                    <a:prstGeom prst="rect">
                      <a:avLst/>
                    </a:prstGeom>
                    <a:noFill/>
                    <a:ln>
                      <a:noFill/>
                    </a:ln>
                  </pic:spPr>
                </pic:pic>
              </a:graphicData>
            </a:graphic>
          </wp:inline>
        </w:drawing>
      </w:r>
    </w:p>
    <w:p w14:paraId="62CB499D" w14:textId="062F7337" w:rsidR="00260B81" w:rsidRDefault="003F6C94" w:rsidP="00260B81">
      <w:pPr>
        <w:pStyle w:val="FigureCaption"/>
        <w:rPr>
          <w:b w:val="0"/>
        </w:rPr>
      </w:pPr>
      <w:bookmarkStart w:id="544" w:name="_Ref72857080"/>
      <w:bookmarkStart w:id="545" w:name="_Toc113380957"/>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6</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13</w:t>
      </w:r>
      <w:r w:rsidR="00260B81" w:rsidRPr="00F61532">
        <w:rPr>
          <w:lang w:eastAsia="zh-TW"/>
        </w:rPr>
        <w:fldChar w:fldCharType="end"/>
      </w:r>
      <w:bookmarkEnd w:id="544"/>
      <w:r w:rsidR="00260B81" w:rsidRPr="00F61532">
        <w:rPr>
          <w:lang w:eastAsia="zh-TW"/>
        </w:rPr>
        <w:t xml:space="preserve">. Projected annual </w:t>
      </w:r>
      <w:r w:rsidR="00260B81">
        <w:rPr>
          <w:lang w:eastAsia="zh-TW"/>
        </w:rPr>
        <w:t>total generation</w:t>
      </w:r>
      <w:r w:rsidR="00260B81" w:rsidRPr="00F61532">
        <w:rPr>
          <w:lang w:eastAsia="zh-TW"/>
        </w:rPr>
        <w:t xml:space="preserve"> in </w:t>
      </w:r>
      <w:r w:rsidR="00260B81">
        <w:rPr>
          <w:lang w:eastAsia="zh-TW"/>
        </w:rPr>
        <w:t>the SEPA region.</w:t>
      </w:r>
      <w:bookmarkEnd w:id="545"/>
    </w:p>
    <w:p w14:paraId="7C1C7233" w14:textId="77777777" w:rsidR="00D9580F" w:rsidRDefault="00D9580F" w:rsidP="00D9580F">
      <w:pPr>
        <w:pStyle w:val="FIGUREposition"/>
        <w:rPr>
          <w:rFonts w:eastAsia="PMingLiU"/>
          <w:szCs w:val="24"/>
          <w:lang w:eastAsia="zh-TW"/>
        </w:rPr>
      </w:pPr>
      <w:r>
        <w:rPr>
          <w:noProof/>
        </w:rPr>
        <w:lastRenderedPageBreak/>
        <w:drawing>
          <wp:inline distT="0" distB="0" distL="0" distR="0" wp14:anchorId="03EA1D64" wp14:editId="47762ACB">
            <wp:extent cx="2743200" cy="18288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1B5480B2" wp14:editId="13D9E311">
            <wp:extent cx="2743200" cy="18288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28E8B1B5" wp14:editId="01F63EE1">
            <wp:extent cx="2743200" cy="182880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noProof/>
        </w:rPr>
        <w:drawing>
          <wp:inline distT="0" distB="0" distL="0" distR="0" wp14:anchorId="5ED6F436" wp14:editId="7763977B">
            <wp:extent cx="2743200" cy="18288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6A56182B" w14:textId="6108E481" w:rsidR="00D9580F" w:rsidRPr="00A328DA" w:rsidRDefault="00D9580F" w:rsidP="00D9580F">
      <w:pPr>
        <w:pStyle w:val="FigureCaption"/>
        <w:rPr>
          <w:lang w:eastAsia="zh-TW"/>
        </w:rPr>
      </w:pPr>
      <w:bookmarkStart w:id="546" w:name="_Ref72857092"/>
      <w:bookmarkStart w:id="547" w:name="_Toc113380958"/>
      <w:r>
        <w:rPr>
          <w:lang w:eastAsia="zh-TW"/>
        </w:rPr>
        <w:t>Figure</w:t>
      </w:r>
      <w:r w:rsidRPr="00A328DA">
        <w:rPr>
          <w:lang w:eastAsia="zh-TW"/>
        </w:rPr>
        <w:t xml:space="preserve"> </w:t>
      </w:r>
      <w:r w:rsidRPr="00A328DA">
        <w:rPr>
          <w:lang w:eastAsia="zh-TW"/>
        </w:rPr>
        <w:fldChar w:fldCharType="begin"/>
      </w:r>
      <w:r w:rsidRPr="00A328DA">
        <w:rPr>
          <w:lang w:eastAsia="zh-TW"/>
        </w:rPr>
        <w:instrText xml:space="preserve"> STYLEREF 1 \s </w:instrText>
      </w:r>
      <w:r w:rsidRPr="00A328DA">
        <w:rPr>
          <w:lang w:eastAsia="zh-TW"/>
        </w:rPr>
        <w:fldChar w:fldCharType="separate"/>
      </w:r>
      <w:r w:rsidR="00EE0BF5">
        <w:rPr>
          <w:noProof/>
          <w:lang w:eastAsia="zh-TW"/>
        </w:rPr>
        <w:t>6</w:t>
      </w:r>
      <w:r w:rsidRPr="00A328DA">
        <w:rPr>
          <w:lang w:eastAsia="zh-TW"/>
        </w:rPr>
        <w:fldChar w:fldCharType="end"/>
      </w:r>
      <w:r w:rsidRPr="00A328DA">
        <w:rPr>
          <w:lang w:eastAsia="zh-TW"/>
        </w:rPr>
        <w:t>.</w:t>
      </w:r>
      <w:r w:rsidRPr="00A328DA">
        <w:rPr>
          <w:lang w:eastAsia="zh-TW"/>
        </w:rPr>
        <w:fldChar w:fldCharType="begin"/>
      </w:r>
      <w:r w:rsidRPr="00A328DA">
        <w:rPr>
          <w:lang w:eastAsia="zh-TW"/>
        </w:rPr>
        <w:instrText xml:space="preserve"> SEQ Figure \* ARABIC \s 1 </w:instrText>
      </w:r>
      <w:r w:rsidRPr="00A328DA">
        <w:rPr>
          <w:lang w:eastAsia="zh-TW"/>
        </w:rPr>
        <w:fldChar w:fldCharType="separate"/>
      </w:r>
      <w:r w:rsidR="00EE0BF5">
        <w:rPr>
          <w:noProof/>
          <w:lang w:eastAsia="zh-TW"/>
        </w:rPr>
        <w:t>14</w:t>
      </w:r>
      <w:r w:rsidRPr="00A328DA">
        <w:rPr>
          <w:lang w:eastAsia="zh-TW"/>
        </w:rPr>
        <w:fldChar w:fldCharType="end"/>
      </w:r>
      <w:bookmarkEnd w:id="546"/>
      <w:r w:rsidRPr="00A328DA">
        <w:rPr>
          <w:lang w:eastAsia="zh-TW"/>
        </w:rPr>
        <w:t xml:space="preserve">. </w:t>
      </w:r>
      <w:r w:rsidRPr="00F61532">
        <w:rPr>
          <w:lang w:eastAsia="zh-TW"/>
        </w:rPr>
        <w:t xml:space="preserve">Projected change of annual and seasonal </w:t>
      </w:r>
      <w:r>
        <w:rPr>
          <w:lang w:eastAsia="zh-TW"/>
        </w:rPr>
        <w:t>total generation</w:t>
      </w:r>
      <w:r w:rsidRPr="00F61532">
        <w:rPr>
          <w:lang w:eastAsia="zh-TW"/>
        </w:rPr>
        <w:t xml:space="preserve"> in </w:t>
      </w:r>
      <w:r>
        <w:rPr>
          <w:lang w:eastAsia="zh-TW"/>
        </w:rPr>
        <w:t>the SEPA region</w:t>
      </w:r>
      <w:r w:rsidRPr="00F61532">
        <w:rPr>
          <w:lang w:eastAsia="zh-TW"/>
        </w:rPr>
        <w:t>.</w:t>
      </w:r>
      <w:bookmarkEnd w:id="547"/>
    </w:p>
    <w:p w14:paraId="0836AE79" w14:textId="48946DB5" w:rsidR="00E277B4" w:rsidRPr="00601F2B" w:rsidRDefault="008C72D4" w:rsidP="00E277B4">
      <w:pPr>
        <w:pStyle w:val="BodyText"/>
        <w:rPr>
          <w:rFonts w:eastAsia="PMingLiU"/>
          <w:lang w:eastAsia="zh-TW"/>
        </w:rPr>
      </w:pPr>
      <w:r>
        <w:t xml:space="preserve">The annual hydropower generation is projected to statistically increase in all SEPA areas </w:t>
      </w:r>
      <w:r>
        <w:rPr>
          <w:lang w:eastAsia="zh-CN"/>
        </w:rPr>
        <w:t>in the future</w:t>
      </w:r>
      <w:r w:rsidRPr="00CE26FC">
        <w:rPr>
          <w:rFonts w:eastAsia="PMingLiU"/>
          <w:lang w:eastAsia="zh-TW"/>
        </w:rPr>
        <w:t xml:space="preserve">. </w:t>
      </w:r>
      <w:r>
        <w:rPr>
          <w:rFonts w:eastAsia="PMingLiU"/>
          <w:lang w:eastAsia="zh-TW"/>
        </w:rPr>
        <w:t xml:space="preserve">More specifically, </w:t>
      </w:r>
      <w:r w:rsidRPr="007D5C61">
        <w:rPr>
          <w:rFonts w:eastAsia="PMingLiU"/>
          <w:lang w:eastAsia="zh-TW"/>
        </w:rPr>
        <w:t xml:space="preserve">the annual hydropower generation in </w:t>
      </w:r>
      <w:r>
        <w:rPr>
          <w:rFonts w:eastAsia="PMingLiU"/>
          <w:lang w:eastAsia="zh-TW"/>
        </w:rPr>
        <w:t xml:space="preserve">both </w:t>
      </w:r>
      <w:r w:rsidRPr="007D5C61">
        <w:rPr>
          <w:rFonts w:eastAsia="PMingLiU"/>
          <w:lang w:eastAsia="zh-TW"/>
        </w:rPr>
        <w:t>near-term (2020–2039</w:t>
      </w:r>
      <w:r>
        <w:rPr>
          <w:rFonts w:eastAsia="PMingLiU"/>
          <w:lang w:eastAsia="zh-TW"/>
        </w:rPr>
        <w:t>)</w:t>
      </w:r>
      <w:r w:rsidR="00E277B4">
        <w:rPr>
          <w:rFonts w:eastAsia="PMingLiU"/>
          <w:lang w:eastAsia="zh-TW"/>
        </w:rPr>
        <w:t xml:space="preserve"> future periods </w:t>
      </w:r>
      <w:r w:rsidR="00E277B4" w:rsidRPr="007D5C61">
        <w:rPr>
          <w:rFonts w:eastAsia="PMingLiU"/>
          <w:lang w:eastAsia="zh-TW"/>
        </w:rPr>
        <w:t>is projected to</w:t>
      </w:r>
      <w:r w:rsidR="00E277B4">
        <w:rPr>
          <w:rFonts w:eastAsia="PMingLiU"/>
          <w:lang w:eastAsia="zh-TW"/>
        </w:rPr>
        <w:t xml:space="preserve"> remain stable or</w:t>
      </w:r>
      <w:r w:rsidR="00E277B4" w:rsidRPr="007D5C61">
        <w:rPr>
          <w:rFonts w:eastAsia="PMingLiU"/>
          <w:lang w:eastAsia="zh-TW"/>
        </w:rPr>
        <w:t xml:space="preserve"> increase</w:t>
      </w:r>
      <w:r w:rsidR="00E277B4">
        <w:rPr>
          <w:rFonts w:eastAsia="PMingLiU"/>
          <w:lang w:eastAsia="zh-TW"/>
        </w:rPr>
        <w:t xml:space="preserve"> modestly, ranging </w:t>
      </w:r>
      <w:r w:rsidR="00E277B4" w:rsidRPr="007D5C61">
        <w:rPr>
          <w:rFonts w:eastAsia="PMingLiU"/>
          <w:lang w:eastAsia="zh-TW"/>
        </w:rPr>
        <w:t xml:space="preserve">from </w:t>
      </w:r>
      <w:r w:rsidR="00E277B4">
        <w:rPr>
          <w:rFonts w:eastAsia="PMingLiU"/>
          <w:lang w:eastAsia="zh-TW"/>
        </w:rPr>
        <w:t>0</w:t>
      </w:r>
      <w:r w:rsidR="00E277B4" w:rsidRPr="007D5C61">
        <w:rPr>
          <w:rFonts w:eastAsia="PMingLiU"/>
          <w:lang w:eastAsia="zh-TW"/>
        </w:rPr>
        <w:t xml:space="preserve">% in </w:t>
      </w:r>
      <w:r w:rsidR="00E277B4">
        <w:rPr>
          <w:rFonts w:eastAsia="PMingLiU"/>
          <w:lang w:eastAsia="zh-TW"/>
        </w:rPr>
        <w:t>SEPA-1</w:t>
      </w:r>
      <w:r w:rsidR="00E277B4" w:rsidRPr="007D5C61">
        <w:rPr>
          <w:rFonts w:eastAsia="PMingLiU"/>
          <w:lang w:eastAsia="zh-TW"/>
        </w:rPr>
        <w:t xml:space="preserve"> to </w:t>
      </w:r>
      <w:r w:rsidR="00E277B4">
        <w:rPr>
          <w:rFonts w:eastAsia="PMingLiU"/>
          <w:lang w:eastAsia="zh-TW"/>
        </w:rPr>
        <w:t>7</w:t>
      </w:r>
      <w:r w:rsidR="00E277B4" w:rsidRPr="007D5C61">
        <w:rPr>
          <w:rFonts w:eastAsia="PMingLiU"/>
          <w:lang w:eastAsia="zh-TW"/>
        </w:rPr>
        <w:t xml:space="preserve">% in </w:t>
      </w:r>
      <w:r w:rsidR="00E277B4">
        <w:rPr>
          <w:rFonts w:eastAsia="PMingLiU"/>
          <w:lang w:eastAsia="zh-TW"/>
        </w:rPr>
        <w:t>SEPA-3,</w:t>
      </w:r>
      <w:r w:rsidR="00E277B4" w:rsidRPr="007D5C61">
        <w:rPr>
          <w:rFonts w:eastAsia="PMingLiU"/>
          <w:lang w:eastAsia="zh-TW"/>
        </w:rPr>
        <w:t xml:space="preserve"> in terms of </w:t>
      </w:r>
      <w:r w:rsidR="005E23BA">
        <w:rPr>
          <w:rFonts w:eastAsia="PMingLiU"/>
          <w:lang w:eastAsia="zh-TW"/>
        </w:rPr>
        <w:t>multimodel</w:t>
      </w:r>
      <w:r w:rsidR="00E277B4" w:rsidRPr="007D5C61">
        <w:rPr>
          <w:rFonts w:eastAsia="PMingLiU"/>
          <w:lang w:eastAsia="zh-TW"/>
        </w:rPr>
        <w:t xml:space="preserve"> median</w:t>
      </w:r>
      <w:r w:rsidR="00E277B4">
        <w:rPr>
          <w:rFonts w:eastAsia="PMingLiU"/>
          <w:lang w:eastAsia="zh-TW"/>
        </w:rPr>
        <w:t xml:space="preserve"> </w:t>
      </w:r>
      <w:r w:rsidR="00E277B4">
        <w:t>(</w:t>
      </w:r>
      <w:r w:rsidR="00E277B4">
        <w:fldChar w:fldCharType="begin"/>
      </w:r>
      <w:r w:rsidR="00E277B4">
        <w:instrText xml:space="preserve"> REF _Ref72857092 \h </w:instrText>
      </w:r>
      <w:r w:rsidR="00E277B4">
        <w:fldChar w:fldCharType="separate"/>
      </w:r>
      <w:r w:rsidR="00EE0BF5">
        <w:rPr>
          <w:lang w:eastAsia="zh-TW"/>
        </w:rPr>
        <w:t>Figure</w:t>
      </w:r>
      <w:r w:rsidR="00EE0BF5" w:rsidRPr="00A328DA">
        <w:rPr>
          <w:lang w:eastAsia="zh-TW"/>
        </w:rPr>
        <w:t xml:space="preserve"> </w:t>
      </w:r>
      <w:r w:rsidR="00EE0BF5">
        <w:rPr>
          <w:noProof/>
          <w:lang w:eastAsia="zh-TW"/>
        </w:rPr>
        <w:t>6</w:t>
      </w:r>
      <w:r w:rsidR="00EE0BF5" w:rsidRPr="00A328DA">
        <w:rPr>
          <w:lang w:eastAsia="zh-TW"/>
        </w:rPr>
        <w:t>.</w:t>
      </w:r>
      <w:r w:rsidR="00EE0BF5">
        <w:rPr>
          <w:noProof/>
          <w:lang w:eastAsia="zh-TW"/>
        </w:rPr>
        <w:t>14</w:t>
      </w:r>
      <w:r w:rsidR="00E277B4">
        <w:fldChar w:fldCharType="end"/>
      </w:r>
      <w:r w:rsidR="00E277B4">
        <w:rPr>
          <w:rFonts w:eastAsia="PMingLiU"/>
          <w:lang w:eastAsia="zh-TW"/>
        </w:rPr>
        <w:t>). The increase will be more substantial</w:t>
      </w:r>
      <w:r w:rsidR="00E277B4" w:rsidRPr="007D5C61">
        <w:rPr>
          <w:rFonts w:eastAsia="PMingLiU"/>
          <w:lang w:eastAsia="zh-TW"/>
        </w:rPr>
        <w:t xml:space="preserve"> in the mid</w:t>
      </w:r>
      <w:r w:rsidR="00E277B4">
        <w:rPr>
          <w:rFonts w:eastAsia="PMingLiU"/>
          <w:lang w:eastAsia="zh-TW"/>
        </w:rPr>
        <w:t>-</w:t>
      </w:r>
      <w:r w:rsidR="00E277B4" w:rsidRPr="007D5C61">
        <w:rPr>
          <w:rFonts w:eastAsia="PMingLiU"/>
          <w:lang w:eastAsia="zh-TW"/>
        </w:rPr>
        <w:t xml:space="preserve">term </w:t>
      </w:r>
      <w:r w:rsidR="00E277B4">
        <w:rPr>
          <w:rFonts w:eastAsia="PMingLiU"/>
          <w:lang w:eastAsia="zh-TW"/>
        </w:rPr>
        <w:t>future period</w:t>
      </w:r>
      <w:r w:rsidR="00FD5F89">
        <w:rPr>
          <w:rFonts w:eastAsia="PMingLiU"/>
          <w:lang w:eastAsia="zh-TW"/>
        </w:rPr>
        <w:t>,</w:t>
      </w:r>
      <w:r w:rsidR="00E277B4">
        <w:rPr>
          <w:rFonts w:eastAsia="PMingLiU"/>
          <w:lang w:eastAsia="zh-TW"/>
        </w:rPr>
        <w:t xml:space="preserve"> </w:t>
      </w:r>
      <w:r w:rsidR="00FD5F89">
        <w:rPr>
          <w:rFonts w:eastAsia="PMingLiU"/>
          <w:lang w:eastAsia="zh-TW"/>
        </w:rPr>
        <w:t xml:space="preserve">ranging </w:t>
      </w:r>
      <w:r w:rsidR="00E277B4" w:rsidRPr="007D5C61">
        <w:rPr>
          <w:rFonts w:eastAsia="PMingLiU"/>
          <w:lang w:eastAsia="zh-TW"/>
        </w:rPr>
        <w:t xml:space="preserve">from </w:t>
      </w:r>
      <w:r w:rsidR="00E277B4">
        <w:rPr>
          <w:rFonts w:eastAsia="PMingLiU"/>
          <w:lang w:eastAsia="zh-TW"/>
        </w:rPr>
        <w:t>3</w:t>
      </w:r>
      <w:r w:rsidR="00E277B4" w:rsidRPr="007D5C61">
        <w:rPr>
          <w:rFonts w:eastAsia="PMingLiU"/>
          <w:lang w:eastAsia="zh-TW"/>
        </w:rPr>
        <w:t xml:space="preserve">% in </w:t>
      </w:r>
      <w:r w:rsidR="00E277B4">
        <w:rPr>
          <w:rFonts w:eastAsia="PMingLiU"/>
          <w:lang w:eastAsia="zh-TW"/>
        </w:rPr>
        <w:t>SEPA-4</w:t>
      </w:r>
      <w:r w:rsidR="00E277B4" w:rsidRPr="007D5C61">
        <w:rPr>
          <w:rFonts w:eastAsia="PMingLiU"/>
          <w:lang w:eastAsia="zh-TW"/>
        </w:rPr>
        <w:t xml:space="preserve"> to </w:t>
      </w:r>
      <w:r w:rsidR="00E277B4">
        <w:rPr>
          <w:rFonts w:eastAsia="PMingLiU"/>
          <w:lang w:eastAsia="zh-TW"/>
        </w:rPr>
        <w:t>19</w:t>
      </w:r>
      <w:r w:rsidR="00E277B4" w:rsidRPr="007D5C61">
        <w:rPr>
          <w:rFonts w:eastAsia="PMingLiU"/>
          <w:lang w:eastAsia="zh-TW"/>
        </w:rPr>
        <w:t xml:space="preserve">% in </w:t>
      </w:r>
      <w:r w:rsidR="00E277B4">
        <w:rPr>
          <w:rFonts w:eastAsia="PMingLiU"/>
          <w:lang w:eastAsia="zh-TW"/>
        </w:rPr>
        <w:t>SEPA-1</w:t>
      </w:r>
      <w:r w:rsidR="00E277B4" w:rsidRPr="007D5C61">
        <w:rPr>
          <w:rFonts w:eastAsia="PMingLiU"/>
          <w:lang w:eastAsia="zh-TW"/>
        </w:rPr>
        <w:t>.</w:t>
      </w:r>
    </w:p>
    <w:p w14:paraId="558427EE" w14:textId="37D335C6" w:rsidR="00992673" w:rsidRPr="00604A8E" w:rsidRDefault="4AA7083E" w:rsidP="00992673">
      <w:pPr>
        <w:pStyle w:val="BodyText"/>
        <w:rPr>
          <w:rFonts w:eastAsia="PMingLiU"/>
          <w:lang w:eastAsia="zh-TW"/>
        </w:rPr>
      </w:pPr>
      <w:r w:rsidRPr="4AA7083E">
        <w:rPr>
          <w:rFonts w:eastAsia="PMingLiU"/>
          <w:lang w:eastAsia="zh-TW"/>
        </w:rPr>
        <w:t xml:space="preserve">Seasonal relative changes tend to be more substantial than annual changes, with </w:t>
      </w:r>
      <w:r w:rsidR="008A3D72">
        <w:rPr>
          <w:rFonts w:eastAsia="PMingLiU"/>
          <w:lang w:eastAsia="zh-TW"/>
        </w:rPr>
        <w:t xml:space="preserve">a </w:t>
      </w:r>
      <w:r w:rsidRPr="4AA7083E">
        <w:rPr>
          <w:rFonts w:eastAsia="PMingLiU"/>
          <w:lang w:eastAsia="zh-TW"/>
        </w:rPr>
        <w:t>more pronounced increase in the mid-term future period. In winter, generation is projected to increase from 2</w:t>
      </w:r>
      <w:r w:rsidR="008A3D72">
        <w:rPr>
          <w:rFonts w:eastAsia="PMingLiU"/>
          <w:lang w:eastAsia="zh-TW"/>
        </w:rPr>
        <w:t xml:space="preserve">% to </w:t>
      </w:r>
      <w:r w:rsidRPr="4AA7083E">
        <w:rPr>
          <w:rFonts w:eastAsia="PMingLiU"/>
          <w:lang w:eastAsia="zh-TW"/>
        </w:rPr>
        <w:t>9% in the near-term future period in all SEPA study areas. The increase is projected to accelerate in the mid-term future period, from 1% in SEPA-4 to 21% in SEPA-1. Similarly, spring generation will increase slightly in the near-term (0</w:t>
      </w:r>
      <w:r w:rsidR="008A3D72">
        <w:rPr>
          <w:rFonts w:eastAsia="PMingLiU"/>
          <w:lang w:eastAsia="zh-TW"/>
        </w:rPr>
        <w:t>%</w:t>
      </w:r>
      <w:r w:rsidRPr="4AA7083E">
        <w:rPr>
          <w:rFonts w:eastAsia="PMingLiU"/>
          <w:lang w:eastAsia="zh-TW"/>
        </w:rPr>
        <w:t>–5%) and more notably in the mid-term (2</w:t>
      </w:r>
      <w:r w:rsidR="008A3D72">
        <w:rPr>
          <w:rFonts w:eastAsia="PMingLiU"/>
          <w:lang w:eastAsia="zh-TW"/>
        </w:rPr>
        <w:t>%</w:t>
      </w:r>
      <w:r w:rsidRPr="4AA7083E">
        <w:rPr>
          <w:rFonts w:eastAsia="PMingLiU"/>
          <w:lang w:eastAsia="zh-TW"/>
        </w:rPr>
        <w:t>–22%) future periods. Summer generation will increase by 2</w:t>
      </w:r>
      <w:r w:rsidR="000E6411">
        <w:rPr>
          <w:rFonts w:eastAsia="PMingLiU"/>
          <w:lang w:eastAsia="zh-TW"/>
        </w:rPr>
        <w:t>%</w:t>
      </w:r>
      <w:r w:rsidRPr="4AA7083E">
        <w:rPr>
          <w:rFonts w:eastAsia="PMingLiU"/>
          <w:lang w:eastAsia="zh-TW"/>
        </w:rPr>
        <w:t>–5% in the near-term and 4</w:t>
      </w:r>
      <w:r w:rsidR="000E6411">
        <w:rPr>
          <w:rFonts w:eastAsia="PMingLiU"/>
          <w:lang w:eastAsia="zh-TW"/>
        </w:rPr>
        <w:t>%</w:t>
      </w:r>
      <w:r w:rsidRPr="4AA7083E">
        <w:rPr>
          <w:rFonts w:eastAsia="PMingLiU"/>
          <w:lang w:eastAsia="zh-TW"/>
        </w:rPr>
        <w:t>–16% in the mid-term future periods. Fall generation in the near-term future period will increase by 2</w:t>
      </w:r>
      <w:r w:rsidR="000E6411">
        <w:rPr>
          <w:rFonts w:eastAsia="PMingLiU"/>
          <w:lang w:eastAsia="zh-TW"/>
        </w:rPr>
        <w:t>%</w:t>
      </w:r>
      <w:r w:rsidRPr="4AA7083E">
        <w:rPr>
          <w:rFonts w:eastAsia="PMingLiU"/>
          <w:lang w:eastAsia="zh-TW"/>
        </w:rPr>
        <w:t xml:space="preserve">–9%. In the mid-term future period, fall generation will increase significantly in SEPA-1 (15%) </w:t>
      </w:r>
      <w:r w:rsidR="000E6411">
        <w:rPr>
          <w:rFonts w:eastAsia="PMingLiU"/>
          <w:lang w:eastAsia="zh-TW"/>
        </w:rPr>
        <w:t xml:space="preserve">and </w:t>
      </w:r>
      <w:r w:rsidRPr="4AA7083E">
        <w:rPr>
          <w:rFonts w:eastAsia="PMingLiU"/>
          <w:lang w:eastAsia="zh-TW"/>
        </w:rPr>
        <w:t>modestly (3</w:t>
      </w:r>
      <w:r w:rsidR="000E6411">
        <w:rPr>
          <w:rFonts w:eastAsia="PMingLiU"/>
          <w:lang w:eastAsia="zh-TW"/>
        </w:rPr>
        <w:t>%</w:t>
      </w:r>
      <w:r w:rsidRPr="4AA7083E">
        <w:rPr>
          <w:rFonts w:eastAsia="PMingLiU"/>
          <w:lang w:eastAsia="zh-TW"/>
        </w:rPr>
        <w:t xml:space="preserve">–7%) in other SEPA areas. Overall, the projected changes in SEPA-2 and SEPA-4 are smaller than </w:t>
      </w:r>
      <w:r w:rsidR="000E6411">
        <w:rPr>
          <w:rFonts w:eastAsia="PMingLiU"/>
          <w:lang w:eastAsia="zh-TW"/>
        </w:rPr>
        <w:t xml:space="preserve">in </w:t>
      </w:r>
      <w:r w:rsidRPr="4AA7083E">
        <w:rPr>
          <w:rFonts w:eastAsia="PMingLiU"/>
          <w:lang w:eastAsia="zh-TW"/>
        </w:rPr>
        <w:t>other SEPA areas.</w:t>
      </w:r>
    </w:p>
    <w:p w14:paraId="5DC255D2" w14:textId="39C63AC1" w:rsidR="000D015F" w:rsidRDefault="00236BD0" w:rsidP="000D015F">
      <w:pPr>
        <w:pStyle w:val="BodyText"/>
        <w:rPr>
          <w:rFonts w:eastAsia="PMingLiU"/>
          <w:lang w:eastAsia="zh-TW"/>
        </w:rPr>
      </w:pPr>
      <w:r>
        <w:rPr>
          <w:rFonts w:eastAsia="PMingLiU"/>
          <w:lang w:eastAsia="zh-TW"/>
        </w:rPr>
        <w:t>S</w:t>
      </w:r>
      <w:r w:rsidR="000D015F">
        <w:rPr>
          <w:rFonts w:eastAsia="PMingLiU"/>
          <w:lang w:eastAsia="zh-TW"/>
        </w:rPr>
        <w:t xml:space="preserve">imilar to </w:t>
      </w:r>
      <w:r w:rsidR="00B479B6">
        <w:rPr>
          <w:rFonts w:eastAsia="PMingLiU"/>
          <w:lang w:eastAsia="zh-TW"/>
        </w:rPr>
        <w:t xml:space="preserve">in </w:t>
      </w:r>
      <w:r w:rsidR="000E6411">
        <w:rPr>
          <w:rFonts w:eastAsia="PMingLiU"/>
          <w:lang w:eastAsia="zh-TW"/>
        </w:rPr>
        <w:t xml:space="preserve">the </w:t>
      </w:r>
      <w:r w:rsidR="00E20756">
        <w:rPr>
          <w:rFonts w:eastAsia="PMingLiU"/>
          <w:lang w:eastAsia="zh-TW"/>
        </w:rPr>
        <w:t>SWPA</w:t>
      </w:r>
      <w:r w:rsidR="000D015F">
        <w:rPr>
          <w:rFonts w:eastAsia="PMingLiU"/>
          <w:lang w:eastAsia="zh-TW"/>
        </w:rPr>
        <w:t xml:space="preserve"> region, </w:t>
      </w:r>
      <w:r w:rsidR="000E6411">
        <w:rPr>
          <w:rFonts w:eastAsia="PMingLiU"/>
          <w:lang w:eastAsia="zh-TW"/>
        </w:rPr>
        <w:t xml:space="preserve">the </w:t>
      </w:r>
      <w:r w:rsidR="000D015F" w:rsidRPr="00B30B32">
        <w:rPr>
          <w:rFonts w:eastAsia="PMingLiU"/>
          <w:lang w:eastAsia="zh-TW"/>
        </w:rPr>
        <w:t xml:space="preserve">projected </w:t>
      </w:r>
      <w:r w:rsidR="000D015F">
        <w:rPr>
          <w:rFonts w:eastAsia="PMingLiU"/>
          <w:lang w:eastAsia="zh-TW"/>
        </w:rPr>
        <w:t xml:space="preserve">changes in seasonal </w:t>
      </w:r>
      <w:r w:rsidR="000D015F" w:rsidRPr="00B30B32">
        <w:rPr>
          <w:rFonts w:eastAsia="PMingLiU"/>
          <w:lang w:eastAsia="zh-TW"/>
        </w:rPr>
        <w:t xml:space="preserve">hydropower follow </w:t>
      </w:r>
      <w:r w:rsidR="000D015F">
        <w:rPr>
          <w:rFonts w:eastAsia="PMingLiU"/>
          <w:lang w:eastAsia="zh-TW"/>
        </w:rPr>
        <w:t xml:space="preserve">the </w:t>
      </w:r>
      <w:r>
        <w:rPr>
          <w:rFonts w:eastAsia="PMingLiU"/>
          <w:lang w:eastAsia="zh-TW"/>
        </w:rPr>
        <w:t xml:space="preserve">projected changes in </w:t>
      </w:r>
      <w:r w:rsidR="000D015F">
        <w:rPr>
          <w:rFonts w:eastAsia="PMingLiU"/>
          <w:lang w:eastAsia="zh-TW"/>
        </w:rPr>
        <w:t xml:space="preserve">seasonal </w:t>
      </w:r>
      <w:r w:rsidR="000D015F" w:rsidRPr="00B30B32">
        <w:rPr>
          <w:rFonts w:eastAsia="PMingLiU"/>
          <w:lang w:eastAsia="zh-TW"/>
        </w:rPr>
        <w:t xml:space="preserve">runoff. </w:t>
      </w:r>
      <w:r w:rsidR="000D015F">
        <w:rPr>
          <w:rFonts w:eastAsia="PMingLiU"/>
          <w:lang w:eastAsia="zh-TW"/>
        </w:rPr>
        <w:t>The relatively limited storage capacity of reservoirs with respect to inflow in</w:t>
      </w:r>
      <w:r w:rsidR="000D015F" w:rsidRPr="00B30B32">
        <w:rPr>
          <w:rFonts w:eastAsia="PMingLiU"/>
          <w:lang w:eastAsia="zh-TW"/>
        </w:rPr>
        <w:t xml:space="preserve"> </w:t>
      </w:r>
      <w:r w:rsidR="00B479B6">
        <w:rPr>
          <w:rFonts w:eastAsia="PMingLiU"/>
          <w:lang w:eastAsia="zh-TW"/>
        </w:rPr>
        <w:t xml:space="preserve">the </w:t>
      </w:r>
      <w:r>
        <w:rPr>
          <w:rFonts w:eastAsia="PMingLiU"/>
          <w:lang w:eastAsia="zh-TW"/>
        </w:rPr>
        <w:t>SEPA</w:t>
      </w:r>
      <w:r w:rsidR="000D015F" w:rsidRPr="00B30B32">
        <w:rPr>
          <w:rFonts w:eastAsia="PMingLiU"/>
          <w:lang w:eastAsia="zh-TW"/>
        </w:rPr>
        <w:t xml:space="preserve"> </w:t>
      </w:r>
      <w:r w:rsidR="000D015F">
        <w:rPr>
          <w:rFonts w:eastAsia="PMingLiU"/>
          <w:lang w:eastAsia="zh-TW"/>
        </w:rPr>
        <w:t xml:space="preserve">region leads to this similar response between runoff and hydropower generation despite the explicit representation of operations by the </w:t>
      </w:r>
      <w:r w:rsidR="00533D84">
        <w:rPr>
          <w:rFonts w:eastAsia="PMingLiU"/>
          <w:lang w:eastAsia="zh-TW"/>
        </w:rPr>
        <w:t>PM</w:t>
      </w:r>
      <w:r w:rsidR="000D015F">
        <w:rPr>
          <w:rFonts w:eastAsia="PMingLiU"/>
          <w:lang w:eastAsia="zh-TW"/>
        </w:rPr>
        <w:t>s. However</w:t>
      </w:r>
      <w:r w:rsidR="00606C69">
        <w:rPr>
          <w:rFonts w:eastAsia="PMingLiU"/>
          <w:lang w:eastAsia="zh-TW"/>
        </w:rPr>
        <w:t>,</w:t>
      </w:r>
      <w:r w:rsidR="000D015F">
        <w:rPr>
          <w:rFonts w:eastAsia="PMingLiU"/>
          <w:lang w:eastAsia="zh-TW"/>
        </w:rPr>
        <w:t xml:space="preserve"> </w:t>
      </w:r>
      <w:r w:rsidR="000D015F" w:rsidRPr="00B30B32">
        <w:rPr>
          <w:rFonts w:eastAsia="PMingLiU"/>
          <w:lang w:eastAsia="zh-TW"/>
        </w:rPr>
        <w:t xml:space="preserve">the spread of seasonal </w:t>
      </w:r>
      <w:r w:rsidR="000D015F">
        <w:rPr>
          <w:rFonts w:eastAsia="PMingLiU"/>
          <w:lang w:eastAsia="zh-TW"/>
        </w:rPr>
        <w:t>relative</w:t>
      </w:r>
      <w:r w:rsidR="000D015F" w:rsidRPr="00B30B32">
        <w:rPr>
          <w:rFonts w:eastAsia="PMingLiU"/>
          <w:lang w:eastAsia="zh-TW"/>
        </w:rPr>
        <w:t xml:space="preserve"> change </w:t>
      </w:r>
      <w:r w:rsidR="000D015F">
        <w:rPr>
          <w:rFonts w:eastAsia="PMingLiU"/>
          <w:lang w:eastAsia="zh-TW"/>
        </w:rPr>
        <w:t>in</w:t>
      </w:r>
      <w:r w:rsidR="000D015F" w:rsidRPr="00B30B32">
        <w:rPr>
          <w:rFonts w:eastAsia="PMingLiU"/>
          <w:lang w:eastAsia="zh-TW"/>
        </w:rPr>
        <w:t xml:space="preserve"> generation is smaller than that of runoff for SEPA-1 to SEPA-3, </w:t>
      </w:r>
      <w:r w:rsidR="000D015F">
        <w:rPr>
          <w:rFonts w:eastAsia="PMingLiU"/>
          <w:lang w:eastAsia="zh-TW"/>
        </w:rPr>
        <w:t xml:space="preserve">where </w:t>
      </w:r>
      <w:r>
        <w:rPr>
          <w:rFonts w:eastAsia="PMingLiU"/>
          <w:lang w:eastAsia="zh-TW"/>
        </w:rPr>
        <w:t xml:space="preserve">reservoir </w:t>
      </w:r>
      <w:r w:rsidR="000D015F">
        <w:rPr>
          <w:rFonts w:eastAsia="PMingLiU"/>
          <w:lang w:eastAsia="zh-TW"/>
        </w:rPr>
        <w:t xml:space="preserve">storage is </w:t>
      </w:r>
      <w:r>
        <w:rPr>
          <w:rFonts w:eastAsia="PMingLiU"/>
          <w:lang w:eastAsia="zh-TW"/>
        </w:rPr>
        <w:t xml:space="preserve">larger </w:t>
      </w:r>
      <w:r w:rsidR="000D015F">
        <w:rPr>
          <w:rFonts w:eastAsia="PMingLiU"/>
          <w:lang w:eastAsia="zh-TW"/>
        </w:rPr>
        <w:t xml:space="preserve">and allows </w:t>
      </w:r>
      <w:r>
        <w:rPr>
          <w:rFonts w:eastAsia="PMingLiU"/>
          <w:lang w:eastAsia="zh-TW"/>
        </w:rPr>
        <w:t>the</w:t>
      </w:r>
      <w:r w:rsidR="000D015F">
        <w:rPr>
          <w:rFonts w:eastAsia="PMingLiU"/>
          <w:lang w:eastAsia="zh-TW"/>
        </w:rPr>
        <w:t xml:space="preserve"> alleviation of change</w:t>
      </w:r>
      <w:r>
        <w:rPr>
          <w:rFonts w:eastAsia="PMingLiU"/>
          <w:lang w:eastAsia="zh-TW"/>
        </w:rPr>
        <w:t xml:space="preserve"> in runoff variability</w:t>
      </w:r>
      <w:r w:rsidR="000D015F" w:rsidRPr="00B30B32">
        <w:rPr>
          <w:rFonts w:eastAsia="PMingLiU"/>
          <w:lang w:eastAsia="zh-TW"/>
        </w:rPr>
        <w:t xml:space="preserve">. </w:t>
      </w:r>
      <w:r w:rsidR="00533D84">
        <w:rPr>
          <w:rFonts w:eastAsia="PMingLiU"/>
          <w:lang w:eastAsia="zh-TW"/>
        </w:rPr>
        <w:t>B</w:t>
      </w:r>
      <w:r w:rsidR="000D015F">
        <w:rPr>
          <w:rFonts w:eastAsia="PMingLiU"/>
          <w:lang w:eastAsia="zh-TW"/>
        </w:rPr>
        <w:t xml:space="preserve">oth </w:t>
      </w:r>
      <w:r w:rsidR="00533D84">
        <w:rPr>
          <w:rFonts w:eastAsia="PMingLiU"/>
          <w:lang w:eastAsia="zh-TW"/>
        </w:rPr>
        <w:t>PM</w:t>
      </w:r>
      <w:r w:rsidR="000D015F">
        <w:rPr>
          <w:rFonts w:eastAsia="PMingLiU"/>
          <w:lang w:eastAsia="zh-TW"/>
        </w:rPr>
        <w:t>s are constrained with maximum storage capacity and thus a maximum hydropower generation, which also constrain the maximum change.</w:t>
      </w:r>
    </w:p>
    <w:p w14:paraId="5C443758" w14:textId="46E996AC" w:rsidR="00D9580F" w:rsidRPr="00D9580F" w:rsidRDefault="00D9580F" w:rsidP="00D9580F">
      <w:pPr>
        <w:pStyle w:val="BodyText"/>
        <w:rPr>
          <w:rFonts w:eastAsia="PMingLiU"/>
          <w:lang w:eastAsia="zh-TW"/>
        </w:rPr>
      </w:pPr>
      <w:r>
        <w:rPr>
          <w:rFonts w:eastAsia="PMingLiU"/>
          <w:lang w:eastAsia="zh-TW"/>
        </w:rPr>
        <w:t xml:space="preserve">The source of variance in the projected annual hydropower generation change between the baseline and future periods is shown in </w:t>
      </w:r>
      <w:r>
        <w:rPr>
          <w:rFonts w:eastAsia="PMingLiU"/>
          <w:lang w:eastAsia="zh-TW"/>
        </w:rPr>
        <w:fldChar w:fldCharType="begin"/>
      </w:r>
      <w:r>
        <w:rPr>
          <w:rFonts w:eastAsia="PMingLiU"/>
          <w:lang w:eastAsia="zh-TW"/>
        </w:rPr>
        <w:instrText xml:space="preserve"> REF _Ref72857111 \h </w:instrText>
      </w:r>
      <w:r>
        <w:rPr>
          <w:rFonts w:eastAsia="PMingLiU"/>
          <w:lang w:eastAsia="zh-TW"/>
        </w:rPr>
      </w:r>
      <w:r>
        <w:rPr>
          <w:rFonts w:eastAsia="PMingLiU"/>
          <w:lang w:eastAsia="zh-TW"/>
        </w:rP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15</w:t>
      </w:r>
      <w:r>
        <w:rPr>
          <w:rFonts w:eastAsia="PMingLiU"/>
          <w:lang w:eastAsia="zh-TW"/>
        </w:rPr>
        <w:fldChar w:fldCharType="end"/>
      </w:r>
      <w:r>
        <w:rPr>
          <w:rFonts w:eastAsia="PMingLiU"/>
          <w:lang w:eastAsia="zh-TW"/>
        </w:rPr>
        <w:t xml:space="preserve">. The box plots in the top panels show the </w:t>
      </w:r>
      <w:r w:rsidRPr="006268D6">
        <w:t xml:space="preserve">magnitude of change </w:t>
      </w:r>
      <w:r w:rsidRPr="006268D6">
        <w:lastRenderedPageBreak/>
        <w:t>(future minus baseline)</w:t>
      </w:r>
      <w:r>
        <w:t xml:space="preserve"> </w:t>
      </w:r>
      <w:r w:rsidRPr="006268D6">
        <w:t xml:space="preserve">in annual </w:t>
      </w:r>
      <w:r>
        <w:t>hydropower generation across</w:t>
      </w:r>
      <w:r w:rsidRPr="006268D6">
        <w:t xml:space="preserve"> </w:t>
      </w:r>
      <w:r>
        <w:t xml:space="preserve">96 </w:t>
      </w:r>
      <w:r w:rsidRPr="006268D6">
        <w:t>ensemble</w:t>
      </w:r>
      <w:r>
        <w:t xml:space="preserve"> member</w:t>
      </w:r>
      <w:r w:rsidRPr="006268D6">
        <w:t>s</w:t>
      </w:r>
      <w:r w:rsidDel="007F13CC">
        <w:rPr>
          <w:rFonts w:eastAsia="PMingLiU"/>
          <w:lang w:eastAsia="zh-TW"/>
        </w:rPr>
        <w:t xml:space="preserve"> </w:t>
      </w:r>
      <w:r>
        <w:rPr>
          <w:rFonts w:eastAsia="PMingLiU"/>
          <w:lang w:eastAsia="zh-TW"/>
        </w:rPr>
        <w:t>when grouped by the five modeling choices (CM, DS, MetF, HM, and PM). The bottom panel shows the fraction of variance from the ANOVA for each modeling choice.</w:t>
      </w:r>
    </w:p>
    <w:p w14:paraId="48899665" w14:textId="6D219217" w:rsidR="00260B81" w:rsidRDefault="00710341" w:rsidP="00CD66C9">
      <w:pPr>
        <w:pStyle w:val="FIGUREposition"/>
        <w:rPr>
          <w:rFonts w:eastAsia="PMingLiU"/>
          <w:szCs w:val="24"/>
          <w:lang w:eastAsia="zh-TW"/>
        </w:rPr>
      </w:pPr>
      <w:r>
        <w:rPr>
          <w:noProof/>
        </w:rPr>
        <w:drawing>
          <wp:inline distT="0" distB="0" distL="0" distR="0" wp14:anchorId="3F1E2D14" wp14:editId="7B472215">
            <wp:extent cx="5486400" cy="5207094"/>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1">
                      <a:extLst>
                        <a:ext uri="{28A0092B-C50C-407E-A947-70E740481C1C}">
                          <a14:useLocalDpi xmlns:a14="http://schemas.microsoft.com/office/drawing/2010/main" val="0"/>
                        </a:ext>
                      </a:extLst>
                    </a:blip>
                    <a:srcRect t="5091"/>
                    <a:stretch/>
                  </pic:blipFill>
                  <pic:spPr bwMode="auto">
                    <a:xfrm>
                      <a:off x="0" y="0"/>
                      <a:ext cx="5486400" cy="5207094"/>
                    </a:xfrm>
                    <a:prstGeom prst="rect">
                      <a:avLst/>
                    </a:prstGeom>
                    <a:noFill/>
                    <a:ln>
                      <a:noFill/>
                    </a:ln>
                    <a:extLst>
                      <a:ext uri="{53640926-AAD7-44D8-BBD7-CCE9431645EC}">
                        <a14:shadowObscured xmlns:a14="http://schemas.microsoft.com/office/drawing/2010/main"/>
                      </a:ext>
                    </a:extLst>
                  </pic:spPr>
                </pic:pic>
              </a:graphicData>
            </a:graphic>
          </wp:inline>
        </w:drawing>
      </w:r>
    </w:p>
    <w:p w14:paraId="2C8D9DE4" w14:textId="18DFB4CB" w:rsidR="00260B81" w:rsidRDefault="003F6C94" w:rsidP="00260B81">
      <w:pPr>
        <w:pStyle w:val="FigureCaption"/>
        <w:rPr>
          <w:b w:val="0"/>
        </w:rPr>
      </w:pPr>
      <w:bookmarkStart w:id="548" w:name="_Ref72857111"/>
      <w:bookmarkStart w:id="549" w:name="_Toc113380959"/>
      <w:r>
        <w:rPr>
          <w:lang w:eastAsia="zh-TW"/>
        </w:rPr>
        <w:t>Figure</w:t>
      </w:r>
      <w:r w:rsidR="00260B81" w:rsidRPr="00F61532">
        <w:rPr>
          <w:lang w:eastAsia="zh-TW"/>
        </w:rPr>
        <w:t xml:space="preserve"> </w:t>
      </w:r>
      <w:r w:rsidR="00260B81" w:rsidRPr="00F61532">
        <w:rPr>
          <w:lang w:eastAsia="zh-TW"/>
        </w:rPr>
        <w:fldChar w:fldCharType="begin"/>
      </w:r>
      <w:r w:rsidR="00260B81" w:rsidRPr="00F61532">
        <w:rPr>
          <w:lang w:eastAsia="zh-TW"/>
        </w:rPr>
        <w:instrText xml:space="preserve"> STYLEREF 1 \s </w:instrText>
      </w:r>
      <w:r w:rsidR="00260B81" w:rsidRPr="00F61532">
        <w:rPr>
          <w:lang w:eastAsia="zh-TW"/>
        </w:rPr>
        <w:fldChar w:fldCharType="separate"/>
      </w:r>
      <w:r w:rsidR="00EE0BF5">
        <w:rPr>
          <w:noProof/>
          <w:lang w:eastAsia="zh-TW"/>
        </w:rPr>
        <w:t>6</w:t>
      </w:r>
      <w:r w:rsidR="00260B81" w:rsidRPr="00F61532">
        <w:rPr>
          <w:lang w:eastAsia="zh-TW"/>
        </w:rPr>
        <w:fldChar w:fldCharType="end"/>
      </w:r>
      <w:r w:rsidR="00260B81" w:rsidRPr="00F61532">
        <w:rPr>
          <w:lang w:eastAsia="zh-TW"/>
        </w:rPr>
        <w:t>.</w:t>
      </w:r>
      <w:r w:rsidR="00260B81" w:rsidRPr="00F61532">
        <w:rPr>
          <w:lang w:eastAsia="zh-TW"/>
        </w:rPr>
        <w:fldChar w:fldCharType="begin"/>
      </w:r>
      <w:r w:rsidR="00260B81" w:rsidRPr="00F61532">
        <w:rPr>
          <w:lang w:eastAsia="zh-TW"/>
        </w:rPr>
        <w:instrText xml:space="preserve"> SEQ Figure \* ARABIC \s 1 </w:instrText>
      </w:r>
      <w:r w:rsidR="00260B81" w:rsidRPr="00F61532">
        <w:rPr>
          <w:lang w:eastAsia="zh-TW"/>
        </w:rPr>
        <w:fldChar w:fldCharType="separate"/>
      </w:r>
      <w:r w:rsidR="00EE0BF5">
        <w:rPr>
          <w:noProof/>
          <w:lang w:eastAsia="zh-TW"/>
        </w:rPr>
        <w:t>15</w:t>
      </w:r>
      <w:r w:rsidR="00260B81" w:rsidRPr="00F61532">
        <w:rPr>
          <w:lang w:eastAsia="zh-TW"/>
        </w:rPr>
        <w:fldChar w:fldCharType="end"/>
      </w:r>
      <w:bookmarkEnd w:id="548"/>
      <w:r w:rsidR="00260B81" w:rsidRPr="00F61532">
        <w:rPr>
          <w:lang w:eastAsia="zh-TW"/>
        </w:rPr>
        <w:t xml:space="preserve">. </w:t>
      </w:r>
      <w:r w:rsidR="00260B81">
        <w:rPr>
          <w:lang w:eastAsia="zh-TW"/>
        </w:rPr>
        <w:t xml:space="preserve">ANOVA of </w:t>
      </w:r>
      <w:r w:rsidR="00260B81" w:rsidRPr="00F61532">
        <w:rPr>
          <w:lang w:eastAsia="zh-TW"/>
        </w:rPr>
        <w:t xml:space="preserve">annual </w:t>
      </w:r>
      <w:r w:rsidR="00260B81">
        <w:rPr>
          <w:lang w:eastAsia="zh-TW"/>
        </w:rPr>
        <w:t xml:space="preserve">total generation </w:t>
      </w:r>
      <w:r w:rsidR="00260B81" w:rsidRPr="00F61532">
        <w:rPr>
          <w:lang w:eastAsia="zh-TW"/>
        </w:rPr>
        <w:t xml:space="preserve">in </w:t>
      </w:r>
      <w:r w:rsidR="00260B81">
        <w:rPr>
          <w:lang w:eastAsia="zh-TW"/>
        </w:rPr>
        <w:t xml:space="preserve">the </w:t>
      </w:r>
      <w:r w:rsidR="009937BF">
        <w:rPr>
          <w:lang w:eastAsia="zh-TW"/>
        </w:rPr>
        <w:t>SEPA</w:t>
      </w:r>
      <w:r w:rsidR="00260B81">
        <w:rPr>
          <w:lang w:eastAsia="zh-TW"/>
        </w:rPr>
        <w:t xml:space="preserve"> region.</w:t>
      </w:r>
      <w:bookmarkEnd w:id="549"/>
    </w:p>
    <w:p w14:paraId="3F19FA14" w14:textId="2FE927B2" w:rsidR="00FB7D79" w:rsidRPr="00192C4A" w:rsidRDefault="00FB7D79" w:rsidP="00FB7D79">
      <w:pPr>
        <w:pStyle w:val="BodyText"/>
        <w:rPr>
          <w:rFonts w:eastAsia="PMingLiU"/>
          <w:lang w:eastAsia="zh-TW"/>
        </w:rPr>
      </w:pPr>
      <w:r>
        <w:rPr>
          <w:rFonts w:eastAsia="PMingLiU"/>
          <w:lang w:eastAsia="zh-TW"/>
        </w:rPr>
        <w:t xml:space="preserve">The diversity in individual factors and their combinations were further evaluated to understand their contributions to the spread of hydropower generation projections. </w:t>
      </w:r>
      <w:bookmarkStart w:id="550" w:name="_Hlk74296128"/>
      <w:r>
        <w:rPr>
          <w:rFonts w:eastAsia="PMingLiU"/>
          <w:lang w:eastAsia="zh-TW"/>
        </w:rPr>
        <w:t xml:space="preserve">The results suggest that </w:t>
      </w:r>
      <w:r w:rsidR="00F32AA2">
        <w:rPr>
          <w:rFonts w:eastAsia="PMingLiU"/>
          <w:lang w:eastAsia="zh-TW"/>
        </w:rPr>
        <w:t xml:space="preserve">the </w:t>
      </w:r>
      <w:r>
        <w:rPr>
          <w:rFonts w:eastAsia="PMingLiU"/>
          <w:lang w:eastAsia="zh-TW"/>
        </w:rPr>
        <w:t xml:space="preserve">CM </w:t>
      </w:r>
      <w:bookmarkEnd w:id="550"/>
      <w:r w:rsidRPr="009E0FD5">
        <w:rPr>
          <w:rFonts w:eastAsia="PMingLiU"/>
          <w:lang w:eastAsia="zh-TW"/>
        </w:rPr>
        <w:t xml:space="preserve">is the </w:t>
      </w:r>
      <w:r w:rsidR="00C753AB">
        <w:rPr>
          <w:rFonts w:eastAsia="PMingLiU"/>
          <w:lang w:eastAsia="zh-TW"/>
        </w:rPr>
        <w:t xml:space="preserve">most </w:t>
      </w:r>
      <w:r w:rsidRPr="009E0FD5">
        <w:rPr>
          <w:rFonts w:eastAsia="PMingLiU"/>
          <w:lang w:eastAsia="zh-TW"/>
        </w:rPr>
        <w:t xml:space="preserve">dominant contributor to the variance of </w:t>
      </w:r>
      <w:r>
        <w:rPr>
          <w:rFonts w:eastAsia="PMingLiU"/>
          <w:lang w:eastAsia="zh-TW"/>
        </w:rPr>
        <w:t xml:space="preserve">annual </w:t>
      </w:r>
      <w:r w:rsidRPr="009E0FD5">
        <w:rPr>
          <w:rFonts w:eastAsia="PMingLiU"/>
          <w:lang w:eastAsia="zh-TW"/>
        </w:rPr>
        <w:t xml:space="preserve">hydropower generation in all </w:t>
      </w:r>
      <w:r>
        <w:rPr>
          <w:rFonts w:eastAsia="PMingLiU"/>
          <w:lang w:eastAsia="zh-TW"/>
        </w:rPr>
        <w:t xml:space="preserve">SEPA </w:t>
      </w:r>
      <w:r w:rsidRPr="009E0FD5">
        <w:rPr>
          <w:rFonts w:eastAsia="PMingLiU"/>
          <w:lang w:eastAsia="zh-TW"/>
        </w:rPr>
        <w:t>study areas</w:t>
      </w:r>
      <w:r>
        <w:rPr>
          <w:rFonts w:eastAsia="PMingLiU"/>
          <w:lang w:eastAsia="zh-TW"/>
        </w:rPr>
        <w:t>,</w:t>
      </w:r>
      <w:r w:rsidRPr="009E0FD5">
        <w:rPr>
          <w:rFonts w:eastAsia="PMingLiU"/>
          <w:lang w:eastAsia="zh-TW"/>
        </w:rPr>
        <w:t xml:space="preserve"> rang</w:t>
      </w:r>
      <w:r>
        <w:rPr>
          <w:rFonts w:eastAsia="PMingLiU"/>
          <w:lang w:eastAsia="zh-TW"/>
        </w:rPr>
        <w:t>ing</w:t>
      </w:r>
      <w:r w:rsidRPr="009E0FD5">
        <w:rPr>
          <w:rFonts w:eastAsia="PMingLiU"/>
          <w:lang w:eastAsia="zh-TW"/>
        </w:rPr>
        <w:t xml:space="preserve"> from </w:t>
      </w:r>
      <w:r>
        <w:rPr>
          <w:rFonts w:eastAsia="PMingLiU"/>
          <w:lang w:eastAsia="zh-TW"/>
        </w:rPr>
        <w:t xml:space="preserve">44% to </w:t>
      </w:r>
      <w:r w:rsidRPr="009E0FD5">
        <w:rPr>
          <w:rFonts w:eastAsia="PMingLiU"/>
          <w:lang w:eastAsia="zh-TW"/>
        </w:rPr>
        <w:t>8</w:t>
      </w:r>
      <w:r>
        <w:rPr>
          <w:rFonts w:eastAsia="PMingLiU"/>
          <w:lang w:eastAsia="zh-TW"/>
        </w:rPr>
        <w:t>3</w:t>
      </w:r>
      <w:r w:rsidRPr="009E0FD5">
        <w:rPr>
          <w:rFonts w:eastAsia="PMingLiU"/>
          <w:lang w:eastAsia="zh-TW"/>
        </w:rPr>
        <w:t xml:space="preserve">%. </w:t>
      </w:r>
      <w:r w:rsidRPr="009D6A87">
        <w:rPr>
          <w:rFonts w:eastAsia="PMingLiU"/>
          <w:lang w:eastAsia="zh-TW"/>
        </w:rPr>
        <w:t xml:space="preserve">None of </w:t>
      </w:r>
      <w:r>
        <w:rPr>
          <w:rFonts w:eastAsia="PMingLiU"/>
          <w:lang w:eastAsia="zh-TW"/>
        </w:rPr>
        <w:t>other factors, including DS</w:t>
      </w:r>
      <w:r w:rsidRPr="009D6A87">
        <w:rPr>
          <w:rFonts w:eastAsia="PMingLiU"/>
          <w:lang w:eastAsia="zh-TW"/>
        </w:rPr>
        <w:t xml:space="preserve">, </w:t>
      </w:r>
      <w:r>
        <w:rPr>
          <w:rFonts w:eastAsia="PMingLiU"/>
          <w:lang w:eastAsia="zh-TW"/>
        </w:rPr>
        <w:t>MetF</w:t>
      </w:r>
      <w:r w:rsidRPr="009D6A87">
        <w:rPr>
          <w:rFonts w:eastAsia="PMingLiU"/>
          <w:lang w:eastAsia="zh-TW"/>
        </w:rPr>
        <w:t xml:space="preserve">, </w:t>
      </w:r>
      <w:r>
        <w:rPr>
          <w:rFonts w:eastAsia="PMingLiU"/>
          <w:lang w:eastAsia="zh-TW"/>
        </w:rPr>
        <w:t>HM</w:t>
      </w:r>
      <w:r w:rsidRPr="009D6A87">
        <w:rPr>
          <w:rFonts w:eastAsia="PMingLiU"/>
          <w:lang w:eastAsia="zh-TW"/>
        </w:rPr>
        <w:t xml:space="preserve">, </w:t>
      </w:r>
      <w:r>
        <w:rPr>
          <w:rFonts w:eastAsia="PMingLiU"/>
          <w:lang w:eastAsia="zh-TW"/>
        </w:rPr>
        <w:t xml:space="preserve">and PM, </w:t>
      </w:r>
      <w:r w:rsidRPr="009D6A87">
        <w:rPr>
          <w:rFonts w:eastAsia="PMingLiU"/>
          <w:lang w:eastAsia="zh-TW"/>
        </w:rPr>
        <w:t xml:space="preserve">alone contributes </w:t>
      </w:r>
      <w:r>
        <w:rPr>
          <w:rFonts w:eastAsia="PMingLiU"/>
          <w:lang w:eastAsia="zh-TW"/>
        </w:rPr>
        <w:t>substantially</w:t>
      </w:r>
      <w:r w:rsidRPr="009D6A87">
        <w:rPr>
          <w:rFonts w:eastAsia="PMingLiU"/>
          <w:lang w:eastAsia="zh-TW"/>
        </w:rPr>
        <w:t xml:space="preserve"> to the variance. </w:t>
      </w:r>
      <w:r w:rsidRPr="00093CC7">
        <w:rPr>
          <w:rFonts w:eastAsia="PMingLiU"/>
          <w:lang w:eastAsia="zh-TW"/>
        </w:rPr>
        <w:t xml:space="preserve">The combination of </w:t>
      </w:r>
      <w:r w:rsidR="00C753AB">
        <w:rPr>
          <w:rFonts w:eastAsia="PMingLiU"/>
          <w:lang w:eastAsia="zh-TW"/>
        </w:rPr>
        <w:t xml:space="preserve">the </w:t>
      </w:r>
      <w:r>
        <w:rPr>
          <w:rFonts w:eastAsia="PMingLiU"/>
          <w:lang w:eastAsia="zh-TW"/>
        </w:rPr>
        <w:t>CM</w:t>
      </w:r>
      <w:r w:rsidRPr="00093CC7">
        <w:rPr>
          <w:rFonts w:eastAsia="PMingLiU"/>
          <w:lang w:eastAsia="zh-TW"/>
        </w:rPr>
        <w:t xml:space="preserve"> and </w:t>
      </w:r>
      <w:r>
        <w:rPr>
          <w:rFonts w:eastAsia="PMingLiU"/>
          <w:lang w:eastAsia="zh-TW"/>
        </w:rPr>
        <w:t xml:space="preserve">DS </w:t>
      </w:r>
      <w:r w:rsidRPr="00093CC7">
        <w:rPr>
          <w:rFonts w:eastAsia="PMingLiU"/>
          <w:lang w:eastAsia="zh-TW"/>
        </w:rPr>
        <w:t xml:space="preserve">is </w:t>
      </w:r>
      <w:r>
        <w:rPr>
          <w:rFonts w:eastAsia="PMingLiU"/>
          <w:lang w:eastAsia="zh-TW"/>
        </w:rPr>
        <w:t xml:space="preserve">the second </w:t>
      </w:r>
      <w:r>
        <w:t>most dominant</w:t>
      </w:r>
      <w:r w:rsidDel="006E60EF">
        <w:rPr>
          <w:rFonts w:eastAsia="PMingLiU"/>
          <w:lang w:eastAsia="zh-TW"/>
        </w:rPr>
        <w:t xml:space="preserve"> </w:t>
      </w:r>
      <w:r>
        <w:rPr>
          <w:rFonts w:eastAsia="PMingLiU"/>
          <w:lang w:eastAsia="zh-TW"/>
        </w:rPr>
        <w:t>contributor to the annual</w:t>
      </w:r>
      <w:r w:rsidRPr="00093CC7">
        <w:rPr>
          <w:rFonts w:eastAsia="PMingLiU"/>
          <w:lang w:eastAsia="zh-TW"/>
        </w:rPr>
        <w:t xml:space="preserve"> variance in SEPA-1 (24%). </w:t>
      </w:r>
      <w:r>
        <w:rPr>
          <w:rFonts w:eastAsia="PMingLiU"/>
          <w:lang w:eastAsia="zh-TW"/>
        </w:rPr>
        <w:t xml:space="preserve">In SEPA-4, </w:t>
      </w:r>
      <w:r w:rsidR="00024B4E">
        <w:rPr>
          <w:rFonts w:eastAsia="PMingLiU"/>
          <w:lang w:eastAsia="zh-TW"/>
        </w:rPr>
        <w:t xml:space="preserve">the </w:t>
      </w:r>
      <w:r>
        <w:rPr>
          <w:rFonts w:eastAsia="PMingLiU"/>
          <w:lang w:eastAsia="zh-TW"/>
        </w:rPr>
        <w:t xml:space="preserve">PM is the third </w:t>
      </w:r>
      <w:r>
        <w:t>most dominant</w:t>
      </w:r>
      <w:r w:rsidDel="006E60EF">
        <w:rPr>
          <w:rFonts w:eastAsia="PMingLiU"/>
          <w:lang w:eastAsia="zh-TW"/>
        </w:rPr>
        <w:t xml:space="preserve"> </w:t>
      </w:r>
      <w:r>
        <w:rPr>
          <w:rFonts w:eastAsia="PMingLiU"/>
          <w:lang w:eastAsia="zh-TW"/>
        </w:rPr>
        <w:t xml:space="preserve">contributor to the variance (10%), where a </w:t>
      </w:r>
      <w:r w:rsidRPr="00093CC7">
        <w:rPr>
          <w:rFonts w:eastAsia="PMingLiU"/>
          <w:lang w:eastAsia="zh-TW"/>
        </w:rPr>
        <w:t>large residual error (25%)</w:t>
      </w:r>
      <w:r>
        <w:rPr>
          <w:rFonts w:eastAsia="PMingLiU"/>
          <w:lang w:eastAsia="zh-TW"/>
        </w:rPr>
        <w:t xml:space="preserve"> is the second </w:t>
      </w:r>
      <w:r>
        <w:t>most dominant</w:t>
      </w:r>
      <w:r w:rsidDel="006E60EF">
        <w:rPr>
          <w:rFonts w:eastAsia="PMingLiU"/>
          <w:lang w:eastAsia="zh-TW"/>
        </w:rPr>
        <w:t xml:space="preserve"> </w:t>
      </w:r>
      <w:r>
        <w:rPr>
          <w:rFonts w:eastAsia="PMingLiU"/>
          <w:lang w:eastAsia="zh-TW"/>
        </w:rPr>
        <w:t>contributor</w:t>
      </w:r>
      <w:r w:rsidRPr="00093CC7">
        <w:rPr>
          <w:rFonts w:eastAsia="PMingLiU"/>
          <w:lang w:eastAsia="zh-TW"/>
        </w:rPr>
        <w:t xml:space="preserve">, indicating </w:t>
      </w:r>
      <w:r>
        <w:rPr>
          <w:rFonts w:eastAsia="PMingLiU"/>
          <w:lang w:eastAsia="zh-TW"/>
        </w:rPr>
        <w:t xml:space="preserve">that </w:t>
      </w:r>
      <w:r w:rsidRPr="00093CC7">
        <w:rPr>
          <w:rFonts w:eastAsia="PMingLiU"/>
          <w:lang w:eastAsia="zh-TW"/>
        </w:rPr>
        <w:t xml:space="preserve">part of the projected change cannot be explained by </w:t>
      </w:r>
      <w:r>
        <w:rPr>
          <w:rFonts w:eastAsia="PMingLiU"/>
          <w:lang w:eastAsia="zh-TW"/>
        </w:rPr>
        <w:t xml:space="preserve">the </w:t>
      </w:r>
      <w:r w:rsidRPr="00093CC7">
        <w:rPr>
          <w:rFonts w:eastAsia="PMingLiU"/>
          <w:lang w:eastAsia="zh-TW"/>
        </w:rPr>
        <w:t>modeling choices</w:t>
      </w:r>
      <w:r w:rsidRPr="00192C4A">
        <w:rPr>
          <w:rFonts w:eastAsia="PMingLiU"/>
          <w:lang w:eastAsia="zh-TW"/>
        </w:rPr>
        <w:t xml:space="preserve">. When grouped by </w:t>
      </w:r>
      <w:r>
        <w:rPr>
          <w:rFonts w:eastAsia="PMingLiU"/>
          <w:lang w:eastAsia="zh-TW"/>
        </w:rPr>
        <w:t>CM</w:t>
      </w:r>
      <w:r w:rsidRPr="00192C4A">
        <w:rPr>
          <w:rFonts w:eastAsia="PMingLiU"/>
          <w:lang w:eastAsia="zh-TW"/>
        </w:rPr>
        <w:t>, both the median value and the spread of projected generation change var</w:t>
      </w:r>
      <w:r>
        <w:rPr>
          <w:rFonts w:eastAsia="PMingLiU"/>
          <w:lang w:eastAsia="zh-TW"/>
        </w:rPr>
        <w:t>y</w:t>
      </w:r>
      <w:r w:rsidRPr="00192C4A">
        <w:rPr>
          <w:rFonts w:eastAsia="PMingLiU"/>
          <w:lang w:eastAsia="zh-TW"/>
        </w:rPr>
        <w:t xml:space="preserve"> </w:t>
      </w:r>
      <w:r w:rsidR="003228FF">
        <w:rPr>
          <w:rFonts w:eastAsia="PMingLiU"/>
          <w:lang w:eastAsia="zh-TW"/>
        </w:rPr>
        <w:t>substantial</w:t>
      </w:r>
      <w:r>
        <w:rPr>
          <w:rFonts w:eastAsia="PMingLiU"/>
          <w:lang w:eastAsia="zh-TW"/>
        </w:rPr>
        <w:t>ly</w:t>
      </w:r>
      <w:r w:rsidRPr="00192C4A">
        <w:rPr>
          <w:rFonts w:eastAsia="PMingLiU"/>
          <w:lang w:eastAsia="zh-TW"/>
        </w:rPr>
        <w:t xml:space="preserve"> from one </w:t>
      </w:r>
      <w:r>
        <w:rPr>
          <w:rFonts w:eastAsia="PMingLiU"/>
          <w:lang w:eastAsia="zh-TW"/>
        </w:rPr>
        <w:t>CM</w:t>
      </w:r>
      <w:r w:rsidRPr="00192C4A">
        <w:rPr>
          <w:rFonts w:eastAsia="PMingLiU"/>
          <w:lang w:eastAsia="zh-TW"/>
        </w:rPr>
        <w:t xml:space="preserve"> to another, indicating the high uncertainty. By contrast, when grouped by </w:t>
      </w:r>
      <w:r>
        <w:rPr>
          <w:rFonts w:eastAsia="PMingLiU"/>
          <w:lang w:eastAsia="zh-TW"/>
        </w:rPr>
        <w:t>DS</w:t>
      </w:r>
      <w:r w:rsidRPr="00192C4A">
        <w:rPr>
          <w:rFonts w:eastAsia="PMingLiU"/>
          <w:lang w:eastAsia="zh-TW"/>
        </w:rPr>
        <w:t xml:space="preserve">, </w:t>
      </w:r>
      <w:r>
        <w:rPr>
          <w:rFonts w:eastAsia="PMingLiU"/>
          <w:lang w:eastAsia="zh-TW"/>
        </w:rPr>
        <w:t>MetF</w:t>
      </w:r>
      <w:r w:rsidRPr="00192C4A">
        <w:rPr>
          <w:rFonts w:eastAsia="PMingLiU"/>
          <w:lang w:eastAsia="zh-TW"/>
        </w:rPr>
        <w:t xml:space="preserve">, </w:t>
      </w:r>
      <w:r>
        <w:rPr>
          <w:rFonts w:eastAsia="PMingLiU"/>
          <w:lang w:eastAsia="zh-TW"/>
        </w:rPr>
        <w:t>and HM</w:t>
      </w:r>
      <w:r w:rsidRPr="00192C4A">
        <w:rPr>
          <w:rFonts w:eastAsia="PMingLiU"/>
          <w:lang w:eastAsia="zh-TW"/>
        </w:rPr>
        <w:t xml:space="preserve">, the median value and the spread of projected generation change show much consistency between groups, indicating </w:t>
      </w:r>
      <w:r w:rsidRPr="00192C4A">
        <w:rPr>
          <w:rFonts w:eastAsia="PMingLiU"/>
          <w:lang w:eastAsia="zh-TW"/>
        </w:rPr>
        <w:lastRenderedPageBreak/>
        <w:t xml:space="preserve">low </w:t>
      </w:r>
      <w:r>
        <w:rPr>
          <w:rFonts w:eastAsia="PMingLiU"/>
          <w:lang w:eastAsia="zh-TW"/>
        </w:rPr>
        <w:t xml:space="preserve">uncertainty in </w:t>
      </w:r>
      <w:r w:rsidRPr="00192C4A">
        <w:rPr>
          <w:rFonts w:eastAsia="PMingLiU"/>
          <w:lang w:eastAsia="zh-TW"/>
        </w:rPr>
        <w:t xml:space="preserve">generation change </w:t>
      </w:r>
      <w:r>
        <w:rPr>
          <w:rFonts w:eastAsia="PMingLiU"/>
          <w:lang w:eastAsia="zh-TW"/>
        </w:rPr>
        <w:t xml:space="preserve">from these modeling choices in the SEPA </w:t>
      </w:r>
      <w:r w:rsidRPr="00192C4A">
        <w:rPr>
          <w:rFonts w:eastAsia="PMingLiU"/>
          <w:lang w:eastAsia="zh-TW"/>
        </w:rPr>
        <w:t xml:space="preserve">region at </w:t>
      </w:r>
      <w:r>
        <w:rPr>
          <w:rFonts w:eastAsia="PMingLiU"/>
          <w:lang w:eastAsia="zh-TW"/>
        </w:rPr>
        <w:t xml:space="preserve">the </w:t>
      </w:r>
      <w:r w:rsidRPr="00192C4A">
        <w:rPr>
          <w:rFonts w:eastAsia="PMingLiU"/>
          <w:lang w:eastAsia="zh-TW"/>
        </w:rPr>
        <w:t>annual time scale.</w:t>
      </w:r>
    </w:p>
    <w:p w14:paraId="37FA3987" w14:textId="25A8F9D7" w:rsidR="00606C69" w:rsidRPr="00184083" w:rsidRDefault="00606C69" w:rsidP="00606C69">
      <w:pPr>
        <w:pStyle w:val="BodyText"/>
        <w:rPr>
          <w:rFonts w:eastAsia="PMingLiU"/>
          <w:lang w:eastAsia="zh-TW"/>
        </w:rPr>
      </w:pPr>
      <w:r w:rsidRPr="00184083">
        <w:rPr>
          <w:rFonts w:eastAsia="PMingLiU"/>
          <w:lang w:eastAsia="zh-TW"/>
        </w:rPr>
        <w:t xml:space="preserve">At </w:t>
      </w:r>
      <w:r w:rsidR="00852D75">
        <w:rPr>
          <w:rFonts w:eastAsia="PMingLiU"/>
          <w:lang w:eastAsia="zh-TW"/>
        </w:rPr>
        <w:t xml:space="preserve">the </w:t>
      </w:r>
      <w:r w:rsidRPr="00184083">
        <w:rPr>
          <w:rFonts w:eastAsia="PMingLiU"/>
          <w:lang w:eastAsia="zh-TW"/>
        </w:rPr>
        <w:t>seasonal scale (</w:t>
      </w:r>
      <w:r w:rsidR="00F33621">
        <w:rPr>
          <w:rFonts w:eastAsia="PMingLiU"/>
          <w:lang w:eastAsia="zh-TW"/>
        </w:rPr>
        <w:fldChar w:fldCharType="begin"/>
      </w:r>
      <w:r w:rsidR="00F33621">
        <w:rPr>
          <w:rFonts w:eastAsia="PMingLiU"/>
          <w:lang w:eastAsia="zh-TW"/>
        </w:rPr>
        <w:instrText xml:space="preserve"> REF _Ref81738613 \n \h </w:instrText>
      </w:r>
      <w:r w:rsidR="00F33621">
        <w:rPr>
          <w:rFonts w:eastAsia="PMingLiU"/>
          <w:lang w:eastAsia="zh-TW"/>
        </w:rPr>
      </w:r>
      <w:r w:rsidR="00F33621">
        <w:rPr>
          <w:rFonts w:eastAsia="PMingLiU"/>
          <w:lang w:eastAsia="zh-TW"/>
        </w:rPr>
        <w:fldChar w:fldCharType="separate"/>
      </w:r>
      <w:r w:rsidR="00EE0BF5">
        <w:rPr>
          <w:rFonts w:eastAsia="PMingLiU"/>
          <w:lang w:eastAsia="zh-TW"/>
        </w:rPr>
        <w:t>APPENDIX G</w:t>
      </w:r>
      <w:r w:rsidR="00F33621">
        <w:rPr>
          <w:rFonts w:eastAsia="PMingLiU"/>
          <w:lang w:eastAsia="zh-TW"/>
        </w:rPr>
        <w:fldChar w:fldCharType="end"/>
      </w:r>
      <w:r w:rsidRPr="00184083">
        <w:rPr>
          <w:rFonts w:eastAsia="PMingLiU"/>
          <w:lang w:eastAsia="zh-TW"/>
        </w:rPr>
        <w:t xml:space="preserve">), the variance contribution from modeling choice varies </w:t>
      </w:r>
      <w:r>
        <w:rPr>
          <w:rFonts w:eastAsia="PMingLiU"/>
          <w:lang w:eastAsia="zh-TW"/>
        </w:rPr>
        <w:t xml:space="preserve">across </w:t>
      </w:r>
      <w:r w:rsidRPr="00184083">
        <w:rPr>
          <w:rFonts w:eastAsia="PMingLiU"/>
          <w:lang w:eastAsia="zh-TW"/>
        </w:rPr>
        <w:t xml:space="preserve">different </w:t>
      </w:r>
      <w:r>
        <w:rPr>
          <w:rFonts w:eastAsia="PMingLiU"/>
          <w:lang w:eastAsia="zh-TW"/>
        </w:rPr>
        <w:t xml:space="preserve">SEPA </w:t>
      </w:r>
      <w:r w:rsidRPr="00184083">
        <w:rPr>
          <w:rFonts w:eastAsia="PMingLiU"/>
          <w:lang w:eastAsia="zh-TW"/>
        </w:rPr>
        <w:t xml:space="preserve">study areas. For SEPA-1, </w:t>
      </w:r>
      <w:r w:rsidR="00024B4E">
        <w:rPr>
          <w:rFonts w:eastAsia="PMingLiU"/>
          <w:lang w:eastAsia="zh-TW"/>
        </w:rPr>
        <w:t xml:space="preserve">the </w:t>
      </w:r>
      <w:r>
        <w:rPr>
          <w:rFonts w:eastAsia="PMingLiU"/>
          <w:lang w:eastAsia="zh-TW"/>
        </w:rPr>
        <w:t xml:space="preserve">CM </w:t>
      </w:r>
      <w:r w:rsidRPr="00184083">
        <w:rPr>
          <w:rFonts w:eastAsia="PMingLiU"/>
          <w:lang w:eastAsia="zh-TW"/>
        </w:rPr>
        <w:t xml:space="preserve">remains the </w:t>
      </w:r>
      <w:r w:rsidR="00C753AB">
        <w:rPr>
          <w:rFonts w:eastAsia="PMingLiU"/>
          <w:lang w:eastAsia="zh-TW"/>
        </w:rPr>
        <w:t xml:space="preserve">most </w:t>
      </w:r>
      <w:r w:rsidRPr="00184083">
        <w:rPr>
          <w:rFonts w:eastAsia="PMingLiU"/>
          <w:lang w:eastAsia="zh-TW"/>
        </w:rPr>
        <w:t>dominant contributor to variance throughout the four seasons (48</w:t>
      </w:r>
      <w:r w:rsidR="00724040">
        <w:rPr>
          <w:rFonts w:eastAsia="PMingLiU"/>
          <w:lang w:eastAsia="zh-TW"/>
        </w:rPr>
        <w:t>%</w:t>
      </w:r>
      <w:r>
        <w:rPr>
          <w:rFonts w:eastAsia="PMingLiU"/>
          <w:lang w:eastAsia="zh-TW"/>
        </w:rPr>
        <w:t>–</w:t>
      </w:r>
      <w:r w:rsidRPr="00184083">
        <w:rPr>
          <w:rFonts w:eastAsia="PMingLiU"/>
          <w:lang w:eastAsia="zh-TW"/>
        </w:rPr>
        <w:t xml:space="preserve">70%), </w:t>
      </w:r>
      <w:r w:rsidR="00724040">
        <w:rPr>
          <w:rFonts w:eastAsia="PMingLiU"/>
          <w:lang w:eastAsia="zh-TW"/>
        </w:rPr>
        <w:t>and</w:t>
      </w:r>
      <w:r w:rsidR="00724040" w:rsidRPr="00184083">
        <w:rPr>
          <w:rFonts w:eastAsia="PMingLiU"/>
          <w:lang w:eastAsia="zh-TW"/>
        </w:rPr>
        <w:t xml:space="preserve"> </w:t>
      </w:r>
      <w:r w:rsidRPr="00184083">
        <w:rPr>
          <w:rFonts w:eastAsia="PMingLiU"/>
          <w:lang w:eastAsia="zh-TW"/>
        </w:rPr>
        <w:t xml:space="preserve">the interactions between </w:t>
      </w:r>
      <w:r w:rsidR="00024B4E">
        <w:rPr>
          <w:rFonts w:eastAsia="PMingLiU"/>
          <w:lang w:eastAsia="zh-TW"/>
        </w:rPr>
        <w:t xml:space="preserve">the </w:t>
      </w:r>
      <w:r>
        <w:rPr>
          <w:rFonts w:eastAsia="PMingLiU"/>
          <w:lang w:eastAsia="zh-TW"/>
        </w:rPr>
        <w:t xml:space="preserve">CM </w:t>
      </w:r>
      <w:r w:rsidRPr="00184083">
        <w:rPr>
          <w:rFonts w:eastAsia="PMingLiU"/>
          <w:lang w:eastAsia="zh-TW"/>
        </w:rPr>
        <w:t xml:space="preserve">and </w:t>
      </w:r>
      <w:r>
        <w:rPr>
          <w:rFonts w:eastAsia="PMingLiU"/>
          <w:lang w:eastAsia="zh-TW"/>
        </w:rPr>
        <w:t xml:space="preserve">DS are the second </w:t>
      </w:r>
      <w:r w:rsidR="006E60EF">
        <w:t>most dominant</w:t>
      </w:r>
      <w:r w:rsidR="006E60EF" w:rsidDel="006E60EF">
        <w:rPr>
          <w:rFonts w:eastAsia="PMingLiU"/>
          <w:lang w:eastAsia="zh-TW"/>
        </w:rPr>
        <w:t xml:space="preserve"> </w:t>
      </w:r>
      <w:r>
        <w:rPr>
          <w:rFonts w:eastAsia="PMingLiU"/>
          <w:lang w:eastAsia="zh-TW"/>
        </w:rPr>
        <w:t xml:space="preserve">contributor </w:t>
      </w:r>
      <w:r w:rsidRPr="00184083">
        <w:rPr>
          <w:rFonts w:eastAsia="PMingLiU"/>
          <w:lang w:eastAsia="zh-TW"/>
        </w:rPr>
        <w:t>(19</w:t>
      </w:r>
      <w:r w:rsidR="00724040">
        <w:rPr>
          <w:rFonts w:eastAsia="PMingLiU"/>
          <w:lang w:eastAsia="zh-TW"/>
        </w:rPr>
        <w:t>%</w:t>
      </w:r>
      <w:r>
        <w:rPr>
          <w:rFonts w:eastAsia="PMingLiU"/>
          <w:lang w:eastAsia="zh-TW"/>
        </w:rPr>
        <w:t>–</w:t>
      </w:r>
      <w:r w:rsidRPr="00184083">
        <w:rPr>
          <w:rFonts w:eastAsia="PMingLiU"/>
          <w:lang w:eastAsia="zh-TW"/>
        </w:rPr>
        <w:t xml:space="preserve">21%). For SEPA-2 and SEPA-3, </w:t>
      </w:r>
      <w:r w:rsidR="00024B4E">
        <w:rPr>
          <w:rFonts w:eastAsia="PMingLiU"/>
          <w:lang w:eastAsia="zh-TW"/>
        </w:rPr>
        <w:t xml:space="preserve">the </w:t>
      </w:r>
      <w:r>
        <w:rPr>
          <w:rFonts w:eastAsia="PMingLiU"/>
          <w:lang w:eastAsia="zh-TW"/>
        </w:rPr>
        <w:t xml:space="preserve">CM </w:t>
      </w:r>
      <w:r w:rsidRPr="00184083">
        <w:rPr>
          <w:rFonts w:eastAsia="PMingLiU"/>
          <w:lang w:eastAsia="zh-TW"/>
        </w:rPr>
        <w:t xml:space="preserve">in general determines the </w:t>
      </w:r>
      <w:r>
        <w:rPr>
          <w:rFonts w:eastAsia="PMingLiU"/>
          <w:lang w:eastAsia="zh-TW"/>
        </w:rPr>
        <w:t xml:space="preserve">spread of </w:t>
      </w:r>
      <w:r w:rsidRPr="00184083">
        <w:rPr>
          <w:rFonts w:eastAsia="PMingLiU"/>
          <w:lang w:eastAsia="zh-TW"/>
        </w:rPr>
        <w:t xml:space="preserve">projected change, with the combination of </w:t>
      </w:r>
      <w:r w:rsidR="00C753AB">
        <w:rPr>
          <w:rFonts w:eastAsia="PMingLiU"/>
          <w:lang w:eastAsia="zh-TW"/>
        </w:rPr>
        <w:t xml:space="preserve">the </w:t>
      </w:r>
      <w:r>
        <w:rPr>
          <w:rFonts w:eastAsia="PMingLiU"/>
          <w:lang w:eastAsia="zh-TW"/>
        </w:rPr>
        <w:t xml:space="preserve">CM </w:t>
      </w:r>
      <w:r w:rsidRPr="00184083">
        <w:rPr>
          <w:rFonts w:eastAsia="PMingLiU"/>
          <w:lang w:eastAsia="zh-TW"/>
        </w:rPr>
        <w:t xml:space="preserve">and </w:t>
      </w:r>
      <w:r>
        <w:rPr>
          <w:rFonts w:eastAsia="PMingLiU"/>
          <w:lang w:eastAsia="zh-TW"/>
        </w:rPr>
        <w:t xml:space="preserve">PM </w:t>
      </w:r>
      <w:r w:rsidRPr="00184083">
        <w:rPr>
          <w:rFonts w:eastAsia="PMingLiU"/>
          <w:lang w:eastAsia="zh-TW"/>
        </w:rPr>
        <w:t xml:space="preserve">model also contributing </w:t>
      </w:r>
      <w:r>
        <w:rPr>
          <w:rFonts w:eastAsia="PMingLiU"/>
          <w:lang w:eastAsia="zh-TW"/>
        </w:rPr>
        <w:t>substantially</w:t>
      </w:r>
      <w:r w:rsidRPr="00184083">
        <w:rPr>
          <w:rFonts w:eastAsia="PMingLiU"/>
          <w:lang w:eastAsia="zh-TW"/>
        </w:rPr>
        <w:t xml:space="preserve"> in </w:t>
      </w:r>
      <w:r w:rsidR="00024B4E">
        <w:rPr>
          <w:rFonts w:eastAsia="PMingLiU"/>
          <w:lang w:eastAsia="zh-TW"/>
        </w:rPr>
        <w:t xml:space="preserve">the </w:t>
      </w:r>
      <w:r w:rsidRPr="00184083">
        <w:rPr>
          <w:rFonts w:eastAsia="PMingLiU"/>
          <w:lang w:eastAsia="zh-TW"/>
        </w:rPr>
        <w:t xml:space="preserve">spring (29% for SEPA-2 and 15% for SEPA-3). For SEPA-4, </w:t>
      </w:r>
      <w:r>
        <w:rPr>
          <w:rFonts w:eastAsia="PMingLiU"/>
          <w:lang w:eastAsia="zh-TW"/>
        </w:rPr>
        <w:t xml:space="preserve">residual errors are the </w:t>
      </w:r>
      <w:r w:rsidR="006E60EF">
        <w:t>most dominant</w:t>
      </w:r>
      <w:r w:rsidR="006E60EF" w:rsidDel="006E60EF">
        <w:rPr>
          <w:rFonts w:eastAsia="PMingLiU"/>
          <w:lang w:eastAsia="zh-TW"/>
        </w:rPr>
        <w:t xml:space="preserve"> </w:t>
      </w:r>
      <w:r>
        <w:rPr>
          <w:rFonts w:eastAsia="PMingLiU"/>
          <w:lang w:eastAsia="zh-TW"/>
        </w:rPr>
        <w:t xml:space="preserve">contributor to the variance </w:t>
      </w:r>
      <w:r w:rsidRPr="00184083">
        <w:rPr>
          <w:rFonts w:eastAsia="PMingLiU"/>
          <w:lang w:eastAsia="zh-TW"/>
        </w:rPr>
        <w:t xml:space="preserve">in </w:t>
      </w:r>
      <w:r w:rsidR="00024B4E">
        <w:rPr>
          <w:rFonts w:eastAsia="PMingLiU"/>
          <w:lang w:eastAsia="zh-TW"/>
        </w:rPr>
        <w:t xml:space="preserve">the </w:t>
      </w:r>
      <w:r w:rsidRPr="00184083">
        <w:rPr>
          <w:rFonts w:eastAsia="PMingLiU"/>
          <w:lang w:eastAsia="zh-TW"/>
        </w:rPr>
        <w:t>winter (50%), spring (57%), and fall (37%)</w:t>
      </w:r>
      <w:r>
        <w:rPr>
          <w:rFonts w:eastAsia="PMingLiU"/>
          <w:lang w:eastAsia="zh-TW"/>
        </w:rPr>
        <w:t>, complicating the interpretation of the projections</w:t>
      </w:r>
      <w:r w:rsidRPr="00184083">
        <w:rPr>
          <w:rFonts w:eastAsia="PMingLiU"/>
          <w:lang w:eastAsia="zh-TW"/>
        </w:rPr>
        <w:t xml:space="preserve">. In </w:t>
      </w:r>
      <w:r w:rsidR="00024B4E">
        <w:rPr>
          <w:rFonts w:eastAsia="PMingLiU"/>
          <w:lang w:eastAsia="zh-TW"/>
        </w:rPr>
        <w:t xml:space="preserve">the </w:t>
      </w:r>
      <w:r w:rsidRPr="00184083">
        <w:rPr>
          <w:rFonts w:eastAsia="PMingLiU"/>
          <w:lang w:eastAsia="zh-TW"/>
        </w:rPr>
        <w:t xml:space="preserve">summer, </w:t>
      </w:r>
      <w:r w:rsidR="00024B4E">
        <w:rPr>
          <w:rFonts w:eastAsia="PMingLiU"/>
          <w:lang w:eastAsia="zh-TW"/>
        </w:rPr>
        <w:t xml:space="preserve">the </w:t>
      </w:r>
      <w:r>
        <w:rPr>
          <w:rFonts w:eastAsia="PMingLiU"/>
          <w:lang w:eastAsia="zh-TW"/>
        </w:rPr>
        <w:t xml:space="preserve">CM </w:t>
      </w:r>
      <w:r w:rsidRPr="00184083">
        <w:rPr>
          <w:rFonts w:eastAsia="PMingLiU"/>
          <w:lang w:eastAsia="zh-TW"/>
        </w:rPr>
        <w:t xml:space="preserve">is the </w:t>
      </w:r>
      <w:r w:rsidR="00F32AA2">
        <w:rPr>
          <w:rFonts w:eastAsia="PMingLiU"/>
          <w:lang w:eastAsia="zh-TW"/>
        </w:rPr>
        <w:t xml:space="preserve">most </w:t>
      </w:r>
      <w:r w:rsidRPr="00184083">
        <w:rPr>
          <w:rFonts w:eastAsia="PMingLiU"/>
          <w:lang w:eastAsia="zh-TW"/>
        </w:rPr>
        <w:t xml:space="preserve">dominant </w:t>
      </w:r>
      <w:r w:rsidR="00F32AA2">
        <w:rPr>
          <w:rFonts w:eastAsia="PMingLiU"/>
          <w:lang w:eastAsia="zh-TW"/>
        </w:rPr>
        <w:t xml:space="preserve">contributor </w:t>
      </w:r>
      <w:r w:rsidRPr="00184083">
        <w:rPr>
          <w:rFonts w:eastAsia="PMingLiU"/>
          <w:lang w:eastAsia="zh-TW"/>
        </w:rPr>
        <w:t xml:space="preserve">in SEPA-4 </w:t>
      </w:r>
      <w:r>
        <w:rPr>
          <w:rFonts w:eastAsia="PMingLiU"/>
          <w:lang w:eastAsia="zh-TW"/>
        </w:rPr>
        <w:t>with</w:t>
      </w:r>
      <w:r w:rsidRPr="00184083">
        <w:rPr>
          <w:rFonts w:eastAsia="PMingLiU"/>
          <w:lang w:eastAsia="zh-TW"/>
        </w:rPr>
        <w:t xml:space="preserve"> 56% of the variance</w:t>
      </w:r>
      <w:r>
        <w:rPr>
          <w:rFonts w:eastAsia="PMingLiU"/>
          <w:lang w:eastAsia="zh-TW"/>
        </w:rPr>
        <w:t>, followed by the choice of PM (20%)</w:t>
      </w:r>
      <w:r w:rsidRPr="00184083">
        <w:rPr>
          <w:rFonts w:eastAsia="PMingLiU"/>
          <w:lang w:eastAsia="zh-TW"/>
        </w:rPr>
        <w:t>.</w:t>
      </w:r>
      <w:r>
        <w:rPr>
          <w:rFonts w:eastAsia="PMingLiU"/>
          <w:lang w:eastAsia="zh-TW"/>
        </w:rPr>
        <w:t xml:space="preserve"> Results in SEPA-4 are largely influenced by a handful of low storage headwater reservoirs in rainfall</w:t>
      </w:r>
      <w:r w:rsidR="00724040">
        <w:rPr>
          <w:rFonts w:eastAsia="PMingLiU"/>
          <w:lang w:eastAsia="zh-TW"/>
        </w:rPr>
        <w:t>-</w:t>
      </w:r>
      <w:r>
        <w:rPr>
          <w:rFonts w:eastAsia="PMingLiU"/>
          <w:lang w:eastAsia="zh-TW"/>
        </w:rPr>
        <w:t xml:space="preserve">dominated watersheds, explaining the largest sensitivity to residual errors (spills and low variance), </w:t>
      </w:r>
      <w:r w:rsidR="00724040">
        <w:rPr>
          <w:rFonts w:eastAsia="PMingLiU"/>
          <w:lang w:eastAsia="zh-TW"/>
        </w:rPr>
        <w:t xml:space="preserve">and </w:t>
      </w:r>
      <w:r>
        <w:rPr>
          <w:rFonts w:eastAsia="PMingLiU"/>
          <w:lang w:eastAsia="zh-TW"/>
        </w:rPr>
        <w:t xml:space="preserve">then </w:t>
      </w:r>
      <w:r w:rsidR="003B51DF">
        <w:rPr>
          <w:rFonts w:eastAsia="PMingLiU"/>
          <w:lang w:eastAsia="zh-TW"/>
        </w:rPr>
        <w:t>CM</w:t>
      </w:r>
      <w:r w:rsidR="00533D84">
        <w:rPr>
          <w:rFonts w:eastAsia="PMingLiU"/>
          <w:lang w:eastAsia="zh-TW"/>
        </w:rPr>
        <w:t>s</w:t>
      </w:r>
      <w:r>
        <w:rPr>
          <w:rFonts w:eastAsia="PMingLiU"/>
          <w:lang w:eastAsia="zh-TW"/>
        </w:rPr>
        <w:t xml:space="preserve"> and </w:t>
      </w:r>
      <w:r w:rsidR="00533D84">
        <w:rPr>
          <w:rFonts w:eastAsia="PMingLiU"/>
          <w:lang w:eastAsia="zh-TW"/>
        </w:rPr>
        <w:t>PMs</w:t>
      </w:r>
      <w:r w:rsidR="00724040">
        <w:rPr>
          <w:rFonts w:eastAsia="PMingLiU"/>
          <w:lang w:eastAsia="zh-TW"/>
        </w:rPr>
        <w:t>,</w:t>
      </w:r>
      <w:r w:rsidRPr="03168693">
        <w:rPr>
          <w:rFonts w:eastAsia="PMingLiU"/>
          <w:lang w:eastAsia="zh-TW"/>
        </w:rPr>
        <w:t xml:space="preserve"> </w:t>
      </w:r>
      <w:r w:rsidR="00724040">
        <w:rPr>
          <w:rFonts w:eastAsia="PMingLiU"/>
          <w:lang w:eastAsia="zh-TW"/>
        </w:rPr>
        <w:t xml:space="preserve">whereas </w:t>
      </w:r>
      <w:r w:rsidRPr="03168693">
        <w:rPr>
          <w:rFonts w:eastAsia="PMingLiU"/>
          <w:lang w:eastAsia="zh-TW"/>
        </w:rPr>
        <w:t>climate was the sole substantial dominant factor for runoff variance (</w:t>
      </w:r>
      <w:r>
        <w:rPr>
          <w:rFonts w:eastAsia="PMingLiU"/>
          <w:lang w:eastAsia="zh-TW"/>
        </w:rPr>
        <w:t>S</w:t>
      </w:r>
      <w:r w:rsidRPr="03168693">
        <w:rPr>
          <w:rFonts w:eastAsia="PMingLiU"/>
          <w:lang w:eastAsia="zh-TW"/>
        </w:rPr>
        <w:t xml:space="preserve">ection </w:t>
      </w:r>
      <w:r>
        <w:rPr>
          <w:rFonts w:eastAsia="PMingLiU"/>
          <w:lang w:eastAsia="zh-TW"/>
        </w:rPr>
        <w:fldChar w:fldCharType="begin"/>
      </w:r>
      <w:r>
        <w:rPr>
          <w:rFonts w:eastAsia="PMingLiU"/>
          <w:lang w:eastAsia="zh-TW"/>
        </w:rPr>
        <w:instrText xml:space="preserve"> REF _Ref81723091 \n \h </w:instrText>
      </w:r>
      <w:r>
        <w:rPr>
          <w:rFonts w:eastAsia="PMingLiU"/>
          <w:lang w:eastAsia="zh-TW"/>
        </w:rPr>
      </w:r>
      <w:r>
        <w:rPr>
          <w:rFonts w:eastAsia="PMingLiU"/>
          <w:lang w:eastAsia="zh-TW"/>
        </w:rPr>
        <w:fldChar w:fldCharType="separate"/>
      </w:r>
      <w:r w:rsidR="00EE0BF5">
        <w:rPr>
          <w:rFonts w:eastAsia="PMingLiU"/>
          <w:lang w:eastAsia="zh-TW"/>
        </w:rPr>
        <w:t>6.2.2</w:t>
      </w:r>
      <w:r>
        <w:rPr>
          <w:rFonts w:eastAsia="PMingLiU"/>
          <w:lang w:eastAsia="zh-TW"/>
        </w:rPr>
        <w:fldChar w:fldCharType="end"/>
      </w:r>
      <w:r w:rsidRPr="03168693">
        <w:rPr>
          <w:rFonts w:eastAsia="PMingLiU"/>
          <w:lang w:eastAsia="zh-TW"/>
        </w:rPr>
        <w:t>)</w:t>
      </w:r>
      <w:r>
        <w:rPr>
          <w:rFonts w:eastAsia="PMingLiU"/>
          <w:lang w:eastAsia="zh-TW"/>
        </w:rPr>
        <w:t>.</w:t>
      </w:r>
    </w:p>
    <w:p w14:paraId="7129005B" w14:textId="48F8D7B1" w:rsidR="000D015F" w:rsidRDefault="000D015F" w:rsidP="000D015F">
      <w:pPr>
        <w:pStyle w:val="BodyText"/>
        <w:rPr>
          <w:rFonts w:eastAsia="PMingLiU"/>
          <w:szCs w:val="24"/>
          <w:lang w:eastAsia="zh-TW"/>
        </w:rPr>
      </w:pPr>
      <w:r>
        <w:t>In summary, federal hydropower in the SEPA region will likely experience modest increase in annual generation in the near-term and more significant increase in the mid-term future periods. Seasonal relative changes in generation are of the same magnitude as annual generation change, with summer generation increas</w:t>
      </w:r>
      <w:r w:rsidR="00FE7002">
        <w:t>ing</w:t>
      </w:r>
      <w:r>
        <w:t xml:space="preserve"> slightly more than other seasons. Unlike BPA or WAPA regions and </w:t>
      </w:r>
      <w:r w:rsidR="008F3C3A">
        <w:t xml:space="preserve">similar to the </w:t>
      </w:r>
      <w:r>
        <w:t xml:space="preserve">SWPA region, </w:t>
      </w:r>
      <w:r w:rsidR="008F3C3A">
        <w:t xml:space="preserve">the SEPA region suggests that </w:t>
      </w:r>
      <w:r>
        <w:t xml:space="preserve">the median generation changes in the region </w:t>
      </w:r>
      <w:r w:rsidR="008F3C3A">
        <w:t xml:space="preserve">will </w:t>
      </w:r>
      <w:r>
        <w:t xml:space="preserve">follow the median runoff changes closely. In terms of the sources of uncertainty, </w:t>
      </w:r>
      <w:r w:rsidR="00024B4E">
        <w:rPr>
          <w:rFonts w:eastAsia="PMingLiU"/>
          <w:lang w:eastAsia="zh-TW"/>
        </w:rPr>
        <w:t xml:space="preserve">the </w:t>
      </w:r>
      <w:r>
        <w:t>CM contributes to most to the variance of hydropower generation at both annual and seasonal scales.</w:t>
      </w:r>
    </w:p>
    <w:p w14:paraId="431C6FEB" w14:textId="6AB1B710" w:rsidR="0020715F" w:rsidRPr="0020715F" w:rsidRDefault="00A74C75" w:rsidP="0020715F">
      <w:pPr>
        <w:pStyle w:val="Heading3"/>
      </w:pPr>
      <w:bookmarkStart w:id="551" w:name="_Toc113380836"/>
      <w:r w:rsidRPr="00DE36AC">
        <w:t xml:space="preserve">Climate Change </w:t>
      </w:r>
      <w:r w:rsidR="007C36CF" w:rsidRPr="00DE36AC">
        <w:t xml:space="preserve">Impacts on </w:t>
      </w:r>
      <w:r w:rsidR="007C36CF">
        <w:t>Regional Electricity Demand</w:t>
      </w:r>
      <w:bookmarkEnd w:id="551"/>
    </w:p>
    <w:p w14:paraId="4F666D54" w14:textId="42495296" w:rsidR="007C36CF" w:rsidRDefault="007C36CF" w:rsidP="005F6BB4">
      <w:pPr>
        <w:pStyle w:val="BodyText"/>
      </w:pPr>
      <w:r>
        <w:t>This section summarizes the results from the statistical analysis, exploring the effects of projected temperature trends on the electricity sales of SEPA</w:t>
      </w:r>
      <w:r w:rsidR="00805545">
        <w:t>’</w:t>
      </w:r>
      <w:r>
        <w:t xml:space="preserve">s preference customers to their end-use (residential, commercial, industrial) customers. As described in Section </w:t>
      </w:r>
      <w:r>
        <w:fldChar w:fldCharType="begin"/>
      </w:r>
      <w:r>
        <w:instrText xml:space="preserve"> REF _Ref95320315 \n \h </w:instrText>
      </w:r>
      <w:r>
        <w:fldChar w:fldCharType="separate"/>
      </w:r>
      <w:r w:rsidR="00EE0BF5">
        <w:t>6.1.2</w:t>
      </w:r>
      <w:r>
        <w:fldChar w:fldCharType="end"/>
      </w:r>
      <w:r>
        <w:t>, SEPA markets the output from 22 hydropower plants to preference customers, mostly municipalities and cooperatives, as peaking power. The contracts between SEPA and its preference customers guarantee a fixed number of hours of energy per kilowatt of capacity contracted per year. Typically, the federal hydropower allocation that preference customers receive from SEPA is a small fraction of the portfolio of generation resources they use to serve their end-use customers. Any load growth projected by SEPA</w:t>
      </w:r>
      <w:r w:rsidR="00805545">
        <w:t>’</w:t>
      </w:r>
      <w:r>
        <w:t>s preference customers, due to climate trends or other drivers, would have to be met through generation sources other than federal hydropower.</w:t>
      </w:r>
    </w:p>
    <w:p w14:paraId="490F5C99" w14:textId="4A115AE6" w:rsidR="0040376D" w:rsidRDefault="0040376D" w:rsidP="005F6BB4">
      <w:pPr>
        <w:pStyle w:val="BodyText"/>
      </w:pPr>
      <w:r>
        <w:fldChar w:fldCharType="begin"/>
      </w:r>
      <w:r>
        <w:instrText xml:space="preserve"> REF _Ref72854435 \h </w:instrText>
      </w:r>
      <w:r>
        <w:fldChar w:fldCharType="separate"/>
      </w:r>
      <w:r w:rsidR="00EE0BF5" w:rsidRPr="004C5793">
        <w:rPr>
          <w:rFonts w:eastAsia="PMingLiU"/>
        </w:rPr>
        <w:t xml:space="preserve">Table </w:t>
      </w:r>
      <w:r w:rsidR="00EE0BF5">
        <w:rPr>
          <w:rFonts w:eastAsia="PMingLiU"/>
          <w:noProof/>
        </w:rPr>
        <w:t>6</w:t>
      </w:r>
      <w:r w:rsidR="00EE0BF5">
        <w:rPr>
          <w:rFonts w:eastAsia="PMingLiU"/>
        </w:rPr>
        <w:t>.</w:t>
      </w:r>
      <w:r w:rsidR="00EE0BF5">
        <w:rPr>
          <w:rFonts w:eastAsia="PMingLiU"/>
          <w:noProof/>
        </w:rPr>
        <w:t>3</w:t>
      </w:r>
      <w:r>
        <w:fldChar w:fldCharType="end"/>
      </w:r>
      <w:r>
        <w:t xml:space="preserve"> </w:t>
      </w:r>
      <w:r w:rsidR="00E320C0">
        <w:t>summarizes the elasticities of the preference customer sales with respect to degree days for the sample of 308 SEPA preference customers included in EIA Form 861. The full results of the regression equations are presented in the</w:t>
      </w:r>
      <w:r>
        <w:t xml:space="preserve"> </w:t>
      </w:r>
      <w:r w:rsidR="00DB5955">
        <w:rPr>
          <w:lang w:eastAsia="zh-TW"/>
        </w:rPr>
        <w:fldChar w:fldCharType="begin"/>
      </w:r>
      <w:r w:rsidR="00DB5955">
        <w:rPr>
          <w:lang w:eastAsia="zh-TW"/>
        </w:rPr>
        <w:instrText xml:space="preserve"> REF _Ref81737985 \n \h </w:instrText>
      </w:r>
      <w:r w:rsidR="00DB5955">
        <w:rPr>
          <w:lang w:eastAsia="zh-TW"/>
        </w:rPr>
      </w:r>
      <w:r w:rsidR="00DB5955">
        <w:rPr>
          <w:lang w:eastAsia="zh-TW"/>
        </w:rPr>
        <w:fldChar w:fldCharType="separate"/>
      </w:r>
      <w:r w:rsidR="00EE0BF5">
        <w:rPr>
          <w:lang w:eastAsia="zh-TW"/>
        </w:rPr>
        <w:t>APPENDIX H</w:t>
      </w:r>
      <w:r w:rsidR="00DB5955">
        <w:rPr>
          <w:lang w:eastAsia="zh-TW"/>
        </w:rPr>
        <w:fldChar w:fldCharType="end"/>
      </w:r>
      <w:r>
        <w:t>.</w:t>
      </w:r>
    </w:p>
    <w:p w14:paraId="63467786" w14:textId="77777777" w:rsidR="003E53AD" w:rsidRDefault="003E53AD" w:rsidP="003E53AD">
      <w:pPr>
        <w:pStyle w:val="BodyText"/>
      </w:pPr>
      <w:r>
        <w:t>Electricity sales by SEPA preference customers are positively related to both HDDs (i.e., number and intensity of cold days triggering heating demand) and CDDs (i.e., number and intensity of warm days triggering air conditioning use). The relationship is statistically significant. Depending on the subregion and meteorological observation, the estimated responsiveness of annual sales to a 1% increase in HDDs ranges from 0.08% to 0.15%. For CDDs, a 1% increase leads to estimated increases of 0.05%</w:t>
      </w:r>
      <w:r w:rsidRPr="47E6C8DF">
        <w:rPr>
          <w:rFonts w:cstheme="minorBidi"/>
        </w:rPr>
        <w:t>–</w:t>
      </w:r>
      <w:r>
        <w:t>0.11% in sales.</w:t>
      </w:r>
    </w:p>
    <w:p w14:paraId="67FE1DD0" w14:textId="656CB0FB" w:rsidR="003E53AD" w:rsidRDefault="003E53AD" w:rsidP="005F6BB4">
      <w:pPr>
        <w:pStyle w:val="BodyText"/>
      </w:pPr>
      <w:r>
        <w:t xml:space="preserve">The estimated elasticities with respect to degree days were combined with the projected changed in degree days derived from climate simulations to produce an estimate of the temperature-driven changes in demand for SEPA preference customers. </w:t>
      </w:r>
      <w:r>
        <w:fldChar w:fldCharType="begin"/>
      </w:r>
      <w:r>
        <w:instrText xml:space="preserve"> REF _Ref72857253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16</w:t>
      </w:r>
      <w:r>
        <w:fldChar w:fldCharType="end"/>
      </w:r>
      <w:r>
        <w:t xml:space="preserve"> and </w:t>
      </w:r>
      <w:r>
        <w:fldChar w:fldCharType="begin"/>
      </w:r>
      <w:r>
        <w:instrText xml:space="preserve"> REF _Ref72857266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17</w:t>
      </w:r>
      <w:r>
        <w:fldChar w:fldCharType="end"/>
      </w:r>
      <w:r>
        <w:t xml:space="preserve"> show the projected degree days </w:t>
      </w:r>
      <w:r>
        <w:lastRenderedPageBreak/>
        <w:t>from 24 simulations (the six CMIP-6 models described in Section 2.3 combined with two MetFs and two DSs), as well as the ensemble median projection.</w:t>
      </w:r>
    </w:p>
    <w:p w14:paraId="1085CCE2" w14:textId="076E922E" w:rsidR="00AA32DC" w:rsidRPr="00DE4A42" w:rsidRDefault="007977F1" w:rsidP="00C117DF">
      <w:pPr>
        <w:pStyle w:val="TableCaption"/>
        <w:rPr>
          <w:bCs/>
          <w:szCs w:val="20"/>
        </w:rPr>
      </w:pPr>
      <w:bookmarkStart w:id="552" w:name="_Ref72854435"/>
      <w:bookmarkStart w:id="553" w:name="_Toc113380987"/>
      <w:r w:rsidRPr="004C5793">
        <w:rPr>
          <w:rFonts w:eastAsia="PMingLiU"/>
        </w:rPr>
        <w:t xml:space="preserve">Table </w:t>
      </w:r>
      <w:r w:rsidRPr="004C5793">
        <w:rPr>
          <w:rFonts w:eastAsia="PMingLiU"/>
        </w:rPr>
        <w:fldChar w:fldCharType="begin"/>
      </w:r>
      <w:r w:rsidRPr="004C5793">
        <w:rPr>
          <w:rFonts w:eastAsia="PMingLiU"/>
        </w:rPr>
        <w:instrText xml:space="preserve"> STYLEREF 1 \s </w:instrText>
      </w:r>
      <w:r w:rsidRPr="004C5793">
        <w:rPr>
          <w:rFonts w:eastAsia="PMingLiU"/>
        </w:rPr>
        <w:fldChar w:fldCharType="separate"/>
      </w:r>
      <w:r w:rsidR="00EE0BF5">
        <w:rPr>
          <w:rFonts w:eastAsia="PMingLiU"/>
          <w:noProof/>
        </w:rPr>
        <w:t>6</w:t>
      </w:r>
      <w:r w:rsidRPr="004C5793">
        <w:rPr>
          <w:rFonts w:eastAsia="PMingLiU"/>
        </w:rPr>
        <w:fldChar w:fldCharType="end"/>
      </w:r>
      <w:r>
        <w:rPr>
          <w:rFonts w:eastAsia="PMingLiU"/>
        </w:rPr>
        <w:t>.</w:t>
      </w:r>
      <w:r w:rsidRPr="004C5793">
        <w:rPr>
          <w:rFonts w:eastAsia="PMingLiU"/>
        </w:rPr>
        <w:fldChar w:fldCharType="begin"/>
      </w:r>
      <w:r w:rsidRPr="004C5793">
        <w:rPr>
          <w:rFonts w:eastAsia="PMingLiU"/>
        </w:rPr>
        <w:instrText xml:space="preserve"> SEQ Table \* ARABIC \s 1 </w:instrText>
      </w:r>
      <w:r w:rsidRPr="004C5793">
        <w:rPr>
          <w:rFonts w:eastAsia="PMingLiU"/>
        </w:rPr>
        <w:fldChar w:fldCharType="separate"/>
      </w:r>
      <w:r w:rsidR="00EE0BF5">
        <w:rPr>
          <w:rFonts w:eastAsia="PMingLiU"/>
          <w:noProof/>
        </w:rPr>
        <w:t>3</w:t>
      </w:r>
      <w:r w:rsidRPr="004C5793">
        <w:rPr>
          <w:rFonts w:eastAsia="PMingLiU"/>
        </w:rPr>
        <w:fldChar w:fldCharType="end"/>
      </w:r>
      <w:bookmarkEnd w:id="552"/>
      <w:r w:rsidRPr="004C5793">
        <w:rPr>
          <w:rFonts w:eastAsia="PMingLiU"/>
        </w:rPr>
        <w:t xml:space="preserve">. </w:t>
      </w:r>
      <w:r w:rsidRPr="007977F1">
        <w:rPr>
          <w:rFonts w:eastAsia="PMingLiU"/>
          <w:lang w:eastAsia="zh-TW"/>
        </w:rPr>
        <w:t>Estimated responsiveness of electricity sales by SEPA preference customers to degree days</w:t>
      </w:r>
      <w:bookmarkEnd w:id="553"/>
    </w:p>
    <w:tbl>
      <w:tblPr>
        <w:tblStyle w:val="PlainTable2"/>
        <w:tblW w:w="0" w:type="auto"/>
        <w:jc w:val="center"/>
        <w:tblLayout w:type="fixed"/>
        <w:tblCellMar>
          <w:top w:w="29" w:type="dxa"/>
          <w:left w:w="58" w:type="dxa"/>
          <w:bottom w:w="29" w:type="dxa"/>
          <w:right w:w="58" w:type="dxa"/>
        </w:tblCellMar>
        <w:tblLook w:val="04A0" w:firstRow="1" w:lastRow="0" w:firstColumn="1" w:lastColumn="0" w:noHBand="0" w:noVBand="1"/>
      </w:tblPr>
      <w:tblGrid>
        <w:gridCol w:w="1854"/>
        <w:gridCol w:w="1394"/>
        <w:gridCol w:w="2564"/>
        <w:gridCol w:w="1774"/>
        <w:gridCol w:w="1774"/>
      </w:tblGrid>
      <w:tr w:rsidR="00AA32DC" w:rsidRPr="00FC5F84" w14:paraId="3FD7F6BA" w14:textId="77777777" w:rsidTr="005F6B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4" w:type="dxa"/>
            <w:tcBorders>
              <w:top w:val="single" w:sz="12" w:space="0" w:color="auto"/>
              <w:bottom w:val="single" w:sz="12" w:space="0" w:color="auto"/>
            </w:tcBorders>
            <w:vAlign w:val="center"/>
          </w:tcPr>
          <w:p w14:paraId="7811C15B" w14:textId="0CDC8CB2" w:rsidR="00AA32DC" w:rsidRPr="00FC5F84" w:rsidRDefault="00AA32DC" w:rsidP="00C117DF">
            <w:pPr>
              <w:keepNext/>
              <w:spacing w:before="0" w:after="0" w:line="240" w:lineRule="auto"/>
              <w:ind w:firstLine="0"/>
              <w:jc w:val="center"/>
              <w:rPr>
                <w:sz w:val="20"/>
                <w:szCs w:val="20"/>
              </w:rPr>
            </w:pPr>
            <w:r w:rsidRPr="00FC5F84">
              <w:rPr>
                <w:sz w:val="20"/>
                <w:szCs w:val="20"/>
              </w:rPr>
              <w:t xml:space="preserve">Marketing </w:t>
            </w:r>
            <w:r w:rsidR="001819C9">
              <w:rPr>
                <w:sz w:val="20"/>
                <w:szCs w:val="20"/>
              </w:rPr>
              <w:t>r</w:t>
            </w:r>
            <w:r w:rsidRPr="00FC5F84">
              <w:rPr>
                <w:sz w:val="20"/>
                <w:szCs w:val="20"/>
              </w:rPr>
              <w:t>egion</w:t>
            </w:r>
          </w:p>
        </w:tc>
        <w:tc>
          <w:tcPr>
            <w:tcW w:w="1394" w:type="dxa"/>
            <w:tcBorders>
              <w:top w:val="single" w:sz="12" w:space="0" w:color="auto"/>
              <w:bottom w:val="single" w:sz="12" w:space="0" w:color="auto"/>
            </w:tcBorders>
            <w:vAlign w:val="center"/>
          </w:tcPr>
          <w:p w14:paraId="5C33B64B" w14:textId="0FD6CA63" w:rsidR="00AA32DC" w:rsidRPr="00FC5F84" w:rsidRDefault="00C420F9" w:rsidP="00C117DF">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Meteorological</w:t>
            </w:r>
            <w:r w:rsidR="00F2634D">
              <w:rPr>
                <w:sz w:val="20"/>
                <w:szCs w:val="20"/>
              </w:rPr>
              <w:t xml:space="preserve"> observation</w:t>
            </w:r>
          </w:p>
        </w:tc>
        <w:tc>
          <w:tcPr>
            <w:tcW w:w="2564" w:type="dxa"/>
            <w:tcBorders>
              <w:top w:val="single" w:sz="12" w:space="0" w:color="auto"/>
              <w:bottom w:val="single" w:sz="12" w:space="0" w:color="auto"/>
            </w:tcBorders>
            <w:vAlign w:val="center"/>
          </w:tcPr>
          <w:p w14:paraId="46E54D5D" w14:textId="77777777" w:rsidR="00AA32DC" w:rsidRPr="00FC5F84" w:rsidRDefault="00AA32DC" w:rsidP="00C117DF">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Dependent variable</w:t>
            </w:r>
          </w:p>
        </w:tc>
        <w:tc>
          <w:tcPr>
            <w:tcW w:w="1774" w:type="dxa"/>
            <w:tcBorders>
              <w:top w:val="single" w:sz="12" w:space="0" w:color="auto"/>
              <w:bottom w:val="single" w:sz="12" w:space="0" w:color="auto"/>
            </w:tcBorders>
            <w:vAlign w:val="center"/>
          </w:tcPr>
          <w:p w14:paraId="65D5B4C3" w14:textId="77777777" w:rsidR="00AA32DC" w:rsidRPr="00FC5F84" w:rsidRDefault="00AA32DC" w:rsidP="00C117DF">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Elasticity with respect to HDDs</w:t>
            </w:r>
          </w:p>
        </w:tc>
        <w:tc>
          <w:tcPr>
            <w:tcW w:w="1774" w:type="dxa"/>
            <w:tcBorders>
              <w:top w:val="single" w:sz="12" w:space="0" w:color="auto"/>
              <w:bottom w:val="single" w:sz="12" w:space="0" w:color="auto"/>
            </w:tcBorders>
            <w:vAlign w:val="center"/>
          </w:tcPr>
          <w:p w14:paraId="52847DB9" w14:textId="77777777" w:rsidR="00AA32DC" w:rsidRPr="00FC5F84" w:rsidRDefault="00AA32DC" w:rsidP="00C117DF">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C5F84">
              <w:rPr>
                <w:sz w:val="20"/>
                <w:szCs w:val="20"/>
              </w:rPr>
              <w:t>Elasticity with respect to CDDs</w:t>
            </w:r>
          </w:p>
        </w:tc>
      </w:tr>
      <w:tr w:rsidR="00B54F6A" w:rsidRPr="00FC5F84" w14:paraId="267F2BF1" w14:textId="77777777" w:rsidTr="005F6B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7437F342" w14:textId="1C9FA12F" w:rsidR="00B54F6A" w:rsidRPr="001819C9" w:rsidRDefault="00B54F6A" w:rsidP="00C117DF">
            <w:pPr>
              <w:keepNext/>
              <w:spacing w:before="0" w:after="0" w:line="240" w:lineRule="auto"/>
              <w:ind w:firstLine="0"/>
              <w:rPr>
                <w:b w:val="0"/>
                <w:bCs w:val="0"/>
                <w:sz w:val="20"/>
                <w:szCs w:val="20"/>
              </w:rPr>
            </w:pPr>
            <w:r w:rsidRPr="001819C9">
              <w:rPr>
                <w:b w:val="0"/>
                <w:bCs w:val="0"/>
                <w:sz w:val="20"/>
                <w:szCs w:val="20"/>
              </w:rPr>
              <w:t>SEPA-Kerr</w:t>
            </w:r>
            <w:r>
              <w:rPr>
                <w:b w:val="0"/>
                <w:bCs w:val="0"/>
                <w:sz w:val="20"/>
                <w:szCs w:val="20"/>
              </w:rPr>
              <w:t>-</w:t>
            </w:r>
            <w:r w:rsidRPr="001819C9">
              <w:rPr>
                <w:b w:val="0"/>
                <w:bCs w:val="0"/>
                <w:sz w:val="20"/>
                <w:szCs w:val="20"/>
              </w:rPr>
              <w:t>Philpott</w:t>
            </w:r>
          </w:p>
        </w:tc>
        <w:tc>
          <w:tcPr>
            <w:tcW w:w="1394" w:type="dxa"/>
            <w:vAlign w:val="center"/>
          </w:tcPr>
          <w:p w14:paraId="217C0F3C" w14:textId="77777777"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Daymet</w:t>
            </w:r>
          </w:p>
        </w:tc>
        <w:tc>
          <w:tcPr>
            <w:tcW w:w="2564" w:type="dxa"/>
            <w:vAlign w:val="center"/>
          </w:tcPr>
          <w:p w14:paraId="2F6125C6" w14:textId="6EA1DF55"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FC5F84">
              <w:rPr>
                <w:sz w:val="20"/>
                <w:szCs w:val="20"/>
              </w:rPr>
              <w:t>lectricity sales</w:t>
            </w:r>
          </w:p>
        </w:tc>
        <w:tc>
          <w:tcPr>
            <w:tcW w:w="1774" w:type="dxa"/>
            <w:vAlign w:val="center"/>
          </w:tcPr>
          <w:p w14:paraId="3CF2E084"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b/>
                <w:bCs/>
                <w:sz w:val="20"/>
                <w:szCs w:val="20"/>
              </w:rPr>
              <w:t>0.1526</w:t>
            </w:r>
          </w:p>
          <w:p w14:paraId="4C9BFBA6"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sz w:val="20"/>
                <w:szCs w:val="20"/>
              </w:rPr>
              <w:t>(0.0173)</w:t>
            </w:r>
          </w:p>
        </w:tc>
        <w:tc>
          <w:tcPr>
            <w:tcW w:w="1774" w:type="dxa"/>
            <w:vAlign w:val="center"/>
          </w:tcPr>
          <w:p w14:paraId="1711E507"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b/>
                <w:bCs/>
                <w:sz w:val="20"/>
                <w:szCs w:val="20"/>
              </w:rPr>
              <w:t>0.0464</w:t>
            </w:r>
          </w:p>
          <w:p w14:paraId="248BE93A"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sz w:val="20"/>
                <w:szCs w:val="20"/>
              </w:rPr>
              <w:t>(0.0168)</w:t>
            </w:r>
          </w:p>
        </w:tc>
      </w:tr>
      <w:tr w:rsidR="00B54F6A" w:rsidRPr="00FC5F84" w14:paraId="4EDAC20B" w14:textId="77777777" w:rsidTr="005F6BB4">
        <w:trPr>
          <w:jc w:val="center"/>
        </w:trPr>
        <w:tc>
          <w:tcPr>
            <w:cnfStyle w:val="001000000000" w:firstRow="0" w:lastRow="0" w:firstColumn="1" w:lastColumn="0" w:oddVBand="0" w:evenVBand="0" w:oddHBand="0" w:evenHBand="0" w:firstRowFirstColumn="0" w:firstRowLastColumn="0" w:lastRowFirstColumn="0" w:lastRowLastColumn="0"/>
            <w:tcW w:w="1854" w:type="dxa"/>
            <w:tcBorders>
              <w:top w:val="single" w:sz="4" w:space="0" w:color="7F7F7F" w:themeColor="text1" w:themeTint="80"/>
              <w:bottom w:val="single" w:sz="4" w:space="0" w:color="7F7F7F" w:themeColor="text1" w:themeTint="80"/>
            </w:tcBorders>
            <w:vAlign w:val="center"/>
          </w:tcPr>
          <w:p w14:paraId="77C5762B" w14:textId="32F75660" w:rsidR="00B54F6A" w:rsidRPr="001819C9" w:rsidRDefault="00B54F6A" w:rsidP="00C117DF">
            <w:pPr>
              <w:keepNext/>
              <w:spacing w:before="0" w:after="0" w:line="240" w:lineRule="auto"/>
              <w:ind w:firstLine="0"/>
              <w:rPr>
                <w:b w:val="0"/>
                <w:bCs w:val="0"/>
                <w:sz w:val="20"/>
                <w:szCs w:val="20"/>
              </w:rPr>
            </w:pPr>
            <w:r w:rsidRPr="001819C9">
              <w:rPr>
                <w:b w:val="0"/>
                <w:bCs w:val="0"/>
                <w:sz w:val="20"/>
                <w:szCs w:val="20"/>
              </w:rPr>
              <w:t>SEPA-Kerr</w:t>
            </w:r>
            <w:r>
              <w:rPr>
                <w:b w:val="0"/>
                <w:bCs w:val="0"/>
                <w:sz w:val="20"/>
                <w:szCs w:val="20"/>
              </w:rPr>
              <w:t>-</w:t>
            </w:r>
            <w:r w:rsidRPr="001819C9">
              <w:rPr>
                <w:b w:val="0"/>
                <w:bCs w:val="0"/>
                <w:sz w:val="20"/>
                <w:szCs w:val="20"/>
              </w:rPr>
              <w:t>Philpott</w:t>
            </w:r>
          </w:p>
        </w:tc>
        <w:tc>
          <w:tcPr>
            <w:tcW w:w="1394" w:type="dxa"/>
            <w:tcBorders>
              <w:top w:val="single" w:sz="4" w:space="0" w:color="7F7F7F" w:themeColor="text1" w:themeTint="80"/>
              <w:bottom w:val="single" w:sz="4" w:space="0" w:color="7F7F7F" w:themeColor="text1" w:themeTint="80"/>
            </w:tcBorders>
            <w:vAlign w:val="center"/>
          </w:tcPr>
          <w:p w14:paraId="6D53439C" w14:textId="77777777" w:rsidR="00B54F6A" w:rsidRPr="00FC5F84" w:rsidRDefault="00B54F6A" w:rsidP="00C117DF">
            <w:pPr>
              <w:keepNext/>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Livneh</w:t>
            </w:r>
          </w:p>
        </w:tc>
        <w:tc>
          <w:tcPr>
            <w:tcW w:w="2564" w:type="dxa"/>
            <w:tcBorders>
              <w:top w:val="single" w:sz="4" w:space="0" w:color="7F7F7F" w:themeColor="text1" w:themeTint="80"/>
              <w:bottom w:val="single" w:sz="4" w:space="0" w:color="7F7F7F" w:themeColor="text1" w:themeTint="80"/>
            </w:tcBorders>
            <w:vAlign w:val="center"/>
          </w:tcPr>
          <w:p w14:paraId="2E559868" w14:textId="01DCFDDD" w:rsidR="00B54F6A" w:rsidRPr="00FC5F84" w:rsidRDefault="00B54F6A" w:rsidP="00C117DF">
            <w:pPr>
              <w:keepNext/>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FC5F84">
              <w:rPr>
                <w:sz w:val="20"/>
                <w:szCs w:val="20"/>
              </w:rPr>
              <w:t>lectricity sales</w:t>
            </w:r>
          </w:p>
        </w:tc>
        <w:tc>
          <w:tcPr>
            <w:tcW w:w="1774" w:type="dxa"/>
            <w:tcBorders>
              <w:top w:val="single" w:sz="4" w:space="0" w:color="7F7F7F" w:themeColor="text1" w:themeTint="80"/>
              <w:bottom w:val="single" w:sz="4" w:space="0" w:color="7F7F7F" w:themeColor="text1" w:themeTint="80"/>
            </w:tcBorders>
            <w:vAlign w:val="center"/>
          </w:tcPr>
          <w:p w14:paraId="24C49471" w14:textId="77777777" w:rsidR="00B54F6A" w:rsidRPr="00FC5F84" w:rsidRDefault="00B54F6A" w:rsidP="00C117DF">
            <w:pPr>
              <w:keepNext/>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b/>
                <w:bCs/>
                <w:sz w:val="20"/>
                <w:szCs w:val="20"/>
              </w:rPr>
              <w:t>0.1403</w:t>
            </w:r>
          </w:p>
          <w:p w14:paraId="247F718B" w14:textId="77777777" w:rsidR="00B54F6A" w:rsidRPr="00FC5F84" w:rsidRDefault="00B54F6A" w:rsidP="00C117DF">
            <w:pPr>
              <w:keepNext/>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sz w:val="20"/>
                <w:szCs w:val="20"/>
              </w:rPr>
              <w:t>(0.0174)</w:t>
            </w:r>
          </w:p>
        </w:tc>
        <w:tc>
          <w:tcPr>
            <w:tcW w:w="1774" w:type="dxa"/>
            <w:tcBorders>
              <w:top w:val="single" w:sz="4" w:space="0" w:color="7F7F7F" w:themeColor="text1" w:themeTint="80"/>
              <w:bottom w:val="single" w:sz="4" w:space="0" w:color="7F7F7F" w:themeColor="text1" w:themeTint="80"/>
            </w:tcBorders>
            <w:vAlign w:val="center"/>
          </w:tcPr>
          <w:p w14:paraId="4833A7B4" w14:textId="77777777" w:rsidR="00B54F6A" w:rsidRPr="00FC5F84" w:rsidRDefault="00B54F6A" w:rsidP="00C117DF">
            <w:pPr>
              <w:keepNext/>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b/>
                <w:bCs/>
                <w:sz w:val="20"/>
                <w:szCs w:val="20"/>
              </w:rPr>
              <w:t>0.0605</w:t>
            </w:r>
          </w:p>
          <w:p w14:paraId="00B585CD" w14:textId="77777777" w:rsidR="00B54F6A" w:rsidRPr="00FC5F84" w:rsidRDefault="00B54F6A" w:rsidP="00C117DF">
            <w:pPr>
              <w:keepNext/>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sz w:val="20"/>
                <w:szCs w:val="20"/>
              </w:rPr>
              <w:t>(0.0179)</w:t>
            </w:r>
          </w:p>
        </w:tc>
      </w:tr>
      <w:tr w:rsidR="00B54F6A" w:rsidRPr="00FC5F84" w14:paraId="193B4FBE" w14:textId="77777777" w:rsidTr="005F6B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4F521D40" w14:textId="77777777" w:rsidR="00B54F6A" w:rsidRPr="001819C9" w:rsidRDefault="00B54F6A" w:rsidP="00C117DF">
            <w:pPr>
              <w:keepNext/>
              <w:spacing w:before="0" w:after="0" w:line="240" w:lineRule="auto"/>
              <w:ind w:firstLine="0"/>
              <w:rPr>
                <w:b w:val="0"/>
                <w:bCs w:val="0"/>
                <w:sz w:val="20"/>
                <w:szCs w:val="20"/>
              </w:rPr>
            </w:pPr>
            <w:r w:rsidRPr="001819C9">
              <w:rPr>
                <w:b w:val="0"/>
                <w:bCs w:val="0"/>
                <w:sz w:val="20"/>
                <w:szCs w:val="20"/>
              </w:rPr>
              <w:t>SEPA-Cumberland</w:t>
            </w:r>
          </w:p>
        </w:tc>
        <w:tc>
          <w:tcPr>
            <w:tcW w:w="1394" w:type="dxa"/>
            <w:vAlign w:val="center"/>
          </w:tcPr>
          <w:p w14:paraId="1C390F12" w14:textId="77777777"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Daymet</w:t>
            </w:r>
          </w:p>
        </w:tc>
        <w:tc>
          <w:tcPr>
            <w:tcW w:w="2564" w:type="dxa"/>
            <w:vAlign w:val="center"/>
          </w:tcPr>
          <w:p w14:paraId="5403F1D1" w14:textId="29992B93"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w:t>
            </w:r>
            <w:r w:rsidRPr="00FC5F84">
              <w:rPr>
                <w:sz w:val="20"/>
                <w:szCs w:val="20"/>
              </w:rPr>
              <w:t>lectricity sales</w:t>
            </w:r>
          </w:p>
        </w:tc>
        <w:tc>
          <w:tcPr>
            <w:tcW w:w="1774" w:type="dxa"/>
            <w:vAlign w:val="center"/>
          </w:tcPr>
          <w:p w14:paraId="3660B552"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b/>
                <w:bCs/>
                <w:sz w:val="20"/>
                <w:szCs w:val="20"/>
              </w:rPr>
              <w:t>0.0825</w:t>
            </w:r>
          </w:p>
          <w:p w14:paraId="3718CED3"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(0.007)</w:t>
            </w:r>
          </w:p>
        </w:tc>
        <w:tc>
          <w:tcPr>
            <w:tcW w:w="1774" w:type="dxa"/>
            <w:vAlign w:val="center"/>
          </w:tcPr>
          <w:p w14:paraId="4DC34BCB"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FC5F84">
              <w:rPr>
                <w:b/>
                <w:bCs/>
                <w:sz w:val="20"/>
                <w:szCs w:val="20"/>
              </w:rPr>
              <w:t>0.0781</w:t>
            </w:r>
          </w:p>
          <w:p w14:paraId="583F8E1A"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FC5F84">
              <w:rPr>
                <w:sz w:val="20"/>
                <w:szCs w:val="20"/>
              </w:rPr>
              <w:t>(0.0085)</w:t>
            </w:r>
          </w:p>
        </w:tc>
      </w:tr>
      <w:tr w:rsidR="00B54F6A" w:rsidRPr="00FC5F84" w14:paraId="5223E27F" w14:textId="77777777" w:rsidTr="005F6BB4">
        <w:trPr>
          <w:jc w:val="center"/>
        </w:trPr>
        <w:tc>
          <w:tcPr>
            <w:cnfStyle w:val="001000000000" w:firstRow="0" w:lastRow="0" w:firstColumn="1" w:lastColumn="0" w:oddVBand="0" w:evenVBand="0" w:oddHBand="0" w:evenHBand="0" w:firstRowFirstColumn="0" w:firstRowLastColumn="0" w:lastRowFirstColumn="0" w:lastRowLastColumn="0"/>
            <w:tcW w:w="1854" w:type="dxa"/>
            <w:tcBorders>
              <w:top w:val="single" w:sz="4" w:space="0" w:color="7F7F7F" w:themeColor="text1" w:themeTint="80"/>
              <w:bottom w:val="single" w:sz="4" w:space="0" w:color="7F7F7F" w:themeColor="text1" w:themeTint="80"/>
            </w:tcBorders>
            <w:vAlign w:val="center"/>
          </w:tcPr>
          <w:p w14:paraId="136EECC4" w14:textId="77777777" w:rsidR="00B54F6A" w:rsidRPr="001819C9" w:rsidRDefault="00B54F6A" w:rsidP="00C117DF">
            <w:pPr>
              <w:keepNext/>
              <w:spacing w:before="0" w:after="0" w:line="240" w:lineRule="auto"/>
              <w:ind w:firstLine="0"/>
              <w:rPr>
                <w:b w:val="0"/>
                <w:bCs w:val="0"/>
                <w:sz w:val="20"/>
                <w:szCs w:val="20"/>
              </w:rPr>
            </w:pPr>
            <w:r w:rsidRPr="001819C9">
              <w:rPr>
                <w:b w:val="0"/>
                <w:bCs w:val="0"/>
                <w:sz w:val="20"/>
                <w:szCs w:val="20"/>
              </w:rPr>
              <w:t>SEPA-Cumberland</w:t>
            </w:r>
          </w:p>
        </w:tc>
        <w:tc>
          <w:tcPr>
            <w:tcW w:w="1394" w:type="dxa"/>
            <w:tcBorders>
              <w:top w:val="single" w:sz="4" w:space="0" w:color="7F7F7F" w:themeColor="text1" w:themeTint="80"/>
              <w:bottom w:val="single" w:sz="4" w:space="0" w:color="7F7F7F" w:themeColor="text1" w:themeTint="80"/>
            </w:tcBorders>
            <w:vAlign w:val="center"/>
          </w:tcPr>
          <w:p w14:paraId="217DCC49" w14:textId="77777777" w:rsidR="00B54F6A" w:rsidRPr="00FC5F84" w:rsidRDefault="00B54F6A" w:rsidP="00C117DF">
            <w:pPr>
              <w:keepNext/>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Livneh</w:t>
            </w:r>
          </w:p>
        </w:tc>
        <w:tc>
          <w:tcPr>
            <w:tcW w:w="2564" w:type="dxa"/>
            <w:tcBorders>
              <w:top w:val="single" w:sz="4" w:space="0" w:color="7F7F7F" w:themeColor="text1" w:themeTint="80"/>
              <w:bottom w:val="single" w:sz="4" w:space="0" w:color="7F7F7F" w:themeColor="text1" w:themeTint="80"/>
            </w:tcBorders>
            <w:vAlign w:val="center"/>
          </w:tcPr>
          <w:p w14:paraId="7212BF05" w14:textId="7460BC44" w:rsidR="00B54F6A" w:rsidRPr="00FC5F84" w:rsidRDefault="00B54F6A" w:rsidP="00C117DF">
            <w:pPr>
              <w:keepNext/>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w:t>
            </w:r>
            <w:r w:rsidRPr="00FC5F84">
              <w:rPr>
                <w:sz w:val="20"/>
                <w:szCs w:val="20"/>
              </w:rPr>
              <w:t>lectricity sales</w:t>
            </w:r>
          </w:p>
        </w:tc>
        <w:tc>
          <w:tcPr>
            <w:tcW w:w="1774" w:type="dxa"/>
            <w:tcBorders>
              <w:top w:val="single" w:sz="4" w:space="0" w:color="7F7F7F" w:themeColor="text1" w:themeTint="80"/>
              <w:bottom w:val="single" w:sz="4" w:space="0" w:color="7F7F7F" w:themeColor="text1" w:themeTint="80"/>
            </w:tcBorders>
            <w:vAlign w:val="center"/>
          </w:tcPr>
          <w:p w14:paraId="54370CFD" w14:textId="77777777" w:rsidR="00B54F6A" w:rsidRPr="00FC5F84" w:rsidRDefault="00B54F6A" w:rsidP="00C117DF">
            <w:pPr>
              <w:keepNext/>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b/>
                <w:bCs/>
                <w:sz w:val="20"/>
                <w:szCs w:val="20"/>
              </w:rPr>
              <w:t>0.0837</w:t>
            </w:r>
          </w:p>
          <w:p w14:paraId="5EFA2E95" w14:textId="77777777" w:rsidR="00B54F6A" w:rsidRPr="00FC5F84" w:rsidRDefault="00B54F6A" w:rsidP="00C117DF">
            <w:pPr>
              <w:keepNext/>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(0.0074)</w:t>
            </w:r>
          </w:p>
        </w:tc>
        <w:tc>
          <w:tcPr>
            <w:tcW w:w="1774" w:type="dxa"/>
            <w:tcBorders>
              <w:top w:val="single" w:sz="4" w:space="0" w:color="7F7F7F" w:themeColor="text1" w:themeTint="80"/>
              <w:bottom w:val="single" w:sz="4" w:space="0" w:color="7F7F7F" w:themeColor="text1" w:themeTint="80"/>
            </w:tcBorders>
            <w:vAlign w:val="center"/>
          </w:tcPr>
          <w:p w14:paraId="3EDA00D1" w14:textId="77777777" w:rsidR="00B54F6A" w:rsidRPr="00FC5F84" w:rsidRDefault="00B54F6A" w:rsidP="00C117DF">
            <w:pPr>
              <w:keepNext/>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FC5F84">
              <w:rPr>
                <w:b/>
                <w:bCs/>
                <w:sz w:val="20"/>
                <w:szCs w:val="20"/>
              </w:rPr>
              <w:t>0.0802</w:t>
            </w:r>
          </w:p>
          <w:p w14:paraId="4C5E20FA" w14:textId="77777777" w:rsidR="00B54F6A" w:rsidRPr="00FC5F84" w:rsidRDefault="00B54F6A" w:rsidP="00C117DF">
            <w:pPr>
              <w:keepNext/>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FC5F84">
              <w:rPr>
                <w:sz w:val="20"/>
                <w:szCs w:val="20"/>
              </w:rPr>
              <w:t>(0.0083)</w:t>
            </w:r>
          </w:p>
        </w:tc>
      </w:tr>
      <w:tr w:rsidR="00B54F6A" w:rsidRPr="00FC5F84" w14:paraId="3B498B0E" w14:textId="77777777" w:rsidTr="005F6B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4" w:type="dxa"/>
            <w:vAlign w:val="center"/>
          </w:tcPr>
          <w:p w14:paraId="61765F62" w14:textId="25AC566E" w:rsidR="00B54F6A" w:rsidRPr="001819C9" w:rsidRDefault="00B54F6A" w:rsidP="00C117DF">
            <w:pPr>
              <w:keepNext/>
              <w:spacing w:before="0" w:after="0" w:line="240" w:lineRule="auto"/>
              <w:ind w:firstLine="0"/>
              <w:rPr>
                <w:b w:val="0"/>
                <w:bCs w:val="0"/>
                <w:sz w:val="20"/>
                <w:szCs w:val="20"/>
                <w:lang w:val="es-ES"/>
              </w:rPr>
            </w:pPr>
            <w:r w:rsidRPr="001819C9">
              <w:rPr>
                <w:b w:val="0"/>
                <w:bCs w:val="0"/>
                <w:sz w:val="20"/>
                <w:szCs w:val="20"/>
                <w:lang w:val="es-ES"/>
              </w:rPr>
              <w:t>SEPA-GA</w:t>
            </w:r>
            <w:r>
              <w:rPr>
                <w:b w:val="0"/>
                <w:bCs w:val="0"/>
                <w:sz w:val="20"/>
                <w:szCs w:val="20"/>
                <w:lang w:val="es-ES"/>
              </w:rPr>
              <w:t>/</w:t>
            </w:r>
            <w:r w:rsidRPr="001819C9">
              <w:rPr>
                <w:b w:val="0"/>
                <w:bCs w:val="0"/>
                <w:sz w:val="20"/>
                <w:szCs w:val="20"/>
                <w:lang w:val="es-ES"/>
              </w:rPr>
              <w:t>AL</w:t>
            </w:r>
            <w:r>
              <w:rPr>
                <w:b w:val="0"/>
                <w:bCs w:val="0"/>
                <w:sz w:val="20"/>
                <w:szCs w:val="20"/>
                <w:lang w:val="es-ES"/>
              </w:rPr>
              <w:t>/</w:t>
            </w:r>
            <w:r w:rsidRPr="001819C9">
              <w:rPr>
                <w:b w:val="0"/>
                <w:bCs w:val="0"/>
                <w:sz w:val="20"/>
                <w:szCs w:val="20"/>
                <w:lang w:val="es-ES"/>
              </w:rPr>
              <w:t>SC/JW</w:t>
            </w:r>
          </w:p>
        </w:tc>
        <w:tc>
          <w:tcPr>
            <w:tcW w:w="1394" w:type="dxa"/>
            <w:vAlign w:val="center"/>
          </w:tcPr>
          <w:p w14:paraId="15362971" w14:textId="77777777"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sidRPr="00FC5F84">
              <w:rPr>
                <w:sz w:val="20"/>
                <w:szCs w:val="20"/>
              </w:rPr>
              <w:t>Daymet</w:t>
            </w:r>
          </w:p>
        </w:tc>
        <w:tc>
          <w:tcPr>
            <w:tcW w:w="2564" w:type="dxa"/>
            <w:vAlign w:val="center"/>
          </w:tcPr>
          <w:p w14:paraId="59E08AAC" w14:textId="705F3A57" w:rsidR="00B54F6A" w:rsidRPr="00FC5F84" w:rsidRDefault="00B54F6A" w:rsidP="00C117DF">
            <w:pPr>
              <w:keepNext/>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Pr>
                <w:sz w:val="20"/>
                <w:szCs w:val="20"/>
              </w:rPr>
              <w:t>E</w:t>
            </w:r>
            <w:r w:rsidRPr="00FC5F84">
              <w:rPr>
                <w:sz w:val="20"/>
                <w:szCs w:val="20"/>
              </w:rPr>
              <w:t>lectricity sales</w:t>
            </w:r>
          </w:p>
        </w:tc>
        <w:tc>
          <w:tcPr>
            <w:tcW w:w="1774" w:type="dxa"/>
            <w:vAlign w:val="center"/>
          </w:tcPr>
          <w:p w14:paraId="1634D249"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FC5F84">
              <w:rPr>
                <w:b/>
                <w:bCs/>
                <w:sz w:val="20"/>
                <w:szCs w:val="20"/>
                <w:lang w:val="es-ES"/>
              </w:rPr>
              <w:t>0.1003</w:t>
            </w:r>
          </w:p>
          <w:p w14:paraId="03740048" w14:textId="77777777" w:rsidR="00B54F6A" w:rsidRPr="00FC5F84" w:rsidRDefault="00B54F6A" w:rsidP="00C117DF">
            <w:pPr>
              <w:keepNext/>
              <w:tabs>
                <w:tab w:val="decimal" w:pos="6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sidRPr="00FC5F84">
              <w:rPr>
                <w:sz w:val="20"/>
                <w:szCs w:val="20"/>
                <w:lang w:val="es-ES"/>
              </w:rPr>
              <w:t>(0.0085)</w:t>
            </w:r>
          </w:p>
        </w:tc>
        <w:tc>
          <w:tcPr>
            <w:tcW w:w="1774" w:type="dxa"/>
            <w:vAlign w:val="center"/>
          </w:tcPr>
          <w:p w14:paraId="143B81C2"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b/>
                <w:bCs/>
                <w:sz w:val="20"/>
                <w:szCs w:val="20"/>
                <w:lang w:val="es-ES"/>
              </w:rPr>
            </w:pPr>
            <w:r w:rsidRPr="00FC5F84">
              <w:rPr>
                <w:b/>
                <w:bCs/>
                <w:sz w:val="20"/>
                <w:szCs w:val="20"/>
                <w:lang w:val="es-ES"/>
              </w:rPr>
              <w:t>0.0873</w:t>
            </w:r>
          </w:p>
          <w:p w14:paraId="49ED9A69" w14:textId="77777777" w:rsidR="00B54F6A" w:rsidRPr="00FC5F84" w:rsidRDefault="00B54F6A" w:rsidP="00C117DF">
            <w:pPr>
              <w:keepNext/>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sidRPr="00FC5F84">
              <w:rPr>
                <w:sz w:val="20"/>
                <w:szCs w:val="20"/>
                <w:lang w:val="es-ES"/>
              </w:rPr>
              <w:t>(0.0188)</w:t>
            </w:r>
          </w:p>
        </w:tc>
      </w:tr>
      <w:tr w:rsidR="00B54F6A" w:rsidRPr="00FC5F84" w14:paraId="7382B79E" w14:textId="77777777" w:rsidTr="005F6BB4">
        <w:trPr>
          <w:jc w:val="center"/>
        </w:trPr>
        <w:tc>
          <w:tcPr>
            <w:cnfStyle w:val="001000000000" w:firstRow="0" w:lastRow="0" w:firstColumn="1" w:lastColumn="0" w:oddVBand="0" w:evenVBand="0" w:oddHBand="0" w:evenHBand="0" w:firstRowFirstColumn="0" w:firstRowLastColumn="0" w:lastRowFirstColumn="0" w:lastRowLastColumn="0"/>
            <w:tcW w:w="1854" w:type="dxa"/>
            <w:tcBorders>
              <w:top w:val="single" w:sz="4" w:space="0" w:color="7F7F7F" w:themeColor="text1" w:themeTint="80"/>
              <w:bottom w:val="single" w:sz="12" w:space="0" w:color="auto"/>
            </w:tcBorders>
            <w:vAlign w:val="center"/>
          </w:tcPr>
          <w:p w14:paraId="0F687AEB" w14:textId="46A6EF05" w:rsidR="00B54F6A" w:rsidRPr="001819C9" w:rsidRDefault="00B54F6A" w:rsidP="005F6BB4">
            <w:pPr>
              <w:spacing w:before="0" w:after="0" w:line="240" w:lineRule="auto"/>
              <w:ind w:firstLine="0"/>
              <w:rPr>
                <w:b w:val="0"/>
                <w:bCs w:val="0"/>
                <w:sz w:val="20"/>
                <w:szCs w:val="20"/>
                <w:lang w:val="es-ES"/>
              </w:rPr>
            </w:pPr>
            <w:r w:rsidRPr="001819C9">
              <w:rPr>
                <w:b w:val="0"/>
                <w:bCs w:val="0"/>
                <w:sz w:val="20"/>
                <w:szCs w:val="20"/>
                <w:lang w:val="es-ES"/>
              </w:rPr>
              <w:t>SEPA-GA</w:t>
            </w:r>
            <w:r>
              <w:rPr>
                <w:b w:val="0"/>
                <w:bCs w:val="0"/>
                <w:sz w:val="20"/>
                <w:szCs w:val="20"/>
                <w:lang w:val="es-ES"/>
              </w:rPr>
              <w:t>/</w:t>
            </w:r>
            <w:r w:rsidRPr="001819C9">
              <w:rPr>
                <w:b w:val="0"/>
                <w:bCs w:val="0"/>
                <w:sz w:val="20"/>
                <w:szCs w:val="20"/>
                <w:lang w:val="es-ES"/>
              </w:rPr>
              <w:t>AL</w:t>
            </w:r>
            <w:r>
              <w:rPr>
                <w:b w:val="0"/>
                <w:bCs w:val="0"/>
                <w:sz w:val="20"/>
                <w:szCs w:val="20"/>
                <w:lang w:val="es-ES"/>
              </w:rPr>
              <w:t>/</w:t>
            </w:r>
            <w:r w:rsidRPr="001819C9">
              <w:rPr>
                <w:b w:val="0"/>
                <w:bCs w:val="0"/>
                <w:sz w:val="20"/>
                <w:szCs w:val="20"/>
                <w:lang w:val="es-ES"/>
              </w:rPr>
              <w:t>SC/JW</w:t>
            </w:r>
          </w:p>
        </w:tc>
        <w:tc>
          <w:tcPr>
            <w:tcW w:w="1394" w:type="dxa"/>
            <w:tcBorders>
              <w:top w:val="single" w:sz="4" w:space="0" w:color="7F7F7F" w:themeColor="text1" w:themeTint="80"/>
              <w:bottom w:val="single" w:sz="12" w:space="0" w:color="auto"/>
            </w:tcBorders>
            <w:vAlign w:val="center"/>
          </w:tcPr>
          <w:p w14:paraId="36405340" w14:textId="77777777" w:rsidR="00B54F6A" w:rsidRPr="00FC5F84" w:rsidRDefault="00B54F6A" w:rsidP="005F6BB4">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lang w:val="es-ES"/>
              </w:rPr>
            </w:pPr>
            <w:r w:rsidRPr="00FC5F84">
              <w:rPr>
                <w:sz w:val="20"/>
                <w:szCs w:val="20"/>
              </w:rPr>
              <w:t>Livneh</w:t>
            </w:r>
          </w:p>
        </w:tc>
        <w:tc>
          <w:tcPr>
            <w:tcW w:w="2564" w:type="dxa"/>
            <w:tcBorders>
              <w:top w:val="single" w:sz="4" w:space="0" w:color="7F7F7F" w:themeColor="text1" w:themeTint="80"/>
              <w:bottom w:val="single" w:sz="12" w:space="0" w:color="auto"/>
            </w:tcBorders>
            <w:vAlign w:val="center"/>
          </w:tcPr>
          <w:p w14:paraId="5CC69BD6" w14:textId="1BE7700E" w:rsidR="00B54F6A" w:rsidRPr="00FC5F84" w:rsidRDefault="00B54F6A" w:rsidP="005F6BB4">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lang w:val="es-ES"/>
              </w:rPr>
            </w:pPr>
            <w:r>
              <w:rPr>
                <w:sz w:val="20"/>
                <w:szCs w:val="20"/>
              </w:rPr>
              <w:t>E</w:t>
            </w:r>
            <w:r w:rsidRPr="00FC5F84">
              <w:rPr>
                <w:sz w:val="20"/>
                <w:szCs w:val="20"/>
              </w:rPr>
              <w:t>lectricity sales</w:t>
            </w:r>
          </w:p>
        </w:tc>
        <w:tc>
          <w:tcPr>
            <w:tcW w:w="1774" w:type="dxa"/>
            <w:tcBorders>
              <w:top w:val="single" w:sz="4" w:space="0" w:color="7F7F7F" w:themeColor="text1" w:themeTint="80"/>
              <w:bottom w:val="single" w:sz="12" w:space="0" w:color="auto"/>
            </w:tcBorders>
            <w:vAlign w:val="center"/>
          </w:tcPr>
          <w:p w14:paraId="4A553590" w14:textId="77777777" w:rsidR="00B54F6A" w:rsidRPr="00FC5F84" w:rsidRDefault="00B54F6A" w:rsidP="00C117DF">
            <w:pPr>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lang w:val="es-ES"/>
              </w:rPr>
            </w:pPr>
            <w:r w:rsidRPr="00FC5F84">
              <w:rPr>
                <w:b/>
                <w:bCs/>
                <w:sz w:val="20"/>
                <w:szCs w:val="20"/>
                <w:lang w:val="es-ES"/>
              </w:rPr>
              <w:t>0.0935</w:t>
            </w:r>
          </w:p>
          <w:p w14:paraId="41F4A077" w14:textId="77777777" w:rsidR="00B54F6A" w:rsidRPr="00FC5F84" w:rsidRDefault="00B54F6A" w:rsidP="00C117DF">
            <w:pPr>
              <w:tabs>
                <w:tab w:val="decimal" w:pos="6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lang w:val="es-ES"/>
              </w:rPr>
            </w:pPr>
            <w:r w:rsidRPr="00FC5F84">
              <w:rPr>
                <w:sz w:val="20"/>
                <w:szCs w:val="20"/>
                <w:lang w:val="es-ES"/>
              </w:rPr>
              <w:t>(0.0094)</w:t>
            </w:r>
          </w:p>
        </w:tc>
        <w:tc>
          <w:tcPr>
            <w:tcW w:w="1774" w:type="dxa"/>
            <w:tcBorders>
              <w:top w:val="single" w:sz="4" w:space="0" w:color="7F7F7F" w:themeColor="text1" w:themeTint="80"/>
              <w:bottom w:val="single" w:sz="12" w:space="0" w:color="auto"/>
            </w:tcBorders>
            <w:vAlign w:val="center"/>
          </w:tcPr>
          <w:p w14:paraId="60BCD630" w14:textId="77777777" w:rsidR="00B54F6A" w:rsidRPr="00FC5F84" w:rsidRDefault="00B54F6A"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b/>
                <w:bCs/>
                <w:sz w:val="20"/>
                <w:szCs w:val="20"/>
                <w:lang w:val="es-ES"/>
              </w:rPr>
            </w:pPr>
            <w:r w:rsidRPr="00FC5F84">
              <w:rPr>
                <w:b/>
                <w:bCs/>
                <w:sz w:val="20"/>
                <w:szCs w:val="20"/>
                <w:lang w:val="es-ES"/>
              </w:rPr>
              <w:t>0.105</w:t>
            </w:r>
          </w:p>
          <w:p w14:paraId="4771CAED" w14:textId="77777777" w:rsidR="00B54F6A" w:rsidRPr="00FC5F84" w:rsidRDefault="00B54F6A" w:rsidP="00C117DF">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lang w:val="es-ES"/>
              </w:rPr>
            </w:pPr>
            <w:r w:rsidRPr="00FC5F84">
              <w:rPr>
                <w:sz w:val="20"/>
                <w:szCs w:val="20"/>
                <w:lang w:val="es-ES"/>
              </w:rPr>
              <w:t>(0.0214)</w:t>
            </w:r>
          </w:p>
        </w:tc>
      </w:tr>
    </w:tbl>
    <w:p w14:paraId="78CB1A36" w14:textId="55B97398" w:rsidR="00AA32DC" w:rsidRPr="00F62F3C" w:rsidRDefault="00AA32DC" w:rsidP="00F62F3C">
      <w:pPr>
        <w:spacing w:before="120" w:line="240" w:lineRule="auto"/>
        <w:ind w:firstLine="0"/>
        <w:rPr>
          <w:sz w:val="18"/>
          <w:szCs w:val="18"/>
        </w:rPr>
      </w:pPr>
      <w:r w:rsidRPr="00F62F3C">
        <w:rPr>
          <w:sz w:val="18"/>
          <w:szCs w:val="18"/>
        </w:rPr>
        <w:t>Note: Numbers in parenthes</w:t>
      </w:r>
      <w:r w:rsidR="004A6B0B">
        <w:rPr>
          <w:sz w:val="18"/>
          <w:szCs w:val="18"/>
        </w:rPr>
        <w:t>e</w:t>
      </w:r>
      <w:r w:rsidRPr="00F62F3C">
        <w:rPr>
          <w:sz w:val="18"/>
          <w:szCs w:val="18"/>
        </w:rPr>
        <w:t>s are standard errors. Bolded values indicate that the estimated elasticity is statistically significant.</w:t>
      </w:r>
    </w:p>
    <w:p w14:paraId="5F0C6105" w14:textId="7FD1F88D" w:rsidR="003E53AD" w:rsidRDefault="003E53AD" w:rsidP="003E53AD">
      <w:pPr>
        <w:pStyle w:val="BodyText"/>
      </w:pPr>
      <w:r>
        <w:t>During the baseline period (1980</w:t>
      </w:r>
      <w:r>
        <w:rPr>
          <w:rFonts w:cstheme="minorHAnsi"/>
        </w:rPr>
        <w:t>–2019)</w:t>
      </w:r>
      <w:r>
        <w:t xml:space="preserve">, the SEPA-GA/AL/SC/JW subregion had on average more CDDs than HDDs. On average, the ensemble median indicates 1,492 annual HDDs and 2,239 annual CDDs during the baseline period for that region. For the other two SEPA subregions, the situation is reversed (i.e., more HDDs than CDDs during the baseline period in the Kerr-Philpott and Cumberland subregions). However, given the decreasing trend in HDDs and increasing trend in CDDs presented in </w:t>
      </w:r>
      <w:r>
        <w:fldChar w:fldCharType="begin"/>
      </w:r>
      <w:r>
        <w:instrText xml:space="preserve"> REF _Ref72857253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16</w:t>
      </w:r>
      <w:r>
        <w:fldChar w:fldCharType="end"/>
      </w:r>
      <w:r>
        <w:t xml:space="preserve"> and </w:t>
      </w:r>
      <w:r>
        <w:fldChar w:fldCharType="begin"/>
      </w:r>
      <w:r>
        <w:instrText xml:space="preserve"> REF _Ref72857266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17</w:t>
      </w:r>
      <w:r>
        <w:fldChar w:fldCharType="end"/>
      </w:r>
      <w:r>
        <w:t xml:space="preserve">, the ensemble median annual CDDs become larger than annual HDDs </w:t>
      </w:r>
      <w:r>
        <w:rPr>
          <w:rFonts w:cstheme="minorHAnsi"/>
        </w:rPr>
        <w:t>for all SEPA subregions since the early 2030s until the end of the projection period (2059). Average HDDs (based on the ensemble median trajectory) decrease by 21%–24% and average CDDs increase by 26%–33% relative to the baseline period in the three subregions. For the SEPA</w:t>
      </w:r>
      <w:r>
        <w:t>-GA/AL/SC/JW subregion</w:t>
      </w:r>
      <w:r w:rsidRPr="004A39CE">
        <w:t xml:space="preserve"> </w:t>
      </w:r>
      <w:r>
        <w:t>in the future period (2020</w:t>
      </w:r>
      <w:r>
        <w:rPr>
          <w:rFonts w:cstheme="minorHAnsi"/>
        </w:rPr>
        <w:t>–2059)</w:t>
      </w:r>
      <w:r>
        <w:t xml:space="preserve">, projected annual CDDs </w:t>
      </w:r>
      <w:r>
        <w:rPr>
          <w:rFonts w:cstheme="minorHAnsi"/>
        </w:rPr>
        <w:t>will be more than double the annual HDDs (the average of the ensemble median is 1,136 for HDDs and 2,829 for CDDs)</w:t>
      </w:r>
      <w:r>
        <w:t xml:space="preserve">. The projected changes in sales driven by these degree day trends are presented in </w:t>
      </w:r>
      <w:r>
        <w:fldChar w:fldCharType="begin"/>
      </w:r>
      <w:r>
        <w:instrText xml:space="preserve"> REF _Ref76024330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18</w:t>
      </w:r>
      <w:r>
        <w:fldChar w:fldCharType="end"/>
      </w:r>
      <w:r>
        <w:t>.</w:t>
      </w:r>
    </w:p>
    <w:p w14:paraId="53FFCDE0" w14:textId="685592E9" w:rsidR="003E53AD" w:rsidRDefault="003E53AD" w:rsidP="003E53AD">
      <w:pPr>
        <w:pStyle w:val="BodyText"/>
        <w:rPr>
          <w:rFonts w:cstheme="minorHAnsi"/>
        </w:rPr>
      </w:pPr>
      <w:r>
        <w:t xml:space="preserve">Changes in sales driven by HDDs and CDDs will take place during the winter and summer, respectively. Under any of the 24 CMIP6 projections included in </w:t>
      </w:r>
      <w:r>
        <w:fldChar w:fldCharType="begin"/>
      </w:r>
      <w:r>
        <w:instrText xml:space="preserve"> REF _Ref76024330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18</w:t>
      </w:r>
      <w:r>
        <w:fldChar w:fldCharType="end"/>
      </w:r>
      <w:r>
        <w:t xml:space="preserve"> and for each of the degree day–period combinations, electricity sales decrease in the winter months and increase in the summer months due to the trends in degree days summarized in </w:t>
      </w:r>
      <w:r>
        <w:fldChar w:fldCharType="begin"/>
      </w:r>
      <w:r>
        <w:instrText xml:space="preserve"> REF _Ref72857253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16</w:t>
      </w:r>
      <w:r>
        <w:fldChar w:fldCharType="end"/>
      </w:r>
      <w:r>
        <w:t xml:space="preserve"> and </w:t>
      </w:r>
      <w:r>
        <w:fldChar w:fldCharType="begin"/>
      </w:r>
      <w:r>
        <w:instrText xml:space="preserve"> REF _Ref72857266 \h </w:instrText>
      </w:r>
      <w:r>
        <w:fldChar w:fldCharType="separate"/>
      </w:r>
      <w:r w:rsidR="00EE0BF5">
        <w:rPr>
          <w:lang w:eastAsia="zh-TW"/>
        </w:rPr>
        <w:t>Figure</w:t>
      </w:r>
      <w:r w:rsidR="00EE0BF5" w:rsidRPr="00F61532">
        <w:rPr>
          <w:lang w:eastAsia="zh-TW"/>
        </w:rPr>
        <w:t xml:space="preserve"> </w:t>
      </w:r>
      <w:r w:rsidR="00EE0BF5">
        <w:rPr>
          <w:noProof/>
          <w:lang w:eastAsia="zh-TW"/>
        </w:rPr>
        <w:t>6</w:t>
      </w:r>
      <w:r w:rsidR="00EE0BF5" w:rsidRPr="00F61532">
        <w:rPr>
          <w:lang w:eastAsia="zh-TW"/>
        </w:rPr>
        <w:t>.</w:t>
      </w:r>
      <w:r w:rsidR="00EE0BF5">
        <w:rPr>
          <w:noProof/>
          <w:lang w:eastAsia="zh-TW"/>
        </w:rPr>
        <w:t>17</w:t>
      </w:r>
      <w:r>
        <w:fldChar w:fldCharType="end"/>
      </w:r>
      <w:r>
        <w:t>. The sign of the net change (based on the median effects showed in the plot) in annual sales varies across subregions and periods but is small in all the cases. The net change in annual sales driven by changes in degree days ranges from a 1.8% decrease (SEPA-Kerr-Philpott in 2040</w:t>
      </w:r>
      <w:r>
        <w:rPr>
          <w:rFonts w:cstheme="minorHAnsi"/>
        </w:rPr>
        <w:t>–2059) to a 1.2% increase (SEPA-Cumberland in 2040–2059).</w:t>
      </w:r>
    </w:p>
    <w:p w14:paraId="1789F227" w14:textId="77777777" w:rsidR="003E53AD" w:rsidRDefault="003E53AD" w:rsidP="003E53AD">
      <w:pPr>
        <w:pStyle w:val="BodyText"/>
      </w:pPr>
      <w:r>
        <w:t>The capacity and peaking power marketed by SEPA will likely be most valuable to their preference customers during the summer months. SWPA’s preference customers have some limited flexibility regarding the time of the year in which they receive their energy allocation (within the limits specified in their contracts) to the extent that their preferred timing is feasible for the PMA given other federal hydropower operational constraints.</w:t>
      </w:r>
    </w:p>
    <w:p w14:paraId="221B8B9A" w14:textId="77777777" w:rsidR="003E53AD" w:rsidRPr="00D9580F" w:rsidRDefault="003E53AD" w:rsidP="003E53AD">
      <w:pPr>
        <w:spacing w:before="0" w:line="240" w:lineRule="auto"/>
        <w:ind w:firstLine="0"/>
        <w:rPr>
          <w:rFonts w:cstheme="minorHAnsi"/>
        </w:rPr>
      </w:pPr>
      <w:r>
        <w:rPr>
          <w:rFonts w:cstheme="minorHAnsi"/>
        </w:rPr>
        <w:t>As discussed in Section 6.3.1, generation is expected to increase at the annual time scale across all the hydropower fleet marketed by SEPA. The increase in generation could help curb the trend of increased replacement power purchases experienced in recent years and have a positive effect on power rates.</w:t>
      </w:r>
    </w:p>
    <w:p w14:paraId="6FF09621" w14:textId="031B231D" w:rsidR="00FC5E3E" w:rsidRDefault="00FC5E3E" w:rsidP="005F6BB4">
      <w:pPr>
        <w:pStyle w:val="FIGUREposition"/>
        <w:rPr>
          <w:rFonts w:eastAsia="PMingLiU"/>
          <w:lang w:eastAsia="zh-TW"/>
        </w:rPr>
      </w:pPr>
      <w:r>
        <w:rPr>
          <w:noProof/>
        </w:rPr>
        <w:lastRenderedPageBreak/>
        <w:drawing>
          <wp:inline distT="0" distB="0" distL="0" distR="0" wp14:anchorId="348B9AFD" wp14:editId="2C6A7E97">
            <wp:extent cx="5486396" cy="1828799"/>
            <wp:effectExtent l="0" t="0" r="635" b="63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pic:cNvPicPr>
                      <a:picLocks noChangeAspect="1" noChangeArrowheads="1"/>
                    </pic:cNvPicPr>
                  </pic:nvPicPr>
                  <pic:blipFill>
                    <a:blip r:embed="rId262"/>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431ECA6E" wp14:editId="3BC6DE77">
            <wp:extent cx="5486396" cy="1828799"/>
            <wp:effectExtent l="0" t="0" r="635" b="63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pic:cNvPicPr>
                      <a:picLocks noChangeAspect="1" noChangeArrowheads="1"/>
                    </pic:cNvPicPr>
                  </pic:nvPicPr>
                  <pic:blipFill>
                    <a:blip r:embed="rId263"/>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6AC5A291" wp14:editId="66C63EDF">
            <wp:extent cx="5486396" cy="1828799"/>
            <wp:effectExtent l="0" t="0" r="635" b="63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pic:cNvPicPr>
                      <a:picLocks noChangeAspect="1" noChangeArrowheads="1"/>
                    </pic:cNvPicPr>
                  </pic:nvPicPr>
                  <pic:blipFill>
                    <a:blip r:embed="rId264"/>
                    <a:stretch>
                      <a:fillRect/>
                    </a:stretch>
                  </pic:blipFill>
                  <pic:spPr bwMode="auto">
                    <a:xfrm>
                      <a:off x="0" y="0"/>
                      <a:ext cx="5486396" cy="1828799"/>
                    </a:xfrm>
                    <a:prstGeom prst="rect">
                      <a:avLst/>
                    </a:prstGeom>
                    <a:noFill/>
                    <a:ln>
                      <a:noFill/>
                    </a:ln>
                  </pic:spPr>
                </pic:pic>
              </a:graphicData>
            </a:graphic>
          </wp:inline>
        </w:drawing>
      </w:r>
    </w:p>
    <w:p w14:paraId="7BBC5776" w14:textId="7979164D" w:rsidR="00FC5E3E" w:rsidRDefault="003F6C94" w:rsidP="00FC5E3E">
      <w:pPr>
        <w:pStyle w:val="FigureCaption"/>
        <w:rPr>
          <w:lang w:eastAsia="zh-TW"/>
        </w:rPr>
      </w:pPr>
      <w:bookmarkStart w:id="554" w:name="_Ref72857253"/>
      <w:bookmarkStart w:id="555" w:name="_Toc113380960"/>
      <w:r>
        <w:rPr>
          <w:lang w:eastAsia="zh-TW"/>
        </w:rPr>
        <w:t>Figure</w:t>
      </w:r>
      <w:r w:rsidR="00FC5E3E" w:rsidRPr="00F61532">
        <w:rPr>
          <w:lang w:eastAsia="zh-TW"/>
        </w:rPr>
        <w:t xml:space="preserve"> </w:t>
      </w:r>
      <w:r w:rsidR="00FC5E3E" w:rsidRPr="00F61532">
        <w:rPr>
          <w:lang w:eastAsia="zh-TW"/>
        </w:rPr>
        <w:fldChar w:fldCharType="begin"/>
      </w:r>
      <w:r w:rsidR="00FC5E3E" w:rsidRPr="00F61532">
        <w:rPr>
          <w:lang w:eastAsia="zh-TW"/>
        </w:rPr>
        <w:instrText xml:space="preserve"> STYLEREF 1 \s </w:instrText>
      </w:r>
      <w:r w:rsidR="00FC5E3E" w:rsidRPr="00F61532">
        <w:rPr>
          <w:lang w:eastAsia="zh-TW"/>
        </w:rPr>
        <w:fldChar w:fldCharType="separate"/>
      </w:r>
      <w:r w:rsidR="00EE0BF5">
        <w:rPr>
          <w:noProof/>
          <w:lang w:eastAsia="zh-TW"/>
        </w:rPr>
        <w:t>6</w:t>
      </w:r>
      <w:r w:rsidR="00FC5E3E" w:rsidRPr="00F61532">
        <w:rPr>
          <w:lang w:eastAsia="zh-TW"/>
        </w:rPr>
        <w:fldChar w:fldCharType="end"/>
      </w:r>
      <w:r w:rsidR="00FC5E3E" w:rsidRPr="00F61532">
        <w:rPr>
          <w:lang w:eastAsia="zh-TW"/>
        </w:rPr>
        <w:t>.</w:t>
      </w:r>
      <w:r w:rsidR="00FC5E3E" w:rsidRPr="00F61532">
        <w:rPr>
          <w:lang w:eastAsia="zh-TW"/>
        </w:rPr>
        <w:fldChar w:fldCharType="begin"/>
      </w:r>
      <w:r w:rsidR="00FC5E3E" w:rsidRPr="00F61532">
        <w:rPr>
          <w:lang w:eastAsia="zh-TW"/>
        </w:rPr>
        <w:instrText xml:space="preserve"> SEQ Figure \* ARABIC \s 1 </w:instrText>
      </w:r>
      <w:r w:rsidR="00FC5E3E" w:rsidRPr="00F61532">
        <w:rPr>
          <w:lang w:eastAsia="zh-TW"/>
        </w:rPr>
        <w:fldChar w:fldCharType="separate"/>
      </w:r>
      <w:r w:rsidR="00EE0BF5">
        <w:rPr>
          <w:noProof/>
          <w:lang w:eastAsia="zh-TW"/>
        </w:rPr>
        <w:t>16</w:t>
      </w:r>
      <w:r w:rsidR="00FC5E3E" w:rsidRPr="00F61532">
        <w:rPr>
          <w:lang w:eastAsia="zh-TW"/>
        </w:rPr>
        <w:fldChar w:fldCharType="end"/>
      </w:r>
      <w:bookmarkEnd w:id="554"/>
      <w:r w:rsidR="00FC5E3E" w:rsidRPr="00F61532">
        <w:rPr>
          <w:lang w:eastAsia="zh-TW"/>
        </w:rPr>
        <w:t xml:space="preserve">. Projected annual </w:t>
      </w:r>
      <w:r w:rsidR="00190E22">
        <w:rPr>
          <w:lang w:eastAsia="zh-TW"/>
        </w:rPr>
        <w:t>HDD</w:t>
      </w:r>
      <w:r w:rsidR="00DD4CA2">
        <w:rPr>
          <w:lang w:eastAsia="zh-TW"/>
        </w:rPr>
        <w:t>s</w:t>
      </w:r>
      <w:r w:rsidR="00FC5E3E">
        <w:rPr>
          <w:lang w:eastAsia="zh-TW"/>
        </w:rPr>
        <w:t xml:space="preserve"> </w:t>
      </w:r>
      <w:r w:rsidR="00FC5E3E" w:rsidRPr="00F61532">
        <w:rPr>
          <w:lang w:eastAsia="zh-TW"/>
        </w:rPr>
        <w:t xml:space="preserve">in </w:t>
      </w:r>
      <w:r w:rsidR="00FC5E3E">
        <w:rPr>
          <w:lang w:eastAsia="zh-TW"/>
        </w:rPr>
        <w:t xml:space="preserve">the </w:t>
      </w:r>
      <w:r w:rsidR="00D63764">
        <w:rPr>
          <w:lang w:eastAsia="zh-TW"/>
        </w:rPr>
        <w:t>SEPA</w:t>
      </w:r>
      <w:r w:rsidR="00FC5E3E">
        <w:rPr>
          <w:lang w:eastAsia="zh-TW"/>
        </w:rPr>
        <w:t xml:space="preserve"> region.</w:t>
      </w:r>
      <w:bookmarkEnd w:id="555"/>
    </w:p>
    <w:p w14:paraId="0374443B" w14:textId="5CC71676" w:rsidR="00FC5E3E" w:rsidRDefault="00FC5E3E" w:rsidP="005F6BB4">
      <w:pPr>
        <w:pStyle w:val="FIGUREposition"/>
        <w:rPr>
          <w:rFonts w:eastAsia="PMingLiU"/>
        </w:rPr>
      </w:pPr>
      <w:r>
        <w:rPr>
          <w:noProof/>
        </w:rPr>
        <w:lastRenderedPageBreak/>
        <w:drawing>
          <wp:inline distT="0" distB="0" distL="0" distR="0" wp14:anchorId="5CB58834" wp14:editId="2CAB4EE4">
            <wp:extent cx="5486396" cy="1828799"/>
            <wp:effectExtent l="0" t="0" r="635" b="63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noChangeArrowheads="1"/>
                    </pic:cNvPicPr>
                  </pic:nvPicPr>
                  <pic:blipFill>
                    <a:blip r:embed="rId265"/>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78E74D69" wp14:editId="2DEFBD16">
            <wp:extent cx="5486396" cy="1828799"/>
            <wp:effectExtent l="0" t="0" r="635" b="63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pic:cNvPicPr>
                      <a:picLocks noChangeAspect="1" noChangeArrowheads="1"/>
                    </pic:cNvPicPr>
                  </pic:nvPicPr>
                  <pic:blipFill>
                    <a:blip r:embed="rId266"/>
                    <a:stretch>
                      <a:fillRect/>
                    </a:stretch>
                  </pic:blipFill>
                  <pic:spPr bwMode="auto">
                    <a:xfrm>
                      <a:off x="0" y="0"/>
                      <a:ext cx="5486396" cy="1828799"/>
                    </a:xfrm>
                    <a:prstGeom prst="rect">
                      <a:avLst/>
                    </a:prstGeom>
                    <a:noFill/>
                    <a:ln>
                      <a:noFill/>
                    </a:ln>
                  </pic:spPr>
                </pic:pic>
              </a:graphicData>
            </a:graphic>
          </wp:inline>
        </w:drawing>
      </w:r>
      <w:r>
        <w:rPr>
          <w:noProof/>
        </w:rPr>
        <w:drawing>
          <wp:inline distT="0" distB="0" distL="0" distR="0" wp14:anchorId="59B0CE11" wp14:editId="65DCCF1D">
            <wp:extent cx="5486396" cy="1828799"/>
            <wp:effectExtent l="0" t="0" r="635" b="63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a:picLocks noChangeAspect="1" noChangeArrowheads="1"/>
                    </pic:cNvPicPr>
                  </pic:nvPicPr>
                  <pic:blipFill>
                    <a:blip r:embed="rId267"/>
                    <a:stretch>
                      <a:fillRect/>
                    </a:stretch>
                  </pic:blipFill>
                  <pic:spPr bwMode="auto">
                    <a:xfrm>
                      <a:off x="0" y="0"/>
                      <a:ext cx="5486396" cy="1828799"/>
                    </a:xfrm>
                    <a:prstGeom prst="rect">
                      <a:avLst/>
                    </a:prstGeom>
                    <a:noFill/>
                    <a:ln>
                      <a:noFill/>
                    </a:ln>
                  </pic:spPr>
                </pic:pic>
              </a:graphicData>
            </a:graphic>
          </wp:inline>
        </w:drawing>
      </w:r>
    </w:p>
    <w:p w14:paraId="1E6A3060" w14:textId="6482620E" w:rsidR="00FC5E3E" w:rsidRDefault="003F6C94" w:rsidP="00FC5E3E">
      <w:pPr>
        <w:pStyle w:val="FigureCaption"/>
        <w:rPr>
          <w:lang w:eastAsia="zh-TW"/>
        </w:rPr>
      </w:pPr>
      <w:bookmarkStart w:id="556" w:name="_Ref72857266"/>
      <w:bookmarkStart w:id="557" w:name="_Toc113380961"/>
      <w:r>
        <w:rPr>
          <w:lang w:eastAsia="zh-TW"/>
        </w:rPr>
        <w:t>Figure</w:t>
      </w:r>
      <w:r w:rsidR="00FC5E3E" w:rsidRPr="00F61532">
        <w:rPr>
          <w:lang w:eastAsia="zh-TW"/>
        </w:rPr>
        <w:t xml:space="preserve"> </w:t>
      </w:r>
      <w:r w:rsidR="00FC5E3E" w:rsidRPr="00F61532">
        <w:rPr>
          <w:lang w:eastAsia="zh-TW"/>
        </w:rPr>
        <w:fldChar w:fldCharType="begin"/>
      </w:r>
      <w:r w:rsidR="00FC5E3E" w:rsidRPr="00F61532">
        <w:rPr>
          <w:lang w:eastAsia="zh-TW"/>
        </w:rPr>
        <w:instrText xml:space="preserve"> STYLEREF 1 \s </w:instrText>
      </w:r>
      <w:r w:rsidR="00FC5E3E" w:rsidRPr="00F61532">
        <w:rPr>
          <w:lang w:eastAsia="zh-TW"/>
        </w:rPr>
        <w:fldChar w:fldCharType="separate"/>
      </w:r>
      <w:r w:rsidR="00EE0BF5">
        <w:rPr>
          <w:noProof/>
          <w:lang w:eastAsia="zh-TW"/>
        </w:rPr>
        <w:t>6</w:t>
      </w:r>
      <w:r w:rsidR="00FC5E3E" w:rsidRPr="00F61532">
        <w:rPr>
          <w:lang w:eastAsia="zh-TW"/>
        </w:rPr>
        <w:fldChar w:fldCharType="end"/>
      </w:r>
      <w:r w:rsidR="00FC5E3E" w:rsidRPr="00F61532">
        <w:rPr>
          <w:lang w:eastAsia="zh-TW"/>
        </w:rPr>
        <w:t>.</w:t>
      </w:r>
      <w:r w:rsidR="00FC5E3E" w:rsidRPr="00F61532">
        <w:rPr>
          <w:lang w:eastAsia="zh-TW"/>
        </w:rPr>
        <w:fldChar w:fldCharType="begin"/>
      </w:r>
      <w:r w:rsidR="00FC5E3E" w:rsidRPr="00F61532">
        <w:rPr>
          <w:lang w:eastAsia="zh-TW"/>
        </w:rPr>
        <w:instrText xml:space="preserve"> SEQ Figure \* ARABIC \s 1 </w:instrText>
      </w:r>
      <w:r w:rsidR="00FC5E3E" w:rsidRPr="00F61532">
        <w:rPr>
          <w:lang w:eastAsia="zh-TW"/>
        </w:rPr>
        <w:fldChar w:fldCharType="separate"/>
      </w:r>
      <w:r w:rsidR="00EE0BF5">
        <w:rPr>
          <w:noProof/>
          <w:lang w:eastAsia="zh-TW"/>
        </w:rPr>
        <w:t>17</w:t>
      </w:r>
      <w:r w:rsidR="00FC5E3E" w:rsidRPr="00F61532">
        <w:rPr>
          <w:lang w:eastAsia="zh-TW"/>
        </w:rPr>
        <w:fldChar w:fldCharType="end"/>
      </w:r>
      <w:bookmarkEnd w:id="556"/>
      <w:r w:rsidR="00FC5E3E" w:rsidRPr="00F61532">
        <w:rPr>
          <w:lang w:eastAsia="zh-TW"/>
        </w:rPr>
        <w:t xml:space="preserve">. Projected annual </w:t>
      </w:r>
      <w:r w:rsidR="00190E22">
        <w:rPr>
          <w:lang w:eastAsia="zh-TW"/>
        </w:rPr>
        <w:t>CDD</w:t>
      </w:r>
      <w:r w:rsidR="00DD4CA2">
        <w:rPr>
          <w:lang w:eastAsia="zh-TW"/>
        </w:rPr>
        <w:t>s</w:t>
      </w:r>
      <w:r w:rsidR="00FC5E3E">
        <w:rPr>
          <w:lang w:eastAsia="zh-TW"/>
        </w:rPr>
        <w:t xml:space="preserve"> </w:t>
      </w:r>
      <w:r w:rsidR="00FC5E3E" w:rsidRPr="00F61532">
        <w:rPr>
          <w:lang w:eastAsia="zh-TW"/>
        </w:rPr>
        <w:t xml:space="preserve">in </w:t>
      </w:r>
      <w:r w:rsidR="00FC5E3E">
        <w:rPr>
          <w:lang w:eastAsia="zh-TW"/>
        </w:rPr>
        <w:t xml:space="preserve">the </w:t>
      </w:r>
      <w:r w:rsidR="00D63764">
        <w:rPr>
          <w:lang w:eastAsia="zh-TW"/>
        </w:rPr>
        <w:t>SEPA</w:t>
      </w:r>
      <w:r w:rsidR="00FC5E3E">
        <w:rPr>
          <w:lang w:eastAsia="zh-TW"/>
        </w:rPr>
        <w:t xml:space="preserve"> region.</w:t>
      </w:r>
      <w:bookmarkEnd w:id="557"/>
    </w:p>
    <w:p w14:paraId="5D28402A" w14:textId="142DCB08" w:rsidR="00AA32DC" w:rsidRDefault="00087820" w:rsidP="005F6BB4">
      <w:pPr>
        <w:pStyle w:val="FIGUREposition"/>
      </w:pPr>
      <w:r>
        <w:rPr>
          <w:noProof/>
        </w:rPr>
        <w:lastRenderedPageBreak/>
        <w:drawing>
          <wp:inline distT="0" distB="0" distL="0" distR="0" wp14:anchorId="3BD29BA4" wp14:editId="2D253ABD">
            <wp:extent cx="5943600" cy="2743200"/>
            <wp:effectExtent l="0" t="0" r="0" b="0"/>
            <wp:docPr id="236" name="Picture 23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Chart, box and whisker chart&#10;&#10;Description automatically generated"/>
                    <pic:cNvPicPr/>
                  </pic:nvPicPr>
                  <pic:blipFill>
                    <a:blip r:embed="rId268"/>
                    <a:stretch>
                      <a:fillRect/>
                    </a:stretch>
                  </pic:blipFill>
                  <pic:spPr>
                    <a:xfrm>
                      <a:off x="0" y="0"/>
                      <a:ext cx="5943600" cy="2743200"/>
                    </a:xfrm>
                    <a:prstGeom prst="rect">
                      <a:avLst/>
                    </a:prstGeom>
                  </pic:spPr>
                </pic:pic>
              </a:graphicData>
            </a:graphic>
          </wp:inline>
        </w:drawing>
      </w:r>
    </w:p>
    <w:p w14:paraId="7D53CF48" w14:textId="2A88168B" w:rsidR="004D7853" w:rsidRDefault="009A50C0" w:rsidP="004D7853">
      <w:pPr>
        <w:pStyle w:val="FigureCaption"/>
        <w:rPr>
          <w:lang w:eastAsia="zh-TW"/>
        </w:rPr>
      </w:pPr>
      <w:bookmarkStart w:id="558" w:name="_Ref72857390"/>
      <w:bookmarkStart w:id="559" w:name="_Ref76024330"/>
      <w:bookmarkStart w:id="560" w:name="_Toc113380962"/>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6</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18</w:t>
      </w:r>
      <w:r w:rsidRPr="00F61532">
        <w:rPr>
          <w:lang w:eastAsia="zh-TW"/>
        </w:rPr>
        <w:fldChar w:fldCharType="end"/>
      </w:r>
      <w:bookmarkEnd w:id="558"/>
      <w:bookmarkEnd w:id="559"/>
      <w:r w:rsidR="004D7853" w:rsidRPr="00F61532">
        <w:rPr>
          <w:lang w:eastAsia="zh-TW"/>
        </w:rPr>
        <w:t xml:space="preserve">. </w:t>
      </w:r>
      <w:r w:rsidR="004D7853" w:rsidRPr="004D7853">
        <w:rPr>
          <w:lang w:eastAsia="zh-TW"/>
        </w:rPr>
        <w:t xml:space="preserve">Estimated changes in SEPA preference customer electricity sales relative to </w:t>
      </w:r>
      <w:r w:rsidR="002709A6">
        <w:rPr>
          <w:lang w:eastAsia="zh-TW"/>
        </w:rPr>
        <w:t xml:space="preserve">the </w:t>
      </w:r>
      <w:r w:rsidR="004D7853" w:rsidRPr="004D7853">
        <w:rPr>
          <w:lang w:eastAsia="zh-TW"/>
        </w:rPr>
        <w:t>baseline period due</w:t>
      </w:r>
      <w:r>
        <w:rPr>
          <w:lang w:eastAsia="zh-TW"/>
        </w:rPr>
        <w:t> </w:t>
      </w:r>
      <w:r w:rsidR="004D7853" w:rsidRPr="004D7853">
        <w:rPr>
          <w:lang w:eastAsia="zh-TW"/>
        </w:rPr>
        <w:t>to projected changes in degree days</w:t>
      </w:r>
      <w:r w:rsidR="004D7853">
        <w:rPr>
          <w:lang w:eastAsia="zh-TW"/>
        </w:rPr>
        <w:t>.</w:t>
      </w:r>
      <w:bookmarkEnd w:id="560"/>
    </w:p>
    <w:p w14:paraId="6B963346" w14:textId="77777777" w:rsidR="0020715F" w:rsidRPr="00846098" w:rsidRDefault="0020715F" w:rsidP="0020715F">
      <w:pPr>
        <w:pStyle w:val="BodyText"/>
      </w:pPr>
    </w:p>
    <w:p w14:paraId="07AA3F34" w14:textId="77777777" w:rsidR="00633AAD" w:rsidRDefault="00633AAD" w:rsidP="00633AAD">
      <w:pPr>
        <w:pStyle w:val="BodyText"/>
        <w:sectPr w:rsidR="00633AAD" w:rsidSect="00CC3514">
          <w:pgSz w:w="12240" w:h="15840" w:code="1"/>
          <w:pgMar w:top="1440" w:right="1440" w:bottom="1440" w:left="1440" w:header="720" w:footer="720" w:gutter="0"/>
          <w:cols w:space="720"/>
          <w:docGrid w:linePitch="360"/>
        </w:sectPr>
      </w:pPr>
    </w:p>
    <w:p w14:paraId="33764FC8" w14:textId="6082F7EA" w:rsidR="004E694C" w:rsidRPr="0020715F" w:rsidRDefault="00F67188" w:rsidP="00DE0A21">
      <w:pPr>
        <w:pStyle w:val="Heading1"/>
      </w:pPr>
      <w:bookmarkStart w:id="561" w:name="_Ref110957604"/>
      <w:bookmarkStart w:id="562" w:name="_Toc113380837"/>
      <w:bookmarkStart w:id="563" w:name="_Ref71804594"/>
      <w:bookmarkEnd w:id="484"/>
      <w:bookmarkEnd w:id="485"/>
      <w:bookmarkEnd w:id="486"/>
      <w:bookmarkEnd w:id="487"/>
      <w:r w:rsidRPr="00F66DE3">
        <w:lastRenderedPageBreak/>
        <w:t>INTERREGIONAL COMPARISON</w:t>
      </w:r>
      <w:bookmarkEnd w:id="561"/>
      <w:bookmarkEnd w:id="562"/>
    </w:p>
    <w:p w14:paraId="5CEA650B" w14:textId="28A208E6" w:rsidR="00441091" w:rsidRDefault="00441091" w:rsidP="005F6BB4">
      <w:pPr>
        <w:pStyle w:val="BodyText"/>
      </w:pPr>
      <w:bookmarkStart w:id="564" w:name="_Ref81318644"/>
      <w:r>
        <w:t xml:space="preserve">Apart from PMA-specific regional analysis (Sections </w:t>
      </w:r>
      <w:r>
        <w:fldChar w:fldCharType="begin"/>
      </w:r>
      <w:r>
        <w:instrText xml:space="preserve"> REF _Ref425755847 \n \h </w:instrText>
      </w:r>
      <w:r>
        <w:fldChar w:fldCharType="separate"/>
      </w:r>
      <w:r w:rsidR="00EE0BF5">
        <w:t>3</w:t>
      </w:r>
      <w:r>
        <w:fldChar w:fldCharType="end"/>
      </w:r>
      <w:r>
        <w:t xml:space="preserve"> to </w:t>
      </w:r>
      <w:r>
        <w:fldChar w:fldCharType="begin"/>
      </w:r>
      <w:r>
        <w:instrText xml:space="preserve"> REF _Ref432925465 \n \h </w:instrText>
      </w:r>
      <w:r>
        <w:fldChar w:fldCharType="separate"/>
      </w:r>
      <w:r w:rsidR="00EE0BF5">
        <w:t>6</w:t>
      </w:r>
      <w:r>
        <w:fldChar w:fldCharType="end"/>
      </w:r>
      <w:r>
        <w:t xml:space="preserve">), some further interregional </w:t>
      </w:r>
      <w:r w:rsidR="004C504D">
        <w:t>comparisons are provided in this section to</w:t>
      </w:r>
      <w:r w:rsidR="00CD255E">
        <w:t xml:space="preserve"> </w:t>
      </w:r>
      <w:r w:rsidR="00D72D33">
        <w:t xml:space="preserve">help </w:t>
      </w:r>
      <w:r w:rsidR="00CD255E">
        <w:t xml:space="preserve">demonstrate the overall trends across </w:t>
      </w:r>
      <w:r w:rsidR="008A38D9">
        <w:t>the CONUS.</w:t>
      </w:r>
      <w:r w:rsidR="00D72D33">
        <w:t xml:space="preserve"> </w:t>
      </w:r>
      <w:r w:rsidR="0096260D">
        <w:t xml:space="preserve">When possible, the comparison covers the entire CONUS, not limited to </w:t>
      </w:r>
      <w:r w:rsidR="000C66E8">
        <w:t xml:space="preserve">the </w:t>
      </w:r>
      <w:r w:rsidR="0096260D">
        <w:t xml:space="preserve">four </w:t>
      </w:r>
      <w:r w:rsidR="009C26F1">
        <w:t>PMA</w:t>
      </w:r>
      <w:r w:rsidR="0096260D">
        <w:t xml:space="preserve"> regions</w:t>
      </w:r>
      <w:r w:rsidR="000C66E8">
        <w:t>.</w:t>
      </w:r>
      <w:r w:rsidR="0096260D">
        <w:t xml:space="preserve"> Therefore, several insights provided in this section can be broadly interpreted </w:t>
      </w:r>
      <w:r w:rsidR="00D86110">
        <w:t xml:space="preserve">for </w:t>
      </w:r>
      <w:r w:rsidR="0096260D">
        <w:t xml:space="preserve">the entire US hydropower </w:t>
      </w:r>
      <w:r w:rsidR="00D86110">
        <w:t>fleet (both federal and nonfederal)</w:t>
      </w:r>
      <w:r w:rsidR="0096260D">
        <w:t>, as well as for other non-hydropower sectors.</w:t>
      </w:r>
    </w:p>
    <w:p w14:paraId="0619CA6D" w14:textId="77777777" w:rsidR="004E694C" w:rsidRPr="0020715F" w:rsidRDefault="004E694C" w:rsidP="00AD0C1C">
      <w:pPr>
        <w:pStyle w:val="Heading2"/>
      </w:pPr>
      <w:bookmarkStart w:id="565" w:name="_Toc113380838"/>
      <w:r w:rsidRPr="0020715F">
        <w:t>Climate Projections</w:t>
      </w:r>
      <w:bookmarkEnd w:id="564"/>
      <w:bookmarkEnd w:id="565"/>
    </w:p>
    <w:p w14:paraId="44C3AA84" w14:textId="6EF0E1D4" w:rsidR="00BC7747" w:rsidRDefault="00FA44A1" w:rsidP="005F6BB4">
      <w:pPr>
        <w:pStyle w:val="BodyText"/>
      </w:pPr>
      <w:r>
        <w:t xml:space="preserve">In addition to the PMA-based analysis, </w:t>
      </w:r>
      <w:r w:rsidRPr="0045734B">
        <w:t>the projected changes</w:t>
      </w:r>
      <w:r>
        <w:t xml:space="preserve"> (2020–2059 minus 1980–2019) in mean and extreme</w:t>
      </w:r>
      <w:r w:rsidRPr="0045734B">
        <w:t xml:space="preserve"> </w:t>
      </w:r>
      <w:r>
        <w:t xml:space="preserve">climate variables are summarized </w:t>
      </w:r>
      <w:r w:rsidRPr="0045734B">
        <w:t xml:space="preserve">for the </w:t>
      </w:r>
      <w:r>
        <w:t>nine</w:t>
      </w:r>
      <w:r w:rsidRPr="0045734B">
        <w:t xml:space="preserve"> </w:t>
      </w:r>
      <w:r>
        <w:t>National Center for Environmental Information</w:t>
      </w:r>
      <w:r w:rsidRPr="0045734B">
        <w:t xml:space="preserve"> </w:t>
      </w:r>
      <w:r>
        <w:t>(</w:t>
      </w:r>
      <w:r w:rsidRPr="0045734B">
        <w:t>NCEI</w:t>
      </w:r>
      <w:r>
        <w:t>)</w:t>
      </w:r>
      <w:r w:rsidRPr="0045734B">
        <w:t xml:space="preserve"> regions</w:t>
      </w:r>
      <w:r>
        <w:t xml:space="preserve"> in </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t xml:space="preserve">. </w:t>
      </w:r>
      <w:r w:rsidR="002709A6">
        <w:t xml:space="preserve">Heat maps were used </w:t>
      </w:r>
      <w:r>
        <w:t>to present the projected changes in daily maximum temperature</w:t>
      </w:r>
      <w:r w:rsidRPr="00C414F6">
        <w:t xml:space="preserve"> </w:t>
      </w:r>
      <w:r>
        <w:t>(T</w:t>
      </w:r>
      <w:r w:rsidRPr="0065399A">
        <w:rPr>
          <w:vertAlign w:val="subscript"/>
        </w:rPr>
        <w:t>max</w:t>
      </w:r>
      <w:r>
        <w:t>), 95</w:t>
      </w:r>
      <w:r w:rsidR="00FA458A" w:rsidRPr="00FA458A">
        <w:t>th</w:t>
      </w:r>
      <w:r>
        <w:t xml:space="preserve"> percentile of T</w:t>
      </w:r>
      <w:r w:rsidRPr="0065399A">
        <w:rPr>
          <w:vertAlign w:val="subscript"/>
        </w:rPr>
        <w:t>max</w:t>
      </w:r>
      <w:r>
        <w:t xml:space="preserve"> (T</w:t>
      </w:r>
      <w:r w:rsidRPr="00274C5E">
        <w:rPr>
          <w:vertAlign w:val="subscript"/>
        </w:rPr>
        <w:t>95</w:t>
      </w:r>
      <w:r>
        <w:t>), number of days with T</w:t>
      </w:r>
      <w:r w:rsidRPr="005C30B2">
        <w:rPr>
          <w:vertAlign w:val="subscript"/>
        </w:rPr>
        <w:t>max</w:t>
      </w:r>
      <w:r>
        <w:t xml:space="preserve"> above historical T</w:t>
      </w:r>
      <w:r w:rsidRPr="005C30B2">
        <w:rPr>
          <w:vertAlign w:val="subscript"/>
        </w:rPr>
        <w:t>95</w:t>
      </w:r>
      <w:r w:rsidRPr="00FA44A1">
        <w:t>,</w:t>
      </w:r>
      <w:r>
        <w:rPr>
          <w:vertAlign w:val="subscript"/>
        </w:rPr>
        <w:t xml:space="preserve"> </w:t>
      </w:r>
      <w:r>
        <w:t>daily minimum temperature (T</w:t>
      </w:r>
      <w:r w:rsidRPr="005C30B2">
        <w:rPr>
          <w:vertAlign w:val="subscript"/>
        </w:rPr>
        <w:t>min</w:t>
      </w:r>
      <w:r>
        <w:t>), 5</w:t>
      </w:r>
      <w:r w:rsidR="00FA458A" w:rsidRPr="00FA458A">
        <w:t>th</w:t>
      </w:r>
      <w:r>
        <w:t xml:space="preserve"> percentile of T</w:t>
      </w:r>
      <w:r w:rsidRPr="0065399A">
        <w:rPr>
          <w:vertAlign w:val="subscript"/>
        </w:rPr>
        <w:t>m</w:t>
      </w:r>
      <w:r>
        <w:rPr>
          <w:vertAlign w:val="subscript"/>
        </w:rPr>
        <w:t>in</w:t>
      </w:r>
      <w:r>
        <w:t xml:space="preserve"> (T</w:t>
      </w:r>
      <w:r w:rsidRPr="005C30B2">
        <w:rPr>
          <w:vertAlign w:val="subscript"/>
        </w:rPr>
        <w:t>05</w:t>
      </w:r>
      <w:r>
        <w:t>),</w:t>
      </w:r>
      <w:r w:rsidRPr="005C30B2">
        <w:t xml:space="preserve"> </w:t>
      </w:r>
      <w:r>
        <w:t>number of days with T</w:t>
      </w:r>
      <w:r w:rsidRPr="005C30B2">
        <w:rPr>
          <w:vertAlign w:val="subscript"/>
        </w:rPr>
        <w:t>min</w:t>
      </w:r>
      <w:r>
        <w:t xml:space="preserve"> below historical T</w:t>
      </w:r>
      <w:r w:rsidRPr="005C30B2">
        <w:rPr>
          <w:vertAlign w:val="subscript"/>
        </w:rPr>
        <w:t>05</w:t>
      </w:r>
      <w:r>
        <w:t>, number of frost days (T</w:t>
      </w:r>
      <w:r w:rsidRPr="005C30B2">
        <w:rPr>
          <w:vertAlign w:val="subscript"/>
        </w:rPr>
        <w:t>min</w:t>
      </w:r>
      <w:r>
        <w:rPr>
          <w:vertAlign w:val="subscript"/>
        </w:rPr>
        <w:t xml:space="preserve"> </w:t>
      </w:r>
      <w:r>
        <w:t>below 0</w:t>
      </w:r>
      <w:r w:rsidRPr="002709A6">
        <w:t>°</w:t>
      </w:r>
      <w:r w:rsidR="002709A6">
        <w:t>C</w:t>
      </w:r>
      <w:r>
        <w:t>), daily mean precipitation (P), 5</w:t>
      </w:r>
      <w:r w:rsidR="00FA458A" w:rsidRPr="00FA458A">
        <w:t>th</w:t>
      </w:r>
      <w:r>
        <w:t xml:space="preserve"> percentile of P (P</w:t>
      </w:r>
      <w:r w:rsidRPr="005C30B2">
        <w:rPr>
          <w:vertAlign w:val="subscript"/>
        </w:rPr>
        <w:t>95</w:t>
      </w:r>
      <w:r w:rsidRPr="00274C5E">
        <w:t>)</w:t>
      </w:r>
      <w:r>
        <w:t>, number of days with P above historical P</w:t>
      </w:r>
      <w:r w:rsidRPr="005C30B2">
        <w:rPr>
          <w:vertAlign w:val="subscript"/>
        </w:rPr>
        <w:t>95</w:t>
      </w:r>
      <w:r>
        <w:t xml:space="preserve">, and number of wet days (P above 1 mm) </w:t>
      </w:r>
      <w:r w:rsidRPr="0045734B">
        <w:t xml:space="preserve">for </w:t>
      </w:r>
      <w:r>
        <w:t>the</w:t>
      </w:r>
      <w:r w:rsidRPr="0045734B">
        <w:t xml:space="preserve"> </w:t>
      </w:r>
      <w:r>
        <w:t>ensemble mean of six models from each of the following</w:t>
      </w:r>
      <w:r w:rsidR="00D64187">
        <w:t xml:space="preserve"> </w:t>
      </w:r>
      <w:r w:rsidR="005606E5">
        <w:t>data sets</w:t>
      </w:r>
      <w:r>
        <w:t>: CMIP6 GCMs (GCM</w:t>
      </w:r>
      <w:r>
        <w:rPr>
          <w:vertAlign w:val="subscript"/>
        </w:rPr>
        <w:t>O</w:t>
      </w:r>
      <w:r>
        <w:t>), dynamically downscaled RegCM output (RCM</w:t>
      </w:r>
      <w:r w:rsidRPr="00790FF4">
        <w:rPr>
          <w:vertAlign w:val="subscript"/>
        </w:rPr>
        <w:t>O</w:t>
      </w:r>
      <w:r>
        <w:t xml:space="preserve">), </w:t>
      </w:r>
      <w:r w:rsidRPr="47E6C8DF">
        <w:rPr>
          <w:rFonts w:eastAsia="Times New Roman"/>
          <w:color w:val="000000" w:themeColor="text1"/>
        </w:rPr>
        <w:t xml:space="preserve">RegCM output </w:t>
      </w:r>
      <w:r>
        <w:t xml:space="preserve">bias-corrected </w:t>
      </w:r>
      <w:r w:rsidRPr="47E6C8DF">
        <w:rPr>
          <w:rFonts w:eastAsia="Times New Roman"/>
          <w:color w:val="000000" w:themeColor="text1"/>
        </w:rPr>
        <w:t>using Daymet (RCM</w:t>
      </w:r>
      <w:r w:rsidRPr="47E6C8DF">
        <w:rPr>
          <w:rFonts w:eastAsia="Times New Roman"/>
          <w:color w:val="000000" w:themeColor="text1"/>
          <w:vertAlign w:val="subscript"/>
        </w:rPr>
        <w:t>CD</w:t>
      </w:r>
      <w:r w:rsidRPr="47E6C8DF">
        <w:rPr>
          <w:rFonts w:eastAsia="Times New Roman"/>
          <w:color w:val="000000" w:themeColor="text1"/>
        </w:rPr>
        <w:t>) and Livneh (RCM</w:t>
      </w:r>
      <w:r w:rsidRPr="47E6C8DF">
        <w:rPr>
          <w:rFonts w:eastAsia="Times New Roman"/>
          <w:color w:val="000000" w:themeColor="text1"/>
          <w:vertAlign w:val="subscript"/>
        </w:rPr>
        <w:t>CL</w:t>
      </w:r>
      <w:r w:rsidRPr="47E6C8DF">
        <w:rPr>
          <w:rFonts w:eastAsia="Times New Roman"/>
          <w:color w:val="000000" w:themeColor="text1"/>
        </w:rPr>
        <w:t xml:space="preserve">), and GCMs statistically downscaled using Daymet </w:t>
      </w:r>
      <w:r>
        <w:t>(DBCCA</w:t>
      </w:r>
      <w:r>
        <w:rPr>
          <w:vertAlign w:val="subscript"/>
        </w:rPr>
        <w:t>D</w:t>
      </w:r>
      <w:r>
        <w:t>)</w:t>
      </w:r>
      <w:r w:rsidRPr="47E6C8DF">
        <w:rPr>
          <w:rFonts w:eastAsia="Times New Roman"/>
          <w:color w:val="000000" w:themeColor="text1"/>
        </w:rPr>
        <w:t xml:space="preserve"> and Livneh </w:t>
      </w:r>
      <w:r>
        <w:t>(DBCCA</w:t>
      </w:r>
      <w:r w:rsidRPr="00997E18">
        <w:rPr>
          <w:vertAlign w:val="subscript"/>
        </w:rPr>
        <w:t>L</w:t>
      </w:r>
      <w:r>
        <w:t>)</w:t>
      </w:r>
      <w:r w:rsidR="00BC7747">
        <w:t xml:space="preserve"> (</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w:t>
      </w:r>
      <w:r w:rsidR="00BC7747" w:rsidRPr="0045734B">
        <w:t>.</w:t>
      </w:r>
    </w:p>
    <w:p w14:paraId="4990829D" w14:textId="77777777" w:rsidR="003E53AD" w:rsidRPr="009B6157" w:rsidRDefault="003E53AD" w:rsidP="003E53AD">
      <w:pPr>
        <w:pStyle w:val="Heading3"/>
      </w:pPr>
      <w:bookmarkStart w:id="566" w:name="_Toc113380839"/>
      <w:r w:rsidRPr="009B6157">
        <w:t>Project</w:t>
      </w:r>
      <w:r>
        <w:t>ed</w:t>
      </w:r>
      <w:r w:rsidRPr="009B6157">
        <w:t xml:space="preserve"> Changes in Mean and Extreme </w:t>
      </w:r>
      <w:r>
        <w:t>Daily Maximum Temperature</w:t>
      </w:r>
      <w:bookmarkEnd w:id="566"/>
    </w:p>
    <w:p w14:paraId="47EFA969" w14:textId="178F7D31" w:rsidR="003E53AD" w:rsidRDefault="003E53AD" w:rsidP="003E53AD">
      <w:pPr>
        <w:pStyle w:val="BodyText"/>
      </w:pPr>
      <w:r w:rsidRPr="0045734B">
        <w:t>All six</w:t>
      </w:r>
      <w:r>
        <w:t xml:space="preserve"> ensembles of climate change </w:t>
      </w:r>
      <w:r w:rsidRPr="0045734B">
        <w:t>project</w:t>
      </w:r>
      <w:r>
        <w:t>ions showed</w:t>
      </w:r>
      <w:r w:rsidRPr="0045734B">
        <w:t xml:space="preserve"> statistically significant increase</w:t>
      </w:r>
      <w:r>
        <w:t>s</w:t>
      </w:r>
      <w:r w:rsidRPr="0045734B">
        <w:t xml:space="preserve"> in the magnitudes of T</w:t>
      </w:r>
      <w:r w:rsidRPr="0045734B">
        <w:rPr>
          <w:vertAlign w:val="subscript"/>
        </w:rPr>
        <w:t>max</w:t>
      </w:r>
      <w:r w:rsidRPr="0045734B">
        <w:t xml:space="preserve"> </w:t>
      </w:r>
      <w:r>
        <w:t>and</w:t>
      </w:r>
      <w:r w:rsidRPr="0045734B">
        <w:t xml:space="preserve"> T</w:t>
      </w:r>
      <w:r w:rsidRPr="0045734B">
        <w:rPr>
          <w:vertAlign w:val="subscript"/>
        </w:rPr>
        <w:t>95</w:t>
      </w:r>
      <w:r w:rsidRPr="0045734B">
        <w:t xml:space="preserve"> </w:t>
      </w:r>
      <w:r>
        <w:t>throughout the NCEI</w:t>
      </w:r>
      <w:r w:rsidRPr="0045734B">
        <w:t xml:space="preserve"> regions</w:t>
      </w:r>
      <w:r>
        <w:t>,</w:t>
      </w:r>
      <w:r w:rsidRPr="0045734B">
        <w:t xml:space="preserve"> with </w:t>
      </w:r>
      <w:r>
        <w:t xml:space="preserve">the </w:t>
      </w:r>
      <w:r w:rsidRPr="0045734B">
        <w:t>strongest changes in the Upper Midwest and Northern Rockies regions (</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t>a, b</w:t>
      </w:r>
      <w:r w:rsidRPr="0045734B">
        <w:t xml:space="preserve">). </w:t>
      </w:r>
      <w:r>
        <w:t>When compared with the driving GCM ensemble (GCM</w:t>
      </w:r>
      <w:r w:rsidRPr="0042716B">
        <w:rPr>
          <w:vertAlign w:val="subscript"/>
        </w:rPr>
        <w:t>O</w:t>
      </w:r>
      <w:r>
        <w:t>), the corresponding statistically downscaled ensembles (DBCCA</w:t>
      </w:r>
      <w:r>
        <w:rPr>
          <w:vertAlign w:val="subscript"/>
        </w:rPr>
        <w:t>L</w:t>
      </w:r>
      <w:r>
        <w:t xml:space="preserve"> </w:t>
      </w:r>
      <w:r w:rsidRPr="0045734B">
        <w:t xml:space="preserve">and </w:t>
      </w:r>
      <w:r>
        <w:t>DBCCA</w:t>
      </w:r>
      <w:r>
        <w:rPr>
          <w:vertAlign w:val="subscript"/>
        </w:rPr>
        <w:t>D</w:t>
      </w:r>
      <w:r>
        <w:t xml:space="preserve">) projected </w:t>
      </w:r>
      <w:r w:rsidRPr="0045734B">
        <w:t xml:space="preserve">generally similar </w:t>
      </w:r>
      <w:r>
        <w:t>changes, while the dynamically downscaled</w:t>
      </w:r>
      <w:r w:rsidRPr="0045734B">
        <w:t xml:space="preserve"> </w:t>
      </w:r>
      <w:r>
        <w:t>RCM</w:t>
      </w:r>
      <w:r w:rsidRPr="00DC683F">
        <w:rPr>
          <w:vertAlign w:val="subscript"/>
        </w:rPr>
        <w:t>O</w:t>
      </w:r>
      <w:r>
        <w:t>, and its corresponding bias-corrected ensembles (RCM</w:t>
      </w:r>
      <w:r w:rsidRPr="006553BF">
        <w:rPr>
          <w:vertAlign w:val="subscript"/>
        </w:rPr>
        <w:t>CL</w:t>
      </w:r>
      <w:r>
        <w:t xml:space="preserve"> </w:t>
      </w:r>
      <w:r w:rsidRPr="0045734B">
        <w:t xml:space="preserve">and </w:t>
      </w:r>
      <w:r>
        <w:t>RCM</w:t>
      </w:r>
      <w:r w:rsidRPr="006553BF">
        <w:rPr>
          <w:vertAlign w:val="subscript"/>
        </w:rPr>
        <w:t>CD</w:t>
      </w:r>
      <w:r>
        <w:t xml:space="preserve">), projected </w:t>
      </w:r>
      <w:r w:rsidRPr="0045734B">
        <w:t>comparatively smaller</w:t>
      </w:r>
      <w:r>
        <w:t xml:space="preserve"> future period </w:t>
      </w:r>
      <w:r w:rsidRPr="0045734B">
        <w:t>changes in T</w:t>
      </w:r>
      <w:r w:rsidRPr="0045734B">
        <w:rPr>
          <w:vertAlign w:val="subscript"/>
        </w:rPr>
        <w:t>max</w:t>
      </w:r>
      <w:r w:rsidRPr="0045734B">
        <w:t>.</w:t>
      </w:r>
      <w:r>
        <w:t xml:space="preserve"> The smallest (</w:t>
      </w:r>
      <w:r w:rsidRPr="0045734B">
        <w:t>0.0</w:t>
      </w:r>
      <w:r>
        <w:t>9°F) and largest (</w:t>
      </w:r>
      <w:r w:rsidRPr="0045734B">
        <w:t>up to 0.</w:t>
      </w:r>
      <w:r>
        <w:t xml:space="preserve">49°F) differences in projected changes </w:t>
      </w:r>
      <w:r w:rsidRPr="0045734B">
        <w:t>in T</w:t>
      </w:r>
      <w:r w:rsidRPr="0045734B">
        <w:rPr>
          <w:vertAlign w:val="subscript"/>
        </w:rPr>
        <w:t>max</w:t>
      </w:r>
      <w:r>
        <w:t xml:space="preserve"> between GCM</w:t>
      </w:r>
      <w:r w:rsidRPr="0042716B">
        <w:rPr>
          <w:vertAlign w:val="subscript"/>
        </w:rPr>
        <w:t>O</w:t>
      </w:r>
      <w:r>
        <w:rPr>
          <w:vertAlign w:val="subscript"/>
        </w:rPr>
        <w:t xml:space="preserve"> </w:t>
      </w:r>
      <w:r>
        <w:t>and RCM</w:t>
      </w:r>
      <w:r w:rsidRPr="00F23026">
        <w:rPr>
          <w:vertAlign w:val="subscript"/>
        </w:rPr>
        <w:t>O</w:t>
      </w:r>
      <w:r>
        <w:t>, and RCM</w:t>
      </w:r>
      <w:r w:rsidRPr="006553BF">
        <w:rPr>
          <w:vertAlign w:val="subscript"/>
        </w:rPr>
        <w:t>CL</w:t>
      </w:r>
      <w:r>
        <w:t xml:space="preserve"> </w:t>
      </w:r>
      <w:r w:rsidRPr="0045734B">
        <w:t xml:space="preserve">and </w:t>
      </w:r>
      <w:r>
        <w:t>RCM</w:t>
      </w:r>
      <w:r w:rsidRPr="006553BF">
        <w:rPr>
          <w:vertAlign w:val="subscript"/>
        </w:rPr>
        <w:t>CD</w:t>
      </w:r>
      <w:r>
        <w:t xml:space="preserve"> were over the western and northeastern United States (</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t>a)</w:t>
      </w:r>
      <w:r w:rsidRPr="0045734B">
        <w:t xml:space="preserve">. </w:t>
      </w:r>
      <w:r>
        <w:t>Similarly</w:t>
      </w:r>
      <w:r w:rsidRPr="0045734B">
        <w:t xml:space="preserve">, the </w:t>
      </w:r>
      <w:r>
        <w:t xml:space="preserve">future period </w:t>
      </w:r>
      <w:r w:rsidRPr="0045734B">
        <w:t>changes in T</w:t>
      </w:r>
      <w:r w:rsidRPr="0045734B">
        <w:rPr>
          <w:vertAlign w:val="subscript"/>
        </w:rPr>
        <w:t>95</w:t>
      </w:r>
      <w:r w:rsidRPr="0045734B">
        <w:t xml:space="preserve"> </w:t>
      </w:r>
      <w:r>
        <w:t>projected by</w:t>
      </w:r>
      <w:r w:rsidRPr="0045734B">
        <w:t xml:space="preserve"> </w:t>
      </w:r>
      <w:r>
        <w:t>DBCCA</w:t>
      </w:r>
      <w:r>
        <w:rPr>
          <w:vertAlign w:val="subscript"/>
        </w:rPr>
        <w:t>L</w:t>
      </w:r>
      <w:r w:rsidRPr="0045734B" w:rsidDel="000B6A84">
        <w:t xml:space="preserve"> </w:t>
      </w:r>
      <w:r w:rsidRPr="0045734B">
        <w:t xml:space="preserve">and </w:t>
      </w:r>
      <w:r>
        <w:t>DBCCA</w:t>
      </w:r>
      <w:r>
        <w:rPr>
          <w:vertAlign w:val="subscript"/>
        </w:rPr>
        <w:t>D</w:t>
      </w:r>
      <w:r w:rsidRPr="0045734B">
        <w:t xml:space="preserve"> </w:t>
      </w:r>
      <w:r>
        <w:t xml:space="preserve">were </w:t>
      </w:r>
      <w:r w:rsidRPr="0045734B">
        <w:t xml:space="preserve">also </w:t>
      </w:r>
      <w:r>
        <w:t>comparable with the GCM</w:t>
      </w:r>
      <w:r w:rsidRPr="00F23026">
        <w:rPr>
          <w:vertAlign w:val="subscript"/>
        </w:rPr>
        <w:t>O</w:t>
      </w:r>
      <w:r>
        <w:t>, whereas the changes projected by</w:t>
      </w:r>
      <w:r w:rsidRPr="0045734B">
        <w:t xml:space="preserve"> </w:t>
      </w:r>
      <w:r w:rsidRPr="00EA2312">
        <w:t>RCM</w:t>
      </w:r>
      <w:r w:rsidRPr="00F23026">
        <w:rPr>
          <w:vertAlign w:val="subscript"/>
        </w:rPr>
        <w:t>O</w:t>
      </w:r>
      <w:r w:rsidRPr="0045734B">
        <w:t xml:space="preserve">, </w:t>
      </w:r>
      <w:r>
        <w:t>RCM</w:t>
      </w:r>
      <w:r w:rsidRPr="006553BF">
        <w:rPr>
          <w:vertAlign w:val="subscript"/>
        </w:rPr>
        <w:t>CL</w:t>
      </w:r>
      <w:r>
        <w:t xml:space="preserve">, </w:t>
      </w:r>
      <w:r w:rsidRPr="0045734B">
        <w:t xml:space="preserve">and </w:t>
      </w:r>
      <w:r>
        <w:t>RCM</w:t>
      </w:r>
      <w:r w:rsidRPr="006553BF">
        <w:rPr>
          <w:vertAlign w:val="subscript"/>
        </w:rPr>
        <w:t>CD</w:t>
      </w:r>
      <w:r w:rsidRPr="0045734B" w:rsidDel="004011ED">
        <w:t xml:space="preserve"> </w:t>
      </w:r>
      <w:r>
        <w:t>were lower</w:t>
      </w:r>
      <w:r w:rsidRPr="0045734B">
        <w:t xml:space="preserve"> </w:t>
      </w:r>
      <w:r>
        <w:t>(by 0.49°F–1.3°F) than</w:t>
      </w:r>
      <w:r w:rsidRPr="0045734B">
        <w:t xml:space="preserve"> the</w:t>
      </w:r>
      <w:r w:rsidRPr="00381F59">
        <w:t xml:space="preserve"> </w:t>
      </w:r>
      <w:r>
        <w:t>GCM</w:t>
      </w:r>
      <w:r w:rsidRPr="00F23026">
        <w:rPr>
          <w:vertAlign w:val="subscript"/>
        </w:rPr>
        <w:t>O</w:t>
      </w:r>
      <w:r w:rsidRPr="0045734B" w:rsidDel="00381F59">
        <w:t xml:space="preserve"> </w:t>
      </w:r>
      <w:r w:rsidRPr="00E3655F">
        <w:t>ensemble</w:t>
      </w:r>
      <w:r>
        <w:t xml:space="preserve"> (</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t>b)</w:t>
      </w:r>
      <w:r w:rsidRPr="0045734B">
        <w:t xml:space="preserve">. </w:t>
      </w:r>
      <w:r>
        <w:t>The downscaled ensembles showed marked differences from the GCM</w:t>
      </w:r>
      <w:r w:rsidRPr="00F23026">
        <w:rPr>
          <w:vertAlign w:val="subscript"/>
        </w:rPr>
        <w:t>O</w:t>
      </w:r>
      <w:r>
        <w:t xml:space="preserve"> ensembles in the future period changes in </w:t>
      </w:r>
      <w:r w:rsidRPr="0046141C">
        <w:t>the frequency of T</w:t>
      </w:r>
      <w:r w:rsidRPr="0046141C">
        <w:rPr>
          <w:vertAlign w:val="subscript"/>
        </w:rPr>
        <w:t>max</w:t>
      </w:r>
      <w:r w:rsidRPr="0046141C">
        <w:t xml:space="preserve"> extremes (number of days above </w:t>
      </w:r>
      <w:r>
        <w:t xml:space="preserve">the </w:t>
      </w:r>
      <w:r w:rsidRPr="0046141C">
        <w:t>historical T</w:t>
      </w:r>
      <w:r w:rsidRPr="0046141C">
        <w:rPr>
          <w:vertAlign w:val="subscript"/>
        </w:rPr>
        <w:t>95</w:t>
      </w:r>
      <w:r w:rsidRPr="0046141C">
        <w:t xml:space="preserve">). </w:t>
      </w:r>
      <w:r>
        <w:t>As c</w:t>
      </w:r>
      <w:r w:rsidRPr="0046141C">
        <w:t xml:space="preserve">ompared </w:t>
      </w:r>
      <w:r>
        <w:t xml:space="preserve">with </w:t>
      </w:r>
      <w:r w:rsidRPr="0046141C">
        <w:t>GCM</w:t>
      </w:r>
      <w:r w:rsidRPr="0046141C">
        <w:rPr>
          <w:vertAlign w:val="subscript"/>
        </w:rPr>
        <w:t>O</w:t>
      </w:r>
      <w:r w:rsidRPr="0046141C">
        <w:t>, RCM</w:t>
      </w:r>
      <w:r w:rsidRPr="0046141C">
        <w:rPr>
          <w:vertAlign w:val="subscript"/>
        </w:rPr>
        <w:t>CL</w:t>
      </w:r>
      <w:r w:rsidRPr="0046141C" w:rsidDel="00047453">
        <w:t xml:space="preserve"> </w:t>
      </w:r>
      <w:r w:rsidRPr="0046141C">
        <w:t>and RCM</w:t>
      </w:r>
      <w:r w:rsidRPr="0046141C">
        <w:rPr>
          <w:vertAlign w:val="subscript"/>
        </w:rPr>
        <w:t>CD</w:t>
      </w:r>
      <w:r w:rsidRPr="0046141C">
        <w:t xml:space="preserve"> project</w:t>
      </w:r>
      <w:r>
        <w:t>ed</w:t>
      </w:r>
      <w:r w:rsidRPr="0046141C">
        <w:t xml:space="preserve"> a comparable increase, RCM</w:t>
      </w:r>
      <w:r w:rsidRPr="0046141C">
        <w:rPr>
          <w:vertAlign w:val="subscript"/>
        </w:rPr>
        <w:t>O</w:t>
      </w:r>
      <w:r w:rsidRPr="0046141C">
        <w:t xml:space="preserve"> project</w:t>
      </w:r>
      <w:r>
        <w:t>ed</w:t>
      </w:r>
      <w:r w:rsidRPr="0046141C">
        <w:t xml:space="preserve"> a lower increase (by up to 8 days), </w:t>
      </w:r>
      <w:r>
        <w:t>and</w:t>
      </w:r>
      <w:r w:rsidRPr="0046141C">
        <w:t xml:space="preserve"> DBCCA</w:t>
      </w:r>
      <w:r w:rsidRPr="0046141C">
        <w:rPr>
          <w:vertAlign w:val="subscript"/>
        </w:rPr>
        <w:t>L</w:t>
      </w:r>
      <w:r w:rsidRPr="0046141C" w:rsidDel="000B6A84">
        <w:t xml:space="preserve"> </w:t>
      </w:r>
      <w:r w:rsidRPr="0046141C">
        <w:t>and DBCCA</w:t>
      </w:r>
      <w:r w:rsidRPr="0046141C">
        <w:rPr>
          <w:vertAlign w:val="subscript"/>
        </w:rPr>
        <w:t>D</w:t>
      </w:r>
      <w:r w:rsidRPr="0046141C">
        <w:t xml:space="preserve"> project</w:t>
      </w:r>
      <w:r>
        <w:t>ed</w:t>
      </w:r>
      <w:r w:rsidRPr="0046141C">
        <w:t xml:space="preserve"> a much higher increase (by up to 11 days) in the frequency of T</w:t>
      </w:r>
      <w:r w:rsidRPr="0046141C">
        <w:rPr>
          <w:vertAlign w:val="subscript"/>
        </w:rPr>
        <w:t>max</w:t>
      </w:r>
      <w:r w:rsidRPr="0046141C">
        <w:t xml:space="preserve"> extremes across most regions</w:t>
      </w:r>
      <w:r>
        <w:t xml:space="preserve"> </w:t>
      </w:r>
      <w:r w:rsidRPr="0045734B">
        <w:t>(</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t>d)</w:t>
      </w:r>
      <w:r w:rsidRPr="0045734B">
        <w:t xml:space="preserve">. To summarize, </w:t>
      </w:r>
      <w:r>
        <w:t>the dynamically downscaled</w:t>
      </w:r>
      <w:r w:rsidRPr="0045734B">
        <w:t xml:space="preserve"> </w:t>
      </w:r>
      <w:r>
        <w:t>RCM</w:t>
      </w:r>
      <w:r w:rsidRPr="00DC683F">
        <w:rPr>
          <w:vertAlign w:val="subscript"/>
        </w:rPr>
        <w:t>O</w:t>
      </w:r>
      <w:r>
        <w:t>, and its corresponding bias-corrected ensembles (RCM</w:t>
      </w:r>
      <w:r w:rsidRPr="006553BF">
        <w:rPr>
          <w:vertAlign w:val="subscript"/>
        </w:rPr>
        <w:t>CL</w:t>
      </w:r>
      <w:r>
        <w:t xml:space="preserve"> </w:t>
      </w:r>
      <w:r w:rsidRPr="0045734B">
        <w:t xml:space="preserve">and </w:t>
      </w:r>
      <w:r>
        <w:t>RCM</w:t>
      </w:r>
      <w:r w:rsidRPr="006553BF">
        <w:rPr>
          <w:vertAlign w:val="subscript"/>
        </w:rPr>
        <w:t>CD</w:t>
      </w:r>
      <w:r>
        <w:t>), showed</w:t>
      </w:r>
      <w:r w:rsidRPr="0045734B">
        <w:t xml:space="preserve"> larger differences</w:t>
      </w:r>
      <w:r>
        <w:t xml:space="preserve"> (smaller increases)</w:t>
      </w:r>
      <w:r w:rsidRPr="0045734B">
        <w:t xml:space="preserve"> in the simulat</w:t>
      </w:r>
      <w:r>
        <w:t>ed</w:t>
      </w:r>
      <w:r w:rsidRPr="0045734B">
        <w:t xml:space="preserve"> magnitude of change in mean T</w:t>
      </w:r>
      <w:r w:rsidRPr="0045734B">
        <w:rPr>
          <w:vertAlign w:val="subscript"/>
        </w:rPr>
        <w:t>max</w:t>
      </w:r>
      <w:r w:rsidRPr="0045734B">
        <w:t xml:space="preserve"> </w:t>
      </w:r>
      <w:r>
        <w:t xml:space="preserve">and </w:t>
      </w:r>
      <w:r w:rsidRPr="0045734B">
        <w:t>T</w:t>
      </w:r>
      <w:r w:rsidRPr="0045734B">
        <w:rPr>
          <w:vertAlign w:val="subscript"/>
        </w:rPr>
        <w:t>95</w:t>
      </w:r>
      <w:r w:rsidRPr="0045734B">
        <w:t xml:space="preserve"> than those </w:t>
      </w:r>
      <w:r>
        <w:t>shown</w:t>
      </w:r>
      <w:r w:rsidRPr="0045734B">
        <w:t xml:space="preserve"> by </w:t>
      </w:r>
      <w:r>
        <w:t>statistically downscaled ensembles (DBCCA</w:t>
      </w:r>
      <w:r>
        <w:rPr>
          <w:vertAlign w:val="subscript"/>
        </w:rPr>
        <w:t>L</w:t>
      </w:r>
      <w:r>
        <w:t xml:space="preserve"> </w:t>
      </w:r>
      <w:r w:rsidRPr="0045734B">
        <w:t xml:space="preserve">and </w:t>
      </w:r>
      <w:r>
        <w:t>DBCCA</w:t>
      </w:r>
      <w:r>
        <w:rPr>
          <w:vertAlign w:val="subscript"/>
        </w:rPr>
        <w:t>D</w:t>
      </w:r>
      <w:r>
        <w:t>)</w:t>
      </w:r>
      <w:r w:rsidRPr="0045734B">
        <w:t xml:space="preserve">. However, </w:t>
      </w:r>
      <w:r>
        <w:t>RCM</w:t>
      </w:r>
      <w:r w:rsidRPr="006553BF">
        <w:rPr>
          <w:vertAlign w:val="subscript"/>
        </w:rPr>
        <w:t>CL</w:t>
      </w:r>
      <w:r w:rsidRPr="0045734B" w:rsidDel="00047453">
        <w:t xml:space="preserve"> </w:t>
      </w:r>
      <w:r w:rsidRPr="0045734B">
        <w:t xml:space="preserve">and </w:t>
      </w:r>
      <w:r>
        <w:t>RCM</w:t>
      </w:r>
      <w:r w:rsidRPr="006553BF">
        <w:rPr>
          <w:vertAlign w:val="subscript"/>
        </w:rPr>
        <w:t>CD</w:t>
      </w:r>
      <w:r w:rsidRPr="0045734B">
        <w:t xml:space="preserve"> project</w:t>
      </w:r>
      <w:r>
        <w:t>ed</w:t>
      </w:r>
      <w:r w:rsidRPr="0045734B">
        <w:t xml:space="preserve"> similar </w:t>
      </w:r>
      <w:r>
        <w:t>increases</w:t>
      </w:r>
      <w:r w:rsidRPr="0045734B">
        <w:t xml:space="preserve"> in the frequency of extremes</w:t>
      </w:r>
      <w:r>
        <w:t>,</w:t>
      </w:r>
      <w:r w:rsidRPr="0045734B">
        <w:t xml:space="preserve"> whereas </w:t>
      </w:r>
      <w:r>
        <w:t>DBCCA</w:t>
      </w:r>
      <w:r>
        <w:rPr>
          <w:vertAlign w:val="subscript"/>
        </w:rPr>
        <w:t>L</w:t>
      </w:r>
      <w:r w:rsidRPr="0045734B" w:rsidDel="000B6A84">
        <w:t xml:space="preserve"> </w:t>
      </w:r>
      <w:r w:rsidRPr="0045734B">
        <w:t xml:space="preserve">and </w:t>
      </w:r>
      <w:r>
        <w:t>DBCCA</w:t>
      </w:r>
      <w:r>
        <w:rPr>
          <w:vertAlign w:val="subscript"/>
        </w:rPr>
        <w:t>D</w:t>
      </w:r>
      <w:r w:rsidRPr="0045734B">
        <w:t xml:space="preserve"> </w:t>
      </w:r>
      <w:r>
        <w:t xml:space="preserve">had </w:t>
      </w:r>
      <w:r w:rsidRPr="0045734B">
        <w:t xml:space="preserve">significantly </w:t>
      </w:r>
      <w:r>
        <w:t>higher increases</w:t>
      </w:r>
      <w:r w:rsidRPr="0045734B">
        <w:t xml:space="preserve"> </w:t>
      </w:r>
      <w:r>
        <w:t xml:space="preserve">as </w:t>
      </w:r>
      <w:r w:rsidRPr="0045734B">
        <w:t xml:space="preserve">compared </w:t>
      </w:r>
      <w:r>
        <w:t>with</w:t>
      </w:r>
      <w:r w:rsidRPr="0045734B">
        <w:t xml:space="preserve"> the GCM (</w:t>
      </w:r>
      <w:r>
        <w:fldChar w:fldCharType="begin"/>
      </w:r>
      <w:r>
        <w:instrText xml:space="preserve"> REF _Ref80011033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fldChar w:fldCharType="end"/>
      </w:r>
      <w:r w:rsidRPr="0045734B">
        <w:t>).</w:t>
      </w:r>
    </w:p>
    <w:p w14:paraId="6DF63B3B" w14:textId="77777777" w:rsidR="003E53AD" w:rsidRDefault="003E53AD" w:rsidP="005F6BB4">
      <w:pPr>
        <w:pStyle w:val="BodyText"/>
      </w:pPr>
    </w:p>
    <w:p w14:paraId="22071D44" w14:textId="77777777" w:rsidR="00D9580F" w:rsidRDefault="00D9580F" w:rsidP="00D9580F">
      <w:pPr>
        <w:pStyle w:val="FIGUREposition"/>
      </w:pPr>
      <w:r>
        <w:rPr>
          <w:noProof/>
          <w:snapToGrid/>
        </w:rPr>
        <w:lastRenderedPageBreak/>
        <w:drawing>
          <wp:inline distT="0" distB="0" distL="0" distR="0" wp14:anchorId="77D5DA5B" wp14:editId="6226D329">
            <wp:extent cx="5943600" cy="500526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269"/>
                    <a:srcRect l="12095" t="20692" r="18234" b="15303"/>
                    <a:stretch/>
                  </pic:blipFill>
                  <pic:spPr bwMode="auto">
                    <a:xfrm>
                      <a:off x="0" y="0"/>
                      <a:ext cx="5943600" cy="5005263"/>
                    </a:xfrm>
                    <a:prstGeom prst="rect">
                      <a:avLst/>
                    </a:prstGeom>
                    <a:ln>
                      <a:noFill/>
                    </a:ln>
                    <a:extLst>
                      <a:ext uri="{53640926-AAD7-44D8-BBD7-CCE9431645EC}">
                        <a14:shadowObscured xmlns:a14="http://schemas.microsoft.com/office/drawing/2010/main"/>
                      </a:ext>
                    </a:extLst>
                  </pic:spPr>
                </pic:pic>
              </a:graphicData>
            </a:graphic>
          </wp:inline>
        </w:drawing>
      </w:r>
    </w:p>
    <w:p w14:paraId="05FA8BE7" w14:textId="65ABD2E1" w:rsidR="00D9580F" w:rsidRDefault="00D9580F" w:rsidP="00D9580F">
      <w:pPr>
        <w:pStyle w:val="FigureCaption"/>
        <w:rPr>
          <w:b w:val="0"/>
        </w:rPr>
      </w:pPr>
      <w:bookmarkStart w:id="567" w:name="_Ref80011033"/>
      <w:bookmarkStart w:id="568" w:name="_Toc113380963"/>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1</w:t>
      </w:r>
      <w:r w:rsidRPr="00F61532">
        <w:rPr>
          <w:lang w:eastAsia="zh-TW"/>
        </w:rPr>
        <w:fldChar w:fldCharType="end"/>
      </w:r>
      <w:bookmarkEnd w:id="567"/>
      <w:r w:rsidRPr="00F61532">
        <w:rPr>
          <w:lang w:eastAsia="zh-TW"/>
        </w:rPr>
        <w:t xml:space="preserve">. </w:t>
      </w:r>
      <w:r w:rsidRPr="00F80083">
        <w:rPr>
          <w:lang w:eastAsia="zh-TW"/>
        </w:rPr>
        <w:t>Projected changes in climate variables across the nine NCEI regions</w:t>
      </w:r>
      <w:r>
        <w:rPr>
          <w:lang w:eastAsia="zh-TW"/>
        </w:rPr>
        <w:t>.</w:t>
      </w:r>
      <w:bookmarkEnd w:id="568"/>
    </w:p>
    <w:p w14:paraId="6D780026" w14:textId="05228B9C" w:rsidR="00BF012F" w:rsidRPr="009B6157" w:rsidRDefault="00BF012F" w:rsidP="006E569B">
      <w:pPr>
        <w:pStyle w:val="Heading3"/>
      </w:pPr>
      <w:bookmarkStart w:id="569" w:name="_Toc113380840"/>
      <w:r w:rsidRPr="009B6157">
        <w:t>Project</w:t>
      </w:r>
      <w:r w:rsidR="00FB7A82">
        <w:t>ed</w:t>
      </w:r>
      <w:r w:rsidRPr="009B6157">
        <w:t xml:space="preserve"> Changes in Mean and </w:t>
      </w:r>
      <w:r w:rsidRPr="00870BB3">
        <w:t>Extreme</w:t>
      </w:r>
      <w:r w:rsidR="004E44C5">
        <w:t xml:space="preserve"> Daily Minimum Temperature</w:t>
      </w:r>
      <w:bookmarkEnd w:id="569"/>
    </w:p>
    <w:p w14:paraId="6E3751BE" w14:textId="5AE38196" w:rsidR="00976C7A" w:rsidRPr="00976C7A" w:rsidRDefault="00D64016" w:rsidP="005F6BB4">
      <w:pPr>
        <w:pStyle w:val="BodyText"/>
        <w:rPr>
          <w:highlight w:val="yellow"/>
        </w:rPr>
      </w:pPr>
      <w:r w:rsidRPr="0045734B">
        <w:t xml:space="preserve">All six </w:t>
      </w:r>
      <w:r>
        <w:t>ensembles</w:t>
      </w:r>
      <w:r w:rsidRPr="0045734B">
        <w:t xml:space="preserve"> project</w:t>
      </w:r>
      <w:r w:rsidR="00FB7A82">
        <w:t>ed</w:t>
      </w:r>
      <w:r w:rsidRPr="0045734B">
        <w:t xml:space="preserve"> statistically significant increases in T</w:t>
      </w:r>
      <w:r w:rsidRPr="0045734B">
        <w:rPr>
          <w:vertAlign w:val="subscript"/>
        </w:rPr>
        <w:t>min</w:t>
      </w:r>
      <w:r w:rsidRPr="0045734B">
        <w:t xml:space="preserve"> and T</w:t>
      </w:r>
      <w:r w:rsidRPr="0045734B">
        <w:rPr>
          <w:vertAlign w:val="subscript"/>
        </w:rPr>
        <w:t>05</w:t>
      </w:r>
      <w:r w:rsidRPr="0045734B">
        <w:t xml:space="preserve"> and </w:t>
      </w:r>
      <w:r>
        <w:t>project</w:t>
      </w:r>
      <w:r w:rsidR="00FB7A82">
        <w:t>ed</w:t>
      </w:r>
      <w:r>
        <w:t xml:space="preserve"> </w:t>
      </w:r>
      <w:r w:rsidRPr="0045734B">
        <w:t>decreases in</w:t>
      </w:r>
      <w:r>
        <w:t xml:space="preserve"> the</w:t>
      </w:r>
      <w:r w:rsidRPr="0045734B">
        <w:t xml:space="preserve"> number of days below historical </w:t>
      </w:r>
      <w:r>
        <w:t xml:space="preserve">period </w:t>
      </w:r>
      <w:r w:rsidRPr="0045734B">
        <w:t>T</w:t>
      </w:r>
      <w:r w:rsidRPr="0045734B">
        <w:rPr>
          <w:vertAlign w:val="subscript"/>
        </w:rPr>
        <w:t>05</w:t>
      </w:r>
      <w:r w:rsidRPr="0045734B">
        <w:t xml:space="preserve"> and </w:t>
      </w:r>
      <w:r>
        <w:t>in the</w:t>
      </w:r>
      <w:r w:rsidRPr="0045734B">
        <w:t xml:space="preserve"> number of frost days over all the regions</w:t>
      </w:r>
      <w:r>
        <w:t xml:space="preserve"> (</w:t>
      </w:r>
      <w:r w:rsidR="00C623BA">
        <w:fldChar w:fldCharType="begin"/>
      </w:r>
      <w:r w:rsidR="00C623BA">
        <w:instrText xml:space="preserve"> REF _Ref80011033 \h </w:instrText>
      </w:r>
      <w:r w:rsidR="00C623BA">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C623BA">
        <w:fldChar w:fldCharType="end"/>
      </w:r>
      <w:r w:rsidR="00C623BA">
        <w:t>e–</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Pr="00D64016">
        <w:t xml:space="preserve"> </w:t>
      </w:r>
      <w:r>
        <w:t>h)</w:t>
      </w:r>
      <w:r w:rsidRPr="0045734B">
        <w:t xml:space="preserve">. </w:t>
      </w:r>
      <w:r>
        <w:t xml:space="preserve">When compared </w:t>
      </w:r>
      <w:r w:rsidR="00FB7A82">
        <w:t xml:space="preserve">with </w:t>
      </w:r>
      <w:r>
        <w:t>G</w:t>
      </w:r>
      <w:r w:rsidRPr="00EA2312">
        <w:t>CM</w:t>
      </w:r>
      <w:r w:rsidRPr="00F23026">
        <w:rPr>
          <w:vertAlign w:val="subscript"/>
        </w:rPr>
        <w:t>O</w:t>
      </w:r>
      <w:r>
        <w:t>, c</w:t>
      </w:r>
      <w:r w:rsidRPr="0045734B">
        <w:t xml:space="preserve">ontrary to the </w:t>
      </w:r>
      <w:r>
        <w:t xml:space="preserve">future </w:t>
      </w:r>
      <w:r w:rsidRPr="0045734B">
        <w:t>changes in T</w:t>
      </w:r>
      <w:r w:rsidRPr="0045734B">
        <w:rPr>
          <w:vertAlign w:val="subscript"/>
        </w:rPr>
        <w:t>max</w:t>
      </w:r>
      <w:r w:rsidRPr="0045734B">
        <w:t xml:space="preserve">, </w:t>
      </w:r>
      <w:r>
        <w:t>the dynamically downscaled</w:t>
      </w:r>
      <w:r w:rsidRPr="0045734B">
        <w:t xml:space="preserve"> </w:t>
      </w:r>
      <w:r>
        <w:t>RCM</w:t>
      </w:r>
      <w:r w:rsidRPr="00DC683F">
        <w:rPr>
          <w:vertAlign w:val="subscript"/>
        </w:rPr>
        <w:t>O</w:t>
      </w:r>
      <w:r>
        <w:t>, and its corresponding bias-corrected ensembles (RCM</w:t>
      </w:r>
      <w:r w:rsidRPr="006553BF">
        <w:rPr>
          <w:vertAlign w:val="subscript"/>
        </w:rPr>
        <w:t>CL</w:t>
      </w:r>
      <w:r>
        <w:t xml:space="preserve"> </w:t>
      </w:r>
      <w:r w:rsidRPr="0045734B">
        <w:t xml:space="preserve">and </w:t>
      </w:r>
      <w:r>
        <w:t>RCM</w:t>
      </w:r>
      <w:r w:rsidRPr="006553BF">
        <w:rPr>
          <w:vertAlign w:val="subscript"/>
        </w:rPr>
        <w:t>CD</w:t>
      </w:r>
      <w:r>
        <w:t>)</w:t>
      </w:r>
      <w:r w:rsidR="00FB7A82">
        <w:t>,</w:t>
      </w:r>
      <w:r w:rsidRPr="0045734B" w:rsidDel="004011ED">
        <w:t xml:space="preserve"> </w:t>
      </w:r>
      <w:r w:rsidRPr="0045734B">
        <w:t>project</w:t>
      </w:r>
      <w:r w:rsidR="00FB7A82">
        <w:t>ed</w:t>
      </w:r>
      <w:r w:rsidRPr="0045734B">
        <w:t xml:space="preserve"> higher </w:t>
      </w:r>
      <w:r>
        <w:t xml:space="preserve">future period </w:t>
      </w:r>
      <w:r w:rsidRPr="0045734B">
        <w:t>warming in T</w:t>
      </w:r>
      <w:r w:rsidRPr="0045734B">
        <w:rPr>
          <w:vertAlign w:val="subscript"/>
        </w:rPr>
        <w:t xml:space="preserve">min </w:t>
      </w:r>
      <w:r w:rsidRPr="0045734B">
        <w:t xml:space="preserve">over </w:t>
      </w:r>
      <w:r>
        <w:t>most</w:t>
      </w:r>
      <w:r w:rsidRPr="0045734B">
        <w:t xml:space="preserve"> regions</w:t>
      </w:r>
      <w:r>
        <w:t>,</w:t>
      </w:r>
      <w:r w:rsidRPr="0045734B">
        <w:t xml:space="preserve"> with </w:t>
      </w:r>
      <w:r>
        <w:t xml:space="preserve">the </w:t>
      </w:r>
      <w:r w:rsidRPr="0045734B">
        <w:t xml:space="preserve">largest differences </w:t>
      </w:r>
      <w:r>
        <w:t>(</w:t>
      </w:r>
      <w:r w:rsidRPr="0045734B">
        <w:t>up</w:t>
      </w:r>
      <w:r>
        <w:t xml:space="preserve"> </w:t>
      </w:r>
      <w:r w:rsidRPr="0045734B">
        <w:t>to</w:t>
      </w:r>
      <w:r>
        <w:t xml:space="preserve"> </w:t>
      </w:r>
      <w:r w:rsidRPr="0045734B">
        <w:t>0.</w:t>
      </w:r>
      <w:r>
        <w:t>41°F)</w:t>
      </w:r>
      <w:r w:rsidRPr="0045734B">
        <w:t xml:space="preserve"> in the </w:t>
      </w:r>
      <w:r w:rsidR="00FB7A82">
        <w:t>w</w:t>
      </w:r>
      <w:r w:rsidRPr="0045734B">
        <w:t>est</w:t>
      </w:r>
      <w:r>
        <w:t>ern United States</w:t>
      </w:r>
      <w:r w:rsidRPr="0045734B" w:rsidDel="00BA7765">
        <w:t xml:space="preserve"> </w:t>
      </w:r>
      <w:r>
        <w:t>(</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Pr="00D64016">
        <w:t xml:space="preserve"> </w:t>
      </w:r>
      <w:r>
        <w:t>e)</w:t>
      </w:r>
      <w:r w:rsidRPr="0045734B">
        <w:t xml:space="preserve">. </w:t>
      </w:r>
      <w:r>
        <w:t>These ensembles</w:t>
      </w:r>
      <w:r w:rsidRPr="0045734B">
        <w:t xml:space="preserve"> </w:t>
      </w:r>
      <w:r>
        <w:t>also projected higher increases in</w:t>
      </w:r>
      <w:r w:rsidRPr="0045734B">
        <w:t xml:space="preserve"> T</w:t>
      </w:r>
      <w:r w:rsidRPr="0045734B">
        <w:rPr>
          <w:vertAlign w:val="subscript"/>
        </w:rPr>
        <w:t>05</w:t>
      </w:r>
      <w:r w:rsidRPr="0045734B">
        <w:t xml:space="preserve"> </w:t>
      </w:r>
      <w:r>
        <w:t>than the G</w:t>
      </w:r>
      <w:r w:rsidRPr="00EA2312">
        <w:t>CM</w:t>
      </w:r>
      <w:r w:rsidRPr="00F23026">
        <w:rPr>
          <w:vertAlign w:val="subscript"/>
        </w:rPr>
        <w:t>O</w:t>
      </w:r>
      <w:r>
        <w:t xml:space="preserve">, </w:t>
      </w:r>
      <w:r w:rsidRPr="0045734B">
        <w:t xml:space="preserve">with </w:t>
      </w:r>
      <w:r>
        <w:t xml:space="preserve">the </w:t>
      </w:r>
      <w:r w:rsidRPr="0045734B">
        <w:t>largest differences in</w:t>
      </w:r>
      <w:r>
        <w:t xml:space="preserve"> warming over</w:t>
      </w:r>
      <w:r w:rsidRPr="0045734B">
        <w:t xml:space="preserve"> the </w:t>
      </w:r>
      <w:r w:rsidR="00FB7A82">
        <w:t>w</w:t>
      </w:r>
      <w:r w:rsidRPr="00880781">
        <w:t>est</w:t>
      </w:r>
      <w:r w:rsidR="00FB7A82">
        <w:t>ern</w:t>
      </w:r>
      <w:r w:rsidRPr="00880781">
        <w:t xml:space="preserve"> and </w:t>
      </w:r>
      <w:r w:rsidR="00FB7A82">
        <w:t>s</w:t>
      </w:r>
      <w:r w:rsidRPr="00880781">
        <w:t>outhwest</w:t>
      </w:r>
      <w:r w:rsidR="00FB7A82">
        <w:t>ern United States</w:t>
      </w:r>
      <w:r>
        <w:t xml:space="preserve"> (</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w:t>
      </w:r>
      <w:r w:rsidR="00BC7747" w:rsidRPr="0045734B">
        <w:t>.</w:t>
      </w:r>
      <w:r w:rsidR="00BC7747">
        <w:t xml:space="preserve"> </w:t>
      </w:r>
      <w:r>
        <w:t>On the other hand, similar to the future changes in</w:t>
      </w:r>
      <w:r w:rsidRPr="00E24BE2">
        <w:t xml:space="preserve"> </w:t>
      </w:r>
      <w:r w:rsidRPr="0045734B">
        <w:t>T</w:t>
      </w:r>
      <w:r w:rsidRPr="0045734B">
        <w:rPr>
          <w:vertAlign w:val="subscript"/>
        </w:rPr>
        <w:t>max</w:t>
      </w:r>
      <w:r w:rsidRPr="0045734B">
        <w:t>,</w:t>
      </w:r>
      <w:r>
        <w:t xml:space="preserve"> DBCCA</w:t>
      </w:r>
      <w:r>
        <w:rPr>
          <w:vertAlign w:val="subscript"/>
        </w:rPr>
        <w:t>L</w:t>
      </w:r>
      <w:r w:rsidRPr="0045734B" w:rsidDel="00880781">
        <w:t xml:space="preserve"> </w:t>
      </w:r>
      <w:r w:rsidRPr="0045734B">
        <w:t xml:space="preserve">and </w:t>
      </w:r>
      <w:r>
        <w:t>DBCCA</w:t>
      </w:r>
      <w:r>
        <w:rPr>
          <w:vertAlign w:val="subscript"/>
        </w:rPr>
        <w:t>D</w:t>
      </w:r>
      <w:r w:rsidRPr="0045734B">
        <w:t xml:space="preserve"> </w:t>
      </w:r>
      <w:r>
        <w:t>exhibit</w:t>
      </w:r>
      <w:r w:rsidR="00FB7A82">
        <w:t>ed</w:t>
      </w:r>
      <w:r>
        <w:t xml:space="preserve"> future </w:t>
      </w:r>
      <w:r w:rsidRPr="00CC02AC">
        <w:t>changes in T</w:t>
      </w:r>
      <w:r w:rsidRPr="00CC02AC">
        <w:rPr>
          <w:vertAlign w:val="subscript"/>
        </w:rPr>
        <w:t>min</w:t>
      </w:r>
      <w:r w:rsidRPr="00CC02AC">
        <w:t xml:space="preserve"> </w:t>
      </w:r>
      <w:r>
        <w:t>comparable</w:t>
      </w:r>
      <w:r w:rsidRPr="00CC02AC">
        <w:t xml:space="preserve"> </w:t>
      </w:r>
      <w:r>
        <w:t>to</w:t>
      </w:r>
      <w:r w:rsidRPr="00CC02AC">
        <w:t xml:space="preserve"> </w:t>
      </w:r>
      <w:r>
        <w:t>G</w:t>
      </w:r>
      <w:r w:rsidRPr="00EA2312">
        <w:t>CM</w:t>
      </w:r>
      <w:r w:rsidRPr="00F23026">
        <w:rPr>
          <w:vertAlign w:val="subscript"/>
        </w:rPr>
        <w:t>O</w:t>
      </w:r>
      <w:r w:rsidRPr="00CC02AC">
        <w:t xml:space="preserve"> over most regions</w:t>
      </w:r>
      <w:r>
        <w:t>,</w:t>
      </w:r>
      <w:r w:rsidRPr="00CC02AC">
        <w:t xml:space="preserve"> except </w:t>
      </w:r>
      <w:r>
        <w:t xml:space="preserve">in the </w:t>
      </w:r>
      <w:r w:rsidR="00FB7A82">
        <w:t>w</w:t>
      </w:r>
      <w:r w:rsidRPr="00CC02AC">
        <w:t>est</w:t>
      </w:r>
      <w:r w:rsidR="00FB7A82">
        <w:t>ern</w:t>
      </w:r>
      <w:r>
        <w:t xml:space="preserve"> </w:t>
      </w:r>
      <w:r w:rsidRPr="00CC02AC">
        <w:t xml:space="preserve">and </w:t>
      </w:r>
      <w:r w:rsidR="00FB7A82">
        <w:t>n</w:t>
      </w:r>
      <w:r w:rsidRPr="00CC02AC">
        <w:t>orthwest</w:t>
      </w:r>
      <w:r w:rsidR="00FB7A82">
        <w:t>ern United States,</w:t>
      </w:r>
      <w:r w:rsidRPr="00CC02AC">
        <w:t xml:space="preserve"> where differences in the magnitude of </w:t>
      </w:r>
      <w:r>
        <w:t xml:space="preserve">changes in </w:t>
      </w:r>
      <w:r w:rsidRPr="00CC02AC">
        <w:t>T</w:t>
      </w:r>
      <w:r w:rsidRPr="00CC02AC">
        <w:rPr>
          <w:vertAlign w:val="subscript"/>
        </w:rPr>
        <w:t>min</w:t>
      </w:r>
      <w:r w:rsidRPr="00CC02AC">
        <w:t xml:space="preserve"> between GCM</w:t>
      </w:r>
      <w:r w:rsidRPr="00CC02AC">
        <w:rPr>
          <w:vertAlign w:val="subscript"/>
        </w:rPr>
        <w:t>O</w:t>
      </w:r>
      <w:r w:rsidRPr="00CC02AC">
        <w:t xml:space="preserve"> and </w:t>
      </w:r>
      <w:r>
        <w:t>the</w:t>
      </w:r>
      <w:r w:rsidRPr="00CC02AC">
        <w:t xml:space="preserve"> </w:t>
      </w:r>
      <w:r>
        <w:t>corresponding statistically downscaled ensembles</w:t>
      </w:r>
      <w:r w:rsidRPr="00CC02AC" w:rsidDel="00403406">
        <w:t xml:space="preserve"> </w:t>
      </w:r>
      <w:r w:rsidR="00FB7A82">
        <w:t xml:space="preserve">were </w:t>
      </w:r>
      <w:r w:rsidRPr="00CC02AC">
        <w:t xml:space="preserve">higher </w:t>
      </w:r>
      <w:r>
        <w:t>(</w:t>
      </w:r>
      <w:r w:rsidRPr="00CC02AC">
        <w:t>by 0.1</w:t>
      </w:r>
      <w:r>
        <w:t>8°F–</w:t>
      </w:r>
      <w:r w:rsidRPr="00CC02AC">
        <w:t>0.</w:t>
      </w:r>
      <w:r>
        <w:t>41°F)</w:t>
      </w:r>
      <w:r w:rsidRPr="00CC02AC">
        <w:t xml:space="preserve"> </w:t>
      </w:r>
      <w:r>
        <w:t>(</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e)</w:t>
      </w:r>
      <w:r w:rsidR="00BC7747" w:rsidRPr="0045734B">
        <w:t xml:space="preserve">. </w:t>
      </w:r>
      <w:r w:rsidRPr="00CC02AC">
        <w:t>The magnitude of future</w:t>
      </w:r>
      <w:r w:rsidR="00FB7A82">
        <w:t xml:space="preserve"> </w:t>
      </w:r>
      <w:r w:rsidRPr="00CC02AC">
        <w:t>period changes in T</w:t>
      </w:r>
      <w:r w:rsidRPr="00CC02AC">
        <w:rPr>
          <w:vertAlign w:val="subscript"/>
        </w:rPr>
        <w:t>05</w:t>
      </w:r>
      <w:r w:rsidRPr="00CC02AC">
        <w:t xml:space="preserve"> </w:t>
      </w:r>
      <w:r w:rsidR="00FB7A82">
        <w:t xml:space="preserve">was </w:t>
      </w:r>
      <w:r w:rsidRPr="00CC02AC">
        <w:t>lower in DBCCA</w:t>
      </w:r>
      <w:r w:rsidRPr="00CC02AC">
        <w:rPr>
          <w:vertAlign w:val="subscript"/>
        </w:rPr>
        <w:t>L</w:t>
      </w:r>
      <w:r w:rsidRPr="00CC02AC" w:rsidDel="000B6A84">
        <w:t xml:space="preserve"> </w:t>
      </w:r>
      <w:r w:rsidRPr="00CC02AC">
        <w:t>and DBCCA</w:t>
      </w:r>
      <w:r w:rsidRPr="00CC02AC">
        <w:rPr>
          <w:vertAlign w:val="subscript"/>
        </w:rPr>
        <w:t>D</w:t>
      </w:r>
      <w:r w:rsidRPr="00CC02AC">
        <w:t xml:space="preserve"> compared </w:t>
      </w:r>
      <w:r>
        <w:t>with</w:t>
      </w:r>
      <w:r w:rsidRPr="00CC02AC">
        <w:t xml:space="preserve"> the GCM</w:t>
      </w:r>
      <w:r w:rsidRPr="00CC02AC">
        <w:rPr>
          <w:vertAlign w:val="subscript"/>
        </w:rPr>
        <w:t>O</w:t>
      </w:r>
      <w:r>
        <w:t xml:space="preserve">, </w:t>
      </w:r>
      <w:r w:rsidRPr="00CC02AC">
        <w:t xml:space="preserve">except over </w:t>
      </w:r>
      <w:r>
        <w:t xml:space="preserve">the </w:t>
      </w:r>
      <w:r w:rsidRPr="00CC02AC">
        <w:t>Northern Rockies and Upper Midwest</w:t>
      </w:r>
      <w:r w:rsidRPr="0045734B" w:rsidDel="00BA7765">
        <w:t xml:space="preserve"> </w:t>
      </w:r>
      <w:r>
        <w:t>(</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f)</w:t>
      </w:r>
      <w:r w:rsidR="00BC7747" w:rsidRPr="0045734B">
        <w:t xml:space="preserve">. </w:t>
      </w:r>
      <w:r w:rsidRPr="0045734B">
        <w:t>Further</w:t>
      </w:r>
      <w:r w:rsidR="005606E5">
        <w:t>more</w:t>
      </w:r>
      <w:r w:rsidRPr="0045734B">
        <w:t>,</w:t>
      </w:r>
      <w:r>
        <w:t xml:space="preserve"> there </w:t>
      </w:r>
      <w:r w:rsidR="00FB7A82">
        <w:t xml:space="preserve">were </w:t>
      </w:r>
      <w:r>
        <w:t>differences between</w:t>
      </w:r>
      <w:r w:rsidRPr="0045734B">
        <w:t xml:space="preserve"> </w:t>
      </w:r>
      <w:r>
        <w:t>DBCCA</w:t>
      </w:r>
      <w:r>
        <w:rPr>
          <w:vertAlign w:val="subscript"/>
        </w:rPr>
        <w:t>L</w:t>
      </w:r>
      <w:r w:rsidRPr="0045734B" w:rsidDel="000B6A84">
        <w:t xml:space="preserve"> </w:t>
      </w:r>
      <w:r w:rsidRPr="0045734B">
        <w:t xml:space="preserve">and </w:t>
      </w:r>
      <w:r>
        <w:t>DBCCA</w:t>
      </w:r>
      <w:r>
        <w:rPr>
          <w:vertAlign w:val="subscript"/>
        </w:rPr>
        <w:t>D</w:t>
      </w:r>
      <w:r w:rsidRPr="0045734B">
        <w:t xml:space="preserve"> in projected warming in T</w:t>
      </w:r>
      <w:r w:rsidRPr="0045734B">
        <w:rPr>
          <w:vertAlign w:val="subscript"/>
        </w:rPr>
        <w:t>min</w:t>
      </w:r>
      <w:r w:rsidRPr="0045734B">
        <w:t xml:space="preserve"> and T</w:t>
      </w:r>
      <w:r w:rsidRPr="0045734B">
        <w:rPr>
          <w:vertAlign w:val="subscript"/>
        </w:rPr>
        <w:t xml:space="preserve">05 </w:t>
      </w:r>
      <w:r w:rsidRPr="0045734B">
        <w:t xml:space="preserve">over most regions. </w:t>
      </w:r>
      <w:r w:rsidRPr="00CC02AC">
        <w:t>These differences can be part</w:t>
      </w:r>
      <w:r>
        <w:t>ial</w:t>
      </w:r>
      <w:r w:rsidRPr="00CC02AC">
        <w:t xml:space="preserve">ly attributed to the </w:t>
      </w:r>
      <w:r>
        <w:t xml:space="preserve">larger differences between Livneh and Daymet for </w:t>
      </w:r>
      <w:r w:rsidRPr="0045734B">
        <w:t>T</w:t>
      </w:r>
      <w:r w:rsidRPr="0045734B">
        <w:rPr>
          <w:vertAlign w:val="subscript"/>
        </w:rPr>
        <w:t>min</w:t>
      </w:r>
      <w:r w:rsidRPr="0045734B">
        <w:t xml:space="preserve"> </w:t>
      </w:r>
      <w:r>
        <w:t>in the historical period</w:t>
      </w:r>
      <w:r w:rsidRPr="0045734B">
        <w:t>.</w:t>
      </w:r>
      <w:r>
        <w:t xml:space="preserve"> </w:t>
      </w:r>
      <w:r w:rsidR="00FB7A82">
        <w:lastRenderedPageBreak/>
        <w:t>Finally</w:t>
      </w:r>
      <w:r w:rsidRPr="0045734B">
        <w:t xml:space="preserve">, the projected changes in </w:t>
      </w:r>
      <w:r>
        <w:t xml:space="preserve">the </w:t>
      </w:r>
      <w:r w:rsidRPr="0045734B">
        <w:t>number of days below historical T</w:t>
      </w:r>
      <w:r w:rsidRPr="0045734B">
        <w:rPr>
          <w:vertAlign w:val="subscript"/>
        </w:rPr>
        <w:t>05</w:t>
      </w:r>
      <w:r w:rsidRPr="0045734B">
        <w:t xml:space="preserve"> </w:t>
      </w:r>
      <w:r w:rsidR="00FB7A82">
        <w:t xml:space="preserve">were </w:t>
      </w:r>
      <w:r w:rsidRPr="0045734B">
        <w:t>generally comparable across</w:t>
      </w:r>
      <w:r>
        <w:t xml:space="preserve"> all</w:t>
      </w:r>
      <w:r w:rsidRPr="0045734B">
        <w:t xml:space="preserve"> the </w:t>
      </w:r>
      <w:r>
        <w:t>ensemble</w:t>
      </w:r>
      <w:r w:rsidRPr="0045734B">
        <w:t>s</w:t>
      </w:r>
      <w:r w:rsidR="00BC7747">
        <w:t xml:space="preserve"> (</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g)</w:t>
      </w:r>
      <w:r w:rsidR="00BC7747" w:rsidRPr="0045734B">
        <w:t xml:space="preserve">. </w:t>
      </w:r>
      <w:r w:rsidRPr="0045734B">
        <w:t xml:space="preserve">However, </w:t>
      </w:r>
      <w:r w:rsidR="00FB7A82">
        <w:t xml:space="preserve">the </w:t>
      </w:r>
      <w:r w:rsidRPr="0045734B">
        <w:t>projected decrease</w:t>
      </w:r>
      <w:r>
        <w:t xml:space="preserve"> </w:t>
      </w:r>
      <w:r w:rsidR="00FB7A82">
        <w:t xml:space="preserve">was </w:t>
      </w:r>
      <w:r>
        <w:t>higher</w:t>
      </w:r>
      <w:r w:rsidRPr="0045734B">
        <w:t xml:space="preserve"> in </w:t>
      </w:r>
      <w:r>
        <w:t>the</w:t>
      </w:r>
      <w:r w:rsidRPr="0045734B">
        <w:t xml:space="preserve"> number of frost days in </w:t>
      </w:r>
      <w:r>
        <w:t>RCM and its bias</w:t>
      </w:r>
      <w:r w:rsidR="00FB7A82">
        <w:t>-</w:t>
      </w:r>
      <w:r>
        <w:t>corrected ensembles</w:t>
      </w:r>
      <w:r w:rsidRPr="00EA2312">
        <w:t xml:space="preserve"> </w:t>
      </w:r>
      <w:r>
        <w:t>(</w:t>
      </w:r>
      <w:r w:rsidRPr="00EA2312">
        <w:t>RCM</w:t>
      </w:r>
      <w:r w:rsidRPr="00F23026">
        <w:rPr>
          <w:vertAlign w:val="subscript"/>
        </w:rPr>
        <w:t>O</w:t>
      </w:r>
      <w:r w:rsidRPr="0045734B">
        <w:t xml:space="preserve">, </w:t>
      </w:r>
      <w:r>
        <w:t>RCM</w:t>
      </w:r>
      <w:r w:rsidRPr="006553BF">
        <w:rPr>
          <w:vertAlign w:val="subscript"/>
        </w:rPr>
        <w:t>CL</w:t>
      </w:r>
      <w:r w:rsidRPr="0045734B" w:rsidDel="00047453">
        <w:t xml:space="preserve"> </w:t>
      </w:r>
      <w:r w:rsidRPr="0045734B">
        <w:t xml:space="preserve">and </w:t>
      </w:r>
      <w:r>
        <w:t>RCM</w:t>
      </w:r>
      <w:r w:rsidRPr="006553BF">
        <w:rPr>
          <w:vertAlign w:val="subscript"/>
        </w:rPr>
        <w:t>CD</w:t>
      </w:r>
      <w:r>
        <w:t xml:space="preserve">) </w:t>
      </w:r>
      <w:r w:rsidRPr="0045734B">
        <w:t>(by 1</w:t>
      </w:r>
      <w:r>
        <w:t>–</w:t>
      </w:r>
      <w:r w:rsidRPr="0045734B">
        <w:t xml:space="preserve">5 days) than in </w:t>
      </w:r>
      <w:r>
        <w:t>statistically downscaled ensembles (DBCCA</w:t>
      </w:r>
      <w:r>
        <w:rPr>
          <w:vertAlign w:val="subscript"/>
        </w:rPr>
        <w:t>L</w:t>
      </w:r>
      <w:r w:rsidRPr="0045734B" w:rsidDel="000B6A84">
        <w:t xml:space="preserve"> </w:t>
      </w:r>
      <w:r w:rsidRPr="0045734B">
        <w:t xml:space="preserve">and </w:t>
      </w:r>
      <w:r>
        <w:t>DBCCA</w:t>
      </w:r>
      <w:r>
        <w:rPr>
          <w:vertAlign w:val="subscript"/>
        </w:rPr>
        <w:t>D</w:t>
      </w:r>
      <w:r>
        <w:t>)</w:t>
      </w:r>
      <w:r w:rsidRPr="0045734B">
        <w:t xml:space="preserve"> (by up to 3 days) </w:t>
      </w:r>
      <w:r>
        <w:t xml:space="preserve">in </w:t>
      </w:r>
      <w:r w:rsidRPr="0045734B">
        <w:t>compar</w:t>
      </w:r>
      <w:r>
        <w:t>ison</w:t>
      </w:r>
      <w:r w:rsidRPr="0045734B">
        <w:t xml:space="preserve"> </w:t>
      </w:r>
      <w:r>
        <w:t>to</w:t>
      </w:r>
      <w:r w:rsidRPr="0045734B">
        <w:t xml:space="preserve"> the </w:t>
      </w:r>
      <w:r w:rsidRPr="00CC02AC">
        <w:t>GCM</w:t>
      </w:r>
      <w:r w:rsidRPr="00CC02AC">
        <w:rPr>
          <w:vertAlign w:val="subscript"/>
        </w:rPr>
        <w:t>O</w:t>
      </w:r>
      <w:r w:rsidR="00BC7747">
        <w:t xml:space="preserve"> (</w:t>
      </w:r>
      <w:r w:rsidR="00BC7747">
        <w:fldChar w:fldCharType="begin"/>
      </w:r>
      <w:r w:rsidR="00BC7747">
        <w:instrText xml:space="preserve"> REF _Ref80011033 \h </w:instrText>
      </w:r>
      <w:r w:rsidR="00BC774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BC7747">
        <w:fldChar w:fldCharType="end"/>
      </w:r>
      <w:r w:rsidR="00BC7747">
        <w:t>h)</w:t>
      </w:r>
      <w:r w:rsidR="00BC7747" w:rsidRPr="0045734B">
        <w:t>.</w:t>
      </w:r>
    </w:p>
    <w:p w14:paraId="16D5BD27" w14:textId="54578326" w:rsidR="009B6157" w:rsidRPr="009B6157" w:rsidRDefault="009B6157" w:rsidP="00E94571">
      <w:pPr>
        <w:pStyle w:val="Heading3"/>
      </w:pPr>
      <w:bookmarkStart w:id="570" w:name="_Toc113380841"/>
      <w:r w:rsidRPr="009B6157">
        <w:t>Project</w:t>
      </w:r>
      <w:r w:rsidR="00FB7A82">
        <w:t>ed</w:t>
      </w:r>
      <w:r w:rsidRPr="009B6157">
        <w:t xml:space="preserve"> Changes in </w:t>
      </w:r>
      <w:r w:rsidRPr="00870BB3">
        <w:t xml:space="preserve">Mean and Extreme </w:t>
      </w:r>
      <w:r w:rsidR="00D72D33" w:rsidRPr="00870BB3">
        <w:t>P</w:t>
      </w:r>
      <w:r w:rsidR="00D72D33">
        <w:t>recipitation</w:t>
      </w:r>
      <w:bookmarkEnd w:id="570"/>
    </w:p>
    <w:p w14:paraId="20C642BC" w14:textId="0D6AE79C" w:rsidR="009B6157" w:rsidRDefault="00D64016" w:rsidP="005F6BB4">
      <w:pPr>
        <w:pStyle w:val="BodyText"/>
      </w:pPr>
      <w:r>
        <w:t>A</w:t>
      </w:r>
      <w:r w:rsidRPr="0045734B">
        <w:t xml:space="preserve">ll </w:t>
      </w:r>
      <w:r>
        <w:t>ensembles project</w:t>
      </w:r>
      <w:r w:rsidR="00FB7A82">
        <w:t>ed</w:t>
      </w:r>
      <w:r>
        <w:t xml:space="preserve"> significant increases in</w:t>
      </w:r>
      <w:r w:rsidRPr="0045734B">
        <w:t xml:space="preserve"> P, P</w:t>
      </w:r>
      <w:r w:rsidRPr="0045734B">
        <w:rPr>
          <w:vertAlign w:val="subscript"/>
        </w:rPr>
        <w:t>95</w:t>
      </w:r>
      <w:r>
        <w:t xml:space="preserve">, </w:t>
      </w:r>
      <w:r w:rsidRPr="0045734B">
        <w:t>and number of days above historical</w:t>
      </w:r>
      <w:r>
        <w:t xml:space="preserve"> period</w:t>
      </w:r>
      <w:r w:rsidRPr="0045734B">
        <w:t xml:space="preserve"> P</w:t>
      </w:r>
      <w:r w:rsidRPr="0045734B">
        <w:rPr>
          <w:vertAlign w:val="subscript"/>
        </w:rPr>
        <w:t>95</w:t>
      </w:r>
      <w:r w:rsidRPr="0045734B">
        <w:t xml:space="preserve"> over </w:t>
      </w:r>
      <w:r>
        <w:t xml:space="preserve">most </w:t>
      </w:r>
      <w:r w:rsidRPr="0045734B">
        <w:t>of</w:t>
      </w:r>
      <w:r>
        <w:t xml:space="preserve"> the regions</w:t>
      </w:r>
      <w:r w:rsidRPr="00F40D15">
        <w:t>.</w:t>
      </w:r>
      <w:r w:rsidRPr="0045734B">
        <w:t xml:space="preserve"> The </w:t>
      </w:r>
      <w:r>
        <w:t>future</w:t>
      </w:r>
      <w:r w:rsidR="00FB7A82">
        <w:t xml:space="preserve"> </w:t>
      </w:r>
      <w:r>
        <w:t xml:space="preserve">period </w:t>
      </w:r>
      <w:r w:rsidR="00FB7A82">
        <w:t xml:space="preserve">projected </w:t>
      </w:r>
      <w:r w:rsidRPr="0045734B">
        <w:t xml:space="preserve">increase </w:t>
      </w:r>
      <w:r w:rsidR="00FB7A82">
        <w:t xml:space="preserve">was </w:t>
      </w:r>
      <w:r w:rsidRPr="0045734B">
        <w:t xml:space="preserve">higher over the </w:t>
      </w:r>
      <w:r w:rsidR="00FB7A82">
        <w:t>s</w:t>
      </w:r>
      <w:r w:rsidRPr="0045734B">
        <w:t>outheast</w:t>
      </w:r>
      <w:r w:rsidR="00FB7A82">
        <w:t>ern</w:t>
      </w:r>
      <w:r>
        <w:t xml:space="preserve"> and</w:t>
      </w:r>
      <w:r w:rsidRPr="0045734B">
        <w:t xml:space="preserve"> </w:t>
      </w:r>
      <w:r w:rsidR="00FB7A82">
        <w:t>n</w:t>
      </w:r>
      <w:r w:rsidRPr="0045734B">
        <w:t>ortheast</w:t>
      </w:r>
      <w:r w:rsidR="00FB7A82">
        <w:t>ern United States</w:t>
      </w:r>
      <w:r>
        <w:t>.</w:t>
      </w:r>
      <w:r w:rsidRPr="0045734B">
        <w:t xml:space="preserve"> </w:t>
      </w:r>
      <w:r>
        <w:t>On the other hand</w:t>
      </w:r>
      <w:r w:rsidRPr="0045734B">
        <w:t>, the project</w:t>
      </w:r>
      <w:r>
        <w:t>ed</w:t>
      </w:r>
      <w:r w:rsidRPr="0045734B">
        <w:t xml:space="preserve"> changes in </w:t>
      </w:r>
      <w:r>
        <w:t>wet days</w:t>
      </w:r>
      <w:r w:rsidRPr="0045734B">
        <w:t xml:space="preserve"> </w:t>
      </w:r>
      <w:r w:rsidR="00FB7A82">
        <w:t xml:space="preserve">were </w:t>
      </w:r>
      <w:r w:rsidRPr="0045734B">
        <w:t>small and not significant</w:t>
      </w:r>
      <w:r>
        <w:t xml:space="preserve">, </w:t>
      </w:r>
      <w:r w:rsidRPr="0045734B">
        <w:t>implying that the</w:t>
      </w:r>
      <w:r>
        <w:t xml:space="preserve"> future period </w:t>
      </w:r>
      <w:r w:rsidRPr="0045734B">
        <w:t xml:space="preserve">increase in P </w:t>
      </w:r>
      <w:r>
        <w:t>is a result of an increase in precipitation intensity and</w:t>
      </w:r>
      <w:r w:rsidRPr="0045734B">
        <w:t xml:space="preserve"> P</w:t>
      </w:r>
      <w:r w:rsidRPr="0045734B">
        <w:rPr>
          <w:vertAlign w:val="subscript"/>
        </w:rPr>
        <w:t>95</w:t>
      </w:r>
      <w:r w:rsidRPr="0045734B">
        <w:t xml:space="preserve">. The </w:t>
      </w:r>
      <w:r>
        <w:t>G</w:t>
      </w:r>
      <w:r w:rsidRPr="00EA2312">
        <w:t>CM</w:t>
      </w:r>
      <w:r w:rsidRPr="00F23026">
        <w:rPr>
          <w:vertAlign w:val="subscript"/>
        </w:rPr>
        <w:t>O</w:t>
      </w:r>
      <w:r w:rsidRPr="0045734B">
        <w:t xml:space="preserve"> </w:t>
      </w:r>
      <w:r>
        <w:t xml:space="preserve">ensemble </w:t>
      </w:r>
      <w:r w:rsidRPr="0045734B">
        <w:t>exhibit</w:t>
      </w:r>
      <w:r w:rsidR="00FB7A82">
        <w:t>ed</w:t>
      </w:r>
      <w:r w:rsidRPr="0045734B">
        <w:t xml:space="preserve"> </w:t>
      </w:r>
      <w:r>
        <w:t>the</w:t>
      </w:r>
      <w:r w:rsidRPr="0045734B">
        <w:t xml:space="preserve"> smallest increase in P</w:t>
      </w:r>
      <w:r w:rsidRPr="0045734B">
        <w:rPr>
          <w:vertAlign w:val="subscript"/>
        </w:rPr>
        <w:t>95</w:t>
      </w:r>
      <w:r w:rsidRPr="0045734B">
        <w:t xml:space="preserve"> compared </w:t>
      </w:r>
      <w:r>
        <w:t>with</w:t>
      </w:r>
      <w:r w:rsidRPr="0045734B">
        <w:t xml:space="preserve"> the </w:t>
      </w:r>
      <w:r w:rsidR="002709A6">
        <w:t xml:space="preserve">other </w:t>
      </w:r>
      <w:r>
        <w:t xml:space="preserve">ensembles </w:t>
      </w:r>
      <w:r w:rsidR="009B6157">
        <w:t>(</w:t>
      </w:r>
      <w:r w:rsidR="009B6157">
        <w:fldChar w:fldCharType="begin"/>
      </w:r>
      <w:r w:rsidR="009B6157">
        <w:instrText xml:space="preserve"> REF _Ref80011033 \h </w:instrText>
      </w:r>
      <w:r w:rsidR="009B615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9B6157">
        <w:fldChar w:fldCharType="end"/>
      </w:r>
      <w:r w:rsidR="009B6157">
        <w:t>i</w:t>
      </w:r>
      <w:r w:rsidR="006E569B">
        <w:t>–</w:t>
      </w:r>
      <w:r w:rsidR="009B6157">
        <w:t>l).</w:t>
      </w:r>
      <w:r w:rsidR="009B6157" w:rsidRPr="0045734B">
        <w:t xml:space="preserve"> </w:t>
      </w:r>
      <w:r w:rsidRPr="0045734B">
        <w:t xml:space="preserve">Furthermore, the choice of </w:t>
      </w:r>
      <w:r>
        <w:t>downscaling techniques</w:t>
      </w:r>
      <w:r w:rsidRPr="0045734B">
        <w:t xml:space="preserve"> </w:t>
      </w:r>
      <w:r>
        <w:t>and</w:t>
      </w:r>
      <w:r w:rsidRPr="0045734B">
        <w:t xml:space="preserve"> the observations used for training and correction </w:t>
      </w:r>
      <w:r w:rsidR="00FB7A82">
        <w:t xml:space="preserve">affected </w:t>
      </w:r>
      <w:r w:rsidRPr="0045734B">
        <w:t xml:space="preserve">the projected </w:t>
      </w:r>
      <w:r>
        <w:t>future</w:t>
      </w:r>
      <w:r w:rsidR="00FB7A82">
        <w:t xml:space="preserve"> </w:t>
      </w:r>
      <w:r>
        <w:t xml:space="preserve">period </w:t>
      </w:r>
      <w:r w:rsidRPr="0045734B">
        <w:t>changes in the magnitude of P</w:t>
      </w:r>
      <w:r w:rsidRPr="0045734B">
        <w:rPr>
          <w:vertAlign w:val="subscript"/>
        </w:rPr>
        <w:t>95</w:t>
      </w:r>
      <w:r w:rsidRPr="0045734B">
        <w:t xml:space="preserve">. For instance, over the </w:t>
      </w:r>
      <w:r w:rsidR="00FB7A82">
        <w:t>s</w:t>
      </w:r>
      <w:r w:rsidRPr="0045734B">
        <w:t>outheast</w:t>
      </w:r>
      <w:r w:rsidR="00FB7A82">
        <w:t>ern</w:t>
      </w:r>
      <w:r w:rsidRPr="0045734B">
        <w:t xml:space="preserve"> and </w:t>
      </w:r>
      <w:r w:rsidR="00FB7A82">
        <w:t>n</w:t>
      </w:r>
      <w:r w:rsidRPr="0045734B">
        <w:t>ortheast</w:t>
      </w:r>
      <w:r w:rsidR="00FB7A82">
        <w:t>ern United States</w:t>
      </w:r>
      <w:r w:rsidRPr="0045734B">
        <w:t xml:space="preserve">, </w:t>
      </w:r>
      <w:r>
        <w:t>the dynamically downscaled and corrected ensembles (RCM</w:t>
      </w:r>
      <w:r w:rsidRPr="006553BF">
        <w:rPr>
          <w:vertAlign w:val="subscript"/>
        </w:rPr>
        <w:t>CL</w:t>
      </w:r>
      <w:r w:rsidRPr="0045734B" w:rsidDel="00047453">
        <w:t xml:space="preserve"> </w:t>
      </w:r>
      <w:r w:rsidRPr="0045734B">
        <w:t xml:space="preserve">and </w:t>
      </w:r>
      <w:r>
        <w:t>RCM</w:t>
      </w:r>
      <w:r w:rsidRPr="006553BF">
        <w:rPr>
          <w:vertAlign w:val="subscript"/>
        </w:rPr>
        <w:t>CD</w:t>
      </w:r>
      <w:r>
        <w:t xml:space="preserve">) </w:t>
      </w:r>
      <w:r w:rsidRPr="0045734B">
        <w:t>project</w:t>
      </w:r>
      <w:r w:rsidR="00FB7A82">
        <w:t>ed</w:t>
      </w:r>
      <w:r w:rsidRPr="0045734B">
        <w:t xml:space="preserve"> a higher increase in the magnitude of P</w:t>
      </w:r>
      <w:r w:rsidRPr="0045734B">
        <w:rPr>
          <w:vertAlign w:val="subscript"/>
        </w:rPr>
        <w:t>95</w:t>
      </w:r>
      <w:r w:rsidRPr="0045734B">
        <w:t xml:space="preserve"> and the number of days above historical P</w:t>
      </w:r>
      <w:r w:rsidRPr="0045734B">
        <w:rPr>
          <w:vertAlign w:val="subscript"/>
        </w:rPr>
        <w:t>95</w:t>
      </w:r>
      <w:r w:rsidRPr="0045734B">
        <w:t xml:space="preserve"> </w:t>
      </w:r>
      <w:r>
        <w:t>than the statistically downscaled ensembles (DBCCA</w:t>
      </w:r>
      <w:r>
        <w:rPr>
          <w:vertAlign w:val="subscript"/>
        </w:rPr>
        <w:t>L</w:t>
      </w:r>
      <w:r w:rsidRPr="0045734B" w:rsidDel="000B6A84">
        <w:t xml:space="preserve"> </w:t>
      </w:r>
      <w:r w:rsidRPr="0045734B">
        <w:t xml:space="preserve">and </w:t>
      </w:r>
      <w:r>
        <w:t>DBCCA</w:t>
      </w:r>
      <w:r>
        <w:rPr>
          <w:vertAlign w:val="subscript"/>
        </w:rPr>
        <w:t>D</w:t>
      </w:r>
      <w:r>
        <w:t>)</w:t>
      </w:r>
      <w:r w:rsidRPr="0045734B">
        <w:t xml:space="preserve">. Similarly, </w:t>
      </w:r>
      <w:r>
        <w:t>the Daymet ensembles (RCM</w:t>
      </w:r>
      <w:r w:rsidRPr="006553BF">
        <w:rPr>
          <w:vertAlign w:val="subscript"/>
        </w:rPr>
        <w:t>CD</w:t>
      </w:r>
      <w:r>
        <w:rPr>
          <w:vertAlign w:val="subscript"/>
        </w:rPr>
        <w:t xml:space="preserve"> </w:t>
      </w:r>
      <w:r w:rsidRPr="0045734B">
        <w:t xml:space="preserve">and </w:t>
      </w:r>
      <w:r>
        <w:t>DBCCA</w:t>
      </w:r>
      <w:r>
        <w:rPr>
          <w:vertAlign w:val="subscript"/>
        </w:rPr>
        <w:t>D</w:t>
      </w:r>
      <w:r>
        <w:t>)</w:t>
      </w:r>
      <w:r>
        <w:rPr>
          <w:vertAlign w:val="subscript"/>
        </w:rPr>
        <w:t xml:space="preserve"> </w:t>
      </w:r>
      <w:r w:rsidRPr="0045734B">
        <w:t>project</w:t>
      </w:r>
      <w:r w:rsidR="00FB7A82">
        <w:t>ed</w:t>
      </w:r>
      <w:r w:rsidRPr="0045734B">
        <w:t xml:space="preserve"> a higher increase in both metrics compared </w:t>
      </w:r>
      <w:r>
        <w:t>with Livneh ensembles (RCM</w:t>
      </w:r>
      <w:r w:rsidRPr="006553BF">
        <w:rPr>
          <w:vertAlign w:val="subscript"/>
        </w:rPr>
        <w:t>C</w:t>
      </w:r>
      <w:r>
        <w:rPr>
          <w:vertAlign w:val="subscript"/>
        </w:rPr>
        <w:t xml:space="preserve">L </w:t>
      </w:r>
      <w:r w:rsidRPr="0045734B">
        <w:t xml:space="preserve">and </w:t>
      </w:r>
      <w:r>
        <w:t>DBCCA</w:t>
      </w:r>
      <w:r>
        <w:rPr>
          <w:vertAlign w:val="subscript"/>
        </w:rPr>
        <w:t>L</w:t>
      </w:r>
      <w:r>
        <w:t xml:space="preserve">) </w:t>
      </w:r>
      <w:r w:rsidRPr="0045734B">
        <w:t xml:space="preserve">over the </w:t>
      </w:r>
      <w:r w:rsidR="00FB7A82">
        <w:t>s</w:t>
      </w:r>
      <w:r w:rsidRPr="0045734B">
        <w:t>outheast</w:t>
      </w:r>
      <w:r w:rsidR="00FB7A82">
        <w:t>ern</w:t>
      </w:r>
      <w:r>
        <w:t xml:space="preserve"> and </w:t>
      </w:r>
      <w:r w:rsidR="00FB7A82">
        <w:t>n</w:t>
      </w:r>
      <w:r w:rsidRPr="0045734B">
        <w:t>ortheast</w:t>
      </w:r>
      <w:r w:rsidR="00FB7A82">
        <w:t>ern United States</w:t>
      </w:r>
      <w:r w:rsidR="009B6157">
        <w:t xml:space="preserve"> (</w:t>
      </w:r>
      <w:r w:rsidR="009B6157">
        <w:fldChar w:fldCharType="begin"/>
      </w:r>
      <w:r w:rsidR="009B6157">
        <w:instrText xml:space="preserve"> REF _Ref80011033 \h </w:instrText>
      </w:r>
      <w:r w:rsidR="009B6157">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1</w:t>
      </w:r>
      <w:r w:rsidR="009B6157">
        <w:fldChar w:fldCharType="end"/>
      </w:r>
      <w:r w:rsidR="009B6157">
        <w:t>j)</w:t>
      </w:r>
      <w:r w:rsidR="009B6157" w:rsidRPr="0045734B">
        <w:t>.</w:t>
      </w:r>
    </w:p>
    <w:p w14:paraId="5067A16A" w14:textId="77777777" w:rsidR="00E9606D" w:rsidRPr="009767DA" w:rsidRDefault="00E9606D" w:rsidP="00E9606D">
      <w:pPr>
        <w:pStyle w:val="Heading2"/>
      </w:pPr>
      <w:bookmarkStart w:id="571" w:name="_Toc113380842"/>
      <w:r w:rsidRPr="009767DA">
        <w:t>Water Availability</w:t>
      </w:r>
      <w:bookmarkEnd w:id="571"/>
    </w:p>
    <w:p w14:paraId="32A83141" w14:textId="5141848D" w:rsidR="00E9606D" w:rsidRDefault="00E9606D" w:rsidP="005F6BB4">
      <w:pPr>
        <w:pStyle w:val="BodyText"/>
      </w:pPr>
      <w:r>
        <w:t xml:space="preserve">In addition to the PMA-based analysis, an overview of future water availability across the </w:t>
      </w:r>
      <w:r w:rsidRPr="00992918">
        <w:t xml:space="preserve">CONUS </w:t>
      </w:r>
      <w:r>
        <w:t>is presented</w:t>
      </w:r>
      <w:r w:rsidRPr="00992918">
        <w:t xml:space="preserve"> </w:t>
      </w:r>
      <w:r>
        <w:t xml:space="preserve">using the </w:t>
      </w:r>
      <w:r w:rsidRPr="00992918">
        <w:t xml:space="preserve">ensemble hydrologic projections. </w:t>
      </w:r>
      <w:r>
        <w:fldChar w:fldCharType="begin"/>
      </w:r>
      <w:r>
        <w:instrText xml:space="preserve"> REF _Ref81727068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2</w:t>
      </w:r>
      <w:r>
        <w:fldChar w:fldCharType="end"/>
      </w:r>
      <w:r w:rsidRPr="00A17190">
        <w:t xml:space="preserve"> show</w:t>
      </w:r>
      <w:r>
        <w:t>s</w:t>
      </w:r>
      <w:r w:rsidRPr="00A17190">
        <w:t xml:space="preserve"> changes in annual total, high</w:t>
      </w:r>
      <w:r>
        <w:t>,</w:t>
      </w:r>
      <w:r w:rsidRPr="00A17190">
        <w:t xml:space="preserve"> and low runoff </w:t>
      </w:r>
      <w:r>
        <w:t xml:space="preserve">for </w:t>
      </w:r>
      <w:r w:rsidRPr="00C733E7">
        <w:rPr>
          <w:rFonts w:eastAsia="PMingLiU" w:hint="eastAsia"/>
          <w:lang w:eastAsia="zh-TW"/>
        </w:rPr>
        <w:t>near-</w:t>
      </w:r>
      <w:r>
        <w:rPr>
          <w:rFonts w:eastAsia="PMingLiU"/>
          <w:lang w:eastAsia="zh-TW"/>
        </w:rPr>
        <w:t xml:space="preserve">term </w:t>
      </w:r>
      <w:r w:rsidRPr="00C733E7">
        <w:rPr>
          <w:rFonts w:eastAsia="PMingLiU" w:hint="eastAsia"/>
          <w:lang w:eastAsia="zh-TW"/>
        </w:rPr>
        <w:t>(20</w:t>
      </w:r>
      <w:r>
        <w:rPr>
          <w:rFonts w:eastAsia="PMingLiU"/>
          <w:lang w:eastAsia="zh-TW"/>
        </w:rPr>
        <w:t>20</w:t>
      </w:r>
      <w:r w:rsidRPr="00C733E7">
        <w:rPr>
          <w:rFonts w:eastAsia="PMingLiU"/>
          <w:lang w:eastAsia="zh-TW"/>
        </w:rPr>
        <w:t>–</w:t>
      </w:r>
      <w:r w:rsidRPr="00C733E7">
        <w:rPr>
          <w:rFonts w:eastAsia="PMingLiU" w:hint="eastAsia"/>
          <w:lang w:eastAsia="zh-TW"/>
        </w:rPr>
        <w:t>20</w:t>
      </w:r>
      <w:r>
        <w:rPr>
          <w:rFonts w:eastAsia="PMingLiU"/>
          <w:lang w:eastAsia="zh-TW"/>
        </w:rPr>
        <w:t>39</w:t>
      </w:r>
      <w:r w:rsidRPr="00C733E7">
        <w:rPr>
          <w:rFonts w:eastAsia="PMingLiU" w:hint="eastAsia"/>
          <w:lang w:eastAsia="zh-TW"/>
        </w:rPr>
        <w:t>)</w:t>
      </w:r>
      <w:r>
        <w:rPr>
          <w:rFonts w:eastAsia="PMingLiU"/>
          <w:lang w:eastAsia="zh-TW"/>
        </w:rPr>
        <w:t xml:space="preserve"> and</w:t>
      </w:r>
      <w:r w:rsidRPr="00C733E7">
        <w:rPr>
          <w:rFonts w:eastAsia="PMingLiU"/>
          <w:lang w:eastAsia="zh-TW"/>
        </w:rPr>
        <w:t xml:space="preserve"> </w:t>
      </w:r>
      <w:r w:rsidRPr="00C733E7">
        <w:rPr>
          <w:rFonts w:eastAsia="PMingLiU" w:hint="eastAsia"/>
          <w:lang w:eastAsia="zh-TW"/>
        </w:rPr>
        <w:t>mid</w:t>
      </w:r>
      <w:r>
        <w:rPr>
          <w:rFonts w:eastAsia="PMingLiU"/>
          <w:lang w:eastAsia="zh-TW"/>
        </w:rPr>
        <w:t>-</w:t>
      </w:r>
      <w:r w:rsidRPr="00C733E7">
        <w:rPr>
          <w:rFonts w:eastAsia="PMingLiU" w:hint="eastAsia"/>
          <w:lang w:eastAsia="zh-TW"/>
        </w:rPr>
        <w:t>term (20</w:t>
      </w:r>
      <w:r>
        <w:rPr>
          <w:rFonts w:eastAsia="PMingLiU"/>
          <w:lang w:eastAsia="zh-TW"/>
        </w:rPr>
        <w:t>40</w:t>
      </w:r>
      <w:r w:rsidRPr="00C733E7">
        <w:rPr>
          <w:rFonts w:eastAsia="PMingLiU"/>
          <w:lang w:eastAsia="zh-TW"/>
        </w:rPr>
        <w:t>–</w:t>
      </w:r>
      <w:r w:rsidRPr="00C733E7">
        <w:rPr>
          <w:rFonts w:eastAsia="PMingLiU" w:hint="eastAsia"/>
          <w:lang w:eastAsia="zh-TW"/>
        </w:rPr>
        <w:t>205</w:t>
      </w:r>
      <w:r>
        <w:rPr>
          <w:rFonts w:eastAsia="PMingLiU"/>
          <w:lang w:eastAsia="zh-TW"/>
        </w:rPr>
        <w:t>9</w:t>
      </w:r>
      <w:r w:rsidRPr="00C733E7">
        <w:rPr>
          <w:rFonts w:eastAsia="PMingLiU" w:hint="eastAsia"/>
          <w:lang w:eastAsia="zh-TW"/>
        </w:rPr>
        <w:t xml:space="preserve">) </w:t>
      </w:r>
      <w:r w:rsidR="00ED337D" w:rsidRPr="00C733E7">
        <w:rPr>
          <w:rFonts w:eastAsia="PMingLiU" w:hint="eastAsia"/>
          <w:lang w:eastAsia="zh-TW"/>
        </w:rPr>
        <w:t xml:space="preserve">future </w:t>
      </w:r>
      <w:r w:rsidRPr="00C733E7">
        <w:rPr>
          <w:rFonts w:eastAsia="PMingLiU" w:hint="eastAsia"/>
          <w:lang w:eastAsia="zh-TW"/>
        </w:rPr>
        <w:t>periods</w:t>
      </w:r>
      <w:r>
        <w:rPr>
          <w:rFonts w:eastAsia="PMingLiU"/>
          <w:lang w:eastAsia="zh-TW"/>
        </w:rPr>
        <w:t xml:space="preserve"> with respect to the baseline (1980–2019) period</w:t>
      </w:r>
      <w:r w:rsidRPr="00C733E7">
        <w:rPr>
          <w:rFonts w:eastAsia="PMingLiU" w:hint="eastAsia"/>
          <w:lang w:eastAsia="zh-TW"/>
        </w:rPr>
        <w:t>.</w:t>
      </w:r>
      <w:r w:rsidRPr="00C733E7">
        <w:t xml:space="preserve"> </w:t>
      </w:r>
      <w:r>
        <w:t xml:space="preserve">Panels (a) and (b) indicate that the simulated total annual runoff is projected to increase across the CONUS in both future periods, with higher magnitude in the mid-term future period. For instance, such a change is more prominent in California, the Great Basin, and the lower and upper Colorado regions. Amongst PMAs, large annual runoff increase is projected in most of SEPA and WAPA. Similar conclusions cannot be made for BPA and SWPA, given the more heterogenous response in the region. The high runoff shown in panels (c) and (d) demonstrates a more spatially heterogeneous response across the CONUS. In the near-term future period, high runoff is projected to increase more in the </w:t>
      </w:r>
      <w:r w:rsidR="006C6778">
        <w:t>n</w:t>
      </w:r>
      <w:r>
        <w:t xml:space="preserve">orthern and </w:t>
      </w:r>
      <w:r w:rsidR="00CC6433">
        <w:t>s</w:t>
      </w:r>
      <w:r>
        <w:t xml:space="preserve">outheastern United States. However, in the mid-term future period, high runoff is generally projected to increase across the CONUS, except in parts of the Pacific Northwest and Texas. The low runoff shown in panels (e) and (f), on the other hand, is projected to increase in most of the </w:t>
      </w:r>
      <w:r w:rsidR="006C6778">
        <w:t>w</w:t>
      </w:r>
      <w:r w:rsidR="00BD6124">
        <w:t xml:space="preserve">estern United States except </w:t>
      </w:r>
      <w:r w:rsidR="006E05C4">
        <w:t xml:space="preserve">the </w:t>
      </w:r>
      <w:r w:rsidR="00BD6124">
        <w:t>Pacific Northwest, but is projected to decrease for Ohio, the Mid</w:t>
      </w:r>
      <w:r w:rsidR="006E05C4">
        <w:t>-</w:t>
      </w:r>
      <w:r w:rsidR="00BD6124">
        <w:t xml:space="preserve">Atlantic, lower Mississippi, and parts of </w:t>
      </w:r>
      <w:r w:rsidR="006E05C4">
        <w:t xml:space="preserve">the </w:t>
      </w:r>
      <w:r w:rsidR="00BD6124">
        <w:t>upper Mississippi regions, which suggests the increased likelihood of hydrologic extreme conditions in those regions</w:t>
      </w:r>
      <w:r>
        <w:t>.</w:t>
      </w:r>
    </w:p>
    <w:p w14:paraId="6E53B94C" w14:textId="77777777" w:rsidR="00D9580F" w:rsidRPr="00CE4437" w:rsidRDefault="00D9580F" w:rsidP="00D9580F">
      <w:pPr>
        <w:pStyle w:val="FIGUREposition"/>
        <w:rPr>
          <w:lang w:eastAsia="zh-TW"/>
        </w:rPr>
      </w:pPr>
      <w:r>
        <w:rPr>
          <w:noProof/>
          <w:lang w:eastAsia="zh-TW"/>
        </w:rPr>
        <w:lastRenderedPageBreak/>
        <w:drawing>
          <wp:inline distT="0" distB="0" distL="0" distR="0" wp14:anchorId="086CF0EA" wp14:editId="56630857">
            <wp:extent cx="5719445" cy="57194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a:ext>
                      </a:extLst>
                    </a:blip>
                    <a:srcRect/>
                    <a:stretch>
                      <a:fillRect/>
                    </a:stretch>
                  </pic:blipFill>
                  <pic:spPr bwMode="auto">
                    <a:xfrm>
                      <a:off x="0" y="0"/>
                      <a:ext cx="5719445" cy="5719445"/>
                    </a:xfrm>
                    <a:prstGeom prst="rect">
                      <a:avLst/>
                    </a:prstGeom>
                    <a:noFill/>
                    <a:ln>
                      <a:noFill/>
                    </a:ln>
                  </pic:spPr>
                </pic:pic>
              </a:graphicData>
            </a:graphic>
          </wp:inline>
        </w:drawing>
      </w:r>
    </w:p>
    <w:p w14:paraId="1CF89B5D" w14:textId="0AD32720" w:rsidR="00D9580F" w:rsidRDefault="00D9580F" w:rsidP="00D9580F">
      <w:pPr>
        <w:pStyle w:val="FigureCaption"/>
        <w:rPr>
          <w:rFonts w:eastAsia="PMingLiU"/>
          <w:lang w:eastAsia="zh-TW"/>
        </w:rPr>
      </w:pPr>
      <w:bookmarkStart w:id="572" w:name="_Ref81727068"/>
      <w:bookmarkStart w:id="573" w:name="_Toc113380964"/>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2</w:t>
      </w:r>
      <w:r w:rsidRPr="00F61532">
        <w:rPr>
          <w:lang w:eastAsia="zh-TW"/>
        </w:rPr>
        <w:fldChar w:fldCharType="end"/>
      </w:r>
      <w:bookmarkEnd w:id="572"/>
      <w:r w:rsidRPr="00F61532">
        <w:rPr>
          <w:lang w:eastAsia="zh-TW"/>
        </w:rPr>
        <w:t xml:space="preserve">. </w:t>
      </w:r>
      <w:r>
        <w:rPr>
          <w:rFonts w:eastAsia="PMingLiU"/>
          <w:lang w:eastAsia="zh-TW"/>
        </w:rPr>
        <w:t xml:space="preserve">Projected change in annual total, high, and low </w:t>
      </w:r>
      <w:r w:rsidRPr="00A47C08">
        <w:rPr>
          <w:rFonts w:eastAsia="PMingLiU"/>
          <w:lang w:eastAsia="zh-TW"/>
        </w:rPr>
        <w:t xml:space="preserve">runoff across </w:t>
      </w:r>
      <w:r>
        <w:rPr>
          <w:rFonts w:eastAsia="PMingLiU"/>
          <w:lang w:eastAsia="zh-TW"/>
        </w:rPr>
        <w:t xml:space="preserve">the </w:t>
      </w:r>
      <w:r w:rsidRPr="00A47C08">
        <w:rPr>
          <w:rFonts w:eastAsia="PMingLiU"/>
          <w:lang w:eastAsia="zh-TW"/>
        </w:rPr>
        <w:t>CONUS</w:t>
      </w:r>
      <w:r>
        <w:rPr>
          <w:rFonts w:eastAsia="PMingLiU"/>
          <w:lang w:eastAsia="zh-TW"/>
        </w:rPr>
        <w:t xml:space="preserve"> (compared with the 1980–2019 baseline historical period)</w:t>
      </w:r>
      <w:r w:rsidRPr="00A47C08">
        <w:rPr>
          <w:rFonts w:eastAsia="PMingLiU"/>
          <w:lang w:eastAsia="zh-TW"/>
        </w:rPr>
        <w:t>.</w:t>
      </w:r>
      <w:bookmarkEnd w:id="573"/>
    </w:p>
    <w:p w14:paraId="79766AF8" w14:textId="417CB313" w:rsidR="00E9606D" w:rsidRDefault="00E9606D" w:rsidP="00E9606D">
      <w:pPr>
        <w:pStyle w:val="BodyText"/>
      </w:pPr>
      <w:r w:rsidRPr="00A17190">
        <w:t xml:space="preserve">At </w:t>
      </w:r>
      <w:r>
        <w:t xml:space="preserve">the </w:t>
      </w:r>
      <w:r w:rsidRPr="00A17190">
        <w:t xml:space="preserve">seasonal scale, </w:t>
      </w:r>
      <w:r>
        <w:t>the winter runoff is generally projected to increase across most of the CONUS (</w:t>
      </w:r>
      <w:r>
        <w:fldChar w:fldCharType="begin"/>
      </w:r>
      <w:r>
        <w:instrText xml:space="preserve"> REF _Ref81904852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3</w:t>
      </w:r>
      <w:r>
        <w:fldChar w:fldCharType="end"/>
      </w:r>
      <w:r>
        <w:t xml:space="preserve">), especially in the mid-term future period. The spring runoff is also projected to increase in most of the CONUS but with decreases projected in California, lower Colorado, and the Rio Grande region in the near-term future period. During summer, the runoff is projected to decrease across many parts of the CONUS. The most evident decrease is projected in the Pacific Northwest, California, Rio Grande, Texas-Gulf, Arkansas–White–Red regions, and parts of the </w:t>
      </w:r>
      <w:r w:rsidR="00CC6433">
        <w:t>n</w:t>
      </w:r>
      <w:r>
        <w:t>ortheastern United States and Florida. The changes in fall runoff are spatially heterogenous and expected to stay around the ±10% range across most parts of the CONUS, except in Ohio, lower Mississippi, and parts of upper Mississippi and Missouri regions where a larger reduction is projected.</w:t>
      </w:r>
    </w:p>
    <w:p w14:paraId="2B5DA073" w14:textId="77777777" w:rsidR="00D9580F" w:rsidRPr="00CE4437" w:rsidRDefault="00D9580F" w:rsidP="00D9580F">
      <w:pPr>
        <w:pStyle w:val="FIGUREposition"/>
      </w:pPr>
      <w:r>
        <w:rPr>
          <w:noProof/>
        </w:rPr>
        <w:lastRenderedPageBreak/>
        <w:drawing>
          <wp:inline distT="0" distB="0" distL="0" distR="0" wp14:anchorId="76968E4B" wp14:editId="08DDCBF6">
            <wp:extent cx="5715000" cy="76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a:ext>
                      </a:extLst>
                    </a:blip>
                    <a:srcRect/>
                    <a:stretch>
                      <a:fillRect/>
                    </a:stretch>
                  </pic:blipFill>
                  <pic:spPr bwMode="auto">
                    <a:xfrm>
                      <a:off x="0" y="0"/>
                      <a:ext cx="5715000" cy="7620000"/>
                    </a:xfrm>
                    <a:prstGeom prst="rect">
                      <a:avLst/>
                    </a:prstGeom>
                    <a:noFill/>
                    <a:ln>
                      <a:noFill/>
                    </a:ln>
                  </pic:spPr>
                </pic:pic>
              </a:graphicData>
            </a:graphic>
          </wp:inline>
        </w:drawing>
      </w:r>
    </w:p>
    <w:p w14:paraId="41E12D60" w14:textId="08E01AFE" w:rsidR="00D9580F" w:rsidRDefault="00D9580F" w:rsidP="00D9580F">
      <w:pPr>
        <w:pStyle w:val="FigureCaption"/>
        <w:rPr>
          <w:rFonts w:eastAsia="PMingLiU"/>
          <w:lang w:eastAsia="zh-TW"/>
        </w:rPr>
      </w:pPr>
      <w:bookmarkStart w:id="574" w:name="_Ref81904852"/>
      <w:bookmarkStart w:id="575" w:name="_Toc113380965"/>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3</w:t>
      </w:r>
      <w:r w:rsidRPr="00F61532">
        <w:rPr>
          <w:lang w:eastAsia="zh-TW"/>
        </w:rPr>
        <w:fldChar w:fldCharType="end"/>
      </w:r>
      <w:bookmarkEnd w:id="574"/>
      <w:r w:rsidRPr="00F61532">
        <w:rPr>
          <w:lang w:eastAsia="zh-TW"/>
        </w:rPr>
        <w:t>.</w:t>
      </w:r>
      <w:r w:rsidRPr="00A47C08">
        <w:rPr>
          <w:lang w:eastAsia="zh-TW"/>
        </w:rPr>
        <w:t xml:space="preserve"> </w:t>
      </w:r>
      <w:r>
        <w:rPr>
          <w:rFonts w:eastAsia="PMingLiU"/>
          <w:lang w:eastAsia="zh-TW"/>
        </w:rPr>
        <w:t xml:space="preserve">Projected change in seasonal runoff </w:t>
      </w:r>
      <w:r w:rsidRPr="00A47C08">
        <w:rPr>
          <w:rFonts w:eastAsia="PMingLiU"/>
          <w:lang w:eastAsia="zh-TW"/>
        </w:rPr>
        <w:t xml:space="preserve">across </w:t>
      </w:r>
      <w:r>
        <w:rPr>
          <w:rFonts w:eastAsia="PMingLiU"/>
          <w:lang w:eastAsia="zh-TW"/>
        </w:rPr>
        <w:t xml:space="preserve">the </w:t>
      </w:r>
      <w:r w:rsidRPr="00A47C08">
        <w:rPr>
          <w:rFonts w:eastAsia="PMingLiU"/>
          <w:lang w:eastAsia="zh-TW"/>
        </w:rPr>
        <w:t>CONUS</w:t>
      </w:r>
      <w:r>
        <w:rPr>
          <w:rFonts w:eastAsia="PMingLiU"/>
          <w:lang w:eastAsia="zh-TW"/>
        </w:rPr>
        <w:t xml:space="preserve"> (compared with the 1980–2019 baseline historical period)</w:t>
      </w:r>
      <w:r w:rsidRPr="00A47C08">
        <w:rPr>
          <w:rFonts w:eastAsia="PMingLiU"/>
          <w:lang w:eastAsia="zh-TW"/>
        </w:rPr>
        <w:t>.</w:t>
      </w:r>
      <w:bookmarkEnd w:id="575"/>
    </w:p>
    <w:p w14:paraId="0D02ED6E" w14:textId="73160F4C" w:rsidR="00E9606D" w:rsidRPr="00976C7A" w:rsidRDefault="00E9606D" w:rsidP="00E9606D">
      <w:pPr>
        <w:pStyle w:val="BodyText"/>
        <w:rPr>
          <w:highlight w:val="yellow"/>
        </w:rPr>
      </w:pPr>
      <w:r>
        <w:rPr>
          <w:lang w:eastAsia="zh-TW"/>
        </w:rPr>
        <w:lastRenderedPageBreak/>
        <w:fldChar w:fldCharType="begin"/>
      </w:r>
      <w:r>
        <w:rPr>
          <w:lang w:eastAsia="zh-TW"/>
        </w:rPr>
        <w:instrText xml:space="preserve"> REF _Ref81905291 \h </w:instrText>
      </w:r>
      <w:r>
        <w:rPr>
          <w:lang w:eastAsia="zh-TW"/>
        </w:rPr>
      </w:r>
      <w:r>
        <w:rPr>
          <w:lang w:eastAsia="zh-TW"/>
        </w:rP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4</w:t>
      </w:r>
      <w:r>
        <w:rPr>
          <w:lang w:eastAsia="zh-TW"/>
        </w:rPr>
        <w:fldChar w:fldCharType="end"/>
      </w:r>
      <w:r>
        <w:rPr>
          <w:lang w:eastAsia="zh-TW"/>
        </w:rPr>
        <w:t xml:space="preserve"> summarizes the results from the ANOVA of the total annual runoff change in the future period (2020–2059) with respect to the baseline period (</w:t>
      </w:r>
      <w:r w:rsidRPr="00986888">
        <w:rPr>
          <w:lang w:eastAsia="zh-TW"/>
        </w:rPr>
        <w:t>1980–2019</w:t>
      </w:r>
      <w:r>
        <w:rPr>
          <w:lang w:eastAsia="zh-TW"/>
        </w:rPr>
        <w:t xml:space="preserve">). The figure illustrates the most dominant contributor among all modeling choices </w:t>
      </w:r>
      <w:r w:rsidRPr="00BD6D7E">
        <w:rPr>
          <w:lang w:eastAsia="zh-TW"/>
        </w:rPr>
        <w:t>(</w:t>
      </w:r>
      <w:r>
        <w:rPr>
          <w:lang w:eastAsia="zh-TW"/>
        </w:rPr>
        <w:t>i.e.,</w:t>
      </w:r>
      <w:r w:rsidRPr="00BD6D7E">
        <w:rPr>
          <w:lang w:eastAsia="zh-TW"/>
        </w:rPr>
        <w:t xml:space="preserve"> CM, DS, and HM) </w:t>
      </w:r>
      <w:r>
        <w:rPr>
          <w:lang w:eastAsia="zh-TW"/>
        </w:rPr>
        <w:t xml:space="preserve">to the spread of ensemble runoff change across 48 members. The results are summarized at the HUC8 level, and the layer </w:t>
      </w:r>
      <w:r w:rsidRPr="0034280D">
        <w:rPr>
          <w:lang w:eastAsia="zh-TW"/>
        </w:rPr>
        <w:t>transparency indicates the percent contribution</w:t>
      </w:r>
      <w:r>
        <w:rPr>
          <w:lang w:eastAsia="zh-TW"/>
        </w:rPr>
        <w:t xml:space="preserve"> of the most significant factor</w:t>
      </w:r>
      <w:r w:rsidRPr="0034280D">
        <w:rPr>
          <w:lang w:eastAsia="zh-TW"/>
        </w:rPr>
        <w:t xml:space="preserve"> to the total variance (i.e., </w:t>
      </w:r>
      <w:r w:rsidRPr="00A12B24">
        <w:rPr>
          <w:lang w:eastAsia="zh-TW"/>
        </w:rPr>
        <w:t>fully transparent indicates 0% contribution, fully opaque indicates 100% contribution</w:t>
      </w:r>
      <w:r w:rsidRPr="0034280D">
        <w:rPr>
          <w:lang w:eastAsia="zh-TW"/>
        </w:rPr>
        <w:t xml:space="preserve">). Based on this analysis, </w:t>
      </w:r>
      <w:r w:rsidR="00024B4E">
        <w:rPr>
          <w:rFonts w:eastAsia="PMingLiU"/>
          <w:lang w:eastAsia="zh-TW"/>
        </w:rPr>
        <w:t xml:space="preserve">the </w:t>
      </w:r>
      <w:r>
        <w:rPr>
          <w:lang w:eastAsia="zh-TW"/>
        </w:rPr>
        <w:t>CM</w:t>
      </w:r>
      <w:r w:rsidRPr="0034280D">
        <w:rPr>
          <w:lang w:eastAsia="zh-TW"/>
        </w:rPr>
        <w:t xml:space="preserve"> emerge</w:t>
      </w:r>
      <w:r>
        <w:rPr>
          <w:lang w:eastAsia="zh-TW"/>
        </w:rPr>
        <w:t>s</w:t>
      </w:r>
      <w:r w:rsidRPr="0034280D">
        <w:rPr>
          <w:lang w:eastAsia="zh-TW"/>
        </w:rPr>
        <w:t xml:space="preserve"> </w:t>
      </w:r>
      <w:r>
        <w:rPr>
          <w:lang w:eastAsia="zh-TW"/>
        </w:rPr>
        <w:t>as</w:t>
      </w:r>
      <w:r w:rsidRPr="0034280D">
        <w:rPr>
          <w:lang w:eastAsia="zh-TW"/>
        </w:rPr>
        <w:t xml:space="preserve"> the most dominant factor across large parts of </w:t>
      </w:r>
      <w:r>
        <w:rPr>
          <w:lang w:eastAsia="zh-TW"/>
        </w:rPr>
        <w:t xml:space="preserve">the </w:t>
      </w:r>
      <w:r w:rsidRPr="0034280D">
        <w:rPr>
          <w:lang w:eastAsia="zh-TW"/>
        </w:rPr>
        <w:t xml:space="preserve">CONUS, especially in the </w:t>
      </w:r>
      <w:r w:rsidR="006C6778">
        <w:rPr>
          <w:lang w:eastAsia="zh-TW"/>
        </w:rPr>
        <w:t>e</w:t>
      </w:r>
      <w:r w:rsidRPr="0034280D">
        <w:rPr>
          <w:lang w:eastAsia="zh-TW"/>
        </w:rPr>
        <w:t xml:space="preserve">astern </w:t>
      </w:r>
      <w:r>
        <w:rPr>
          <w:lang w:eastAsia="zh-TW"/>
        </w:rPr>
        <w:t>United States</w:t>
      </w:r>
      <w:r w:rsidRPr="0034280D">
        <w:rPr>
          <w:lang w:eastAsia="zh-TW"/>
        </w:rPr>
        <w:t xml:space="preserve">, California, </w:t>
      </w:r>
      <w:r>
        <w:rPr>
          <w:lang w:eastAsia="zh-TW"/>
        </w:rPr>
        <w:t xml:space="preserve">and </w:t>
      </w:r>
      <w:r w:rsidRPr="0034280D">
        <w:rPr>
          <w:lang w:eastAsia="zh-TW"/>
        </w:rPr>
        <w:t xml:space="preserve">Pacific Northwest. On the other hand, </w:t>
      </w:r>
      <w:r w:rsidR="00024B4E">
        <w:rPr>
          <w:rFonts w:eastAsia="PMingLiU"/>
          <w:lang w:eastAsia="zh-TW"/>
        </w:rPr>
        <w:t xml:space="preserve">the </w:t>
      </w:r>
      <w:r>
        <w:rPr>
          <w:lang w:eastAsia="zh-TW"/>
        </w:rPr>
        <w:t>HM</w:t>
      </w:r>
      <w:r w:rsidRPr="0034280D">
        <w:rPr>
          <w:lang w:eastAsia="zh-TW"/>
        </w:rPr>
        <w:t xml:space="preserve"> </w:t>
      </w:r>
      <w:r>
        <w:rPr>
          <w:lang w:eastAsia="zh-TW"/>
        </w:rPr>
        <w:t>is</w:t>
      </w:r>
      <w:r w:rsidRPr="0034280D">
        <w:rPr>
          <w:lang w:eastAsia="zh-TW"/>
        </w:rPr>
        <w:t xml:space="preserve"> more dominant across several parts of</w:t>
      </w:r>
      <w:r>
        <w:rPr>
          <w:lang w:eastAsia="zh-TW"/>
        </w:rPr>
        <w:t xml:space="preserve"> the</w:t>
      </w:r>
      <w:r w:rsidRPr="0034280D">
        <w:rPr>
          <w:lang w:eastAsia="zh-TW"/>
        </w:rPr>
        <w:t xml:space="preserve"> central </w:t>
      </w:r>
      <w:r>
        <w:rPr>
          <w:lang w:eastAsia="zh-TW"/>
        </w:rPr>
        <w:t>United States,</w:t>
      </w:r>
      <w:r w:rsidRPr="0034280D">
        <w:rPr>
          <w:lang w:eastAsia="zh-TW"/>
        </w:rPr>
        <w:t xml:space="preserve"> including portions of </w:t>
      </w:r>
      <w:r>
        <w:rPr>
          <w:lang w:eastAsia="zh-TW"/>
        </w:rPr>
        <w:t xml:space="preserve">the </w:t>
      </w:r>
      <w:r w:rsidRPr="0034280D">
        <w:rPr>
          <w:lang w:eastAsia="zh-TW"/>
        </w:rPr>
        <w:t xml:space="preserve">Pacific Northwest, Missouri, upper Colorado, and upper Mississippi. </w:t>
      </w:r>
      <w:r>
        <w:t>The choice in DS, while only significantly influential for selected HUC8s, can play a significant role when combined with CMs based on high contributions from interaction terms of an ANOVA.</w:t>
      </w:r>
    </w:p>
    <w:p w14:paraId="50ED031C" w14:textId="311FDFEC" w:rsidR="00D81236" w:rsidRPr="00B14EBE" w:rsidRDefault="00D81236" w:rsidP="005F6BB4">
      <w:pPr>
        <w:pStyle w:val="FIGUREposition"/>
        <w:rPr>
          <w:rFonts w:eastAsia="PMingLiU"/>
          <w:lang w:eastAsia="zh-TW"/>
        </w:rPr>
      </w:pPr>
      <w:r>
        <w:rPr>
          <w:rFonts w:eastAsia="PMingLiU"/>
          <w:noProof/>
          <w:lang w:eastAsia="zh-TW"/>
        </w:rPr>
        <w:drawing>
          <wp:inline distT="0" distB="0" distL="0" distR="0" wp14:anchorId="76E4565D" wp14:editId="2EDE3C13">
            <wp:extent cx="5486400" cy="3657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a:ext>
                      </a:extLst>
                    </a:blip>
                    <a:srcRect/>
                    <a:stretch>
                      <a:fillRect/>
                    </a:stretch>
                  </pic:blipFill>
                  <pic:spPr bwMode="auto">
                    <a:xfrm>
                      <a:off x="0" y="0"/>
                      <a:ext cx="5486400" cy="3657600"/>
                    </a:xfrm>
                    <a:prstGeom prst="rect">
                      <a:avLst/>
                    </a:prstGeom>
                    <a:noFill/>
                    <a:ln>
                      <a:noFill/>
                    </a:ln>
                  </pic:spPr>
                </pic:pic>
              </a:graphicData>
            </a:graphic>
          </wp:inline>
        </w:drawing>
      </w:r>
    </w:p>
    <w:p w14:paraId="0810826C" w14:textId="1D9F1748" w:rsidR="005F6BB4" w:rsidRPr="005F6BB4" w:rsidRDefault="00D4402E" w:rsidP="005F6BB4">
      <w:pPr>
        <w:pStyle w:val="FigureCaption"/>
        <w:rPr>
          <w:rFonts w:eastAsia="PMingLiU"/>
          <w:vanish/>
          <w:lang w:eastAsia="zh-TW"/>
          <w:specVanish/>
        </w:rPr>
      </w:pPr>
      <w:bookmarkStart w:id="576" w:name="_Ref81905291"/>
      <w:bookmarkStart w:id="577" w:name="_Toc113380966"/>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4</w:t>
      </w:r>
      <w:r w:rsidRPr="00F61532">
        <w:rPr>
          <w:lang w:eastAsia="zh-TW"/>
        </w:rPr>
        <w:fldChar w:fldCharType="end"/>
      </w:r>
      <w:bookmarkEnd w:id="576"/>
      <w:r w:rsidRPr="00F61532">
        <w:rPr>
          <w:lang w:eastAsia="zh-TW"/>
        </w:rPr>
        <w:t>.</w:t>
      </w:r>
      <w:r w:rsidRPr="00A47C08">
        <w:rPr>
          <w:lang w:eastAsia="zh-TW"/>
        </w:rPr>
        <w:t xml:space="preserve"> </w:t>
      </w:r>
      <w:r w:rsidR="00D81236" w:rsidRPr="00002B47">
        <w:rPr>
          <w:rFonts w:eastAsia="PMingLiU"/>
          <w:lang w:eastAsia="zh-TW"/>
        </w:rPr>
        <w:t xml:space="preserve">ANOVA of annual total runoff </w:t>
      </w:r>
      <w:r w:rsidR="00D81236">
        <w:rPr>
          <w:rFonts w:eastAsia="PMingLiU"/>
          <w:lang w:eastAsia="zh-TW"/>
        </w:rPr>
        <w:t>in the CONUS</w:t>
      </w:r>
      <w:r w:rsidR="00D81236" w:rsidRPr="00002B47">
        <w:rPr>
          <w:rFonts w:eastAsia="PMingLiU"/>
          <w:lang w:eastAsia="zh-TW"/>
        </w:rPr>
        <w:t>.</w:t>
      </w:r>
      <w:bookmarkEnd w:id="577"/>
      <w:r w:rsidR="00D81236">
        <w:rPr>
          <w:rFonts w:eastAsia="PMingLiU"/>
          <w:lang w:eastAsia="zh-TW"/>
        </w:rPr>
        <w:t xml:space="preserve"> </w:t>
      </w:r>
    </w:p>
    <w:p w14:paraId="2F9D20C4" w14:textId="403C4E23" w:rsidR="00D81236" w:rsidRDefault="001268F6" w:rsidP="005F6BB4">
      <w:pPr>
        <w:pStyle w:val="FigureCaptionSeparator"/>
        <w:rPr>
          <w:rFonts w:eastAsia="PMingLiU"/>
        </w:rPr>
      </w:pPr>
      <w:r>
        <w:rPr>
          <w:rFonts w:eastAsia="PMingLiU"/>
        </w:rPr>
        <w:t>T</w:t>
      </w:r>
      <w:r w:rsidR="009402B2">
        <w:rPr>
          <w:rFonts w:eastAsia="PMingLiU"/>
        </w:rPr>
        <w:t>he most significant factor</w:t>
      </w:r>
      <w:r>
        <w:rPr>
          <w:rFonts w:eastAsia="PMingLiU"/>
        </w:rPr>
        <w:t xml:space="preserve"> for </w:t>
      </w:r>
      <w:r w:rsidRPr="001268F6">
        <w:rPr>
          <w:rFonts w:eastAsia="PMingLiU"/>
        </w:rPr>
        <w:t>each HUC8</w:t>
      </w:r>
      <w:r w:rsidR="009402B2">
        <w:rPr>
          <w:rFonts w:eastAsia="PMingLiU"/>
        </w:rPr>
        <w:t xml:space="preserve"> is plotted. </w:t>
      </w:r>
      <w:r w:rsidR="00D81236">
        <w:rPr>
          <w:rFonts w:eastAsia="PMingLiU"/>
        </w:rPr>
        <w:t xml:space="preserve">The </w:t>
      </w:r>
      <w:r w:rsidR="00852960">
        <w:rPr>
          <w:rFonts w:eastAsia="PMingLiU"/>
        </w:rPr>
        <w:t>transparency indicates</w:t>
      </w:r>
      <w:r w:rsidR="00D81236">
        <w:rPr>
          <w:rFonts w:eastAsia="PMingLiU"/>
        </w:rPr>
        <w:t xml:space="preserve"> the contribution</w:t>
      </w:r>
      <w:r w:rsidR="00CB3993">
        <w:rPr>
          <w:rFonts w:eastAsia="PMingLiU"/>
        </w:rPr>
        <w:t xml:space="preserve"> (%)</w:t>
      </w:r>
      <w:r w:rsidR="00D81236">
        <w:rPr>
          <w:rFonts w:eastAsia="PMingLiU"/>
        </w:rPr>
        <w:t xml:space="preserve"> </w:t>
      </w:r>
      <w:r w:rsidR="009402B2">
        <w:rPr>
          <w:rFonts w:eastAsia="PMingLiU"/>
        </w:rPr>
        <w:t xml:space="preserve">of the most significant factor </w:t>
      </w:r>
      <w:r w:rsidR="00D81236">
        <w:rPr>
          <w:rFonts w:eastAsia="PMingLiU"/>
        </w:rPr>
        <w:t xml:space="preserve">to the total variance (i.e., </w:t>
      </w:r>
      <w:r w:rsidR="00AF1805">
        <w:rPr>
          <w:rFonts w:eastAsia="PMingLiU"/>
        </w:rPr>
        <w:t xml:space="preserve">fully transparent indicates </w:t>
      </w:r>
      <w:r w:rsidR="00D81236">
        <w:rPr>
          <w:rFonts w:eastAsia="PMingLiU"/>
        </w:rPr>
        <w:t xml:space="preserve">0% contribution, </w:t>
      </w:r>
      <w:r w:rsidR="00A12B24" w:rsidRPr="00A12B24">
        <w:rPr>
          <w:rFonts w:eastAsia="PMingLiU"/>
        </w:rPr>
        <w:t xml:space="preserve">fully opaque </w:t>
      </w:r>
      <w:r w:rsidR="00A12B24">
        <w:rPr>
          <w:rFonts w:eastAsia="PMingLiU"/>
        </w:rPr>
        <w:t xml:space="preserve">indicates </w:t>
      </w:r>
      <w:r w:rsidR="00D81236">
        <w:rPr>
          <w:rFonts w:eastAsia="PMingLiU"/>
        </w:rPr>
        <w:t>100% contribution)</w:t>
      </w:r>
      <w:r w:rsidR="00852960">
        <w:rPr>
          <w:rFonts w:eastAsia="PMingLiU"/>
        </w:rPr>
        <w:t>.</w:t>
      </w:r>
    </w:p>
    <w:p w14:paraId="41B6FC6B" w14:textId="77777777" w:rsidR="00163533" w:rsidRPr="009767DA" w:rsidRDefault="00163533" w:rsidP="00163533">
      <w:pPr>
        <w:pStyle w:val="Heading2"/>
      </w:pPr>
      <w:bookmarkStart w:id="578" w:name="_Toc113380843"/>
      <w:r>
        <w:t>Reservoir Evaporation</w:t>
      </w:r>
      <w:bookmarkEnd w:id="578"/>
    </w:p>
    <w:p w14:paraId="23FE638C" w14:textId="541C3794" w:rsidR="00163533" w:rsidRDefault="00163533" w:rsidP="005F6BB4">
      <w:pPr>
        <w:pStyle w:val="BodyText"/>
      </w:pPr>
      <w:r>
        <w:t xml:space="preserve">For </w:t>
      </w:r>
      <w:r w:rsidR="006E05C4">
        <w:t>an analysis of reservoir evaporation</w:t>
      </w:r>
      <w:r>
        <w:t xml:space="preserve">, 678 major reservoirs </w:t>
      </w:r>
      <w:r w:rsidRPr="002F71E7">
        <w:t>in the CONUS</w:t>
      </w:r>
      <w:r>
        <w:t xml:space="preserve"> were selected, each with a storage capacity greater than 0.08 MAF (i.e., 0.1 km</w:t>
      </w:r>
      <w:r w:rsidRPr="001C3E3C">
        <w:rPr>
          <w:vertAlign w:val="superscript"/>
        </w:rPr>
        <w:t>3</w:t>
      </w:r>
      <w:r>
        <w:t>). The future reservoir evaporation losses show different degrees of increments with distinct spatial patterns (</w:t>
      </w:r>
      <w:r>
        <w:fldChar w:fldCharType="begin"/>
      </w:r>
      <w:r>
        <w:instrText xml:space="preserve"> REF _Ref80010406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5</w:t>
      </w:r>
      <w:r>
        <w:fldChar w:fldCharType="end"/>
      </w:r>
      <w:r>
        <w:t xml:space="preserve">). In general, more severe evaporation losses are projected to occur during the mid-term future period (2040–2059) than the near-term future period (2020–2039). In the near-term future period, reservoirs with the largest changes are mainly located in the south-central CONUS (mainly the southern Missouri, western Arkansas–White–Red, and western Texas-Gulf), whereas the rate of increase will be low in most of the eastern and western CONUS. In the mid-term future period, evaporation loss growth rates in the south-central United States will remain the largest. In addition, the changes of evaporation loss in the </w:t>
      </w:r>
      <w:r w:rsidR="006C6778">
        <w:t>w</w:t>
      </w:r>
      <w:r>
        <w:t xml:space="preserve">estern United States are also </w:t>
      </w:r>
      <w:r>
        <w:lastRenderedPageBreak/>
        <w:t xml:space="preserve">significant (6% on average). The growth rate in the </w:t>
      </w:r>
      <w:r w:rsidR="006C6778">
        <w:t>e</w:t>
      </w:r>
      <w:r>
        <w:t>astern United States (especially in the Southeast) will be relatively low by comparison.</w:t>
      </w:r>
    </w:p>
    <w:p w14:paraId="403FDED2" w14:textId="77777777" w:rsidR="00D9580F" w:rsidRDefault="00D9580F" w:rsidP="00D9580F">
      <w:pPr>
        <w:pStyle w:val="FIGUREposition"/>
        <w:rPr>
          <w:rFonts w:eastAsia="PMingLiU"/>
          <w:lang w:eastAsia="zh-TW"/>
        </w:rPr>
      </w:pPr>
      <w:r>
        <w:rPr>
          <w:noProof/>
        </w:rPr>
        <w:drawing>
          <wp:inline distT="0" distB="0" distL="0" distR="0" wp14:anchorId="4AD2CB1B" wp14:editId="13C6ADF1">
            <wp:extent cx="5943600" cy="26746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r>
        <w:rPr>
          <w:noProof/>
        </w:rPr>
        <w:drawing>
          <wp:inline distT="0" distB="0" distL="0" distR="0" wp14:anchorId="480BB5F1" wp14:editId="044FABA8">
            <wp:extent cx="5943600" cy="267462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14:paraId="6D5401B7" w14:textId="785D9A5E" w:rsidR="00D9580F" w:rsidRDefault="00D9580F" w:rsidP="00D9580F">
      <w:pPr>
        <w:pStyle w:val="FigureCaption"/>
        <w:rPr>
          <w:lang w:eastAsia="zh-TW"/>
        </w:rPr>
      </w:pPr>
      <w:bookmarkStart w:id="579" w:name="_Ref80010406"/>
      <w:bookmarkStart w:id="580" w:name="_Toc113380967"/>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5</w:t>
      </w:r>
      <w:r w:rsidRPr="00F61532">
        <w:rPr>
          <w:lang w:eastAsia="zh-TW"/>
        </w:rPr>
        <w:fldChar w:fldCharType="end"/>
      </w:r>
      <w:bookmarkEnd w:id="579"/>
      <w:r w:rsidRPr="00F61532">
        <w:rPr>
          <w:lang w:eastAsia="zh-TW"/>
        </w:rPr>
        <w:t xml:space="preserve">. </w:t>
      </w:r>
      <w:r w:rsidRPr="00FA57F9">
        <w:rPr>
          <w:lang w:eastAsia="zh-TW"/>
        </w:rPr>
        <w:t xml:space="preserve">Changes of mean evaporation loss (in </w:t>
      </w:r>
      <w:r>
        <w:rPr>
          <w:lang w:eastAsia="zh-TW"/>
        </w:rPr>
        <w:t>%</w:t>
      </w:r>
      <w:r w:rsidRPr="00FA57F9">
        <w:rPr>
          <w:lang w:eastAsia="zh-TW"/>
        </w:rPr>
        <w:t xml:space="preserve">) </w:t>
      </w:r>
      <w:r>
        <w:rPr>
          <w:lang w:eastAsia="zh-TW"/>
        </w:rPr>
        <w:t>of</w:t>
      </w:r>
      <w:r w:rsidRPr="00FA57F9">
        <w:rPr>
          <w:lang w:eastAsia="zh-TW"/>
        </w:rPr>
        <w:t xml:space="preserve"> 678 </w:t>
      </w:r>
      <w:r>
        <w:rPr>
          <w:lang w:eastAsia="zh-TW"/>
        </w:rPr>
        <w:t xml:space="preserve">CONUS </w:t>
      </w:r>
      <w:r w:rsidRPr="00FA57F9">
        <w:rPr>
          <w:lang w:eastAsia="zh-TW"/>
        </w:rPr>
        <w:t>reservoirs</w:t>
      </w:r>
      <w:r>
        <w:rPr>
          <w:lang w:eastAsia="zh-TW"/>
        </w:rPr>
        <w:t>.</w:t>
      </w:r>
      <w:bookmarkEnd w:id="580"/>
    </w:p>
    <w:p w14:paraId="1FEF50EC" w14:textId="0DFEBE0E" w:rsidR="00187752" w:rsidRPr="00187752" w:rsidRDefault="00B44A77" w:rsidP="005F6BB4">
      <w:pPr>
        <w:pStyle w:val="BodyText"/>
        <w:rPr>
          <w:lang w:eastAsia="zh-TW"/>
        </w:rPr>
      </w:pPr>
      <w:r>
        <w:t xml:space="preserve">Compared with the baseline period, almost all reservoirs (except for four) show increased evaporation loss during the near-term future period—with an average growth rate of 3.4%. For 84% of these reservoirs, the increased values are all less than 4%. Over these reservoirs, the change is primarily caused by the increased evaporation rate. The </w:t>
      </w:r>
      <w:r w:rsidR="004A3384">
        <w:t xml:space="preserve">increase of </w:t>
      </w:r>
      <w:r w:rsidRPr="00073D16">
        <w:t>evaporation loss</w:t>
      </w:r>
      <w:r>
        <w:t xml:space="preserve"> is more severe in the south-central United States, mainly southern Missouri, western Arkansas–White–Red, and the western Texas-Gulf. The changes in this region are caused by the combined effects of changing evaporation rate and area. Multiple short-term extreme precipitation events are projected to occur in the south-central region in the future. The elevated regional inflow (owing to such extreme events) will cause the reservoir area to reach its capacity during these future periods, which will exacerbate the evaporation losses. In the mid-term future</w:t>
      </w:r>
      <w:r w:rsidR="00DB4FCF">
        <w:t xml:space="preserve"> period</w:t>
      </w:r>
      <w:r>
        <w:t>, the average evaporation loss growth rate is 5.6%, and the spatial heterogeneity of evaporation loss growth is more significant</w:t>
      </w:r>
      <w:r>
        <w:rPr>
          <w:lang w:eastAsia="zh-CN"/>
        </w:rPr>
        <w:t xml:space="preserve"> than near-term future</w:t>
      </w:r>
      <w:r w:rsidR="00187752">
        <w:t xml:space="preserve"> (</w:t>
      </w:r>
      <w:r w:rsidR="00187752">
        <w:fldChar w:fldCharType="begin"/>
      </w:r>
      <w:r w:rsidR="00187752">
        <w:instrText xml:space="preserve"> REF _Ref80010406 \h </w:instrText>
      </w:r>
      <w:r w:rsidR="00187752">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5</w:t>
      </w:r>
      <w:r w:rsidR="00187752">
        <w:fldChar w:fldCharType="end"/>
      </w:r>
      <w:r w:rsidR="00187752">
        <w:t xml:space="preserve">b). </w:t>
      </w:r>
      <w:r>
        <w:t xml:space="preserve">The evaporation loss growth rate in the </w:t>
      </w:r>
      <w:r>
        <w:lastRenderedPageBreak/>
        <w:t xml:space="preserve">arid/semi-arid </w:t>
      </w:r>
      <w:r w:rsidR="006C6778">
        <w:t>w</w:t>
      </w:r>
      <w:r>
        <w:t xml:space="preserve">estern United States is 6.1% compared </w:t>
      </w:r>
      <w:r w:rsidR="00321A44">
        <w:t>with</w:t>
      </w:r>
      <w:r>
        <w:t xml:space="preserve"> the baseline period, </w:t>
      </w:r>
      <w:r w:rsidR="006E05C4">
        <w:t xml:space="preserve">and </w:t>
      </w:r>
      <w:r>
        <w:t>much higher than the 2.9% in the eastern part, which is expected to worsen hydrologic drought conditions in the future.</w:t>
      </w:r>
    </w:p>
    <w:p w14:paraId="6A275897" w14:textId="77777777" w:rsidR="004E694C" w:rsidRPr="009767DA" w:rsidRDefault="004E694C" w:rsidP="00AD0C1C">
      <w:pPr>
        <w:pStyle w:val="Heading2"/>
      </w:pPr>
      <w:bookmarkStart w:id="581" w:name="_Toc113380844"/>
      <w:r w:rsidRPr="009767DA">
        <w:t xml:space="preserve">Federal Hydropower </w:t>
      </w:r>
      <w:r>
        <w:t>Generation</w:t>
      </w:r>
      <w:bookmarkEnd w:id="581"/>
    </w:p>
    <w:p w14:paraId="0D0D3376" w14:textId="52F6BC2C" w:rsidR="00E07418" w:rsidRPr="00E07418" w:rsidRDefault="00E07418" w:rsidP="00E94571">
      <w:pPr>
        <w:pStyle w:val="Heading3"/>
      </w:pPr>
      <w:bookmarkStart w:id="582" w:name="_Toc113380845"/>
      <w:r w:rsidRPr="00E07418">
        <w:t xml:space="preserve">Projected </w:t>
      </w:r>
      <w:r w:rsidR="00256D62">
        <w:t>C</w:t>
      </w:r>
      <w:r w:rsidRPr="00E07418">
        <w:t xml:space="preserve">hanges in </w:t>
      </w:r>
      <w:r w:rsidR="00256D62">
        <w:t>A</w:t>
      </w:r>
      <w:r w:rsidRPr="00E07418">
        <w:t xml:space="preserve">nnual </w:t>
      </w:r>
      <w:r w:rsidR="00256D62">
        <w:t>H</w:t>
      </w:r>
      <w:r w:rsidRPr="00E07418">
        <w:t xml:space="preserve">ydropower </w:t>
      </w:r>
      <w:r w:rsidR="00256D62">
        <w:t>G</w:t>
      </w:r>
      <w:r w:rsidRPr="00E07418">
        <w:t>enerations</w:t>
      </w:r>
      <w:bookmarkEnd w:id="582"/>
    </w:p>
    <w:p w14:paraId="1DF29BE5" w14:textId="28203CD7" w:rsidR="00CB7323" w:rsidRPr="00E07418" w:rsidRDefault="000349A5" w:rsidP="00784FAE">
      <w:pPr>
        <w:pStyle w:val="BodyText"/>
      </w:pPr>
      <w:r>
        <w:t xml:space="preserve">The total annual hydroelectric energy generated from each PMA region and from all PMA regions as a group is summarized in </w:t>
      </w:r>
      <w:r>
        <w:fldChar w:fldCharType="begin"/>
      </w:r>
      <w:r>
        <w:instrText xml:space="preserve"> REF _Ref81460822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6</w:t>
      </w:r>
      <w:r>
        <w:fldChar w:fldCharType="end"/>
      </w:r>
      <w:r>
        <w:t xml:space="preserve"> for near-term and mid</w:t>
      </w:r>
      <w:r w:rsidR="00FD5F89">
        <w:t>-</w:t>
      </w:r>
      <w:r>
        <w:t xml:space="preserve">term future periods. To show the </w:t>
      </w:r>
      <w:r w:rsidR="005E23BA">
        <w:t>multimodel</w:t>
      </w:r>
      <w:r>
        <w:t xml:space="preserve"> variability, each horizontal </w:t>
      </w:r>
      <w:r w:rsidRPr="00941B6F">
        <w:t xml:space="preserve">bar </w:t>
      </w:r>
      <w:r>
        <w:t xml:space="preserve">in </w:t>
      </w:r>
      <w:r w:rsidR="00784FAE">
        <w:fldChar w:fldCharType="begin"/>
      </w:r>
      <w:r w:rsidR="00784FAE">
        <w:instrText xml:space="preserve"> REF _Ref81460822 \h </w:instrText>
      </w:r>
      <w:r w:rsidR="00784FAE">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6</w:t>
      </w:r>
      <w:r w:rsidR="00784FAE">
        <w:fldChar w:fldCharType="end"/>
      </w:r>
      <w:r>
        <w:t xml:space="preserve"> </w:t>
      </w:r>
      <w:r w:rsidR="00C1129B">
        <w:t xml:space="preserve">is a composite of </w:t>
      </w:r>
      <w:r w:rsidR="00784FAE">
        <w:t>96</w:t>
      </w:r>
      <w:r w:rsidRPr="00941B6F">
        <w:t xml:space="preserve"> smaller bars for each </w:t>
      </w:r>
      <w:r w:rsidR="00784FAE">
        <w:t>hydropower projection</w:t>
      </w:r>
      <w:r>
        <w:t>,</w:t>
      </w:r>
      <w:r w:rsidRPr="00941B6F">
        <w:t xml:space="preserve"> sorted </w:t>
      </w:r>
      <w:r w:rsidR="00DF3CAD">
        <w:t>in descending order,</w:t>
      </w:r>
      <w:r w:rsidR="00DF3CAD" w:rsidRPr="00941B6F">
        <w:t xml:space="preserve"> </w:t>
      </w:r>
      <w:r w:rsidRPr="00941B6F">
        <w:t>from top to bottom</w:t>
      </w:r>
      <w:r>
        <w:t>. For comparison, t</w:t>
      </w:r>
      <w:r w:rsidRPr="00AC262A">
        <w:t xml:space="preserve">he </w:t>
      </w:r>
      <w:r w:rsidR="005E23BA">
        <w:t>multimodel</w:t>
      </w:r>
      <w:r w:rsidRPr="00AC262A">
        <w:t xml:space="preserve"> baseline (</w:t>
      </w:r>
      <w:r w:rsidR="00784FAE">
        <w:t>1980</w:t>
      </w:r>
      <w:r w:rsidRPr="00AC262A">
        <w:t>–</w:t>
      </w:r>
      <w:r w:rsidR="00784FAE">
        <w:t>2019</w:t>
      </w:r>
      <w:r w:rsidRPr="00AC262A">
        <w:t xml:space="preserve">) average is marked </w:t>
      </w:r>
      <w:r>
        <w:t>by</w:t>
      </w:r>
      <w:r w:rsidRPr="00AC262A">
        <w:t xml:space="preserve"> the b</w:t>
      </w:r>
      <w:r>
        <w:t>ol</w:t>
      </w:r>
      <w:r w:rsidRPr="00AC262A">
        <w:t>d</w:t>
      </w:r>
      <w:r w:rsidR="00DF3CAD">
        <w:t>,</w:t>
      </w:r>
      <w:r w:rsidRPr="00AC262A">
        <w:t xml:space="preserve"> </w:t>
      </w:r>
      <w:r>
        <w:t xml:space="preserve">vertical black </w:t>
      </w:r>
      <w:r w:rsidRPr="00AC262A">
        <w:t>line</w:t>
      </w:r>
      <w:r>
        <w:t xml:space="preserve">. </w:t>
      </w:r>
      <w:r w:rsidR="001F71B5">
        <w:t>The</w:t>
      </w:r>
      <w:r w:rsidR="00E07418" w:rsidRPr="00E07418">
        <w:t xml:space="preserve"> projected </w:t>
      </w:r>
      <w:r w:rsidR="009E649C">
        <w:t xml:space="preserve">annual </w:t>
      </w:r>
      <w:r w:rsidR="00E07418" w:rsidRPr="00E07418">
        <w:t xml:space="preserve">hydropower generation at </w:t>
      </w:r>
      <w:r w:rsidR="001F71B5">
        <w:t xml:space="preserve">the </w:t>
      </w:r>
      <w:r w:rsidR="00E07418" w:rsidRPr="00E07418">
        <w:t xml:space="preserve">PMA level </w:t>
      </w:r>
      <w:r w:rsidR="001F71B5">
        <w:t xml:space="preserve">is summarized </w:t>
      </w:r>
      <w:r w:rsidR="009E649C">
        <w:t xml:space="preserve">in </w:t>
      </w:r>
      <w:r w:rsidR="009E649C">
        <w:fldChar w:fldCharType="begin"/>
      </w:r>
      <w:r w:rsidR="009E649C">
        <w:instrText xml:space="preserve"> REF _Ref81460822 \h </w:instrText>
      </w:r>
      <w:r w:rsidR="009E649C">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6</w:t>
      </w:r>
      <w:r w:rsidR="009E649C">
        <w:fldChar w:fldCharType="end"/>
      </w:r>
      <w:r w:rsidR="00E07418" w:rsidRPr="00E07418">
        <w:t xml:space="preserve">. Key findings </w:t>
      </w:r>
      <w:r w:rsidR="001F71B5">
        <w:t>are listed below</w:t>
      </w:r>
      <w:r w:rsidR="00E07418" w:rsidRPr="00E07418">
        <w:t>:</w:t>
      </w:r>
    </w:p>
    <w:p w14:paraId="102346BD" w14:textId="7519B141" w:rsidR="00901EEB" w:rsidRDefault="00901EEB" w:rsidP="005F6BB4">
      <w:pPr>
        <w:pStyle w:val="BulletListspace"/>
      </w:pPr>
      <w:r>
        <w:t xml:space="preserve">At the annual scale, the total annual hydropower generation for all PMAs is projected </w:t>
      </w:r>
      <w:r w:rsidR="001F71B5">
        <w:t>to be</w:t>
      </w:r>
      <w:r>
        <w:t xml:space="preserve"> around 120 TWh/year in both near-term (2020–2039) and mid-term (2040–2059) future periods, </w:t>
      </w:r>
      <w:r w:rsidR="001F71B5">
        <w:t>which is</w:t>
      </w:r>
      <w:r>
        <w:t xml:space="preserve"> close to the baseline (1980–2019) level.</w:t>
      </w:r>
    </w:p>
    <w:p w14:paraId="3ACC88EB" w14:textId="7AB0D416" w:rsidR="00956F3D" w:rsidRDefault="00901EEB" w:rsidP="005F6BB4">
      <w:pPr>
        <w:pStyle w:val="BulletListspace"/>
      </w:pPr>
      <w:r>
        <w:t>Most PMAs feature a wide</w:t>
      </w:r>
      <w:r w:rsidR="00A5458D">
        <w:t>r</w:t>
      </w:r>
      <w:r>
        <w:t xml:space="preserve"> </w:t>
      </w:r>
      <w:r w:rsidR="005E23BA">
        <w:t>multimodel</w:t>
      </w:r>
      <w:r w:rsidR="00800DB6">
        <w:t xml:space="preserve"> </w:t>
      </w:r>
      <w:r>
        <w:t xml:space="preserve">spread in </w:t>
      </w:r>
      <w:r w:rsidR="00784FAE">
        <w:t xml:space="preserve">the </w:t>
      </w:r>
      <w:r>
        <w:t xml:space="preserve">mid-term </w:t>
      </w:r>
      <w:r w:rsidR="00A5458D">
        <w:t>future period</w:t>
      </w:r>
      <w:r>
        <w:t xml:space="preserve"> than </w:t>
      </w:r>
      <w:r w:rsidR="00A5458D">
        <w:t>in the</w:t>
      </w:r>
      <w:r>
        <w:t xml:space="preserve"> near-term </w:t>
      </w:r>
      <w:r w:rsidR="00784FAE">
        <w:t xml:space="preserve">future period </w:t>
      </w:r>
      <w:r>
        <w:t>with no obvious change in the ensemble mean.</w:t>
      </w:r>
    </w:p>
    <w:p w14:paraId="243708CD" w14:textId="77777777" w:rsidR="00D9580F" w:rsidRDefault="00D9580F" w:rsidP="00D9580F">
      <w:pPr>
        <w:pStyle w:val="FIGUREposition"/>
      </w:pPr>
      <w:r>
        <w:rPr>
          <w:noProof/>
        </w:rPr>
        <w:drawing>
          <wp:inline distT="0" distB="0" distL="0" distR="0" wp14:anchorId="5763FABD" wp14:editId="31971355">
            <wp:extent cx="5486400" cy="3657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6E59700B" w14:textId="1B7B075C" w:rsidR="00D9580F" w:rsidRPr="005F6BB4" w:rsidRDefault="00D9580F" w:rsidP="00D9580F">
      <w:pPr>
        <w:pStyle w:val="FigureCaption"/>
        <w:rPr>
          <w:vanish/>
          <w:specVanish/>
        </w:rPr>
      </w:pPr>
      <w:bookmarkStart w:id="583" w:name="_Ref81460822"/>
      <w:bookmarkStart w:id="584" w:name="_Toc113380968"/>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6</w:t>
      </w:r>
      <w:r w:rsidRPr="00F61532">
        <w:rPr>
          <w:lang w:eastAsia="zh-TW"/>
        </w:rPr>
        <w:fldChar w:fldCharType="end"/>
      </w:r>
      <w:bookmarkEnd w:id="583"/>
      <w:r w:rsidRPr="00F61532">
        <w:rPr>
          <w:lang w:eastAsia="zh-TW"/>
        </w:rPr>
        <w:t xml:space="preserve">. </w:t>
      </w:r>
      <w:r>
        <w:rPr>
          <w:lang w:eastAsia="zh-TW"/>
        </w:rPr>
        <w:t>Distribution of annual hydropower generation by PMA.</w:t>
      </w:r>
      <w:bookmarkEnd w:id="584"/>
      <w:r w:rsidRPr="00061838">
        <w:t xml:space="preserve"> </w:t>
      </w:r>
    </w:p>
    <w:p w14:paraId="782C5273" w14:textId="77777777" w:rsidR="00D9580F" w:rsidRDefault="00D9580F" w:rsidP="00D9580F">
      <w:pPr>
        <w:pStyle w:val="FigureCaptionSeparator"/>
      </w:pPr>
      <w:r>
        <w:t>E</w:t>
      </w:r>
      <w:r w:rsidRPr="00061838">
        <w:t>ach horizontal bar is a composite of 96 smaller bars for each hydropower projection, sorted in descending order, from top to bottom.</w:t>
      </w:r>
    </w:p>
    <w:p w14:paraId="345D7FD3" w14:textId="7F78FBFB" w:rsidR="00901EEB" w:rsidRDefault="00901EEB" w:rsidP="00611B2D">
      <w:pPr>
        <w:pStyle w:val="BodyText"/>
      </w:pPr>
      <w:r>
        <w:t xml:space="preserve">While the </w:t>
      </w:r>
      <w:r w:rsidR="005E23BA">
        <w:t>multimodel</w:t>
      </w:r>
      <w:r w:rsidR="00611B2D">
        <w:t xml:space="preserve"> </w:t>
      </w:r>
      <w:r w:rsidR="00784FAE">
        <w:t xml:space="preserve">spread is relatively small </w:t>
      </w:r>
      <w:r w:rsidR="004F7C56">
        <w:t xml:space="preserve">for the </w:t>
      </w:r>
      <w:r>
        <w:t xml:space="preserve">BPA, </w:t>
      </w:r>
      <w:r w:rsidR="00956F3D">
        <w:t xml:space="preserve">it </w:t>
      </w:r>
      <w:r w:rsidR="00784FAE">
        <w:t xml:space="preserve">becomes </w:t>
      </w:r>
      <w:r w:rsidR="00956F3D">
        <w:t xml:space="preserve">larger </w:t>
      </w:r>
      <w:r w:rsidR="004F7C56">
        <w:t xml:space="preserve">for the </w:t>
      </w:r>
      <w:r w:rsidR="00956F3D">
        <w:t>WAPA and even</w:t>
      </w:r>
      <w:r w:rsidR="00784FAE">
        <w:t xml:space="preserve"> larger </w:t>
      </w:r>
      <w:r w:rsidR="004F7C56">
        <w:t xml:space="preserve">for </w:t>
      </w:r>
      <w:r w:rsidR="00956F3D">
        <w:t>SWPA and SEPA</w:t>
      </w:r>
      <w:r>
        <w:t>.</w:t>
      </w:r>
      <w:r w:rsidR="00956F3D">
        <w:t xml:space="preserve"> </w:t>
      </w:r>
      <w:r w:rsidR="00611B2D">
        <w:t>Apart from the influence of different regional climate projections</w:t>
      </w:r>
      <w:r w:rsidR="00800DB6">
        <w:t xml:space="preserve">, it </w:t>
      </w:r>
      <w:r w:rsidR="00611B2D">
        <w:t xml:space="preserve">can also </w:t>
      </w:r>
      <w:r w:rsidR="003F3330">
        <w:t xml:space="preserve">be explained by </w:t>
      </w:r>
      <w:r w:rsidR="00800DB6">
        <w:t xml:space="preserve">their differences in reservoir features. </w:t>
      </w:r>
      <w:r w:rsidR="00611B2D">
        <w:t xml:space="preserve">The reservoirs in BPA and WAPA are relatively large and may provide multiple-year storage, </w:t>
      </w:r>
      <w:r w:rsidR="004F7C56">
        <w:t xml:space="preserve">whereas </w:t>
      </w:r>
      <w:r w:rsidR="00611B2D">
        <w:t>the reservoirs in SWPA and SEPA</w:t>
      </w:r>
      <w:r w:rsidR="003F3330">
        <w:t xml:space="preserve"> are relatively </w:t>
      </w:r>
      <w:r w:rsidR="003F3330">
        <w:lastRenderedPageBreak/>
        <w:t xml:space="preserve">small and heavily influenced by rainfall variability. </w:t>
      </w:r>
      <w:r w:rsidR="00AF1942">
        <w:t xml:space="preserve">To verify this point, the change of natural streamflow and hydropower generation </w:t>
      </w:r>
      <w:r w:rsidR="004F7C56">
        <w:t>is compared</w:t>
      </w:r>
      <w:r w:rsidR="00AF1942">
        <w:t xml:space="preserve"> in the following subsection</w:t>
      </w:r>
      <w:r w:rsidR="003F3330">
        <w:t>.</w:t>
      </w:r>
    </w:p>
    <w:p w14:paraId="2F74E60A" w14:textId="593A67FC" w:rsidR="00E1186B" w:rsidRDefault="00E1186B" w:rsidP="00E94571">
      <w:pPr>
        <w:pStyle w:val="Heading3"/>
      </w:pPr>
      <w:bookmarkStart w:id="585" w:name="_Toc113380846"/>
      <w:r w:rsidRPr="2F379371">
        <w:t xml:space="preserve">Propagation of </w:t>
      </w:r>
      <w:r w:rsidR="00256D62">
        <w:t>P</w:t>
      </w:r>
      <w:r w:rsidRPr="2F379371">
        <w:t xml:space="preserve">rojected </w:t>
      </w:r>
      <w:r w:rsidR="00256D62">
        <w:t>A</w:t>
      </w:r>
      <w:r w:rsidRPr="2F379371">
        <w:t xml:space="preserve">nnual and </w:t>
      </w:r>
      <w:r w:rsidR="00256D62">
        <w:t>S</w:t>
      </w:r>
      <w:r w:rsidRPr="2F379371">
        <w:t xml:space="preserve">easonal </w:t>
      </w:r>
      <w:r w:rsidR="00256D62">
        <w:t>C</w:t>
      </w:r>
      <w:r w:rsidRPr="2F379371">
        <w:t xml:space="preserve">hanges from </w:t>
      </w:r>
      <w:r w:rsidR="00256D62">
        <w:t>N</w:t>
      </w:r>
      <w:r w:rsidRPr="2F379371">
        <w:t xml:space="preserve">atural </w:t>
      </w:r>
      <w:r w:rsidR="00256D62">
        <w:t>S</w:t>
      </w:r>
      <w:r w:rsidRPr="2F379371">
        <w:t xml:space="preserve">treamflow to </w:t>
      </w:r>
      <w:r w:rsidR="00256D62">
        <w:t>H</w:t>
      </w:r>
      <w:r w:rsidRPr="2F379371">
        <w:t xml:space="preserve">ydropower </w:t>
      </w:r>
      <w:r w:rsidR="00256D62">
        <w:t>G</w:t>
      </w:r>
      <w:r w:rsidRPr="2F379371">
        <w:t>eneration</w:t>
      </w:r>
      <w:bookmarkEnd w:id="585"/>
    </w:p>
    <w:p w14:paraId="06425D30" w14:textId="4215E1D3" w:rsidR="00901EEB" w:rsidRDefault="006248FE" w:rsidP="005F6BB4">
      <w:pPr>
        <w:pStyle w:val="BodyText"/>
      </w:pPr>
      <w:r>
        <w:t>The</w:t>
      </w:r>
      <w:r w:rsidR="00901EEB">
        <w:t xml:space="preserve"> projected relative changes in hydrology (natural streamflow at hydropower plants) and hydropower generation </w:t>
      </w:r>
      <w:r>
        <w:t xml:space="preserve">are compared </w:t>
      </w:r>
      <w:r w:rsidR="00901EEB">
        <w:t>at annual and seasonal scales across the PMAs (</w:t>
      </w:r>
      <w:r w:rsidR="00704AF9">
        <w:fldChar w:fldCharType="begin"/>
      </w:r>
      <w:r w:rsidR="00704AF9">
        <w:instrText xml:space="preserve"> REF _Ref96351281 \h </w:instrText>
      </w:r>
      <w:r w:rsidR="00704AF9">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7</w:t>
      </w:r>
      <w:r w:rsidR="00704AF9">
        <w:fldChar w:fldCharType="end"/>
      </w:r>
      <w:r w:rsidR="00901EEB">
        <w:t xml:space="preserve">) to understand the hydropower response to hydrologic changes </w:t>
      </w:r>
      <w:r w:rsidR="0082338B">
        <w:t xml:space="preserve">and the </w:t>
      </w:r>
      <w:r w:rsidR="00901EEB">
        <w:t xml:space="preserve">implications for water management. The changes are scaled to the historical (1980–2019) median level (zero on </w:t>
      </w:r>
      <w:r w:rsidR="0082338B">
        <w:t>y-</w:t>
      </w:r>
      <w:r w:rsidR="00901EEB">
        <w:t>axis).</w:t>
      </w:r>
    </w:p>
    <w:p w14:paraId="68F6EA47" w14:textId="0676D1EE" w:rsidR="699DF181" w:rsidRDefault="699DF181" w:rsidP="005F6BB4">
      <w:pPr>
        <w:pStyle w:val="FIGUREposition"/>
      </w:pPr>
      <w:r>
        <w:rPr>
          <w:noProof/>
        </w:rPr>
        <w:drawing>
          <wp:inline distT="0" distB="0" distL="0" distR="0" wp14:anchorId="50013A47" wp14:editId="49D48655">
            <wp:extent cx="5616904" cy="5055213"/>
            <wp:effectExtent l="0" t="0" r="0" b="0"/>
            <wp:docPr id="1413451119" name="Picture 141345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tretch>
                      <a:fillRect/>
                    </a:stretch>
                  </pic:blipFill>
                  <pic:spPr>
                    <a:xfrm>
                      <a:off x="0" y="0"/>
                      <a:ext cx="5616904" cy="5055213"/>
                    </a:xfrm>
                    <a:prstGeom prst="rect">
                      <a:avLst/>
                    </a:prstGeom>
                  </pic:spPr>
                </pic:pic>
              </a:graphicData>
            </a:graphic>
          </wp:inline>
        </w:drawing>
      </w:r>
    </w:p>
    <w:p w14:paraId="727B7AED" w14:textId="4E47B8A6" w:rsidR="005E4285" w:rsidRDefault="005E4285" w:rsidP="005F6BB4">
      <w:pPr>
        <w:pStyle w:val="FigureCaption"/>
        <w:rPr>
          <w:lang w:eastAsia="zh-TW"/>
        </w:rPr>
      </w:pPr>
      <w:bookmarkStart w:id="586" w:name="_Ref96351281"/>
      <w:bookmarkStart w:id="587" w:name="_Toc113380969"/>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7</w:t>
      </w:r>
      <w:r w:rsidRPr="00F61532">
        <w:rPr>
          <w:lang w:eastAsia="zh-TW"/>
        </w:rPr>
        <w:fldChar w:fldCharType="end"/>
      </w:r>
      <w:bookmarkEnd w:id="586"/>
      <w:r w:rsidRPr="00F61532">
        <w:rPr>
          <w:lang w:eastAsia="zh-TW"/>
        </w:rPr>
        <w:t xml:space="preserve">. </w:t>
      </w:r>
      <w:r w:rsidR="00901EEB">
        <w:rPr>
          <w:lang w:eastAsia="zh-TW"/>
        </w:rPr>
        <w:t>P</w:t>
      </w:r>
      <w:r w:rsidR="00901EEB" w:rsidRPr="00902717">
        <w:rPr>
          <w:lang w:eastAsia="zh-TW"/>
        </w:rPr>
        <w:t>r</w:t>
      </w:r>
      <w:r w:rsidR="00901EEB">
        <w:rPr>
          <w:lang w:eastAsia="zh-TW"/>
        </w:rPr>
        <w:t xml:space="preserve">ojected relative changes in natural flow and hydropower generation </w:t>
      </w:r>
      <w:r w:rsidR="00901EEB" w:rsidRPr="00902717">
        <w:rPr>
          <w:lang w:eastAsia="zh-TW"/>
        </w:rPr>
        <w:t>at annual and seasonal scales across PMAs</w:t>
      </w:r>
      <w:r w:rsidR="003455FA">
        <w:rPr>
          <w:lang w:eastAsia="zh-TW"/>
        </w:rPr>
        <w:t>.</w:t>
      </w:r>
      <w:bookmarkEnd w:id="587"/>
    </w:p>
    <w:p w14:paraId="5F4A549B" w14:textId="77777777" w:rsidR="00D9580F" w:rsidRDefault="00D9580F" w:rsidP="00D9580F">
      <w:pPr>
        <w:pStyle w:val="BodyText"/>
      </w:pPr>
      <w:r>
        <w:t xml:space="preserve">Aggregated over all PMAs, the results suggest that annual streamflow is projected to increase by about 9%, and hydropower generation is projected to increase by about 4%. More specifically, the BPA annual natural streamflow is projected to increase by 8%, while hydropower is projected to increase by 2%. In WAPA, streamflow is projected to increase 11%, while hydropower is projected to increase by 7%. In SWPA, streamflow is projected to increase 4%, while hydropower is projected to increase by 3%. In </w:t>
      </w:r>
      <w:r>
        <w:lastRenderedPageBreak/>
        <w:t>SEPA, streamflow is projected to increase 9%, while hydropower is projected to increase by 7%. At the seasonal scale, streamflow and hydropower are projected to increase in most seasons and regions, except summer in BPA, where the flow is predicted to reduce by 8%, which is projected to lead to a 4% decrease in summer hydropower generation. Other key findings are listed below:</w:t>
      </w:r>
    </w:p>
    <w:p w14:paraId="6813BC32" w14:textId="220D6C40" w:rsidR="00CF0344" w:rsidRDefault="00CF0344" w:rsidP="005F6BB4">
      <w:pPr>
        <w:pStyle w:val="BulletListspace"/>
      </w:pPr>
      <w:r>
        <w:t>The spread of relative changes (within the 25</w:t>
      </w:r>
      <w:r w:rsidR="00FA458A" w:rsidRPr="00FA458A">
        <w:t>th</w:t>
      </w:r>
      <w:r>
        <w:t>–75</w:t>
      </w:r>
      <w:r w:rsidR="00FA458A" w:rsidRPr="00FA458A">
        <w:t>th</w:t>
      </w:r>
      <w:r>
        <w:t xml:space="preserve"> percentiles) in annual and seasonal hydropower projections are lower than the spread of relative changes in natural flow across all PMAs. Most of these federal hydropower plants are located at multipurpose reservoirs that also provide nonpower services that have higher priority than hydropower. Although those constraints are not individually and explicitly represented in the modeling approaches, the reservoir storage may help reduce the spread in hydropower projections.</w:t>
      </w:r>
    </w:p>
    <w:p w14:paraId="5827AEA4" w14:textId="58FA954D" w:rsidR="00CF0344" w:rsidRDefault="00CF0344" w:rsidP="005F6BB4">
      <w:pPr>
        <w:pStyle w:val="BulletListspace"/>
      </w:pPr>
      <w:r>
        <w:t xml:space="preserve">The spreads of annual and seasonal relative changes in both natural flow and hydropower are generally smaller in BPA and WAPA than in SWPA and SEPA. This may be </w:t>
      </w:r>
      <w:r w:rsidR="006E05C4">
        <w:t xml:space="preserve">influenced by </w:t>
      </w:r>
      <w:r>
        <w:t>the different reservoir features in these PMA regions.</w:t>
      </w:r>
    </w:p>
    <w:p w14:paraId="0563B9AD" w14:textId="68854BB7" w:rsidR="00CF0344" w:rsidRDefault="00CF0344" w:rsidP="005F6BB4">
      <w:pPr>
        <w:pStyle w:val="BulletListspace"/>
      </w:pPr>
      <w:r>
        <w:t xml:space="preserve">The seasonality of relative changes in both natural streamflow and hydropower is, however, very pronounced in the </w:t>
      </w:r>
      <w:r w:rsidR="006C6778">
        <w:t>w</w:t>
      </w:r>
      <w:r>
        <w:t xml:space="preserve">estern United States (BPA and WAPA), with substantial increases projected in winter and spring and smaller changes in summer and fall. Comparatively speaking, the seasonality in the </w:t>
      </w:r>
      <w:r w:rsidR="006C6778">
        <w:t>s</w:t>
      </w:r>
      <w:r>
        <w:t xml:space="preserve">outhern and </w:t>
      </w:r>
      <w:r w:rsidR="006C6778">
        <w:t>e</w:t>
      </w:r>
      <w:r>
        <w:t>astern United States (SWPA and SEPA) remains similar, although it might be hidden by the much larger spreads in seasonal projections.</w:t>
      </w:r>
    </w:p>
    <w:p w14:paraId="3E45DB74" w14:textId="7248AF40" w:rsidR="006B4A05" w:rsidRPr="005E4285" w:rsidRDefault="003D0DC2" w:rsidP="00E94571">
      <w:pPr>
        <w:pStyle w:val="Heading3"/>
      </w:pPr>
      <w:bookmarkStart w:id="588" w:name="_Toc113380847"/>
      <w:r>
        <w:t xml:space="preserve">Modeling Choices Controlling </w:t>
      </w:r>
      <w:r w:rsidR="006B4A05">
        <w:t>A</w:t>
      </w:r>
      <w:r w:rsidR="006B4A05" w:rsidRPr="005E4285">
        <w:t xml:space="preserve">nnual and </w:t>
      </w:r>
      <w:r w:rsidR="006B4A05">
        <w:t>S</w:t>
      </w:r>
      <w:r w:rsidR="006B4A05" w:rsidRPr="005E4285">
        <w:t xml:space="preserve">easonal </w:t>
      </w:r>
      <w:r w:rsidR="006B4A05">
        <w:t>H</w:t>
      </w:r>
      <w:r w:rsidR="006B4A05" w:rsidRPr="005E4285">
        <w:t xml:space="preserve">ydropower </w:t>
      </w:r>
      <w:r w:rsidR="006B4A05">
        <w:t>G</w:t>
      </w:r>
      <w:r w:rsidR="006B4A05" w:rsidRPr="005E4285">
        <w:t>eneration</w:t>
      </w:r>
      <w:bookmarkEnd w:id="588"/>
    </w:p>
    <w:p w14:paraId="1900D9AB" w14:textId="61574FE4" w:rsidR="006B4A05" w:rsidRDefault="006B4A05" w:rsidP="005F6BB4">
      <w:pPr>
        <w:pStyle w:val="BodyText"/>
      </w:pPr>
      <w:r>
        <w:fldChar w:fldCharType="begin"/>
      </w:r>
      <w:r>
        <w:instrText xml:space="preserve"> REF _Ref81460982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8</w:t>
      </w:r>
      <w:r>
        <w:fldChar w:fldCharType="end"/>
      </w:r>
      <w:r>
        <w:t xml:space="preserve"> summarizes the </w:t>
      </w:r>
      <w:r w:rsidR="00502CBF">
        <w:t xml:space="preserve">main </w:t>
      </w:r>
      <w:r w:rsidR="003D0DC2">
        <w:t>modeling</w:t>
      </w:r>
      <w:r w:rsidR="003D0DC2" w:rsidRPr="00B81A63">
        <w:t xml:space="preserve"> </w:t>
      </w:r>
      <w:r>
        <w:t xml:space="preserve">choices </w:t>
      </w:r>
      <w:r w:rsidR="00FA0D31">
        <w:t xml:space="preserve">controlling the simulation of </w:t>
      </w:r>
      <w:r>
        <w:t xml:space="preserve">hydropower generation at annual and seasonal scales across </w:t>
      </w:r>
      <w:r w:rsidR="00FA0D31">
        <w:t xml:space="preserve">all </w:t>
      </w:r>
      <w:r>
        <w:t xml:space="preserve">PMA </w:t>
      </w:r>
      <w:r w:rsidR="00FA0D31">
        <w:t xml:space="preserve">study </w:t>
      </w:r>
      <w:r>
        <w:t xml:space="preserve">areas. </w:t>
      </w:r>
      <w:r w:rsidR="008839C3">
        <w:t>T</w:t>
      </w:r>
      <w:r>
        <w:t>hree key components</w:t>
      </w:r>
      <w:r w:rsidR="008839C3">
        <w:t xml:space="preserve"> were the focus here</w:t>
      </w:r>
      <w:r>
        <w:t xml:space="preserve">: </w:t>
      </w:r>
      <w:r w:rsidR="008A16AF">
        <w:t>CM</w:t>
      </w:r>
      <w:r>
        <w:t xml:space="preserve">, </w:t>
      </w:r>
      <w:r w:rsidR="00533D84">
        <w:t>HM</w:t>
      </w:r>
      <w:r>
        <w:t xml:space="preserve">, and </w:t>
      </w:r>
      <w:r w:rsidR="00502CBF">
        <w:t>PM</w:t>
      </w:r>
      <w:r>
        <w:t>. Key takeaways include</w:t>
      </w:r>
      <w:r w:rsidR="00494EAB" w:rsidRPr="00494EAB">
        <w:t xml:space="preserve"> </w:t>
      </w:r>
      <w:r w:rsidR="00494EAB">
        <w:t>the following</w:t>
      </w:r>
      <w:r>
        <w:t>:</w:t>
      </w:r>
    </w:p>
    <w:p w14:paraId="50AB3782" w14:textId="26E08334" w:rsidR="006B4A05" w:rsidRDefault="00FC637A" w:rsidP="005F6BB4">
      <w:pPr>
        <w:pStyle w:val="BulletListspace"/>
      </w:pPr>
      <w:r>
        <w:t xml:space="preserve">The choice of </w:t>
      </w:r>
      <w:r w:rsidR="008A16AF">
        <w:t>CM</w:t>
      </w:r>
      <w:r w:rsidR="006B4A05">
        <w:t xml:space="preserve"> dominate</w:t>
      </w:r>
      <w:r>
        <w:t>s</w:t>
      </w:r>
      <w:r w:rsidR="006B4A05">
        <w:t xml:space="preserve"> the </w:t>
      </w:r>
      <w:r w:rsidR="00362A9B">
        <w:t xml:space="preserve">total </w:t>
      </w:r>
      <w:r w:rsidR="006B4A05">
        <w:t xml:space="preserve">variance over the </w:t>
      </w:r>
      <w:r w:rsidR="006C6778">
        <w:t>e</w:t>
      </w:r>
      <w:r w:rsidR="00114524">
        <w:t>astern United States</w:t>
      </w:r>
      <w:r w:rsidR="006B4A05">
        <w:t xml:space="preserve">: in SWPA and SEPA, the choice of </w:t>
      </w:r>
      <w:r w:rsidR="00CC3514">
        <w:t>CM</w:t>
      </w:r>
      <w:r w:rsidR="006B4A05">
        <w:t xml:space="preserve"> is the largest source of </w:t>
      </w:r>
      <w:r w:rsidR="00362A9B">
        <w:t xml:space="preserve">methodological </w:t>
      </w:r>
      <w:r w:rsidR="006B4A05">
        <w:t xml:space="preserve">uncertainty explaining over 65% </w:t>
      </w:r>
      <w:r>
        <w:t xml:space="preserve">of </w:t>
      </w:r>
      <w:r w:rsidR="006B4A05">
        <w:t>variance in hydropower generation, except for SWPA-4 and SEPA-4 (around 50%).</w:t>
      </w:r>
    </w:p>
    <w:p w14:paraId="537D4D84" w14:textId="031280C0" w:rsidR="006B4A05" w:rsidRDefault="00FC637A" w:rsidP="005F6BB4">
      <w:pPr>
        <w:pStyle w:val="BulletListspace"/>
      </w:pPr>
      <w:r>
        <w:t xml:space="preserve">The choice of </w:t>
      </w:r>
      <w:r w:rsidR="00533D84">
        <w:t>HM</w:t>
      </w:r>
      <w:r w:rsidR="006B4A05">
        <w:t xml:space="preserve"> and </w:t>
      </w:r>
      <w:r w:rsidR="00533D84">
        <w:t>PM</w:t>
      </w:r>
      <w:r w:rsidR="006B4A05">
        <w:t xml:space="preserve"> </w:t>
      </w:r>
      <w:r>
        <w:t>can be</w:t>
      </w:r>
      <w:r w:rsidR="588BAA34">
        <w:t xml:space="preserve"> a</w:t>
      </w:r>
      <w:r>
        <w:t xml:space="preserve"> </w:t>
      </w:r>
      <w:r w:rsidR="006B4A05">
        <w:t xml:space="preserve">critical </w:t>
      </w:r>
      <w:r>
        <w:t xml:space="preserve">factor </w:t>
      </w:r>
      <w:r w:rsidR="006B4A05">
        <w:t xml:space="preserve">over the </w:t>
      </w:r>
      <w:r w:rsidR="006C6778">
        <w:t>w</w:t>
      </w:r>
      <w:r w:rsidR="00114524">
        <w:t>estern United States</w:t>
      </w:r>
      <w:r w:rsidR="006B4A05">
        <w:t xml:space="preserve">: in BPA and WAPA, the choice of </w:t>
      </w:r>
      <w:r w:rsidR="00CC3514">
        <w:t>CM</w:t>
      </w:r>
      <w:r w:rsidR="006B4A05">
        <w:t xml:space="preserve"> still plays a major role, but the choice of </w:t>
      </w:r>
      <w:r w:rsidR="00533D84">
        <w:t xml:space="preserve">HM </w:t>
      </w:r>
      <w:r w:rsidR="006B4A05">
        <w:t xml:space="preserve">and </w:t>
      </w:r>
      <w:r w:rsidR="00533D84">
        <w:t>PM</w:t>
      </w:r>
      <w:r w:rsidR="006B4A05">
        <w:t xml:space="preserve"> becomes more important. In WAPA-6</w:t>
      </w:r>
      <w:r w:rsidR="00DC4202">
        <w:t>,</w:t>
      </w:r>
      <w:r w:rsidR="006B4A05">
        <w:t xml:space="preserve"> the </w:t>
      </w:r>
      <w:r w:rsidR="006C4A5A">
        <w:t>HM</w:t>
      </w:r>
      <w:r w:rsidR="006B4A05">
        <w:t xml:space="preserve"> is the top contributor</w:t>
      </w:r>
      <w:r w:rsidR="00CC15D1">
        <w:t>,</w:t>
      </w:r>
      <w:r w:rsidR="006B4A05">
        <w:t xml:space="preserve"> </w:t>
      </w:r>
      <w:r w:rsidR="00CC15D1">
        <w:t xml:space="preserve">whereas </w:t>
      </w:r>
      <w:r w:rsidR="006B4A05">
        <w:t>in BPA-3 and WAPA-5</w:t>
      </w:r>
      <w:r w:rsidR="00CC15D1">
        <w:t>,</w:t>
      </w:r>
      <w:r w:rsidR="006B4A05">
        <w:t xml:space="preserve"> the </w:t>
      </w:r>
      <w:r w:rsidR="00533D84">
        <w:t>PM</w:t>
      </w:r>
      <w:r w:rsidR="006B4A05">
        <w:t xml:space="preserve"> is the top contributor to the annual uncertainty. However, in </w:t>
      </w:r>
      <w:r w:rsidR="00752C89">
        <w:t xml:space="preserve">both </w:t>
      </w:r>
      <w:r w:rsidR="006B4A05">
        <w:t>WAPA and BPA</w:t>
      </w:r>
      <w:r w:rsidR="00752C89">
        <w:t xml:space="preserve"> regions</w:t>
      </w:r>
      <w:r w:rsidR="006B4A05">
        <w:t xml:space="preserve">, the contribution of uncertainty is much more complicated </w:t>
      </w:r>
      <w:r w:rsidR="00CC15D1">
        <w:t xml:space="preserve">when </w:t>
      </w:r>
      <w:r w:rsidR="006B4A05">
        <w:t xml:space="preserve">the dominant factor changes </w:t>
      </w:r>
      <w:r w:rsidR="00CC15D1">
        <w:t xml:space="preserve">with the </w:t>
      </w:r>
      <w:r w:rsidR="006B4A05">
        <w:t xml:space="preserve">season. For example, in BPA-1, the three components play equal roles in spring, while in summer, the choice of </w:t>
      </w:r>
      <w:r w:rsidR="00533D84">
        <w:t>PM</w:t>
      </w:r>
      <w:r w:rsidR="006B4A05">
        <w:t xml:space="preserve"> becomes the single dominant factor. In </w:t>
      </w:r>
      <w:r w:rsidR="00024B4E">
        <w:rPr>
          <w:rFonts w:eastAsia="PMingLiU"/>
          <w:lang w:eastAsia="zh-TW"/>
        </w:rPr>
        <w:t xml:space="preserve">the </w:t>
      </w:r>
      <w:r w:rsidR="006B4A05">
        <w:t xml:space="preserve">winter, the </w:t>
      </w:r>
      <w:r w:rsidR="00F32AA2">
        <w:t xml:space="preserve">most dominant </w:t>
      </w:r>
      <w:r w:rsidR="006B4A05">
        <w:t xml:space="preserve">contributor switches to </w:t>
      </w:r>
      <w:r w:rsidR="00F32AA2">
        <w:t xml:space="preserve">the </w:t>
      </w:r>
      <w:r w:rsidR="00CC3514">
        <w:t>CM</w:t>
      </w:r>
      <w:r w:rsidR="006B4A05">
        <w:t xml:space="preserve">. In BPA-4, </w:t>
      </w:r>
      <w:r w:rsidR="00024B4E">
        <w:rPr>
          <w:rFonts w:eastAsia="PMingLiU"/>
          <w:lang w:eastAsia="zh-TW"/>
        </w:rPr>
        <w:t xml:space="preserve">the </w:t>
      </w:r>
      <w:r w:rsidR="00CC3514">
        <w:t>CM</w:t>
      </w:r>
      <w:r w:rsidR="006B4A05">
        <w:t xml:space="preserve"> </w:t>
      </w:r>
      <w:r w:rsidR="00CC15D1">
        <w:t xml:space="preserve">is </w:t>
      </w:r>
      <w:r w:rsidR="006B4A05">
        <w:t>the leading contributor to variance annual</w:t>
      </w:r>
      <w:r w:rsidR="00B50B1A">
        <w:t>ly</w:t>
      </w:r>
      <w:r w:rsidR="006B4A05">
        <w:t xml:space="preserve"> and </w:t>
      </w:r>
      <w:r w:rsidR="00B50B1A">
        <w:t>in</w:t>
      </w:r>
      <w:r w:rsidR="006B4A05">
        <w:t xml:space="preserve"> all </w:t>
      </w:r>
      <w:r w:rsidR="00B50B1A">
        <w:t xml:space="preserve">individual </w:t>
      </w:r>
      <w:r w:rsidR="006B4A05">
        <w:t xml:space="preserve">seasons except </w:t>
      </w:r>
      <w:r w:rsidR="00B50B1A">
        <w:t>for</w:t>
      </w:r>
      <w:r w:rsidR="006B4A05">
        <w:t xml:space="preserve"> summer</w:t>
      </w:r>
      <w:r w:rsidR="00B50B1A">
        <w:t>,</w:t>
      </w:r>
      <w:r w:rsidR="006B4A05">
        <w:t xml:space="preserve"> when </w:t>
      </w:r>
      <w:r w:rsidR="006C4A5A">
        <w:t>the HM</w:t>
      </w:r>
      <w:r w:rsidR="006B4A05">
        <w:t xml:space="preserve"> </w:t>
      </w:r>
      <w:r w:rsidR="00187752">
        <w:t>accounts for</w:t>
      </w:r>
      <w:r w:rsidR="006B4A05">
        <w:t xml:space="preserve"> over 50% of the variance.</w:t>
      </w:r>
    </w:p>
    <w:p w14:paraId="6744EC94" w14:textId="28539614" w:rsidR="00063FE4" w:rsidRDefault="00F9215C" w:rsidP="005F6BB4">
      <w:pPr>
        <w:pStyle w:val="BulletListspace"/>
      </w:pPr>
      <w:r>
        <w:t xml:space="preserve">Apart from </w:t>
      </w:r>
      <w:r w:rsidR="00F32AA2">
        <w:t xml:space="preserve">the </w:t>
      </w:r>
      <w:r>
        <w:t xml:space="preserve">CM, HM, </w:t>
      </w:r>
      <w:r w:rsidR="00F32AA2">
        <w:t xml:space="preserve">and </w:t>
      </w:r>
      <w:r>
        <w:t>PM, i</w:t>
      </w:r>
      <w:r w:rsidR="00063FE4">
        <w:t>n some cases</w:t>
      </w:r>
      <w:r w:rsidR="00F32AA2">
        <w:t>,</w:t>
      </w:r>
      <w:r w:rsidR="00063FE4">
        <w:t xml:space="preserve"> </w:t>
      </w:r>
      <w:r w:rsidR="005E6083">
        <w:t xml:space="preserve">the combined variance from other sources (i.e., </w:t>
      </w:r>
      <w:r w:rsidR="00F32AA2">
        <w:t xml:space="preserve">the </w:t>
      </w:r>
      <w:r w:rsidR="005E6083">
        <w:t xml:space="preserve">DS, MetF, and interaction terms) can be </w:t>
      </w:r>
      <w:r>
        <w:t>greater</w:t>
      </w:r>
      <w:r w:rsidR="005E6083">
        <w:t xml:space="preserve"> than 50%. </w:t>
      </w:r>
      <w:r w:rsidR="00F32AA2">
        <w:t xml:space="preserve">Thus, </w:t>
      </w:r>
      <w:r>
        <w:t xml:space="preserve">the methodological uncertainty of hydropower projections can be influenced by a variety of different factors. </w:t>
      </w:r>
      <w:r w:rsidR="00A14B37">
        <w:t xml:space="preserve">The physical reasons causing these differences are to be </w:t>
      </w:r>
      <w:r w:rsidR="00FA77E2">
        <w:t xml:space="preserve">further </w:t>
      </w:r>
      <w:r w:rsidR="00A14B37">
        <w:t>explored.</w:t>
      </w:r>
    </w:p>
    <w:p w14:paraId="0913B240" w14:textId="385B0F02" w:rsidR="006B4A05" w:rsidRDefault="006B4A05" w:rsidP="005F6BB4">
      <w:pPr>
        <w:pStyle w:val="BodyText"/>
      </w:pPr>
      <w:r>
        <w:t>These findings suggest that</w:t>
      </w:r>
      <w:r w:rsidR="00B50B1A">
        <w:t>,</w:t>
      </w:r>
      <w:r>
        <w:t xml:space="preserve"> although </w:t>
      </w:r>
      <w:r w:rsidR="00024B4E">
        <w:rPr>
          <w:rFonts w:eastAsia="PMingLiU"/>
          <w:lang w:eastAsia="zh-TW"/>
        </w:rPr>
        <w:t xml:space="preserve">the </w:t>
      </w:r>
      <w:r w:rsidR="00CC3514">
        <w:t>CM</w:t>
      </w:r>
      <w:r>
        <w:t xml:space="preserve"> is generally the </w:t>
      </w:r>
      <w:r w:rsidR="00752C89">
        <w:t xml:space="preserve">most </w:t>
      </w:r>
      <w:r>
        <w:t xml:space="preserve">dominant contributor to the variance of hydropower </w:t>
      </w:r>
      <w:r w:rsidR="00752C89">
        <w:t xml:space="preserve">projections </w:t>
      </w:r>
      <w:r>
        <w:t xml:space="preserve">across PMAs, </w:t>
      </w:r>
      <w:r w:rsidR="00024B4E">
        <w:rPr>
          <w:rFonts w:eastAsia="PMingLiU"/>
          <w:lang w:eastAsia="zh-TW"/>
        </w:rPr>
        <w:t xml:space="preserve">the </w:t>
      </w:r>
      <w:r w:rsidR="00533D84">
        <w:t>HM</w:t>
      </w:r>
      <w:r>
        <w:t xml:space="preserve"> and </w:t>
      </w:r>
      <w:r w:rsidR="00533D84">
        <w:t>PM</w:t>
      </w:r>
      <w:r>
        <w:t xml:space="preserve"> also have impacts in different areas at seasonal scales. The </w:t>
      </w:r>
      <w:r w:rsidR="005E23BA">
        <w:t>multimodel</w:t>
      </w:r>
      <w:r>
        <w:t xml:space="preserve"> approach </w:t>
      </w:r>
      <w:r w:rsidR="00752C89">
        <w:t xml:space="preserve">helps evaluate </w:t>
      </w:r>
      <w:r>
        <w:t>the structural uncertainty throughout the toolchain used in this report.</w:t>
      </w:r>
    </w:p>
    <w:p w14:paraId="1C41F387" w14:textId="77777777" w:rsidR="00D9580F" w:rsidRDefault="00D9580F" w:rsidP="00D9580F">
      <w:pPr>
        <w:pStyle w:val="FIGUREposition"/>
      </w:pPr>
      <w:r>
        <w:rPr>
          <w:noProof/>
        </w:rPr>
        <w:lastRenderedPageBreak/>
        <w:drawing>
          <wp:inline distT="0" distB="0" distL="0" distR="0" wp14:anchorId="09BEDCC8" wp14:editId="2989488F">
            <wp:extent cx="5940724" cy="3945012"/>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76"/>
                    <a:stretch>
                      <a:fillRect/>
                    </a:stretch>
                  </pic:blipFill>
                  <pic:spPr>
                    <a:xfrm>
                      <a:off x="0" y="0"/>
                      <a:ext cx="5940724" cy="3945012"/>
                    </a:xfrm>
                    <a:prstGeom prst="rect">
                      <a:avLst/>
                    </a:prstGeom>
                  </pic:spPr>
                </pic:pic>
              </a:graphicData>
            </a:graphic>
          </wp:inline>
        </w:drawing>
      </w:r>
    </w:p>
    <w:p w14:paraId="29284A80" w14:textId="30350279" w:rsidR="00D9580F" w:rsidRDefault="00D9580F" w:rsidP="00D9580F">
      <w:pPr>
        <w:pStyle w:val="FigureCaption"/>
        <w:rPr>
          <w:b w:val="0"/>
        </w:rPr>
      </w:pPr>
      <w:bookmarkStart w:id="589" w:name="_Ref81460982"/>
      <w:bookmarkStart w:id="590" w:name="_Toc113380970"/>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8</w:t>
      </w:r>
      <w:r w:rsidRPr="00F61532">
        <w:rPr>
          <w:lang w:eastAsia="zh-TW"/>
        </w:rPr>
        <w:fldChar w:fldCharType="end"/>
      </w:r>
      <w:bookmarkEnd w:id="589"/>
      <w:r w:rsidRPr="00F61532">
        <w:rPr>
          <w:lang w:eastAsia="zh-TW"/>
        </w:rPr>
        <w:t xml:space="preserve">. </w:t>
      </w:r>
      <w:r>
        <w:rPr>
          <w:lang w:eastAsia="zh-TW"/>
        </w:rPr>
        <w:t>ANOVA of projected annual and seasonal hydropower generation in each of the PMA study areas.</w:t>
      </w:r>
      <w:bookmarkEnd w:id="590"/>
    </w:p>
    <w:p w14:paraId="220AA3F3" w14:textId="77777777" w:rsidR="004E694C" w:rsidRPr="00D23863" w:rsidRDefault="004E694C" w:rsidP="00AD0C1C">
      <w:pPr>
        <w:pStyle w:val="Heading2"/>
      </w:pPr>
      <w:bookmarkStart w:id="591" w:name="_Toc113380848"/>
      <w:r w:rsidRPr="00D23863">
        <w:t>Power Marketing</w:t>
      </w:r>
      <w:bookmarkEnd w:id="591"/>
    </w:p>
    <w:p w14:paraId="01CF29D7" w14:textId="6A4A4B9B" w:rsidR="00A26258" w:rsidRDefault="00087820" w:rsidP="00A26258">
      <w:pPr>
        <w:pStyle w:val="BodyText"/>
      </w:pPr>
      <w:r>
        <w:t>Average temperature is expected to increase in all PMA regions</w:t>
      </w:r>
      <w:r w:rsidR="00A26258">
        <w:t xml:space="preserve">. Increases in average temperature result in a lower number of HDDs and </w:t>
      </w:r>
      <w:r w:rsidR="00960E83">
        <w:t xml:space="preserve">a </w:t>
      </w:r>
      <w:r w:rsidR="00A26258">
        <w:t>higher number of CDDs</w:t>
      </w:r>
      <w:r w:rsidR="00960E83">
        <w:t>.</w:t>
      </w:r>
      <w:r w:rsidR="00A26258">
        <w:t xml:space="preserve"> </w:t>
      </w:r>
      <w:r w:rsidR="00960E83">
        <w:t>A lower number of HDDs results in</w:t>
      </w:r>
      <w:r w:rsidR="00A26258">
        <w:t xml:space="preserve"> less electricity demand for heating</w:t>
      </w:r>
      <w:r w:rsidR="00960E83">
        <w:t>, and a higher number of CDDs results in</w:t>
      </w:r>
      <w:r w:rsidR="00A26258">
        <w:t xml:space="preserve"> more electricity demand for cooling. </w:t>
      </w:r>
      <w:r w:rsidR="00237B88">
        <w:fldChar w:fldCharType="begin"/>
      </w:r>
      <w:r w:rsidR="00237B88">
        <w:instrText xml:space="preserve"> REF _Ref81318763 \h </w:instrText>
      </w:r>
      <w:r w:rsidR="00237B88">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9</w:t>
      </w:r>
      <w:r w:rsidR="00237B88">
        <w:fldChar w:fldCharType="end"/>
      </w:r>
      <w:r w:rsidR="00A26258">
        <w:t xml:space="preserve"> compares the projected effects of </w:t>
      </w:r>
      <w:r w:rsidR="00960E83">
        <w:t>degree</w:t>
      </w:r>
      <w:r w:rsidR="003713DF">
        <w:t xml:space="preserve"> </w:t>
      </w:r>
      <w:r w:rsidR="00A26258">
        <w:t>day changes on the annual electricity sales (as a proxy for load) of PMA preference customers across all PMA marketing regions in the near-term and the mid-term</w:t>
      </w:r>
      <w:r w:rsidR="009C3A96">
        <w:t xml:space="preserve"> future periods</w:t>
      </w:r>
      <w:r w:rsidR="00A26258">
        <w:t xml:space="preserve">. For BPA, the annual changes were calculated as the weighted average of the seasonal changes discussed in Section </w:t>
      </w:r>
      <w:r w:rsidR="006131B8">
        <w:fldChar w:fldCharType="begin"/>
      </w:r>
      <w:r w:rsidR="006131B8">
        <w:instrText xml:space="preserve"> REF _Ref81829317 \n \h </w:instrText>
      </w:r>
      <w:r w:rsidR="006131B8">
        <w:fldChar w:fldCharType="separate"/>
      </w:r>
      <w:r w:rsidR="00EE0BF5">
        <w:t>3.3.2</w:t>
      </w:r>
      <w:r w:rsidR="006131B8">
        <w:fldChar w:fldCharType="end"/>
      </w:r>
      <w:r w:rsidR="006131B8">
        <w:t xml:space="preserve"> </w:t>
      </w:r>
      <w:r w:rsidR="00A26258">
        <w:t>and account for increases in AC saturation.</w:t>
      </w:r>
    </w:p>
    <w:p w14:paraId="63440CF0" w14:textId="54A0B084" w:rsidR="003E53AD" w:rsidRDefault="003E53AD" w:rsidP="003E53AD">
      <w:pPr>
        <w:pStyle w:val="BodyText"/>
      </w:pPr>
      <w:r>
        <w:t xml:space="preserve">Notably, the percentage changes in sales shown in </w:t>
      </w:r>
      <w:r>
        <w:fldChar w:fldCharType="begin"/>
      </w:r>
      <w:r>
        <w:instrText xml:space="preserve"> REF _Ref81318763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9</w:t>
      </w:r>
      <w:r>
        <w:fldChar w:fldCharType="end"/>
      </w:r>
      <w:r>
        <w:t xml:space="preserve"> would not be uniformly distributed throughout the year; the temperature-related effects on sales would be concentrated in the winter and summer months. Therefore, the percentage change on sales driven by degree days would be significantly larger than the values shown in </w:t>
      </w:r>
      <w:r>
        <w:fldChar w:fldCharType="begin"/>
      </w:r>
      <w:r>
        <w:instrText xml:space="preserve"> REF _Ref81318763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9</w:t>
      </w:r>
      <w:r>
        <w:fldChar w:fldCharType="end"/>
      </w:r>
      <w:r>
        <w:t xml:space="preserve"> in some months and smaller in others.</w:t>
      </w:r>
    </w:p>
    <w:p w14:paraId="34C8C58A" w14:textId="68D34A85" w:rsidR="003E53AD" w:rsidRDefault="003E53AD" w:rsidP="00A26258">
      <w:pPr>
        <w:pStyle w:val="BodyText"/>
      </w:pPr>
      <w:r>
        <w:t xml:space="preserve">The top-line message from </w:t>
      </w:r>
      <w:r>
        <w:fldChar w:fldCharType="begin"/>
      </w:r>
      <w:r>
        <w:instrText xml:space="preserve"> REF _Ref81318763 \h </w:instrText>
      </w:r>
      <w:r>
        <w:fldChar w:fldCharType="separate"/>
      </w:r>
      <w:r w:rsidR="00EE0BF5">
        <w:rPr>
          <w:lang w:eastAsia="zh-TW"/>
        </w:rPr>
        <w:t>Figure</w:t>
      </w:r>
      <w:r w:rsidR="00EE0BF5" w:rsidRPr="00F61532">
        <w:rPr>
          <w:lang w:eastAsia="zh-TW"/>
        </w:rPr>
        <w:t xml:space="preserve"> </w:t>
      </w:r>
      <w:r w:rsidR="00EE0BF5">
        <w:rPr>
          <w:noProof/>
          <w:lang w:eastAsia="zh-TW"/>
        </w:rPr>
        <w:t>7</w:t>
      </w:r>
      <w:r w:rsidR="00EE0BF5" w:rsidRPr="00F61532">
        <w:rPr>
          <w:lang w:eastAsia="zh-TW"/>
        </w:rPr>
        <w:t>.</w:t>
      </w:r>
      <w:r w:rsidR="00EE0BF5">
        <w:rPr>
          <w:noProof/>
          <w:lang w:eastAsia="zh-TW"/>
        </w:rPr>
        <w:t>9</w:t>
      </w:r>
      <w:r>
        <w:fldChar w:fldCharType="end"/>
      </w:r>
      <w:r>
        <w:t xml:space="preserve"> holds for PMA marketing subregions located in very different geographic regions, from the Pacific Northwest to the Southeast: the projected increase in average temperature, which yields a lower number of HDDs in the winter months and a higher number of CDDs in the summer months, results in projected decreases in the electricity sales of PMA preference customers to their end customers in the winter and increased sales in the summer. Differences in the magnitude of the changes across PMA marketing regions are due to many factors, including their geographic location, which influences the baseline values of HDDs and CDDs, and the mix of loads served by preference </w:t>
      </w:r>
      <w:r>
        <w:lastRenderedPageBreak/>
        <w:t>customers in each region. Preference customers with large shares of residential loads tend to have the largest response of sales to temperature.</w:t>
      </w:r>
    </w:p>
    <w:p w14:paraId="7B8B4B08" w14:textId="77777777" w:rsidR="00D9580F" w:rsidRDefault="00D9580F" w:rsidP="00D9580F">
      <w:pPr>
        <w:pStyle w:val="FIGUREposition"/>
      </w:pPr>
      <w:r>
        <w:rPr>
          <w:noProof/>
          <w:snapToGrid/>
        </w:rPr>
        <w:drawing>
          <wp:inline distT="0" distB="0" distL="0" distR="0" wp14:anchorId="52F03B4A" wp14:editId="651F7287">
            <wp:extent cx="5943612" cy="4114808"/>
            <wp:effectExtent l="0" t="0" r="0" b="0"/>
            <wp:docPr id="52" name="Picture 52"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waterfall chart&#10;&#10;Description automatically generated"/>
                    <pic:cNvPicPr/>
                  </pic:nvPicPr>
                  <pic:blipFill>
                    <a:blip r:embed="rId277"/>
                    <a:stretch>
                      <a:fillRect/>
                    </a:stretch>
                  </pic:blipFill>
                  <pic:spPr>
                    <a:xfrm>
                      <a:off x="0" y="0"/>
                      <a:ext cx="5943612" cy="4114808"/>
                    </a:xfrm>
                    <a:prstGeom prst="rect">
                      <a:avLst/>
                    </a:prstGeom>
                  </pic:spPr>
                </pic:pic>
              </a:graphicData>
            </a:graphic>
          </wp:inline>
        </w:drawing>
      </w:r>
    </w:p>
    <w:p w14:paraId="29CA5A20" w14:textId="482AF833" w:rsidR="00D9580F" w:rsidRDefault="00D9580F" w:rsidP="00D9580F">
      <w:pPr>
        <w:pStyle w:val="FigureCaption"/>
        <w:rPr>
          <w:b w:val="0"/>
        </w:rPr>
      </w:pPr>
      <w:bookmarkStart w:id="592" w:name="_Ref81318763"/>
      <w:bookmarkStart w:id="593" w:name="_Toc113380971"/>
      <w:r>
        <w:rPr>
          <w:lang w:eastAsia="zh-TW"/>
        </w:rPr>
        <w:t>Figure</w:t>
      </w:r>
      <w:r w:rsidRPr="00F61532">
        <w:rPr>
          <w:lang w:eastAsia="zh-TW"/>
        </w:rPr>
        <w:t xml:space="preserve"> </w:t>
      </w:r>
      <w:r w:rsidRPr="00F61532">
        <w:rPr>
          <w:lang w:eastAsia="zh-TW"/>
        </w:rPr>
        <w:fldChar w:fldCharType="begin"/>
      </w:r>
      <w:r w:rsidRPr="00F61532">
        <w:rPr>
          <w:lang w:eastAsia="zh-TW"/>
        </w:rPr>
        <w:instrText xml:space="preserve"> STYLEREF 1 \s </w:instrText>
      </w:r>
      <w:r w:rsidRPr="00F61532">
        <w:rPr>
          <w:lang w:eastAsia="zh-TW"/>
        </w:rPr>
        <w:fldChar w:fldCharType="separate"/>
      </w:r>
      <w:r w:rsidR="00EE0BF5">
        <w:rPr>
          <w:noProof/>
          <w:lang w:eastAsia="zh-TW"/>
        </w:rPr>
        <w:t>7</w:t>
      </w:r>
      <w:r w:rsidRPr="00F61532">
        <w:rPr>
          <w:lang w:eastAsia="zh-TW"/>
        </w:rPr>
        <w:fldChar w:fldCharType="end"/>
      </w:r>
      <w:r w:rsidRPr="00F61532">
        <w:rPr>
          <w:lang w:eastAsia="zh-TW"/>
        </w:rPr>
        <w:t>.</w:t>
      </w:r>
      <w:r w:rsidRPr="00F61532">
        <w:rPr>
          <w:lang w:eastAsia="zh-TW"/>
        </w:rPr>
        <w:fldChar w:fldCharType="begin"/>
      </w:r>
      <w:r w:rsidRPr="00F61532">
        <w:rPr>
          <w:lang w:eastAsia="zh-TW"/>
        </w:rPr>
        <w:instrText xml:space="preserve"> SEQ Figure \* ARABIC \s 1 </w:instrText>
      </w:r>
      <w:r w:rsidRPr="00F61532">
        <w:rPr>
          <w:lang w:eastAsia="zh-TW"/>
        </w:rPr>
        <w:fldChar w:fldCharType="separate"/>
      </w:r>
      <w:r w:rsidR="00EE0BF5">
        <w:rPr>
          <w:noProof/>
          <w:lang w:eastAsia="zh-TW"/>
        </w:rPr>
        <w:t>9</w:t>
      </w:r>
      <w:r w:rsidRPr="00F61532">
        <w:rPr>
          <w:lang w:eastAsia="zh-TW"/>
        </w:rPr>
        <w:fldChar w:fldCharType="end"/>
      </w:r>
      <w:bookmarkEnd w:id="592"/>
      <w:r w:rsidRPr="00F61532">
        <w:rPr>
          <w:lang w:eastAsia="zh-TW"/>
        </w:rPr>
        <w:t xml:space="preserve">. </w:t>
      </w:r>
      <w:r w:rsidRPr="004D7853">
        <w:rPr>
          <w:lang w:eastAsia="zh-TW"/>
        </w:rPr>
        <w:t xml:space="preserve">Estimated changes in </w:t>
      </w:r>
      <w:r>
        <w:rPr>
          <w:lang w:eastAsia="zh-TW"/>
        </w:rPr>
        <w:t>PMA</w:t>
      </w:r>
      <w:r w:rsidRPr="004D7853">
        <w:rPr>
          <w:lang w:eastAsia="zh-TW"/>
        </w:rPr>
        <w:t xml:space="preserve"> preference customer electricity sales relative to </w:t>
      </w:r>
      <w:r w:rsidR="002709A6">
        <w:rPr>
          <w:lang w:eastAsia="zh-TW"/>
        </w:rPr>
        <w:t xml:space="preserve">the </w:t>
      </w:r>
      <w:r w:rsidRPr="004D7853">
        <w:rPr>
          <w:lang w:eastAsia="zh-TW"/>
        </w:rPr>
        <w:t>baseline period due to projected changes in degree days</w:t>
      </w:r>
      <w:r>
        <w:rPr>
          <w:lang w:eastAsia="zh-TW"/>
        </w:rPr>
        <w:t>.</w:t>
      </w:r>
      <w:bookmarkEnd w:id="593"/>
    </w:p>
    <w:p w14:paraId="7BBE9301" w14:textId="34303F3D" w:rsidR="00187752" w:rsidRDefault="00187752" w:rsidP="00187752">
      <w:pPr>
        <w:pStyle w:val="BodyText"/>
      </w:pPr>
      <w:r>
        <w:t xml:space="preserve">Across PMAs, the expected response of sales to CDDs varies more than </w:t>
      </w:r>
      <w:r w:rsidRPr="00C455E9">
        <w:t xml:space="preserve">the expected response of sales to </w:t>
      </w:r>
      <w:r>
        <w:t>HDDs. In the near-term future period, the projected median decrease in winter sales ranges from less than 1% in BPA and all WAPA marketing regions (except WAPA-UGP) to 2.2% in the SEPA-Kerr-Philpott marketing region. In the mid-term future period, the projected median decrease in winter sales remains less than 1% for the WAPA-CRSP, WAPA-SN/RM, and WAPA-DSW marketing regions, reaches 4% in the SEPA-Kerr-Philpott marketing regions, and ranges from 2% to 3% in the remaining marketing regions.</w:t>
      </w:r>
    </w:p>
    <w:p w14:paraId="591A9116" w14:textId="7B046F7B" w:rsidR="00187752" w:rsidRDefault="00187752" w:rsidP="00187752">
      <w:pPr>
        <w:pStyle w:val="BodyText"/>
      </w:pPr>
      <w:r>
        <w:t xml:space="preserve">SWPA and WAPA-DSW stand out as having the strongest projected increase in summer electricity sales </w:t>
      </w:r>
      <w:r w:rsidR="006E05C4">
        <w:t xml:space="preserve">because of </w:t>
      </w:r>
      <w:r>
        <w:t>higher CDDs across all PMAs. The median projected increase in sales associated with increased cooling demand is 2.9% for SWPA, 2% for WAPA-DSW, and 1.5% or less for preference customers in all other PMA regions in the near-term future period. In the mid-term future period, the projected median increase in annual sales driven by higher CDDs is 6.1% for SWPA preference customers, 2%–4% for WAPA-DSW and all SEPA marketing regions and, and less than 2% for the rest.</w:t>
      </w:r>
    </w:p>
    <w:p w14:paraId="6B3CDF6B" w14:textId="194FB08A" w:rsidR="00187752" w:rsidRDefault="00187752" w:rsidP="00187752">
      <w:pPr>
        <w:pStyle w:val="BodyText"/>
      </w:pPr>
      <w:r w:rsidRPr="00A26258">
        <w:t>Adding up the projected changes in sales associated with lower heating demand and higher cooling demand results in a net increase in annual sales in the near-term for preference customers in four of the marketing regions (SWPA, WAPA-DSW, SEPA</w:t>
      </w:r>
      <w:r>
        <w:t>-</w:t>
      </w:r>
      <w:r w:rsidRPr="00A26258">
        <w:t>Cumberland</w:t>
      </w:r>
      <w:r>
        <w:t>,</w:t>
      </w:r>
      <w:r w:rsidRPr="00A26258">
        <w:t xml:space="preserve"> and WAPA</w:t>
      </w:r>
      <w:r>
        <w:t>-</w:t>
      </w:r>
      <w:r w:rsidRPr="00A26258">
        <w:t>SN</w:t>
      </w:r>
      <w:r>
        <w:t>/</w:t>
      </w:r>
      <w:r w:rsidRPr="00A26258">
        <w:t>RM) and a decrease in the other five marketing regions. In the mid-term</w:t>
      </w:r>
      <w:r>
        <w:t xml:space="preserve"> future period</w:t>
      </w:r>
      <w:r w:rsidRPr="00A26258">
        <w:t>, the SEPA</w:t>
      </w:r>
      <w:r>
        <w:t>-</w:t>
      </w:r>
      <w:r w:rsidRPr="00A26258">
        <w:t>GA</w:t>
      </w:r>
      <w:r>
        <w:t>/</w:t>
      </w:r>
      <w:r w:rsidRPr="00A26258">
        <w:t>AL</w:t>
      </w:r>
      <w:r>
        <w:t>/</w:t>
      </w:r>
      <w:r w:rsidRPr="00A26258">
        <w:t xml:space="preserve">SC marketing region joins </w:t>
      </w:r>
      <w:r w:rsidRPr="00A26258">
        <w:lastRenderedPageBreak/>
        <w:t xml:space="preserve">the group of PMA preference customers with a temperature-driven net increase in annual electricity sales. The median net changes in annual sales due to changes in degree days range from </w:t>
      </w:r>
      <w:r>
        <w:t>−</w:t>
      </w:r>
      <w:r w:rsidRPr="00A26258">
        <w:t xml:space="preserve">1.1% to 1.4% in the near-term and from </w:t>
      </w:r>
      <w:r>
        <w:t>−</w:t>
      </w:r>
      <w:r w:rsidRPr="00A26258">
        <w:t>1.7% to 3.6% in the mid-term</w:t>
      </w:r>
      <w:r>
        <w:t xml:space="preserve"> future periods</w:t>
      </w:r>
      <w:r w:rsidRPr="00A26258">
        <w:t>. In both periods, the lower</w:t>
      </w:r>
      <w:r>
        <w:t xml:space="preserve"> </w:t>
      </w:r>
      <w:r w:rsidRPr="00072F64">
        <w:t>ends of the range correspond to preference customers in the SEPA-Kerr-Philpott</w:t>
      </w:r>
      <w:r>
        <w:t>,</w:t>
      </w:r>
      <w:r w:rsidRPr="00A26258">
        <w:t xml:space="preserve"> and higher ends of the range correspond to preference customers in the SWPA marketing regions.</w:t>
      </w:r>
    </w:p>
    <w:p w14:paraId="13927645" w14:textId="77777777" w:rsidR="00633AAD" w:rsidRDefault="00633AAD" w:rsidP="00633AAD">
      <w:pPr>
        <w:pStyle w:val="BodyText"/>
      </w:pPr>
    </w:p>
    <w:p w14:paraId="1F291535" w14:textId="77777777" w:rsidR="0029487F" w:rsidRDefault="0029487F" w:rsidP="0029487F">
      <w:pPr>
        <w:pStyle w:val="BodyText"/>
        <w:sectPr w:rsidR="0029487F" w:rsidSect="00CC3514">
          <w:pgSz w:w="12240" w:h="15840" w:code="1"/>
          <w:pgMar w:top="1440" w:right="1440" w:bottom="1440" w:left="1440" w:header="720" w:footer="720" w:gutter="0"/>
          <w:cols w:space="720"/>
          <w:docGrid w:linePitch="360"/>
        </w:sectPr>
      </w:pPr>
    </w:p>
    <w:p w14:paraId="061F58B1" w14:textId="77777777" w:rsidR="0029487F" w:rsidRDefault="0029487F" w:rsidP="0029487F">
      <w:pPr>
        <w:pStyle w:val="BodyText"/>
        <w:jc w:val="center"/>
      </w:pPr>
      <w:r>
        <w:lastRenderedPageBreak/>
        <w:t>(This page intentionally left blank)</w:t>
      </w:r>
    </w:p>
    <w:p w14:paraId="7B9A27E2" w14:textId="77777777" w:rsidR="0029487F" w:rsidRDefault="0029487F" w:rsidP="0029487F">
      <w:pPr>
        <w:pStyle w:val="BodyText"/>
      </w:pPr>
    </w:p>
    <w:p w14:paraId="63F90209" w14:textId="77777777" w:rsidR="0029487F" w:rsidRDefault="0029487F" w:rsidP="0029487F">
      <w:pPr>
        <w:pStyle w:val="BodyText"/>
        <w:sectPr w:rsidR="0029487F" w:rsidSect="00343DBC">
          <w:pgSz w:w="12240" w:h="15840" w:code="1"/>
          <w:pgMar w:top="1440" w:right="1440" w:bottom="1440" w:left="1440" w:header="720" w:footer="720" w:gutter="0"/>
          <w:cols w:space="720"/>
          <w:vAlign w:val="center"/>
          <w:docGrid w:linePitch="360"/>
        </w:sectPr>
      </w:pPr>
    </w:p>
    <w:p w14:paraId="58B3CDE4" w14:textId="417E347B" w:rsidR="0020715F" w:rsidRPr="0020715F" w:rsidRDefault="004B2AF9" w:rsidP="00DE0A21">
      <w:pPr>
        <w:pStyle w:val="Heading1"/>
      </w:pPr>
      <w:bookmarkStart w:id="594" w:name="_Ref81567635"/>
      <w:bookmarkStart w:id="595" w:name="_Toc113380849"/>
      <w:r>
        <w:lastRenderedPageBreak/>
        <w:t>SUMMARY AND CONCLUSION</w:t>
      </w:r>
      <w:bookmarkEnd w:id="563"/>
      <w:bookmarkEnd w:id="594"/>
      <w:bookmarkEnd w:id="595"/>
    </w:p>
    <w:p w14:paraId="246A1D72" w14:textId="499E52E4" w:rsidR="00481232" w:rsidRDefault="00481232" w:rsidP="00E16B78">
      <w:pPr>
        <w:pStyle w:val="BodyText"/>
        <w:rPr>
          <w:szCs w:val="24"/>
        </w:rPr>
      </w:pPr>
      <w:r w:rsidRPr="00C57A97">
        <w:rPr>
          <w:szCs w:val="24"/>
        </w:rPr>
        <w:t xml:space="preserve">Hydropower is </w:t>
      </w:r>
      <w:r>
        <w:rPr>
          <w:szCs w:val="24"/>
        </w:rPr>
        <w:t xml:space="preserve">a key contributor to the US </w:t>
      </w:r>
      <w:r w:rsidRPr="00C57A97">
        <w:rPr>
          <w:szCs w:val="24"/>
        </w:rPr>
        <w:t>renewable energy</w:t>
      </w:r>
      <w:r>
        <w:rPr>
          <w:szCs w:val="24"/>
        </w:rPr>
        <w:t xml:space="preserve"> portfolio </w:t>
      </w:r>
      <w:r w:rsidR="00EA32DC">
        <w:rPr>
          <w:szCs w:val="24"/>
        </w:rPr>
        <w:t>because of</w:t>
      </w:r>
      <w:r w:rsidRPr="00C57A97">
        <w:rPr>
          <w:szCs w:val="24"/>
        </w:rPr>
        <w:t xml:space="preserve"> its </w:t>
      </w:r>
      <w:r>
        <w:rPr>
          <w:szCs w:val="24"/>
        </w:rPr>
        <w:t>established development</w:t>
      </w:r>
      <w:r w:rsidRPr="00C57A97">
        <w:rPr>
          <w:szCs w:val="24"/>
        </w:rPr>
        <w:t xml:space="preserve"> history and the diverse benefits it provides to electric power systems</w:t>
      </w:r>
      <w:r>
        <w:rPr>
          <w:szCs w:val="24"/>
        </w:rPr>
        <w:t xml:space="preserve">. Ensuring the sustainable operation of existing hydropower facilities is of great importance to the US renewable energy portfolio and </w:t>
      </w:r>
      <w:r w:rsidRPr="008B71A0">
        <w:rPr>
          <w:szCs w:val="24"/>
        </w:rPr>
        <w:t xml:space="preserve">the reliability </w:t>
      </w:r>
      <w:r w:rsidR="00EA32DC">
        <w:rPr>
          <w:szCs w:val="24"/>
        </w:rPr>
        <w:t xml:space="preserve">of the </w:t>
      </w:r>
      <w:r w:rsidRPr="008B71A0">
        <w:rPr>
          <w:szCs w:val="24"/>
        </w:rPr>
        <w:t>electricity grid</w:t>
      </w:r>
      <w:r>
        <w:rPr>
          <w:szCs w:val="24"/>
        </w:rPr>
        <w:t xml:space="preserve">. Informed by the latest CMIP6 global climate projections, this study provides a </w:t>
      </w:r>
      <w:r w:rsidRPr="00B847F0">
        <w:rPr>
          <w:szCs w:val="24"/>
        </w:rPr>
        <w:t>broad</w:t>
      </w:r>
      <w:r w:rsidRPr="00B847F0" w:rsidDel="00B847F0">
        <w:rPr>
          <w:szCs w:val="24"/>
        </w:rPr>
        <w:t xml:space="preserve"> </w:t>
      </w:r>
      <w:r>
        <w:rPr>
          <w:szCs w:val="24"/>
        </w:rPr>
        <w:t xml:space="preserve">assessment that addresses how climate change may affect future US federal hydropower generation. </w:t>
      </w:r>
      <w:r>
        <w:t xml:space="preserve">A spatially consistent assessment approach (Section </w:t>
      </w:r>
      <w:r>
        <w:fldChar w:fldCharType="begin"/>
      </w:r>
      <w:r>
        <w:instrText xml:space="preserve"> REF _Ref425756730 \n \h </w:instrText>
      </w:r>
      <w:r>
        <w:fldChar w:fldCharType="separate"/>
      </w:r>
      <w:r w:rsidR="00EE0BF5">
        <w:t>2</w:t>
      </w:r>
      <w:r>
        <w:fldChar w:fldCharType="end"/>
      </w:r>
      <w:r>
        <w:t xml:space="preserve">) </w:t>
      </w:r>
      <w:r w:rsidR="00EA32DC">
        <w:t xml:space="preserve">was </w:t>
      </w:r>
      <w:r>
        <w:t xml:space="preserve">designed to evaluate 132 federal hydropower plants that are marketed by four PMAs. The results </w:t>
      </w:r>
      <w:r w:rsidR="00EA32DC">
        <w:t xml:space="preserve">for </w:t>
      </w:r>
      <w:r>
        <w:t xml:space="preserve">each PMA region </w:t>
      </w:r>
      <w:r w:rsidR="00B97A98">
        <w:t>are discussed</w:t>
      </w:r>
      <w:r>
        <w:t xml:space="preserve"> in Sections </w:t>
      </w:r>
      <w:r>
        <w:fldChar w:fldCharType="begin"/>
      </w:r>
      <w:r>
        <w:instrText xml:space="preserve"> REF _Ref425756744 \n \h </w:instrText>
      </w:r>
      <w:r>
        <w:fldChar w:fldCharType="separate"/>
      </w:r>
      <w:r w:rsidR="00EE0BF5">
        <w:t>3</w:t>
      </w:r>
      <w:r>
        <w:fldChar w:fldCharType="end"/>
      </w:r>
      <w:r>
        <w:t xml:space="preserve"> to </w:t>
      </w:r>
      <w:r>
        <w:fldChar w:fldCharType="begin"/>
      </w:r>
      <w:r>
        <w:instrText xml:space="preserve"> REF _Ref432925465 \n \h </w:instrText>
      </w:r>
      <w:r>
        <w:fldChar w:fldCharType="separate"/>
      </w:r>
      <w:r w:rsidR="00EE0BF5">
        <w:t>6</w:t>
      </w:r>
      <w:r>
        <w:fldChar w:fldCharType="end"/>
      </w:r>
      <w:r w:rsidR="00B97A98">
        <w:t xml:space="preserve">, </w:t>
      </w:r>
      <w:r w:rsidR="00EA32DC">
        <w:t xml:space="preserve">and </w:t>
      </w:r>
      <w:r w:rsidR="00B97A98">
        <w:t xml:space="preserve">an interregional comparison </w:t>
      </w:r>
      <w:r w:rsidR="00EA32DC">
        <w:t xml:space="preserve">is provided </w:t>
      </w:r>
      <w:r w:rsidR="00B97A98">
        <w:t>in Section</w:t>
      </w:r>
      <w:r w:rsidR="008A5587">
        <w:t xml:space="preserve"> </w:t>
      </w:r>
      <w:r w:rsidR="008A5587">
        <w:fldChar w:fldCharType="begin"/>
      </w:r>
      <w:r w:rsidR="008A5587">
        <w:instrText xml:space="preserve"> REF _Ref110957604 \n \h </w:instrText>
      </w:r>
      <w:r w:rsidR="008A5587">
        <w:fldChar w:fldCharType="separate"/>
      </w:r>
      <w:r w:rsidR="00EE0BF5">
        <w:t>7</w:t>
      </w:r>
      <w:r w:rsidR="008A5587">
        <w:fldChar w:fldCharType="end"/>
      </w:r>
      <w:r>
        <w:t>.</w:t>
      </w:r>
      <w:r w:rsidR="00B97A98">
        <w:t xml:space="preserve"> The summary of major findings and future research needs are discussed in this final section.</w:t>
      </w:r>
    </w:p>
    <w:p w14:paraId="10309E6F" w14:textId="43B4BD52" w:rsidR="00800F5F" w:rsidRPr="00D23863" w:rsidRDefault="00800F5F" w:rsidP="00AD0C1C">
      <w:pPr>
        <w:pStyle w:val="Heading2"/>
      </w:pPr>
      <w:bookmarkStart w:id="596" w:name="_Toc113380850"/>
      <w:r>
        <w:t>Summary of Major Findings</w:t>
      </w:r>
      <w:bookmarkEnd w:id="596"/>
    </w:p>
    <w:p w14:paraId="77737F86" w14:textId="4AA761CF" w:rsidR="00BE78B0" w:rsidRDefault="00BE78B0" w:rsidP="00F66DE3">
      <w:pPr>
        <w:pStyle w:val="BodyText"/>
      </w:pPr>
      <w:r>
        <w:t>The previous 9505 assessments (Sale et al., 2012; Kao et al., 2016) followed the conventional hydroclimate impact assessment approach that only considered the selection of GCM as the main source of uncertainty. Although the adopted hydrologic and hydropower models were intensively calibrated based on the best available observations, there was no clear approach to discern whether a detected change signal was caused by the original GCM or by any other modeling choices. This lack of clarity could lower the confidence of the assessment findings and lead to a biased interpretation of climate change</w:t>
      </w:r>
      <w:r w:rsidR="00992261">
        <w:t>–</w:t>
      </w:r>
      <w:r>
        <w:t xml:space="preserve">induced risks of future federal hydropower generation. To improve upon this limitation, based on extensive consultation with several federal hydropower stakeholder groups, an ensemble-based assessment approach </w:t>
      </w:r>
      <w:r w:rsidR="00992261">
        <w:t>was</w:t>
      </w:r>
      <w:r>
        <w:t xml:space="preserve"> designed in this assessment (</w:t>
      </w:r>
      <w:r>
        <w:fldChar w:fldCharType="begin"/>
      </w:r>
      <w:r>
        <w:instrText xml:space="preserve"> REF _Ref72830666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w:t>
      </w:r>
      <w:r>
        <w:fldChar w:fldCharType="end"/>
      </w:r>
      <w:r>
        <w:t xml:space="preserve">). The ensemble includes six selected CMIP6 GCMs, two downscaling approaches, two </w:t>
      </w:r>
      <w:r w:rsidR="00E26C01">
        <w:t xml:space="preserve">reference </w:t>
      </w:r>
      <w:r>
        <w:t>meteorological observations, two hydrologic models</w:t>
      </w:r>
      <w:r w:rsidR="00992261">
        <w:t>,</w:t>
      </w:r>
      <w:r>
        <w:t xml:space="preserve"> and two regional hydropower models. The alternative modeling components and supporting</w:t>
      </w:r>
      <w:r w:rsidR="00D64187">
        <w:t xml:space="preserve"> </w:t>
      </w:r>
      <w:r w:rsidR="005606E5">
        <w:t>data sets</w:t>
      </w:r>
      <w:r w:rsidR="00D64187">
        <w:t xml:space="preserve"> </w:t>
      </w:r>
      <w:r>
        <w:t xml:space="preserve">are dissimilar </w:t>
      </w:r>
      <w:r w:rsidR="00992261">
        <w:t>in</w:t>
      </w:r>
      <w:r>
        <w:t xml:space="preserve"> their nature (e.g., dynamical </w:t>
      </w:r>
      <w:r w:rsidR="008E03C3">
        <w:t>vs.</w:t>
      </w:r>
      <w:r>
        <w:t xml:space="preserve"> statistical downscaling) but are all commonly used in many hydroclimate studies. All selected models </w:t>
      </w:r>
      <w:r w:rsidR="00992261">
        <w:t>were</w:t>
      </w:r>
      <w:r>
        <w:t xml:space="preserve"> intensively calibrated/validated based on the best available historic observations before incorporating in the assessment framework. </w:t>
      </w:r>
      <w:r w:rsidR="00992261">
        <w:t>Although</w:t>
      </w:r>
      <w:r w:rsidR="00EA73FD">
        <w:t xml:space="preserve"> t</w:t>
      </w:r>
      <w:r>
        <w:t xml:space="preserve">his ensemble-based approach </w:t>
      </w:r>
      <w:r w:rsidR="00EA73FD">
        <w:t xml:space="preserve">still cannot represent the full range of uncertainties related to all factors in hydroclimate assessment, it </w:t>
      </w:r>
      <w:r>
        <w:t xml:space="preserve">allows </w:t>
      </w:r>
      <w:r w:rsidR="00992261">
        <w:t xml:space="preserve">for </w:t>
      </w:r>
      <w:r>
        <w:t xml:space="preserve">exploring the main </w:t>
      </w:r>
      <w:r w:rsidR="00DD3318">
        <w:t>modeling choice affecting the projections of future hydrologic and hydropower conditions.</w:t>
      </w:r>
    </w:p>
    <w:p w14:paraId="514FDC08" w14:textId="6764CB4D" w:rsidR="002E602F" w:rsidRDefault="00714487" w:rsidP="00330DCF">
      <w:pPr>
        <w:pStyle w:val="BodyText"/>
      </w:pPr>
      <w:r>
        <w:t xml:space="preserve">For climate model selection and evaluation, </w:t>
      </w:r>
      <w:r w:rsidR="004F0FD3">
        <w:t xml:space="preserve">six </w:t>
      </w:r>
      <w:r>
        <w:t xml:space="preserve">CMIP6 </w:t>
      </w:r>
      <w:r w:rsidR="004F0FD3">
        <w:t xml:space="preserve">GCMs </w:t>
      </w:r>
      <w:r w:rsidR="00992261">
        <w:t xml:space="preserve">were selected </w:t>
      </w:r>
      <w:r w:rsidR="004F0FD3">
        <w:t>for downscaling based on their skill, uniqueness, and data availability. The selection processes consist</w:t>
      </w:r>
      <w:r w:rsidR="00203ACE">
        <w:t>ed</w:t>
      </w:r>
      <w:r w:rsidR="004F0FD3">
        <w:t xml:space="preserve"> of two independent evaluation</w:t>
      </w:r>
      <w:r w:rsidR="00992261">
        <w:t>s</w:t>
      </w:r>
      <w:r w:rsidR="004F0FD3">
        <w:t xml:space="preserve"> that use</w:t>
      </w:r>
      <w:r w:rsidR="00203ACE">
        <w:t>d</w:t>
      </w:r>
      <w:r w:rsidR="004F0FD3">
        <w:t xml:space="preserve"> evaluation matrices at daily, monthly, and seasonal time</w:t>
      </w:r>
      <w:r w:rsidR="00992261">
        <w:t xml:space="preserve"> </w:t>
      </w:r>
      <w:r w:rsidR="004F0FD3">
        <w:t xml:space="preserve">scales. </w:t>
      </w:r>
      <w:r w:rsidR="00992261">
        <w:t>The f</w:t>
      </w:r>
      <w:r w:rsidR="004F0FD3">
        <w:t>irst methodology rank</w:t>
      </w:r>
      <w:r w:rsidR="00203ACE">
        <w:t>ed</w:t>
      </w:r>
      <w:r w:rsidR="004F0FD3">
        <w:t xml:space="preserve"> GCMs using their weighted average relative errors across the evaluation matrix suite. </w:t>
      </w:r>
      <w:r w:rsidR="00992261">
        <w:t>The s</w:t>
      </w:r>
      <w:r w:rsidR="004F0FD3">
        <w:t>econd methodology rank</w:t>
      </w:r>
      <w:r w:rsidR="00203ACE">
        <w:t>ed</w:t>
      </w:r>
      <w:r w:rsidR="004F0FD3">
        <w:t xml:space="preserve"> GCMs using their Euclidean distances based on the truncated set of </w:t>
      </w:r>
      <w:r w:rsidR="00992261">
        <w:t xml:space="preserve">the </w:t>
      </w:r>
      <w:r w:rsidR="004F0FD3">
        <w:t xml:space="preserve">first 10 modes in the multivariate EOF analyses. Both approaches led to </w:t>
      </w:r>
      <w:r w:rsidR="00992261">
        <w:t xml:space="preserve">a </w:t>
      </w:r>
      <w:r w:rsidR="004F0FD3">
        <w:t>similar selection of six GCMs when their skill, uniqueness, and data availability</w:t>
      </w:r>
      <w:r w:rsidR="003E3485">
        <w:t xml:space="preserve"> were considered</w:t>
      </w:r>
      <w:r w:rsidR="004F0FD3">
        <w:t>, which highlights the robustness of the selection process.</w:t>
      </w:r>
      <w:r w:rsidR="002E602F">
        <w:t xml:space="preserve"> </w:t>
      </w:r>
      <w:r w:rsidR="003E3485">
        <w:t>T</w:t>
      </w:r>
      <w:r w:rsidR="002E602F">
        <w:t xml:space="preserve">he projected change of temperature and precipitation from the six selected GCM projections </w:t>
      </w:r>
      <w:r w:rsidR="003E3485">
        <w:t xml:space="preserve">were further compared </w:t>
      </w:r>
      <w:r w:rsidR="002E602F">
        <w:t>with other CMIP6 models and emission scenarios (</w:t>
      </w:r>
      <w:r w:rsidR="002E602F">
        <w:fldChar w:fldCharType="begin"/>
      </w:r>
      <w:r w:rsidR="002E602F">
        <w:instrText xml:space="preserve"> REF _Ref81894709 \h </w:instrText>
      </w:r>
      <w:r w:rsidR="002E602F">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7</w:t>
      </w:r>
      <w:r w:rsidR="002E602F">
        <w:fldChar w:fldCharType="end"/>
      </w:r>
      <w:r w:rsidR="002E602F">
        <w:t xml:space="preserve">). Focusing on the </w:t>
      </w:r>
      <w:r w:rsidR="00C12FE4">
        <w:t xml:space="preserve">projected </w:t>
      </w:r>
      <w:r w:rsidR="002E602F">
        <w:t>change</w:t>
      </w:r>
      <w:r w:rsidR="00C12FE4">
        <w:t>s</w:t>
      </w:r>
      <w:r w:rsidR="002E602F">
        <w:t xml:space="preserve"> from </w:t>
      </w:r>
      <w:r w:rsidR="002E602F">
        <w:rPr>
          <w:lang w:eastAsia="zh-TW"/>
        </w:rPr>
        <w:t>1980</w:t>
      </w:r>
      <w:r w:rsidR="002E602F" w:rsidRPr="00C5617A">
        <w:rPr>
          <w:lang w:eastAsia="zh-TW"/>
        </w:rPr>
        <w:t>–</w:t>
      </w:r>
      <w:r w:rsidR="002E602F">
        <w:rPr>
          <w:lang w:eastAsia="zh-TW"/>
        </w:rPr>
        <w:t>2019</w:t>
      </w:r>
      <w:r w:rsidR="002E602F" w:rsidRPr="00C5617A">
        <w:rPr>
          <w:lang w:eastAsia="zh-TW"/>
        </w:rPr>
        <w:t xml:space="preserve"> baseline to </w:t>
      </w:r>
      <w:r w:rsidR="002E602F">
        <w:rPr>
          <w:lang w:eastAsia="zh-TW"/>
        </w:rPr>
        <w:t>2020</w:t>
      </w:r>
      <w:r w:rsidR="002E602F" w:rsidRPr="00C5617A">
        <w:rPr>
          <w:lang w:eastAsia="zh-TW"/>
        </w:rPr>
        <w:t>–</w:t>
      </w:r>
      <w:r w:rsidR="002E602F">
        <w:rPr>
          <w:lang w:eastAsia="zh-TW"/>
        </w:rPr>
        <w:t>2059</w:t>
      </w:r>
      <w:r w:rsidR="002E602F" w:rsidRPr="00C5617A">
        <w:rPr>
          <w:lang w:eastAsia="zh-TW"/>
        </w:rPr>
        <w:t xml:space="preserve"> future period</w:t>
      </w:r>
      <w:r w:rsidR="00C12FE4">
        <w:rPr>
          <w:lang w:eastAsia="zh-TW"/>
        </w:rPr>
        <w:t>s</w:t>
      </w:r>
      <w:r w:rsidR="002E602F" w:rsidRPr="00C5617A">
        <w:rPr>
          <w:lang w:eastAsia="zh-TW"/>
        </w:rPr>
        <w:t xml:space="preserve"> </w:t>
      </w:r>
      <w:r w:rsidR="00C12FE4">
        <w:rPr>
          <w:lang w:eastAsia="zh-TW"/>
        </w:rPr>
        <w:t xml:space="preserve">at the </w:t>
      </w:r>
      <w:r w:rsidR="002E602F">
        <w:rPr>
          <w:lang w:eastAsia="zh-TW"/>
        </w:rPr>
        <w:t>CONUS</w:t>
      </w:r>
      <w:r w:rsidR="00C12FE4">
        <w:rPr>
          <w:lang w:eastAsia="zh-TW"/>
        </w:rPr>
        <w:t xml:space="preserve"> scale</w:t>
      </w:r>
      <w:r w:rsidR="002E602F">
        <w:t xml:space="preserve">, </w:t>
      </w:r>
      <w:r w:rsidR="003E3485">
        <w:t xml:space="preserve">the </w:t>
      </w:r>
      <w:r w:rsidR="002E602F">
        <w:t>findings include</w:t>
      </w:r>
      <w:r w:rsidR="003E3485">
        <w:t xml:space="preserve"> the following</w:t>
      </w:r>
      <w:r w:rsidR="002E602F">
        <w:t>:</w:t>
      </w:r>
    </w:p>
    <w:p w14:paraId="76AA035D" w14:textId="14076DE7" w:rsidR="002E602F" w:rsidRDefault="00C12FE4" w:rsidP="005F6BB4">
      <w:pPr>
        <w:pStyle w:val="BulletListspace"/>
      </w:pPr>
      <w:r>
        <w:rPr>
          <w:lang w:eastAsia="zh-TW"/>
        </w:rPr>
        <w:t>For temperature</w:t>
      </w:r>
      <w:r w:rsidR="002E602F">
        <w:rPr>
          <w:lang w:eastAsia="zh-TW"/>
        </w:rPr>
        <w:t>, a</w:t>
      </w:r>
      <w:r w:rsidR="002E602F" w:rsidRPr="00C5617A">
        <w:t xml:space="preserve">ll </w:t>
      </w:r>
      <w:r w:rsidR="002E602F">
        <w:t xml:space="preserve">CMIP6 projections showed </w:t>
      </w:r>
      <w:r w:rsidR="002E602F" w:rsidRPr="00C5617A">
        <w:t xml:space="preserve">a consistent increase in temperature ranging from </w:t>
      </w:r>
      <w:r w:rsidR="002E602F">
        <w:t>1</w:t>
      </w:r>
      <w:r w:rsidR="002E602F">
        <w:rPr>
          <w:lang w:eastAsia="zh-TW"/>
        </w:rPr>
        <w:t>°F</w:t>
      </w:r>
      <w:r w:rsidR="002E602F" w:rsidRPr="00C5617A">
        <w:t xml:space="preserve"> to </w:t>
      </w:r>
      <w:r w:rsidR="002E602F">
        <w:t>6</w:t>
      </w:r>
      <w:r w:rsidR="002E602F">
        <w:rPr>
          <w:lang w:eastAsia="zh-TW"/>
        </w:rPr>
        <w:t>°F across all seasons.</w:t>
      </w:r>
    </w:p>
    <w:p w14:paraId="6AE673A7" w14:textId="28B227AD" w:rsidR="00C12FE4" w:rsidRDefault="003900EF" w:rsidP="005F6BB4">
      <w:pPr>
        <w:pStyle w:val="BulletListspace"/>
      </w:pPr>
      <w:r>
        <w:rPr>
          <w:lang w:eastAsia="zh-TW"/>
        </w:rPr>
        <w:t xml:space="preserve">For precipitation, except for parts of summer and fall, a </w:t>
      </w:r>
      <w:r w:rsidRPr="00C5617A">
        <w:t>consisten</w:t>
      </w:r>
      <w:r>
        <w:t>t</w:t>
      </w:r>
      <w:r w:rsidRPr="00C5617A">
        <w:t xml:space="preserve"> </w:t>
      </w:r>
      <w:r>
        <w:rPr>
          <w:lang w:eastAsia="zh-TW"/>
        </w:rPr>
        <w:t>increase is projected, especially in winter. These seasonal projections result in a net annual precipitation increase across most of the projections (−2% to 8%).</w:t>
      </w:r>
    </w:p>
    <w:p w14:paraId="0BB7A3BD" w14:textId="6C372448" w:rsidR="00C12FE4" w:rsidRDefault="003E3485" w:rsidP="005F6BB4">
      <w:pPr>
        <w:pStyle w:val="BulletListspace"/>
      </w:pPr>
      <w:r>
        <w:rPr>
          <w:lang w:eastAsia="zh-TW"/>
        </w:rPr>
        <w:lastRenderedPageBreak/>
        <w:t>Although the</w:t>
      </w:r>
      <w:r w:rsidR="00C12FE4">
        <w:rPr>
          <w:lang w:eastAsia="zh-TW"/>
        </w:rPr>
        <w:t xml:space="preserve"> six selected GCM projections </w:t>
      </w:r>
      <w:r w:rsidR="00C12FE4" w:rsidRPr="00C5617A">
        <w:rPr>
          <w:lang w:eastAsia="zh-TW"/>
        </w:rPr>
        <w:t>do</w:t>
      </w:r>
      <w:r w:rsidR="00C12FE4" w:rsidRPr="00C5617A">
        <w:t xml:space="preserve"> not cover the full range of</w:t>
      </w:r>
      <w:r w:rsidR="00C12FE4">
        <w:t xml:space="preserve"> CMIP6 models and emission scenarios</w:t>
      </w:r>
      <w:r w:rsidR="00C12FE4" w:rsidRPr="00C5617A">
        <w:t xml:space="preserve">, </w:t>
      </w:r>
      <w:r w:rsidR="00AD7C03">
        <w:rPr>
          <w:lang w:eastAsia="zh-TW"/>
        </w:rPr>
        <w:t>their projections are distributed across the median of all models</w:t>
      </w:r>
      <w:r w:rsidR="00C12FE4">
        <w:rPr>
          <w:lang w:eastAsia="zh-TW"/>
        </w:rPr>
        <w:t>, suggesting that they are not biased toward any one direction.</w:t>
      </w:r>
    </w:p>
    <w:p w14:paraId="440DD529" w14:textId="08692177" w:rsidR="00C12FE4" w:rsidRDefault="003E3485" w:rsidP="005F6BB4">
      <w:pPr>
        <w:pStyle w:val="BulletListspace"/>
      </w:pPr>
      <w:r>
        <w:rPr>
          <w:lang w:eastAsia="zh-TW"/>
        </w:rPr>
        <w:t xml:space="preserve">Although </w:t>
      </w:r>
      <w:r w:rsidR="00C12FE4">
        <w:rPr>
          <w:lang w:eastAsia="zh-TW"/>
        </w:rPr>
        <w:t xml:space="preserve">emission scenario has a clear influence on the projected change of temperature, its influence on the projected change of precipitation is less obvious at the CONUS scale in </w:t>
      </w:r>
      <w:r>
        <w:rPr>
          <w:lang w:eastAsia="zh-TW"/>
        </w:rPr>
        <w:t xml:space="preserve">the </w:t>
      </w:r>
      <w:r w:rsidR="00C12FE4">
        <w:rPr>
          <w:lang w:eastAsia="zh-TW"/>
        </w:rPr>
        <w:t>time</w:t>
      </w:r>
      <w:r w:rsidR="00BA5C94">
        <w:rPr>
          <w:lang w:eastAsia="zh-TW"/>
        </w:rPr>
        <w:t xml:space="preserve"> </w:t>
      </w:r>
      <w:r w:rsidR="00C12FE4">
        <w:rPr>
          <w:lang w:eastAsia="zh-TW"/>
        </w:rPr>
        <w:t xml:space="preserve">frame </w:t>
      </w:r>
      <w:r w:rsidR="00BA5C94">
        <w:rPr>
          <w:lang w:eastAsia="zh-TW"/>
        </w:rPr>
        <w:t xml:space="preserve">of interest </w:t>
      </w:r>
      <w:r w:rsidR="00C12FE4">
        <w:rPr>
          <w:lang w:eastAsia="zh-TW"/>
        </w:rPr>
        <w:t>(till 2059).</w:t>
      </w:r>
    </w:p>
    <w:p w14:paraId="0C7FC169" w14:textId="6FC194BD" w:rsidR="0086112F" w:rsidRDefault="00BA5C94" w:rsidP="005F6BB4">
      <w:pPr>
        <w:pStyle w:val="BodyText"/>
      </w:pPr>
      <w:r>
        <w:t>A</w:t>
      </w:r>
      <w:r w:rsidR="00C12FE4" w:rsidRPr="00F80083">
        <w:t xml:space="preserve"> comprehensive suite of downscaled CMIP6 climate </w:t>
      </w:r>
      <w:r w:rsidR="0086112F">
        <w:t xml:space="preserve">projections </w:t>
      </w:r>
      <w:r>
        <w:t xml:space="preserve">was developed </w:t>
      </w:r>
      <w:r w:rsidR="00C12FE4" w:rsidRPr="00F80083">
        <w:t>using two downscaling techniques</w:t>
      </w:r>
      <w:r w:rsidR="0086112F">
        <w:t xml:space="preserve"> (</w:t>
      </w:r>
      <w:r w:rsidR="0086112F" w:rsidRPr="00F80083">
        <w:t xml:space="preserve">dynamical </w:t>
      </w:r>
      <w:r w:rsidR="008B0B46">
        <w:t xml:space="preserve">and </w:t>
      </w:r>
      <w:r w:rsidR="0086112F" w:rsidRPr="00F80083">
        <w:t>statistical</w:t>
      </w:r>
      <w:r w:rsidR="0086112F">
        <w:t>)</w:t>
      </w:r>
      <w:r w:rsidR="00C12FE4" w:rsidRPr="00F80083">
        <w:t xml:space="preserve"> </w:t>
      </w:r>
      <w:r w:rsidR="0086112F">
        <w:t xml:space="preserve">with </w:t>
      </w:r>
      <w:r w:rsidR="00C12FE4" w:rsidRPr="00F80083">
        <w:t xml:space="preserve">two </w:t>
      </w:r>
      <w:r w:rsidR="00E26C01" w:rsidRPr="00F80083">
        <w:t xml:space="preserve">reference </w:t>
      </w:r>
      <w:r w:rsidR="00C12FE4" w:rsidRPr="00F80083">
        <w:t>meteorological observations</w:t>
      </w:r>
      <w:r w:rsidR="0086112F">
        <w:t xml:space="preserve"> (Daymet </w:t>
      </w:r>
      <w:r w:rsidR="008B0B46">
        <w:t xml:space="preserve">and </w:t>
      </w:r>
      <w:r w:rsidR="0086112F">
        <w:t>Livneh)</w:t>
      </w:r>
      <w:r w:rsidR="00C12FE4" w:rsidRPr="00F80083">
        <w:t xml:space="preserve">. For dynamical downscaling, </w:t>
      </w:r>
      <w:r w:rsidRPr="00F80083">
        <w:t>RegCM4</w:t>
      </w:r>
      <w:r w:rsidR="00C12FE4" w:rsidRPr="00F80083">
        <w:t xml:space="preserve"> </w:t>
      </w:r>
      <w:r>
        <w:t xml:space="preserve">was </w:t>
      </w:r>
      <w:r w:rsidR="00C12FE4" w:rsidRPr="00F80083">
        <w:t>employ</w:t>
      </w:r>
      <w:r w:rsidR="0086112F">
        <w:t>ed</w:t>
      </w:r>
      <w:r w:rsidR="00C12FE4" w:rsidRPr="00F80083">
        <w:t xml:space="preserve">. The outputs from RegCM4 </w:t>
      </w:r>
      <w:r w:rsidR="0086112F">
        <w:t xml:space="preserve">were </w:t>
      </w:r>
      <w:r w:rsidR="00C12FE4" w:rsidRPr="00F80083">
        <w:t xml:space="preserve">subsequently bias-corrected at </w:t>
      </w:r>
      <w:r>
        <w:t xml:space="preserve">a </w:t>
      </w:r>
      <w:r w:rsidR="00C12FE4" w:rsidRPr="00F80083">
        <w:t>daily time</w:t>
      </w:r>
      <w:r w:rsidR="00992261">
        <w:t xml:space="preserve"> </w:t>
      </w:r>
      <w:r w:rsidR="00C12FE4" w:rsidRPr="00F80083">
        <w:t xml:space="preserve">scale. For statistical downscaling, </w:t>
      </w:r>
      <w:r w:rsidR="0086112F">
        <w:t>the</w:t>
      </w:r>
      <w:r w:rsidR="00C12FE4" w:rsidRPr="00F80083">
        <w:t xml:space="preserve"> DBCCA technique </w:t>
      </w:r>
      <w:r>
        <w:t xml:space="preserve">was applied </w:t>
      </w:r>
      <w:r w:rsidR="00C12FE4" w:rsidRPr="00F80083">
        <w:t xml:space="preserve">on selected variables. Additionally, two high-resolution observations </w:t>
      </w:r>
      <w:r>
        <w:t xml:space="preserve">were used </w:t>
      </w:r>
      <w:r w:rsidR="00C12FE4" w:rsidRPr="00F80083">
        <w:t xml:space="preserve">in the training and/or correction process to account for the uncertainties resulting from the choice of reference observations. </w:t>
      </w:r>
      <w:r>
        <w:t>The</w:t>
      </w:r>
      <w:r w:rsidR="0086112F">
        <w:t xml:space="preserve"> main findings include</w:t>
      </w:r>
      <w:r>
        <w:t xml:space="preserve"> the following</w:t>
      </w:r>
      <w:r w:rsidR="0086112F">
        <w:t>:</w:t>
      </w:r>
    </w:p>
    <w:p w14:paraId="796DD562" w14:textId="02024FF5" w:rsidR="0086112F" w:rsidRDefault="00BA5C94" w:rsidP="005F6BB4">
      <w:pPr>
        <w:pStyle w:val="BulletListspace"/>
      </w:pPr>
      <w:r>
        <w:t>Although</w:t>
      </w:r>
      <w:r w:rsidR="002E12D3">
        <w:t xml:space="preserve"> </w:t>
      </w:r>
      <w:r>
        <w:t xml:space="preserve">the </w:t>
      </w:r>
      <w:r w:rsidR="002E12D3">
        <w:t xml:space="preserve">RCM may improve </w:t>
      </w:r>
      <w:r w:rsidR="0086112F" w:rsidRPr="00F80083">
        <w:t>several evaluation metrics</w:t>
      </w:r>
      <w:r w:rsidR="002E12D3">
        <w:t>, it may also</w:t>
      </w:r>
      <w:r w:rsidR="0086112F" w:rsidRPr="00F80083">
        <w:t xml:space="preserve"> exacerbate biases in a few </w:t>
      </w:r>
      <w:r w:rsidR="002E12D3">
        <w:t xml:space="preserve">other </w:t>
      </w:r>
      <w:r w:rsidR="0086112F" w:rsidRPr="00F80083">
        <w:t xml:space="preserve">evaluation metrics </w:t>
      </w:r>
      <w:r w:rsidR="002E12D3">
        <w:t>(</w:t>
      </w:r>
      <w:r w:rsidR="0086112F" w:rsidRPr="00F80083">
        <w:t xml:space="preserve">compared </w:t>
      </w:r>
      <w:r>
        <w:t xml:space="preserve">with </w:t>
      </w:r>
      <w:r w:rsidR="0086112F" w:rsidRPr="00F80083">
        <w:t>the driving GCMs</w:t>
      </w:r>
      <w:r w:rsidR="002E12D3">
        <w:t>)</w:t>
      </w:r>
      <w:r w:rsidR="0086112F" w:rsidRPr="00F80083">
        <w:t>.</w:t>
      </w:r>
      <w:r w:rsidR="0086112F">
        <w:t xml:space="preserve"> </w:t>
      </w:r>
      <w:r w:rsidR="0086112F" w:rsidRPr="00F80083">
        <w:t xml:space="preserve">The bias correction of dynamically downscaled simulations </w:t>
      </w:r>
      <w:r w:rsidR="002E12D3">
        <w:t xml:space="preserve">may </w:t>
      </w:r>
      <w:r w:rsidR="0086112F" w:rsidRPr="00F80083">
        <w:t xml:space="preserve">remove these </w:t>
      </w:r>
      <w:r w:rsidR="00203ACE">
        <w:t>modeling biases</w:t>
      </w:r>
      <w:r w:rsidR="0086112F" w:rsidRPr="00F80083">
        <w:t>.</w:t>
      </w:r>
    </w:p>
    <w:p w14:paraId="3265006F" w14:textId="2941B6FB" w:rsidR="00F77E2C" w:rsidRDefault="008B0B46" w:rsidP="005F6BB4">
      <w:pPr>
        <w:pStyle w:val="BulletListspace"/>
      </w:pPr>
      <w:r>
        <w:t>C</w:t>
      </w:r>
      <w:r w:rsidR="0086112F" w:rsidRPr="00F80083">
        <w:t xml:space="preserve">ertain differences in future hydroclimate projections arise from the choice of downscaling techniques </w:t>
      </w:r>
      <w:r>
        <w:t xml:space="preserve">and </w:t>
      </w:r>
      <w:r w:rsidR="0086112F" w:rsidRPr="00F80083">
        <w:t xml:space="preserve">reference </w:t>
      </w:r>
      <w:r w:rsidR="00EA73FD">
        <w:t xml:space="preserve">meteorological </w:t>
      </w:r>
      <w:r w:rsidR="0086112F" w:rsidRPr="00F80083">
        <w:t>observations. These differences are more prominent in extremes than mean variables.</w:t>
      </w:r>
    </w:p>
    <w:p w14:paraId="747924C2" w14:textId="07DB1C3F" w:rsidR="0086112F" w:rsidRDefault="0086112F" w:rsidP="005F6BB4">
      <w:pPr>
        <w:pStyle w:val="BulletListspace"/>
      </w:pPr>
      <w:r w:rsidRPr="00F80083">
        <w:t xml:space="preserve">The underlying causes of the differences arising from the choice of downscaling technique are difficult to ascertain </w:t>
      </w:r>
      <w:r w:rsidR="008B0B46">
        <w:t xml:space="preserve">because of </w:t>
      </w:r>
      <w:r w:rsidRPr="00F80083">
        <w:t>the inherently different nature of the downscaling techniques that are employed.</w:t>
      </w:r>
      <w:r w:rsidR="00F77E2C" w:rsidRPr="00F77E2C">
        <w:t xml:space="preserve"> </w:t>
      </w:r>
      <w:r w:rsidR="00F77E2C" w:rsidRPr="00F80083">
        <w:t xml:space="preserve">The projected changes in dynamical downscaling are governed by physical processes simulated in the models and the choice of parameterizations. </w:t>
      </w:r>
      <w:r w:rsidR="008B0B46">
        <w:t>However</w:t>
      </w:r>
      <w:r w:rsidR="00F77E2C" w:rsidRPr="00F80083">
        <w:t>, the different response in the DBCCA technique could arise at different stages of the statistical downscaling techniques. Nevertheless, these analyses highlight the uncertainties arising from the choice of downscaling techniques</w:t>
      </w:r>
      <w:r w:rsidR="008B0B46">
        <w:t>,</w:t>
      </w:r>
      <w:r w:rsidR="00F77E2C" w:rsidRPr="00F80083">
        <w:t xml:space="preserve"> as well as the choice of observations used for training and/or correction</w:t>
      </w:r>
      <w:r w:rsidR="008B0B46">
        <w:t>.</w:t>
      </w:r>
      <w:r w:rsidR="00F77E2C" w:rsidRPr="00F80083">
        <w:t xml:space="preserve"> </w:t>
      </w:r>
      <w:r w:rsidR="008B0B46">
        <w:t>G</w:t>
      </w:r>
      <w:r w:rsidR="00F77E2C" w:rsidRPr="00F80083">
        <w:t xml:space="preserve">iven their important implications on impact assessment and planning applications, </w:t>
      </w:r>
      <w:r w:rsidR="008B0B46">
        <w:t xml:space="preserve">these differences are </w:t>
      </w:r>
      <w:r w:rsidR="00F77E2C" w:rsidRPr="00F80083">
        <w:t xml:space="preserve">crucial </w:t>
      </w:r>
      <w:r w:rsidR="008B0B46">
        <w:t xml:space="preserve">and must be </w:t>
      </w:r>
      <w:r w:rsidR="00F77E2C" w:rsidRPr="00F80083">
        <w:t>account</w:t>
      </w:r>
      <w:r w:rsidR="008B0B46">
        <w:t>ed</w:t>
      </w:r>
      <w:r w:rsidR="00F77E2C" w:rsidRPr="00F80083">
        <w:t xml:space="preserve"> for.</w:t>
      </w:r>
    </w:p>
    <w:p w14:paraId="02557230" w14:textId="1F705D21" w:rsidR="00EA73FD" w:rsidRDefault="008D3F9B" w:rsidP="008D3F9B">
      <w:pPr>
        <w:pStyle w:val="BodyText"/>
      </w:pPr>
      <w:r>
        <w:t xml:space="preserve">The climate projections </w:t>
      </w:r>
      <w:r w:rsidR="008B0B46">
        <w:t xml:space="preserve">were </w:t>
      </w:r>
      <w:r w:rsidR="00EA73FD">
        <w:t xml:space="preserve">subsequently </w:t>
      </w:r>
      <w:r>
        <w:t xml:space="preserve">translated into </w:t>
      </w:r>
      <w:r w:rsidR="00EA73FD">
        <w:t xml:space="preserve">ensemble </w:t>
      </w:r>
      <w:r>
        <w:t xml:space="preserve">hydrologic projections using two calibrated distributed </w:t>
      </w:r>
      <w:r w:rsidR="00E26C01">
        <w:t>hydrologic models</w:t>
      </w:r>
      <w:r>
        <w:t xml:space="preserve"> </w:t>
      </w:r>
      <w:r w:rsidR="00EA73FD">
        <w:t>(</w:t>
      </w:r>
      <w:r>
        <w:t>VIC and PRMS</w:t>
      </w:r>
      <w:r w:rsidR="00EA73FD">
        <w:t>)</w:t>
      </w:r>
      <w:r>
        <w:t xml:space="preserve">. </w:t>
      </w:r>
      <w:r w:rsidR="00EA73FD">
        <w:t>Similar to the previous assessment, t</w:t>
      </w:r>
      <w:r w:rsidR="00EA73FD">
        <w:rPr>
          <w:lang w:eastAsia="zh-TW"/>
        </w:rPr>
        <w:t>he calibration was performed at the HUC8 scale using the USGS WaterWatch monthly runoff</w:t>
      </w:r>
      <w:r w:rsidR="005606E5">
        <w:rPr>
          <w:lang w:eastAsia="zh-TW"/>
        </w:rPr>
        <w:t xml:space="preserve"> data set </w:t>
      </w:r>
      <w:r w:rsidR="00EA73FD" w:rsidRPr="003C77EC">
        <w:rPr>
          <w:lang w:eastAsia="zh-TW"/>
        </w:rPr>
        <w:t xml:space="preserve">(Brakebill et al., 2011) </w:t>
      </w:r>
      <w:r w:rsidR="00EA73FD">
        <w:rPr>
          <w:lang w:eastAsia="zh-TW"/>
        </w:rPr>
        <w:t>as the benchmark.</w:t>
      </w:r>
      <w:r w:rsidR="006C2F96">
        <w:rPr>
          <w:lang w:eastAsia="zh-TW"/>
        </w:rPr>
        <w:t xml:space="preserve"> </w:t>
      </w:r>
      <w:r w:rsidR="006C2F96" w:rsidRPr="006C2F96">
        <w:rPr>
          <w:lang w:eastAsia="zh-TW"/>
        </w:rPr>
        <w:t xml:space="preserve">Parameters were updated using </w:t>
      </w:r>
      <w:r w:rsidR="006C2F96">
        <w:rPr>
          <w:lang w:eastAsia="zh-TW"/>
        </w:rPr>
        <w:t xml:space="preserve">the </w:t>
      </w:r>
      <w:r w:rsidR="006C2F96" w:rsidRPr="006C2F96">
        <w:rPr>
          <w:lang w:eastAsia="zh-TW"/>
        </w:rPr>
        <w:t xml:space="preserve">PSO </w:t>
      </w:r>
      <w:r w:rsidR="00A87209">
        <w:rPr>
          <w:lang w:eastAsia="zh-TW"/>
        </w:rPr>
        <w:t>(</w:t>
      </w:r>
      <w:r w:rsidR="006C2F96" w:rsidRPr="006C2F96">
        <w:rPr>
          <w:lang w:eastAsia="zh-TW"/>
        </w:rPr>
        <w:t>Kennedy and Eberhart, 1995) algorithm to maximize the NSE</w:t>
      </w:r>
      <w:r w:rsidR="006C2F96">
        <w:rPr>
          <w:lang w:eastAsia="zh-TW"/>
        </w:rPr>
        <w:t xml:space="preserve"> of monthly total runoff at the each HUC8</w:t>
      </w:r>
      <w:r w:rsidR="006C2F96" w:rsidRPr="006C2F96">
        <w:rPr>
          <w:lang w:eastAsia="zh-TW"/>
        </w:rPr>
        <w:t>.</w:t>
      </w:r>
      <w:r w:rsidR="006C2F96" w:rsidRPr="006C2F96">
        <w:t xml:space="preserve"> </w:t>
      </w:r>
      <w:r w:rsidR="00C814F9">
        <w:t xml:space="preserve">The </w:t>
      </w:r>
      <w:r w:rsidR="006C2F96">
        <w:t>main findings include</w:t>
      </w:r>
      <w:r w:rsidR="00C814F9">
        <w:t xml:space="preserve"> the following</w:t>
      </w:r>
      <w:r w:rsidR="006C2F96">
        <w:t>:</w:t>
      </w:r>
    </w:p>
    <w:p w14:paraId="4161A32F" w14:textId="77777777" w:rsidR="006C2F96" w:rsidRDefault="006C2F96" w:rsidP="005F6BB4">
      <w:pPr>
        <w:pStyle w:val="BulletListspace"/>
      </w:pPr>
      <w:r w:rsidRPr="006C2F96">
        <w:t xml:space="preserve">The annual total runoff </w:t>
      </w:r>
      <w:r>
        <w:t xml:space="preserve">is generally </w:t>
      </w:r>
      <w:r w:rsidRPr="006C2F96">
        <w:t xml:space="preserve">projected </w:t>
      </w:r>
      <w:r>
        <w:t xml:space="preserve">to </w:t>
      </w:r>
      <w:r w:rsidRPr="006C2F96">
        <w:t>increase across the CONUS.</w:t>
      </w:r>
    </w:p>
    <w:p w14:paraId="619B1233" w14:textId="3E3B679B" w:rsidR="006C2F96" w:rsidRDefault="006C2F96" w:rsidP="005F6BB4">
      <w:pPr>
        <w:pStyle w:val="BulletListspace"/>
      </w:pPr>
      <w:r>
        <w:t xml:space="preserve">At the seasonal scale, winter and spring runoff are generally projected to increase across the CONUS. However, the summer runoff is projected to decrease for many parts of the CONUS, especially in the </w:t>
      </w:r>
      <w:r w:rsidR="006C6778">
        <w:t>w</w:t>
      </w:r>
      <w:r w:rsidR="00114524">
        <w:t xml:space="preserve">estern </w:t>
      </w:r>
      <w:r>
        <w:t xml:space="preserve">and </w:t>
      </w:r>
      <w:r w:rsidR="006C6778">
        <w:t>s</w:t>
      </w:r>
      <w:r w:rsidR="00114524">
        <w:t xml:space="preserve">outhern </w:t>
      </w:r>
      <w:r w:rsidR="00C814F9">
        <w:t>United States</w:t>
      </w:r>
      <w:r>
        <w:t>, indicating a shift in the timing and seasonality of the water availability.</w:t>
      </w:r>
    </w:p>
    <w:p w14:paraId="4377DC7D" w14:textId="3EBF76E0" w:rsidR="006C2F96" w:rsidRDefault="00C814F9" w:rsidP="005F6BB4">
      <w:pPr>
        <w:pStyle w:val="BulletListspace"/>
      </w:pPr>
      <w:r>
        <w:t>H</w:t>
      </w:r>
      <w:r w:rsidR="006C2F96" w:rsidRPr="00A17190">
        <w:t>igh runoff (</w:t>
      </w:r>
      <w:r w:rsidR="00662620">
        <w:t>95</w:t>
      </w:r>
      <w:r w:rsidR="00FA458A" w:rsidRPr="00FA458A">
        <w:t>th</w:t>
      </w:r>
      <w:r w:rsidR="006C2F96" w:rsidRPr="00A17190">
        <w:t xml:space="preserve"> percentile) is projected to increase </w:t>
      </w:r>
      <w:r w:rsidR="00942274">
        <w:t xml:space="preserve">in </w:t>
      </w:r>
      <w:r w:rsidR="002E12D3">
        <w:t xml:space="preserve">the </w:t>
      </w:r>
      <w:r w:rsidR="006C2F96">
        <w:t>majority of</w:t>
      </w:r>
      <w:r w:rsidR="00942274">
        <w:t xml:space="preserve"> CONUS watersheds</w:t>
      </w:r>
      <w:r w:rsidR="006C2F96">
        <w:t>; however, low</w:t>
      </w:r>
      <w:r w:rsidR="006C2F96" w:rsidRPr="00A17190">
        <w:t xml:space="preserve"> runoff (</w:t>
      </w:r>
      <w:r w:rsidR="006C2F96" w:rsidRPr="0000064E">
        <w:t>5</w:t>
      </w:r>
      <w:r w:rsidR="00FA458A" w:rsidRPr="00FA458A">
        <w:t>th</w:t>
      </w:r>
      <w:r w:rsidR="006C2F96" w:rsidRPr="00A17190">
        <w:t xml:space="preserve"> percentile of 7-day average) is projected to decrease in the eastern/central and western coastal areas of the CONUS.</w:t>
      </w:r>
    </w:p>
    <w:p w14:paraId="71F766C7" w14:textId="3DB0683C" w:rsidR="002E12D3" w:rsidRDefault="00CE5BFA" w:rsidP="008D3F9B">
      <w:pPr>
        <w:pStyle w:val="BodyText"/>
      </w:pPr>
      <w:r>
        <w:lastRenderedPageBreak/>
        <w:t xml:space="preserve">By using two regional </w:t>
      </w:r>
      <w:r w:rsidR="00E26C01">
        <w:t>hydropower models</w:t>
      </w:r>
      <w:r>
        <w:t xml:space="preserve"> (WRES </w:t>
      </w:r>
      <w:r w:rsidR="0000064E">
        <w:t xml:space="preserve">and </w:t>
      </w:r>
      <w:r>
        <w:t xml:space="preserve">WMP), future monthly hydropower generation </w:t>
      </w:r>
      <w:r w:rsidR="0000064E">
        <w:t xml:space="preserve">were further projected </w:t>
      </w:r>
      <w:r>
        <w:t xml:space="preserve">at each PMA study area. </w:t>
      </w:r>
      <w:r w:rsidR="0000064E">
        <w:t>The</w:t>
      </w:r>
      <w:r>
        <w:t xml:space="preserve"> main findings include</w:t>
      </w:r>
      <w:r w:rsidR="0000064E">
        <w:t xml:space="preserve"> the following</w:t>
      </w:r>
      <w:r>
        <w:t>:</w:t>
      </w:r>
    </w:p>
    <w:p w14:paraId="70042096" w14:textId="0CFCA748" w:rsidR="00CE5BFA" w:rsidRDefault="00CE5BFA" w:rsidP="005F6BB4">
      <w:pPr>
        <w:pStyle w:val="BulletListspace"/>
      </w:pPr>
      <w:r>
        <w:t xml:space="preserve">At the annual time scale, the total annual hydropower generation for all PMAs is projected </w:t>
      </w:r>
      <w:r w:rsidR="008D44D2">
        <w:t xml:space="preserve">to be </w:t>
      </w:r>
      <w:r>
        <w:t>around 120 TWh/year in both near-term (2020–2039) and mid-term (2040–2059) future periods, close to the baseline (1980–2019) level. Most PMAs feature</w:t>
      </w:r>
      <w:r w:rsidR="00470D6C">
        <w:t>d</w:t>
      </w:r>
      <w:r>
        <w:t xml:space="preserve"> a wide</w:t>
      </w:r>
      <w:r w:rsidR="00B678E6">
        <w:t>r</w:t>
      </w:r>
      <w:r>
        <w:t xml:space="preserve"> </w:t>
      </w:r>
      <w:r w:rsidR="005E23BA">
        <w:t>multimodel</w:t>
      </w:r>
      <w:r>
        <w:t xml:space="preserve"> spread in the mid-term than near-term future periods</w:t>
      </w:r>
      <w:r w:rsidR="00B678E6">
        <w:t>,</w:t>
      </w:r>
      <w:r>
        <w:t xml:space="preserve"> with no obvious change in the ensemble mean.</w:t>
      </w:r>
    </w:p>
    <w:p w14:paraId="78E81E65" w14:textId="6C4A493B" w:rsidR="00CE5BFA" w:rsidRDefault="00CE5BFA" w:rsidP="005F6BB4">
      <w:pPr>
        <w:pStyle w:val="BulletListspace"/>
      </w:pPr>
      <w:r>
        <w:t>At the seasonal time</w:t>
      </w:r>
      <w:r w:rsidR="00942274">
        <w:t xml:space="preserve"> scale</w:t>
      </w:r>
      <w:r>
        <w:t xml:space="preserve">, </w:t>
      </w:r>
      <w:r w:rsidRPr="00CE5BFA">
        <w:t>the majority of models project</w:t>
      </w:r>
      <w:r w:rsidR="00470D6C">
        <w:t>ed</w:t>
      </w:r>
      <w:r w:rsidRPr="00CE5BFA">
        <w:t xml:space="preserve"> increasing generation in winter and spring, and decreasing generation in summer and fall. Such a result is mainly governed by the projected change</w:t>
      </w:r>
      <w:r w:rsidR="00B678E6">
        <w:t>s</w:t>
      </w:r>
      <w:r w:rsidRPr="00CE5BFA">
        <w:t xml:space="preserve"> in </w:t>
      </w:r>
      <w:r>
        <w:t>BPA and WAPA</w:t>
      </w:r>
      <w:r w:rsidRPr="00CE5BFA">
        <w:t xml:space="preserve"> caused by the earlier snowmelt and changing runoff seasonality.</w:t>
      </w:r>
    </w:p>
    <w:p w14:paraId="3E8AA039" w14:textId="7F6B23C4" w:rsidR="00F341D5" w:rsidRDefault="00470D6C" w:rsidP="005F6BB4">
      <w:pPr>
        <w:pStyle w:val="BulletListspace"/>
      </w:pPr>
      <w:r>
        <w:t>SWPA and WEPA projected i</w:t>
      </w:r>
      <w:r w:rsidR="00F341D5" w:rsidRPr="00CE5BFA">
        <w:t xml:space="preserve">ncreasing seasonal generation, which is heavily controlled by the variability of </w:t>
      </w:r>
      <w:r w:rsidR="00942274">
        <w:t>rainfall and runoff</w:t>
      </w:r>
      <w:r w:rsidR="00F341D5" w:rsidRPr="00CE5BFA">
        <w:t xml:space="preserve">. When compared </w:t>
      </w:r>
      <w:r w:rsidR="00B678E6">
        <w:t>with the federal hydropower reservoirs in</w:t>
      </w:r>
      <w:r w:rsidR="00F341D5" w:rsidRPr="00CE5BFA">
        <w:t xml:space="preserve"> </w:t>
      </w:r>
      <w:r w:rsidR="00942274">
        <w:t>BPA</w:t>
      </w:r>
      <w:r w:rsidR="00F341D5" w:rsidRPr="00CE5BFA">
        <w:t xml:space="preserve"> and</w:t>
      </w:r>
      <w:r w:rsidR="00942274">
        <w:t xml:space="preserve"> WAPA</w:t>
      </w:r>
      <w:r w:rsidR="00F341D5" w:rsidRPr="00CE5BFA">
        <w:t xml:space="preserve">, the reservoirs in </w:t>
      </w:r>
      <w:r w:rsidR="00942274">
        <w:t xml:space="preserve">SWPA and SEPA </w:t>
      </w:r>
      <w:r w:rsidR="00F341D5" w:rsidRPr="00CE5BFA">
        <w:t xml:space="preserve">have less storage capacity, so the projected change of seasonal hydropower generation will follow the projected change of seasonal </w:t>
      </w:r>
      <w:r w:rsidR="00942274">
        <w:t xml:space="preserve">rainfall and </w:t>
      </w:r>
      <w:r w:rsidR="00F341D5" w:rsidRPr="00CE5BFA">
        <w:t>runoff more closely.</w:t>
      </w:r>
    </w:p>
    <w:p w14:paraId="636CD461" w14:textId="501E2E79" w:rsidR="00CE5BFA" w:rsidRDefault="00CE5BFA" w:rsidP="005F6BB4">
      <w:pPr>
        <w:pStyle w:val="BulletListspace"/>
      </w:pPr>
      <w:r w:rsidRPr="00CE5BFA">
        <w:t xml:space="preserve">The spread of </w:t>
      </w:r>
      <w:r w:rsidR="005E23BA">
        <w:t>multimodel</w:t>
      </w:r>
      <w:r w:rsidR="00942274">
        <w:t xml:space="preserve"> </w:t>
      </w:r>
      <w:r w:rsidRPr="00CE5BFA">
        <w:t xml:space="preserve">hydropower </w:t>
      </w:r>
      <w:r w:rsidR="00942274">
        <w:t xml:space="preserve">change </w:t>
      </w:r>
      <w:r w:rsidRPr="00CE5BFA">
        <w:t xml:space="preserve">projections </w:t>
      </w:r>
      <w:r w:rsidR="00470D6C">
        <w:t xml:space="preserve">was </w:t>
      </w:r>
      <w:r w:rsidR="00942274">
        <w:t xml:space="preserve">generally </w:t>
      </w:r>
      <w:r w:rsidR="00CC18E1">
        <w:t xml:space="preserve">smaller </w:t>
      </w:r>
      <w:r w:rsidRPr="00CE5BFA">
        <w:t xml:space="preserve">than the spread of </w:t>
      </w:r>
      <w:r w:rsidR="005E23BA">
        <w:t>multimodel</w:t>
      </w:r>
      <w:r w:rsidR="00942274">
        <w:t xml:space="preserve"> </w:t>
      </w:r>
      <w:r w:rsidRPr="00CE5BFA">
        <w:t xml:space="preserve">natural </w:t>
      </w:r>
      <w:r w:rsidR="00942274">
        <w:t xml:space="preserve">streamflow </w:t>
      </w:r>
      <w:r w:rsidR="00CC18E1">
        <w:t xml:space="preserve">change </w:t>
      </w:r>
      <w:r w:rsidR="00942274">
        <w:t xml:space="preserve">projections </w:t>
      </w:r>
      <w:r w:rsidRPr="00CE5BFA">
        <w:t xml:space="preserve">across all PMAs. Most of these federal hydropower plants are located at multipurpose reservoirs that also provide nonpower services that have higher priority than hydropower. </w:t>
      </w:r>
      <w:r w:rsidR="003A2920">
        <w:t>Although</w:t>
      </w:r>
      <w:r w:rsidRPr="00CE5BFA">
        <w:t xml:space="preserve"> those constraints </w:t>
      </w:r>
      <w:r w:rsidR="00470D6C">
        <w:t xml:space="preserve">were </w:t>
      </w:r>
      <w:r w:rsidRPr="00CE5BFA">
        <w:t xml:space="preserve">not individually and explicitly represented in </w:t>
      </w:r>
      <w:r w:rsidR="003A2920">
        <w:t xml:space="preserve">the </w:t>
      </w:r>
      <w:r w:rsidRPr="00CE5BFA">
        <w:t xml:space="preserve">modeling approaches, the reservoir storage may help reduce the spread in </w:t>
      </w:r>
      <w:r w:rsidR="00CC18E1">
        <w:t xml:space="preserve">future </w:t>
      </w:r>
      <w:r w:rsidRPr="00CE5BFA">
        <w:t>hydropower projections</w:t>
      </w:r>
      <w:r w:rsidR="003A2920">
        <w:t>.</w:t>
      </w:r>
    </w:p>
    <w:p w14:paraId="6417427B" w14:textId="3CEB2685" w:rsidR="006C2F96" w:rsidRDefault="00CA4B2F" w:rsidP="00F66DE3">
      <w:pPr>
        <w:pStyle w:val="BodyText"/>
      </w:pPr>
      <w:r>
        <w:t xml:space="preserve">In addition to hydropower generation, the potential </w:t>
      </w:r>
      <w:r w:rsidR="0019667F">
        <w:t>impacts of climate change on the direct evaporation from these federal reservoirs</w:t>
      </w:r>
      <w:r w:rsidR="003A2920">
        <w:t xml:space="preserve"> were also evaluated</w:t>
      </w:r>
      <w:r w:rsidR="0019667F">
        <w:t xml:space="preserve">. </w:t>
      </w:r>
      <w:r w:rsidR="003A2920">
        <w:t>T</w:t>
      </w:r>
      <w:r w:rsidR="005C0907">
        <w:t xml:space="preserve">he analysis </w:t>
      </w:r>
      <w:r w:rsidR="003A2920">
        <w:t xml:space="preserve">was expanded </w:t>
      </w:r>
      <w:r w:rsidR="005C0907">
        <w:t>to 678 major reservoirs (including both federal and nonfederal, hydropower and non-hydropower) across the CONUS</w:t>
      </w:r>
      <w:r w:rsidR="00E87594">
        <w:t xml:space="preserve"> for interregional comparison</w:t>
      </w:r>
      <w:r w:rsidR="005C0907">
        <w:t xml:space="preserve">. </w:t>
      </w:r>
      <w:r w:rsidR="003A2920">
        <w:t xml:space="preserve">The </w:t>
      </w:r>
      <w:r w:rsidR="005C0907">
        <w:t>main findings include</w:t>
      </w:r>
      <w:r w:rsidR="003A2920">
        <w:t xml:space="preserve"> the following</w:t>
      </w:r>
      <w:r w:rsidR="005C0907">
        <w:t>:</w:t>
      </w:r>
    </w:p>
    <w:p w14:paraId="2C429EDF" w14:textId="75106EA3" w:rsidR="006F4C6B" w:rsidRDefault="00470D6C" w:rsidP="005F6BB4">
      <w:pPr>
        <w:pStyle w:val="BulletListspace"/>
      </w:pPr>
      <w:r>
        <w:t>A s</w:t>
      </w:r>
      <w:r w:rsidR="006F4C6B">
        <w:t xml:space="preserve">ignificant increase of reservoir evaporation is projected </w:t>
      </w:r>
      <w:r w:rsidR="007C22A7">
        <w:t xml:space="preserve">across the entire CONUS. </w:t>
      </w:r>
      <w:r w:rsidR="009F4E3F">
        <w:t>Although</w:t>
      </w:r>
      <w:r w:rsidR="007C22A7">
        <w:t xml:space="preserve"> the amount may be relatively small when compared </w:t>
      </w:r>
      <w:r w:rsidR="009F4E3F">
        <w:t>with</w:t>
      </w:r>
      <w:r w:rsidR="007C22A7">
        <w:t xml:space="preserve"> the total runoff volume in some PMA regions (e.g., BPA), it may cause a challenge for reservoirs in arid regions (e.g., WAPA).</w:t>
      </w:r>
    </w:p>
    <w:p w14:paraId="0B62D97A" w14:textId="18B76742" w:rsidR="005C0907" w:rsidRDefault="005C0907" w:rsidP="005F6BB4">
      <w:pPr>
        <w:pStyle w:val="BulletListspace"/>
      </w:pPr>
      <w:r>
        <w:t>In the near-term</w:t>
      </w:r>
      <w:r w:rsidR="006F4C6B">
        <w:t xml:space="preserve"> future period</w:t>
      </w:r>
      <w:r>
        <w:t xml:space="preserve">, the reservoirs with the largest changes </w:t>
      </w:r>
      <w:r w:rsidR="00470D6C">
        <w:t xml:space="preserve">were </w:t>
      </w:r>
      <w:r>
        <w:t>mainly in the south-central CONUS (mainly southern Missouri, western Arkansas</w:t>
      </w:r>
      <w:r w:rsidR="00F675BA">
        <w:t>–</w:t>
      </w:r>
      <w:r>
        <w:t>White</w:t>
      </w:r>
      <w:r w:rsidR="00F675BA">
        <w:t>–</w:t>
      </w:r>
      <w:r>
        <w:t>Red, and western Texas-Gulf</w:t>
      </w:r>
      <w:r w:rsidR="00E26C01">
        <w:t xml:space="preserve"> hydrologic regions</w:t>
      </w:r>
      <w:r>
        <w:t xml:space="preserve">), </w:t>
      </w:r>
      <w:r w:rsidR="00F675BA">
        <w:t xml:space="preserve">whereas </w:t>
      </w:r>
      <w:r>
        <w:t xml:space="preserve">the rate of increase </w:t>
      </w:r>
      <w:r w:rsidR="00470D6C">
        <w:t xml:space="preserve">was </w:t>
      </w:r>
      <w:r>
        <w:t>low in most of the eastern and western CONUS.</w:t>
      </w:r>
    </w:p>
    <w:p w14:paraId="5A80CB31" w14:textId="7E95E1D2" w:rsidR="00CA4B2F" w:rsidRDefault="005C0907" w:rsidP="005F6BB4">
      <w:pPr>
        <w:pStyle w:val="BulletListspace"/>
      </w:pPr>
      <w:r>
        <w:t>In the mid-term</w:t>
      </w:r>
      <w:r w:rsidR="006F4C6B">
        <w:t xml:space="preserve"> future period</w:t>
      </w:r>
      <w:r>
        <w:t xml:space="preserve">, evaporation loss growth rates in the south-central </w:t>
      </w:r>
      <w:r w:rsidR="00F675BA">
        <w:t>United States</w:t>
      </w:r>
      <w:r>
        <w:t xml:space="preserve"> </w:t>
      </w:r>
      <w:r w:rsidR="006C6778">
        <w:t xml:space="preserve">are </w:t>
      </w:r>
      <w:r w:rsidR="00470D6C">
        <w:t xml:space="preserve">projected to </w:t>
      </w:r>
      <w:r>
        <w:t xml:space="preserve">remain the largest. In addition, the changes of evaporation loss in the </w:t>
      </w:r>
      <w:r w:rsidR="006C6778">
        <w:t>w</w:t>
      </w:r>
      <w:r w:rsidR="00114524">
        <w:t xml:space="preserve">estern </w:t>
      </w:r>
      <w:r w:rsidR="00F675BA">
        <w:t>United States</w:t>
      </w:r>
      <w:r>
        <w:t xml:space="preserve"> </w:t>
      </w:r>
      <w:r w:rsidR="00470D6C">
        <w:t xml:space="preserve">were </w:t>
      </w:r>
      <w:r>
        <w:t xml:space="preserve">also significant (6% on average). The growth rate in the </w:t>
      </w:r>
      <w:r w:rsidR="00470D6C">
        <w:t>e</w:t>
      </w:r>
      <w:r w:rsidR="00136506">
        <w:t>astern United States</w:t>
      </w:r>
      <w:r>
        <w:t xml:space="preserve"> (especially in the </w:t>
      </w:r>
      <w:r w:rsidR="00470D6C">
        <w:t>s</w:t>
      </w:r>
      <w:r w:rsidR="00136506">
        <w:t>outheast</w:t>
      </w:r>
      <w:r>
        <w:t xml:space="preserve">) </w:t>
      </w:r>
      <w:r w:rsidR="006C6778">
        <w:t xml:space="preserve">is </w:t>
      </w:r>
      <w:r w:rsidR="00470D6C">
        <w:t xml:space="preserve">projected to be </w:t>
      </w:r>
      <w:r>
        <w:t>relatively low in comparison.</w:t>
      </w:r>
    </w:p>
    <w:p w14:paraId="15F7A3B1" w14:textId="1C84F704" w:rsidR="005C0907" w:rsidRDefault="005C0907" w:rsidP="005F6BB4">
      <w:pPr>
        <w:pStyle w:val="BulletListspace"/>
      </w:pPr>
      <w:r w:rsidRPr="005C0907">
        <w:t xml:space="preserve">The average evaporation loss growth rate </w:t>
      </w:r>
      <w:r w:rsidR="00470D6C">
        <w:t xml:space="preserve">was </w:t>
      </w:r>
      <w:r w:rsidRPr="005C0907">
        <w:t xml:space="preserve">5.6% </w:t>
      </w:r>
      <w:r>
        <w:t>in</w:t>
      </w:r>
      <w:r w:rsidRPr="005C0907">
        <w:t xml:space="preserve"> the mid-term future</w:t>
      </w:r>
      <w:r>
        <w:t xml:space="preserve"> period</w:t>
      </w:r>
      <w:r w:rsidRPr="005C0907">
        <w:t xml:space="preserve">, and the spatial heterogeneity of evaporation loss growth </w:t>
      </w:r>
      <w:r w:rsidR="00470D6C">
        <w:t xml:space="preserve">was </w:t>
      </w:r>
      <w:r w:rsidRPr="005C0907">
        <w:t xml:space="preserve">more significant. The evaporation loss growth rate in the arid/semi-arid </w:t>
      </w:r>
      <w:r w:rsidR="00470D6C">
        <w:t>w</w:t>
      </w:r>
      <w:r w:rsidR="00114524" w:rsidRPr="005C0907">
        <w:t xml:space="preserve">estern </w:t>
      </w:r>
      <w:r w:rsidR="00114524">
        <w:t>United States</w:t>
      </w:r>
      <w:r w:rsidRPr="005C0907">
        <w:t xml:space="preserve"> </w:t>
      </w:r>
      <w:r w:rsidR="00470D6C">
        <w:t xml:space="preserve">was </w:t>
      </w:r>
      <w:r w:rsidRPr="005C0907">
        <w:t xml:space="preserve">much higher than that in the eastern part, which is </w:t>
      </w:r>
      <w:r w:rsidR="00470D6C">
        <w:t xml:space="preserve">projected </w:t>
      </w:r>
      <w:r w:rsidRPr="005C0907">
        <w:t xml:space="preserve">to worsen </w:t>
      </w:r>
      <w:r w:rsidR="00C01F68">
        <w:t>hydrologic</w:t>
      </w:r>
      <w:r w:rsidRPr="005C0907">
        <w:t xml:space="preserve"> drought conditions in the future.</w:t>
      </w:r>
    </w:p>
    <w:p w14:paraId="6F85B299" w14:textId="239ECF49" w:rsidR="005C0907" w:rsidRDefault="007C22A7" w:rsidP="005F6BB4">
      <w:pPr>
        <w:pStyle w:val="BodyText"/>
      </w:pPr>
      <w:r>
        <w:t>In terms of climate change impacts on PMA customers</w:t>
      </w:r>
      <w:r w:rsidR="00805545">
        <w:t>’</w:t>
      </w:r>
      <w:r>
        <w:t xml:space="preserve"> energy demand, </w:t>
      </w:r>
      <w:r w:rsidR="00114524">
        <w:t>the</w:t>
      </w:r>
      <w:r>
        <w:t xml:space="preserve"> main findings include</w:t>
      </w:r>
      <w:r w:rsidR="00114524">
        <w:t xml:space="preserve"> the following</w:t>
      </w:r>
      <w:r>
        <w:t>:</w:t>
      </w:r>
    </w:p>
    <w:p w14:paraId="2C7249AB" w14:textId="36A8468F" w:rsidR="007C22A7" w:rsidRDefault="007C22A7" w:rsidP="005F6BB4">
      <w:pPr>
        <w:pStyle w:val="BulletListspace"/>
      </w:pPr>
      <w:r w:rsidRPr="00E155E3">
        <w:lastRenderedPageBreak/>
        <w:t>The projected increase in average temperature, which yields a lower number of HDDs in the winter months and a higher number of CDDs in the summer months, result</w:t>
      </w:r>
      <w:r w:rsidR="00470D6C">
        <w:t>ed</w:t>
      </w:r>
      <w:r w:rsidRPr="00E155E3">
        <w:t xml:space="preserve"> in projected decreases in the electricity sales of PMA preference customers to their end customers in the winter and increased sales in the summer</w:t>
      </w:r>
      <w:r>
        <w:t>.</w:t>
      </w:r>
    </w:p>
    <w:p w14:paraId="6A7EDCC8" w14:textId="44776E6E" w:rsidR="007C22A7" w:rsidRDefault="007C22A7" w:rsidP="005F6BB4">
      <w:pPr>
        <w:pStyle w:val="BulletListspace"/>
      </w:pPr>
      <w:r w:rsidRPr="00E155E3">
        <w:t>PMA preference customers will likely want to increase the fraction of their federal hydropower allocation they receive during the summer―to the extent allowed in their contracts with the PMAs</w:t>
      </w:r>
      <w:r>
        <w:t>.</w:t>
      </w:r>
    </w:p>
    <w:p w14:paraId="2FB705B9" w14:textId="5856EA86" w:rsidR="007C22A7" w:rsidRDefault="007C22A7" w:rsidP="005F6BB4">
      <w:pPr>
        <w:pStyle w:val="BulletListspace"/>
      </w:pPr>
      <w:r w:rsidRPr="00E155E3">
        <w:t xml:space="preserve">During the winter, hydropower generation is </w:t>
      </w:r>
      <w:r w:rsidR="00470D6C">
        <w:t xml:space="preserve">projected </w:t>
      </w:r>
      <w:r w:rsidRPr="00E155E3">
        <w:t>to increase in all PMAs. The combination of decreased heating load and increased hydropower generation suggests that federal hydropower surpluses are likely during the winter months</w:t>
      </w:r>
      <w:r>
        <w:t>.</w:t>
      </w:r>
    </w:p>
    <w:p w14:paraId="1182FC5D" w14:textId="4CF34BEA" w:rsidR="007C22A7" w:rsidRDefault="007C22A7" w:rsidP="005F6BB4">
      <w:pPr>
        <w:pStyle w:val="BulletListspace"/>
      </w:pPr>
      <w:r w:rsidRPr="00E155E3">
        <w:t xml:space="preserve">The projected increase in cooling loads </w:t>
      </w:r>
      <w:r w:rsidR="00470D6C">
        <w:t xml:space="preserve">was </w:t>
      </w:r>
      <w:r w:rsidRPr="00E155E3">
        <w:t xml:space="preserve">accompanied by increased summer generation in all PMAs, except BPA. Thus, the ability to shift water from winter to summer months and to maximize the revenue from winter surpluses to compensate for potential increased power purchase requirements in the summer will be valuable for all PMAs, </w:t>
      </w:r>
      <w:r w:rsidR="00E40103">
        <w:t>and</w:t>
      </w:r>
      <w:r w:rsidRPr="00E155E3">
        <w:t xml:space="preserve"> especially for BPA</w:t>
      </w:r>
      <w:r>
        <w:t>.</w:t>
      </w:r>
    </w:p>
    <w:p w14:paraId="32AAD595" w14:textId="5ED0824E" w:rsidR="00C05FDF" w:rsidRPr="005F6BB4" w:rsidRDefault="00C05FDF" w:rsidP="005F6BB4">
      <w:pPr>
        <w:pStyle w:val="BodyText"/>
      </w:pPr>
      <w:r>
        <w:t xml:space="preserve">BPA is the only PMA directly affected by climate-driven changes in the electricity load served by its customers because it is required to provide sufficient electricity to follow the load of most of its customers. For WAPA, SWPA, and SEPA, the federal hydropower allocation that preference customers receive from the PMA is only a fraction of the portfolio of generation resources they use to serve their end-use customers. Any load growth </w:t>
      </w:r>
      <w:r w:rsidRPr="005F6BB4">
        <w:t>projected by preference customers of these PMAs, due to climate trends or other drivers, would have to be met through generation sources other than federal hydropower.</w:t>
      </w:r>
    </w:p>
    <w:p w14:paraId="6CA8539E" w14:textId="1AAE7AD4" w:rsidR="006C2F96" w:rsidRPr="005F6BB4" w:rsidRDefault="006F23D3" w:rsidP="005F6BB4">
      <w:pPr>
        <w:pStyle w:val="BodyText"/>
      </w:pPr>
      <w:r w:rsidRPr="005F6BB4">
        <w:t>Finally</w:t>
      </w:r>
      <w:r w:rsidR="006C2F96" w:rsidRPr="005F6BB4">
        <w:t xml:space="preserve">, to characterize the role of methodological choices in the modeling chain, </w:t>
      </w:r>
      <w:r w:rsidR="000C7DC8" w:rsidRPr="005F6BB4">
        <w:t xml:space="preserve">an </w:t>
      </w:r>
      <w:r w:rsidR="006C2F96" w:rsidRPr="005F6BB4">
        <w:t xml:space="preserve">ANOVA </w:t>
      </w:r>
      <w:r w:rsidR="000C7DC8" w:rsidRPr="005F6BB4">
        <w:t>was</w:t>
      </w:r>
      <w:r w:rsidR="006C2F96" w:rsidRPr="005F6BB4">
        <w:t xml:space="preserve"> applied. </w:t>
      </w:r>
      <w:r w:rsidR="00E87594" w:rsidRPr="005F6BB4">
        <w:t xml:space="preserve">Specifically for runoff and generation, the selection of </w:t>
      </w:r>
      <w:r w:rsidR="000C6051" w:rsidRPr="005F6BB4">
        <w:t>CM</w:t>
      </w:r>
      <w:r w:rsidR="006C2F96" w:rsidRPr="005F6BB4">
        <w:t xml:space="preserve">s </w:t>
      </w:r>
      <w:r w:rsidR="00E87594" w:rsidRPr="005F6BB4">
        <w:t xml:space="preserve">remains the dominant factor in many parts of the CONUS, </w:t>
      </w:r>
      <w:r w:rsidR="000C7DC8" w:rsidRPr="005F6BB4">
        <w:t xml:space="preserve">but </w:t>
      </w:r>
      <w:r w:rsidR="00E87594" w:rsidRPr="005F6BB4">
        <w:t xml:space="preserve">the role of </w:t>
      </w:r>
      <w:r w:rsidR="00533D84" w:rsidRPr="005F6BB4">
        <w:t>HMs</w:t>
      </w:r>
      <w:r w:rsidR="00E87594" w:rsidRPr="005F6BB4">
        <w:t xml:space="preserve"> and </w:t>
      </w:r>
      <w:r w:rsidR="00533D84" w:rsidRPr="005F6BB4">
        <w:t>PM</w:t>
      </w:r>
      <w:r w:rsidR="00E87594" w:rsidRPr="005F6BB4">
        <w:t>s (along with other factors) can be more important in some locations and seasons. This</w:t>
      </w:r>
      <w:r w:rsidR="000C7DC8" w:rsidRPr="005F6BB4">
        <w:t xml:space="preserve"> ANOVA</w:t>
      </w:r>
      <w:r w:rsidR="00E87594" w:rsidRPr="005F6BB4">
        <w:t xml:space="preserve"> addresses the needs for a comprehensive evaluation</w:t>
      </w:r>
      <w:r w:rsidR="00D146DA" w:rsidRPr="005F6BB4">
        <w:t xml:space="preserve"> across all </w:t>
      </w:r>
      <w:r w:rsidR="005F3209" w:rsidRPr="005F6BB4">
        <w:t xml:space="preserve">components in the </w:t>
      </w:r>
      <w:r w:rsidR="00D146DA" w:rsidRPr="005F6BB4">
        <w:t>modeling chain for a more informed hydroclimate impact assessment</w:t>
      </w:r>
      <w:r w:rsidR="00E87594" w:rsidRPr="005F6BB4">
        <w:t>.</w:t>
      </w:r>
    </w:p>
    <w:p w14:paraId="3B947576" w14:textId="118110A7" w:rsidR="00774949" w:rsidRDefault="00774949" w:rsidP="005F6BB4">
      <w:pPr>
        <w:pStyle w:val="BodyText"/>
      </w:pPr>
      <w:r w:rsidRPr="005F6BB4">
        <w:t>Overall,</w:t>
      </w:r>
      <w:r w:rsidR="005556BE" w:rsidRPr="005F6BB4">
        <w:t xml:space="preserve"> several </w:t>
      </w:r>
      <w:r w:rsidR="000B21CB" w:rsidRPr="005F6BB4">
        <w:t xml:space="preserve">potential </w:t>
      </w:r>
      <w:r w:rsidR="005556BE" w:rsidRPr="005F6BB4">
        <w:t>risks t</w:t>
      </w:r>
      <w:r w:rsidR="005556BE">
        <w:t>hat may impact the resilience of future federal hydropower generation were identified. They include</w:t>
      </w:r>
      <w:r w:rsidR="00494EAB" w:rsidRPr="00494EAB">
        <w:t xml:space="preserve"> </w:t>
      </w:r>
      <w:r w:rsidR="00494EAB">
        <w:t>the following</w:t>
      </w:r>
      <w:r w:rsidR="005556BE">
        <w:t>:</w:t>
      </w:r>
    </w:p>
    <w:p w14:paraId="630F9D88" w14:textId="7FF1B74D" w:rsidR="00774949" w:rsidRPr="00FA505D" w:rsidRDefault="00774949" w:rsidP="006941DB">
      <w:pPr>
        <w:pStyle w:val="BulletListspace"/>
      </w:pPr>
      <w:r w:rsidRPr="00774949">
        <w:rPr>
          <w:b/>
          <w:bCs/>
        </w:rPr>
        <w:t xml:space="preserve">Hydrologic </w:t>
      </w:r>
      <w:r w:rsidR="00494EAB" w:rsidRPr="00774949">
        <w:rPr>
          <w:b/>
          <w:bCs/>
        </w:rPr>
        <w:t>extremes</w:t>
      </w:r>
      <w:r>
        <w:t xml:space="preserve">: </w:t>
      </w:r>
      <w:r w:rsidR="000B21CB">
        <w:t xml:space="preserve">As suggested by the projected high/low precipitation and runoff, as well as findings from other </w:t>
      </w:r>
      <w:r w:rsidR="000B21CB" w:rsidRPr="00FA505D">
        <w:t xml:space="preserve">concurrent hydroclimate studies, </w:t>
      </w:r>
      <w:r w:rsidR="003A7062" w:rsidRPr="00FA505D">
        <w:t>the intensification of future hydrologic cycle</w:t>
      </w:r>
      <w:r w:rsidR="006900AF">
        <w:t>s</w:t>
      </w:r>
      <w:r w:rsidR="003A7062" w:rsidRPr="00FA505D">
        <w:t xml:space="preserve"> and extreme</w:t>
      </w:r>
      <w:r w:rsidR="0044513A" w:rsidRPr="00FA505D">
        <w:t xml:space="preserve"> event</w:t>
      </w:r>
      <w:r w:rsidR="003A7062" w:rsidRPr="00FA505D">
        <w:t xml:space="preserve">s is </w:t>
      </w:r>
      <w:r w:rsidR="00B42E58" w:rsidRPr="00FA505D">
        <w:t>one</w:t>
      </w:r>
      <w:r w:rsidR="003A7062" w:rsidRPr="00FA505D">
        <w:t xml:space="preserve"> </w:t>
      </w:r>
      <w:r w:rsidR="00906BFB">
        <w:t xml:space="preserve">of the </w:t>
      </w:r>
      <w:r w:rsidR="003A7062" w:rsidRPr="00FA505D">
        <w:t>most critical issue</w:t>
      </w:r>
      <w:r w:rsidR="00906BFB">
        <w:t>s</w:t>
      </w:r>
      <w:r w:rsidR="003A7062" w:rsidRPr="00FA505D">
        <w:t xml:space="preserve"> threatening the resilience of </w:t>
      </w:r>
      <w:r w:rsidR="006E05C4">
        <w:t xml:space="preserve">US </w:t>
      </w:r>
      <w:r w:rsidR="003A7062" w:rsidRPr="00FA505D">
        <w:t xml:space="preserve">infrastructure systems. </w:t>
      </w:r>
      <w:r w:rsidR="00B42E58" w:rsidRPr="00FA505D">
        <w:t>Both historical observations and model projections suggest that the intensity, frequency, and magnitude of extreme rainfall</w:t>
      </w:r>
      <w:r w:rsidR="0044513A" w:rsidRPr="00FA505D">
        <w:t xml:space="preserve"> event</w:t>
      </w:r>
      <w:r w:rsidR="00B42E58" w:rsidRPr="00FA505D">
        <w:t xml:space="preserve">s will continue to increase, which </w:t>
      </w:r>
      <w:r w:rsidR="0044513A" w:rsidRPr="00FA505D">
        <w:t>will likely</w:t>
      </w:r>
      <w:r w:rsidR="00B42E58" w:rsidRPr="00FA505D">
        <w:t xml:space="preserve"> challenge conventional reservoir management practice</w:t>
      </w:r>
      <w:r w:rsidR="0044513A" w:rsidRPr="00FA505D">
        <w:t>s</w:t>
      </w:r>
      <w:r w:rsidR="00B42E58" w:rsidRPr="00FA505D">
        <w:t xml:space="preserve">. </w:t>
      </w:r>
      <w:r w:rsidR="0044513A" w:rsidRPr="00FA505D">
        <w:t>Although</w:t>
      </w:r>
      <w:r w:rsidR="00B42E58" w:rsidRPr="00FA505D">
        <w:t xml:space="preserve"> the reservoirs have been traditionally designed using </w:t>
      </w:r>
      <w:r w:rsidR="003402E9">
        <w:t xml:space="preserve">very </w:t>
      </w:r>
      <w:r w:rsidR="00B42E58" w:rsidRPr="00FA505D">
        <w:t xml:space="preserve">conservative rainfall </w:t>
      </w:r>
      <w:r w:rsidR="0044513A" w:rsidRPr="00FA505D">
        <w:t>estimates</w:t>
      </w:r>
      <w:r w:rsidR="00B42E58" w:rsidRPr="00FA505D">
        <w:t xml:space="preserve"> (i.e., probable maximum precipitation [PMP]), </w:t>
      </w:r>
      <w:r w:rsidR="00FA505D" w:rsidRPr="00FA505D">
        <w:t>recent extreme event</w:t>
      </w:r>
      <w:r w:rsidR="00FA505D">
        <w:t>s</w:t>
      </w:r>
      <w:r w:rsidR="00FA505D" w:rsidRPr="00FA505D">
        <w:t xml:space="preserve"> such as the 2017 Hurricane Harvey near Houston, </w:t>
      </w:r>
      <w:r w:rsidR="00906BFB">
        <w:t xml:space="preserve">Texas, </w:t>
      </w:r>
      <w:r w:rsidR="00FA505D">
        <w:t xml:space="preserve">demonstrated that such </w:t>
      </w:r>
      <w:r w:rsidR="00FA505D" w:rsidRPr="00FA505D">
        <w:t>an extremely large PMP</w:t>
      </w:r>
      <w:r w:rsidR="00FA505D">
        <w:t xml:space="preserve"> estimate can still be exceed</w:t>
      </w:r>
      <w:r w:rsidR="003D045E">
        <w:t>ed</w:t>
      </w:r>
      <w:r w:rsidR="00FA505D" w:rsidRPr="00FA505D">
        <w:t xml:space="preserve"> </w:t>
      </w:r>
      <w:r w:rsidR="00FA505D">
        <w:t>(Kao et al., 2019)</w:t>
      </w:r>
      <w:r w:rsidR="007473DE">
        <w:t>, suggesting the potential needs for more comprehensive evaluation</w:t>
      </w:r>
      <w:r w:rsidR="003D045E">
        <w:t>s</w:t>
      </w:r>
      <w:r w:rsidR="00FA505D">
        <w:t>.</w:t>
      </w:r>
    </w:p>
    <w:p w14:paraId="7DF06D72" w14:textId="17768095" w:rsidR="000B21CB" w:rsidRDefault="00802803" w:rsidP="006941DB">
      <w:pPr>
        <w:pStyle w:val="BulletListspace"/>
        <w:numPr>
          <w:ilvl w:val="0"/>
          <w:numId w:val="0"/>
        </w:numPr>
        <w:ind w:left="360"/>
      </w:pPr>
      <w:r>
        <w:t>On the</w:t>
      </w:r>
      <w:r w:rsidR="007473DE">
        <w:t xml:space="preserve"> other hand</w:t>
      </w:r>
      <w:r>
        <w:t xml:space="preserve">, </w:t>
      </w:r>
      <w:r w:rsidR="007473DE">
        <w:t xml:space="preserve">the duration and severity of extreme drought events are also projected to increase in many parts of the </w:t>
      </w:r>
      <w:r w:rsidR="00906BFB">
        <w:t>United States</w:t>
      </w:r>
      <w:r w:rsidR="007473DE">
        <w:t>. Although the annual precipitation and runoff are generally projected to increase</w:t>
      </w:r>
      <w:r w:rsidR="003D045E">
        <w:t xml:space="preserve"> in a warming environment</w:t>
      </w:r>
      <w:r w:rsidR="007473DE">
        <w:t>, the distribution is not uniform in space</w:t>
      </w:r>
      <w:r w:rsidR="00985042">
        <w:t xml:space="preserve"> and time</w:t>
      </w:r>
      <w:r w:rsidR="003402E9">
        <w:t xml:space="preserve">. </w:t>
      </w:r>
      <w:r w:rsidR="000B21CB" w:rsidRPr="00FA505D">
        <w:t>Reclamation (2021)</w:t>
      </w:r>
      <w:r>
        <w:t xml:space="preserve"> conducted </w:t>
      </w:r>
      <w:r w:rsidR="007473DE">
        <w:t xml:space="preserve">a comprehensive drought assessment for the western </w:t>
      </w:r>
      <w:r w:rsidR="00906BFB" w:rsidRPr="00423FFF">
        <w:t>United States</w:t>
      </w:r>
      <w:r w:rsidR="00906BFB">
        <w:t xml:space="preserve"> </w:t>
      </w:r>
      <w:r w:rsidR="007473DE">
        <w:t xml:space="preserve">using historical streamflow observations, future projections, and </w:t>
      </w:r>
      <w:r w:rsidR="007473DE" w:rsidRPr="007473DE">
        <w:t>paleohydrology</w:t>
      </w:r>
      <w:r w:rsidR="007473DE">
        <w:t xml:space="preserve">. The results suggested that the severity of drought events may not be sufficiently captured only based on limited historical streamflow observations. </w:t>
      </w:r>
      <w:r w:rsidR="003D045E">
        <w:t xml:space="preserve">The recent severe drought in the western states </w:t>
      </w:r>
      <w:r w:rsidR="00E270CA">
        <w:t xml:space="preserve">resulted in </w:t>
      </w:r>
      <w:r w:rsidR="003D045E">
        <w:lastRenderedPageBreak/>
        <w:t>unprecedent disruption to water supply and hydropower generation, demonstrating the dire impacts of droughts.</w:t>
      </w:r>
    </w:p>
    <w:p w14:paraId="14D8A5F1" w14:textId="7B579887" w:rsidR="008E4850" w:rsidRPr="00FA505D" w:rsidRDefault="006E05C4" w:rsidP="006941DB">
      <w:pPr>
        <w:pStyle w:val="BulletListspace"/>
        <w:numPr>
          <w:ilvl w:val="0"/>
          <w:numId w:val="0"/>
        </w:numPr>
        <w:ind w:left="360"/>
      </w:pPr>
      <w:r>
        <w:t xml:space="preserve">Because </w:t>
      </w:r>
      <w:r w:rsidR="008E4850">
        <w:t xml:space="preserve">the impacts of hydrologic extremes are reservoir- and project-specific, they are not explicitly </w:t>
      </w:r>
      <w:r w:rsidR="00F93ABD">
        <w:t xml:space="preserve">simulated </w:t>
      </w:r>
      <w:r w:rsidR="008E4850">
        <w:t xml:space="preserve">in this study. </w:t>
      </w:r>
      <w:r w:rsidR="007A7C93">
        <w:t xml:space="preserve">Operational </w:t>
      </w:r>
      <w:r w:rsidR="00282EE2">
        <w:t xml:space="preserve">water management and </w:t>
      </w:r>
      <w:r w:rsidR="007A7C93">
        <w:t xml:space="preserve">high-resolution </w:t>
      </w:r>
      <w:r w:rsidR="00E270CA">
        <w:t>hydrodynamic models</w:t>
      </w:r>
      <w:r w:rsidR="00282EE2">
        <w:t>, forced by non-stationary meteorologic forcings,</w:t>
      </w:r>
      <w:r w:rsidR="00E270CA">
        <w:t xml:space="preserve"> will </w:t>
      </w:r>
      <w:r w:rsidR="00282EE2">
        <w:t xml:space="preserve">be required. </w:t>
      </w:r>
      <w:r w:rsidR="008E4850">
        <w:t>Moving forward, site-specific analys</w:t>
      </w:r>
      <w:r>
        <w:t>e</w:t>
      </w:r>
      <w:r w:rsidR="008E4850">
        <w:t xml:space="preserve">s </w:t>
      </w:r>
      <w:r w:rsidR="003402E9">
        <w:t>may</w:t>
      </w:r>
      <w:r w:rsidR="008E4850">
        <w:t xml:space="preserve"> be conducted to better evaluate the </w:t>
      </w:r>
      <w:r w:rsidR="006A51F2">
        <w:t>climate change</w:t>
      </w:r>
      <w:r>
        <w:t>–</w:t>
      </w:r>
      <w:r w:rsidR="006A51F2">
        <w:t xml:space="preserve">induced </w:t>
      </w:r>
      <w:r w:rsidR="008E4850">
        <w:t xml:space="preserve">risks for </w:t>
      </w:r>
      <w:r w:rsidR="003402E9">
        <w:t xml:space="preserve">major </w:t>
      </w:r>
      <w:r w:rsidR="008E4850">
        <w:t>reservoirs across different geographical and hydrologic settings.</w:t>
      </w:r>
    </w:p>
    <w:p w14:paraId="691B5CB5" w14:textId="07322FC4" w:rsidR="00774949" w:rsidRDefault="00E24827" w:rsidP="006941DB">
      <w:pPr>
        <w:pStyle w:val="BulletListspace"/>
      </w:pPr>
      <w:r>
        <w:rPr>
          <w:b/>
          <w:bCs/>
        </w:rPr>
        <w:t>Conflict</w:t>
      </w:r>
      <w:r w:rsidR="00500542">
        <w:rPr>
          <w:b/>
          <w:bCs/>
        </w:rPr>
        <w:t>ing</w:t>
      </w:r>
      <w:r>
        <w:rPr>
          <w:b/>
          <w:bCs/>
        </w:rPr>
        <w:t xml:space="preserve"> </w:t>
      </w:r>
      <w:r w:rsidR="00494EAB" w:rsidRPr="00774949">
        <w:rPr>
          <w:b/>
          <w:bCs/>
        </w:rPr>
        <w:t>timing</w:t>
      </w:r>
      <w:r w:rsidR="00494EAB">
        <w:rPr>
          <w:b/>
          <w:bCs/>
        </w:rPr>
        <w:t xml:space="preserve"> of ch</w:t>
      </w:r>
      <w:r>
        <w:rPr>
          <w:b/>
          <w:bCs/>
        </w:rPr>
        <w:t>ange</w:t>
      </w:r>
      <w:r w:rsidR="00774949">
        <w:t xml:space="preserve">: </w:t>
      </w:r>
      <w:r w:rsidR="000E3A17">
        <w:t xml:space="preserve">Similar </w:t>
      </w:r>
      <w:r w:rsidR="00100EF3">
        <w:t xml:space="preserve">to </w:t>
      </w:r>
      <w:r w:rsidR="00906BFB">
        <w:t xml:space="preserve">in </w:t>
      </w:r>
      <w:r w:rsidR="000E3A17">
        <w:t xml:space="preserve">the previous assessments, </w:t>
      </w:r>
      <w:r w:rsidR="00390CD6">
        <w:t xml:space="preserve">temperature-driven </w:t>
      </w:r>
      <w:r w:rsidR="000E3A17">
        <w:t xml:space="preserve">early snowmelt </w:t>
      </w:r>
      <w:r w:rsidR="00957995">
        <w:t>is projected</w:t>
      </w:r>
      <w:r w:rsidR="00390CD6">
        <w:t xml:space="preserve"> in most of the western </w:t>
      </w:r>
      <w:r w:rsidR="00906BFB">
        <w:t>United States</w:t>
      </w:r>
      <w:r w:rsidR="00D24806">
        <w:t xml:space="preserve">, suggesting </w:t>
      </w:r>
      <w:r w:rsidR="00100EF3">
        <w:t xml:space="preserve">that the bulk of </w:t>
      </w:r>
      <w:r w:rsidR="00D24806">
        <w:t xml:space="preserve">runoff </w:t>
      </w:r>
      <w:r w:rsidR="00100EF3">
        <w:t xml:space="preserve">may arrive earlier in </w:t>
      </w:r>
      <w:r w:rsidR="006E05C4">
        <w:t xml:space="preserve">the </w:t>
      </w:r>
      <w:r w:rsidR="00100EF3">
        <w:t>spring</w:t>
      </w:r>
      <w:r w:rsidR="00774949">
        <w:t>.</w:t>
      </w:r>
      <w:r w:rsidR="00390CD6">
        <w:t xml:space="preserve"> </w:t>
      </w:r>
      <w:r w:rsidR="00D24806">
        <w:t xml:space="preserve">However, as </w:t>
      </w:r>
      <w:r w:rsidR="00876E5F">
        <w:t>informed</w:t>
      </w:r>
      <w:r w:rsidR="00D24806">
        <w:t xml:space="preserve"> by the demand analysis, </w:t>
      </w:r>
      <w:r w:rsidR="00100EF3">
        <w:t xml:space="preserve">more </w:t>
      </w:r>
      <w:r w:rsidR="008A18B8">
        <w:t xml:space="preserve">temperature-driven </w:t>
      </w:r>
      <w:r w:rsidR="00876E5F">
        <w:t xml:space="preserve">water and energy </w:t>
      </w:r>
      <w:r w:rsidR="00100EF3">
        <w:t>demand is expected to shift from winter to summer</w:t>
      </w:r>
      <w:r w:rsidR="002B76BB">
        <w:t>, and hence creates a conflict</w:t>
      </w:r>
      <w:r w:rsidR="00100EF3">
        <w:t xml:space="preserve">. </w:t>
      </w:r>
      <w:r w:rsidR="00906BFB">
        <w:t xml:space="preserve">Although </w:t>
      </w:r>
      <w:r w:rsidR="00F96181">
        <w:t>ideally one may expect to mitigate this conflict through reservoir management</w:t>
      </w:r>
      <w:r w:rsidR="00F93ABD">
        <w:t xml:space="preserve"> (especially with the help </w:t>
      </w:r>
      <w:r w:rsidR="002D3E27">
        <w:t xml:space="preserve">from </w:t>
      </w:r>
      <w:r w:rsidR="00F93ABD">
        <w:t>large federal reservoirs)</w:t>
      </w:r>
      <w:r w:rsidR="00F96181">
        <w:t>, the intensified hydrologic extremes</w:t>
      </w:r>
      <w:r w:rsidR="00F0446A">
        <w:t xml:space="preserve"> </w:t>
      </w:r>
      <w:r w:rsidR="002D3E27">
        <w:t xml:space="preserve">combined with all other competing water management objectives </w:t>
      </w:r>
      <w:r w:rsidR="00F0446A">
        <w:t xml:space="preserve">may limit </w:t>
      </w:r>
      <w:r w:rsidR="006E05C4">
        <w:t xml:space="preserve">the </w:t>
      </w:r>
      <w:r w:rsidR="00F0446A">
        <w:t xml:space="preserve">ability </w:t>
      </w:r>
      <w:r w:rsidR="00876E5F">
        <w:t xml:space="preserve">and flexibility </w:t>
      </w:r>
      <w:r w:rsidR="00F0446A">
        <w:t>in storing</w:t>
      </w:r>
      <w:r w:rsidR="002720DD">
        <w:t xml:space="preserve"> </w:t>
      </w:r>
      <w:r w:rsidR="002D3E27">
        <w:t xml:space="preserve">more </w:t>
      </w:r>
      <w:r w:rsidR="002720DD">
        <w:t xml:space="preserve">water resources </w:t>
      </w:r>
      <w:r w:rsidR="00876E5F">
        <w:t>to meet the peak demand</w:t>
      </w:r>
      <w:r w:rsidR="002720DD">
        <w:t>.</w:t>
      </w:r>
      <w:r w:rsidR="00A402A8">
        <w:t xml:space="preserve"> </w:t>
      </w:r>
      <w:r w:rsidR="00876E5F">
        <w:t xml:space="preserve">Furthermore, </w:t>
      </w:r>
      <w:r w:rsidR="004C5A0B">
        <w:t>in</w:t>
      </w:r>
      <w:r w:rsidR="002D3E27">
        <w:t xml:space="preserve"> </w:t>
      </w:r>
      <w:r w:rsidR="004C5A0B">
        <w:t xml:space="preserve">arid regions, the enhanced reservoir evaporation may </w:t>
      </w:r>
      <w:r w:rsidR="00500542">
        <w:t xml:space="preserve">result in sizable storage reduction and </w:t>
      </w:r>
      <w:r w:rsidR="004C5A0B">
        <w:t xml:space="preserve">further </w:t>
      </w:r>
      <w:r w:rsidR="004C5A0B" w:rsidRPr="004C5A0B">
        <w:t>exacerbate</w:t>
      </w:r>
      <w:r w:rsidR="00500542">
        <w:t xml:space="preserve"> </w:t>
      </w:r>
      <w:r w:rsidR="00FB0CEF">
        <w:t>the</w:t>
      </w:r>
      <w:r w:rsidR="00500542">
        <w:t xml:space="preserve"> nexus. </w:t>
      </w:r>
      <w:r w:rsidR="008F42B6">
        <w:t xml:space="preserve">Again, although the annual precipitation and runoff are generally projected to increase in a warming environment, it may not </w:t>
      </w:r>
      <w:r w:rsidR="00985042">
        <w:t>be</w:t>
      </w:r>
      <w:r w:rsidR="008F42B6">
        <w:t xml:space="preserve"> available in the right timing</w:t>
      </w:r>
      <w:r w:rsidR="002D3E27">
        <w:t xml:space="preserve"> and location</w:t>
      </w:r>
      <w:r w:rsidR="008F42B6">
        <w:t>. Site-specific studies using</w:t>
      </w:r>
      <w:r w:rsidR="00FB0CEF">
        <w:t xml:space="preserve"> </w:t>
      </w:r>
      <w:r w:rsidR="008F42B6">
        <w:t>operational models</w:t>
      </w:r>
      <w:r w:rsidR="00FB0CEF">
        <w:t xml:space="preserve"> forced by up-to-date hydroclimate projections</w:t>
      </w:r>
      <w:r w:rsidR="008F42B6">
        <w:t xml:space="preserve">, such as </w:t>
      </w:r>
      <w:r w:rsidR="007826B4">
        <w:t xml:space="preserve">the recent RMJOC </w:t>
      </w:r>
      <w:r w:rsidR="00FB0CEF">
        <w:t>assessments</w:t>
      </w:r>
      <w:r w:rsidR="007826B4">
        <w:t xml:space="preserve"> (e.g., </w:t>
      </w:r>
      <w:r w:rsidR="007826B4" w:rsidRPr="00976056">
        <w:rPr>
          <w:lang w:eastAsia="zh-TW"/>
        </w:rPr>
        <w:t xml:space="preserve">Pytlak </w:t>
      </w:r>
      <w:r w:rsidR="007826B4">
        <w:rPr>
          <w:lang w:eastAsia="zh-TW"/>
        </w:rPr>
        <w:t>et</w:t>
      </w:r>
      <w:r w:rsidR="006E05C4">
        <w:rPr>
          <w:lang w:eastAsia="zh-TW"/>
        </w:rPr>
        <w:t> </w:t>
      </w:r>
      <w:r w:rsidR="007826B4">
        <w:rPr>
          <w:lang w:eastAsia="zh-TW"/>
        </w:rPr>
        <w:t>al., 201</w:t>
      </w:r>
      <w:r w:rsidR="00407F19">
        <w:rPr>
          <w:lang w:eastAsia="zh-TW"/>
        </w:rPr>
        <w:t>8</w:t>
      </w:r>
      <w:r w:rsidR="007826B4">
        <w:rPr>
          <w:lang w:eastAsia="zh-TW"/>
        </w:rPr>
        <w:t xml:space="preserve">; </w:t>
      </w:r>
      <w:r w:rsidR="007826B4" w:rsidRPr="00976056">
        <w:rPr>
          <w:lang w:eastAsia="zh-TW"/>
        </w:rPr>
        <w:t>Glabau</w:t>
      </w:r>
      <w:r w:rsidR="007826B4">
        <w:rPr>
          <w:lang w:eastAsia="zh-TW"/>
        </w:rPr>
        <w:t xml:space="preserve"> et al., 2020)</w:t>
      </w:r>
      <w:r w:rsidR="00FB0CEF">
        <w:rPr>
          <w:lang w:eastAsia="zh-TW"/>
        </w:rPr>
        <w:t xml:space="preserve">, </w:t>
      </w:r>
      <w:r w:rsidR="0046496B">
        <w:rPr>
          <w:lang w:eastAsia="zh-TW"/>
        </w:rPr>
        <w:t xml:space="preserve">can be </w:t>
      </w:r>
      <w:r w:rsidR="00FB0CEF">
        <w:rPr>
          <w:lang w:eastAsia="zh-TW"/>
        </w:rPr>
        <w:t xml:space="preserve">one </w:t>
      </w:r>
      <w:r w:rsidR="0046496B">
        <w:rPr>
          <w:lang w:eastAsia="zh-TW"/>
        </w:rPr>
        <w:t xml:space="preserve">of the </w:t>
      </w:r>
      <w:r w:rsidR="00FB0CEF">
        <w:rPr>
          <w:lang w:eastAsia="zh-TW"/>
        </w:rPr>
        <w:t>most rigorous way</w:t>
      </w:r>
      <w:r w:rsidR="0046496B">
        <w:rPr>
          <w:lang w:eastAsia="zh-TW"/>
        </w:rPr>
        <w:t>s</w:t>
      </w:r>
      <w:r w:rsidR="00FB0CEF">
        <w:rPr>
          <w:lang w:eastAsia="zh-TW"/>
        </w:rPr>
        <w:t xml:space="preserve"> to reliably evaluate the risks and identify required mitigation</w:t>
      </w:r>
      <w:r w:rsidR="00FB0CEF">
        <w:t xml:space="preserve"> actions.</w:t>
      </w:r>
    </w:p>
    <w:p w14:paraId="59C087D5" w14:textId="3A270668" w:rsidR="00774949" w:rsidRDefault="005556BE" w:rsidP="006941DB">
      <w:pPr>
        <w:pStyle w:val="BulletListspace"/>
      </w:pPr>
      <w:r w:rsidRPr="005556BE">
        <w:rPr>
          <w:b/>
          <w:bCs/>
        </w:rPr>
        <w:t xml:space="preserve">Other </w:t>
      </w:r>
      <w:r w:rsidR="00494EAB" w:rsidRPr="005556BE">
        <w:rPr>
          <w:b/>
          <w:bCs/>
        </w:rPr>
        <w:t>indirect im</w:t>
      </w:r>
      <w:r w:rsidRPr="005556BE">
        <w:rPr>
          <w:b/>
          <w:bCs/>
        </w:rPr>
        <w:t>pacts</w:t>
      </w:r>
      <w:r>
        <w:t xml:space="preserve">: </w:t>
      </w:r>
      <w:r w:rsidR="00985042">
        <w:t xml:space="preserve">Given the specific </w:t>
      </w:r>
      <w:r w:rsidR="00985042" w:rsidRPr="00985042">
        <w:t xml:space="preserve">legislative language </w:t>
      </w:r>
      <w:r w:rsidR="00985042">
        <w:t xml:space="preserve">of SWA, this assessment </w:t>
      </w:r>
      <w:bookmarkStart w:id="597" w:name="_Hlk96443422"/>
      <w:r w:rsidR="00D97CF1">
        <w:t>focuses</w:t>
      </w:r>
      <w:bookmarkEnd w:id="597"/>
      <w:r w:rsidR="00D97CF1">
        <w:t xml:space="preserve"> </w:t>
      </w:r>
      <w:r w:rsidR="00985042">
        <w:t xml:space="preserve">on understanding how climate change may affect </w:t>
      </w:r>
      <w:r w:rsidR="00985042" w:rsidRPr="00C12DAF">
        <w:rPr>
          <w:rFonts w:eastAsia="Times New Roman"/>
        </w:rPr>
        <w:t xml:space="preserve">water </w:t>
      </w:r>
      <w:r w:rsidR="00985042">
        <w:rPr>
          <w:rFonts w:eastAsia="Times New Roman"/>
        </w:rPr>
        <w:t xml:space="preserve">availability </w:t>
      </w:r>
      <w:r w:rsidR="00985042" w:rsidRPr="00C12DAF">
        <w:rPr>
          <w:rFonts w:eastAsia="Times New Roman"/>
        </w:rPr>
        <w:t>for hydroelectric power generation</w:t>
      </w:r>
      <w:r w:rsidR="00985042">
        <w:rPr>
          <w:rFonts w:eastAsia="Times New Roman"/>
        </w:rPr>
        <w:t xml:space="preserve"> and federal hydropower marketing. </w:t>
      </w:r>
      <w:r w:rsidR="00903932">
        <w:rPr>
          <w:rFonts w:eastAsia="Times New Roman"/>
        </w:rPr>
        <w:t xml:space="preserve">However, </w:t>
      </w:r>
      <w:r w:rsidR="00903932" w:rsidRPr="00903932">
        <w:rPr>
          <w:rFonts w:eastAsia="Times New Roman"/>
        </w:rPr>
        <w:t xml:space="preserve">climate change can </w:t>
      </w:r>
      <w:r w:rsidR="00903932">
        <w:rPr>
          <w:rFonts w:eastAsia="Times New Roman"/>
        </w:rPr>
        <w:t xml:space="preserve">result in even broader impacts, such as </w:t>
      </w:r>
      <w:r w:rsidR="00BD5337">
        <w:rPr>
          <w:rFonts w:eastAsia="Times New Roman"/>
        </w:rPr>
        <w:t xml:space="preserve">the </w:t>
      </w:r>
      <w:r w:rsidR="00903932">
        <w:rPr>
          <w:rFonts w:eastAsia="Times New Roman"/>
        </w:rPr>
        <w:t xml:space="preserve">disruptions due to </w:t>
      </w:r>
      <w:r w:rsidR="00917836">
        <w:rPr>
          <w:rFonts w:eastAsia="Times New Roman"/>
        </w:rPr>
        <w:t>wildfire</w:t>
      </w:r>
      <w:r w:rsidR="00903932">
        <w:rPr>
          <w:rFonts w:eastAsia="Times New Roman"/>
        </w:rPr>
        <w:t xml:space="preserve">, </w:t>
      </w:r>
      <w:r w:rsidR="002D3E27">
        <w:rPr>
          <w:rFonts w:eastAsia="Times New Roman"/>
        </w:rPr>
        <w:t>increasing</w:t>
      </w:r>
      <w:r w:rsidR="00903932" w:rsidRPr="00903932">
        <w:rPr>
          <w:rFonts w:eastAsia="Times New Roman"/>
        </w:rPr>
        <w:t xml:space="preserve"> water demands</w:t>
      </w:r>
      <w:r w:rsidR="00903932">
        <w:rPr>
          <w:rFonts w:eastAsia="Times New Roman"/>
        </w:rPr>
        <w:t>,</w:t>
      </w:r>
      <w:r w:rsidR="00903932" w:rsidRPr="00903932">
        <w:rPr>
          <w:rFonts w:eastAsia="Times New Roman"/>
        </w:rPr>
        <w:t xml:space="preserve"> and </w:t>
      </w:r>
      <w:r w:rsidR="002D3E27">
        <w:rPr>
          <w:rFonts w:eastAsia="Times New Roman"/>
        </w:rPr>
        <w:t xml:space="preserve">more difficulties </w:t>
      </w:r>
      <w:r w:rsidR="00917836">
        <w:rPr>
          <w:rFonts w:eastAsia="Times New Roman"/>
        </w:rPr>
        <w:t>to meet</w:t>
      </w:r>
      <w:r w:rsidR="002D3E27">
        <w:rPr>
          <w:rFonts w:eastAsia="Times New Roman"/>
        </w:rPr>
        <w:t xml:space="preserve"> </w:t>
      </w:r>
      <w:r w:rsidR="00903932" w:rsidRPr="00903932">
        <w:rPr>
          <w:rFonts w:eastAsia="Times New Roman"/>
        </w:rPr>
        <w:t>environmental</w:t>
      </w:r>
      <w:r w:rsidR="00917836">
        <w:rPr>
          <w:rFonts w:eastAsia="Times New Roman"/>
        </w:rPr>
        <w:t xml:space="preserve"> objectives</w:t>
      </w:r>
      <w:r w:rsidR="00903932" w:rsidRPr="00903932">
        <w:rPr>
          <w:rFonts w:eastAsia="Times New Roman"/>
        </w:rPr>
        <w:t>.</w:t>
      </w:r>
      <w:r w:rsidR="00903932">
        <w:rPr>
          <w:rFonts w:eastAsia="Times New Roman"/>
        </w:rPr>
        <w:t xml:space="preserve"> Additionally, the issue of aging infrastructures </w:t>
      </w:r>
      <w:r w:rsidR="00903932" w:rsidRPr="00903932">
        <w:rPr>
          <w:rFonts w:eastAsia="Times New Roman"/>
        </w:rPr>
        <w:t xml:space="preserve">may </w:t>
      </w:r>
      <w:r w:rsidR="00903932">
        <w:rPr>
          <w:rFonts w:eastAsia="Times New Roman"/>
        </w:rPr>
        <w:t xml:space="preserve">also </w:t>
      </w:r>
      <w:r w:rsidR="00903932" w:rsidRPr="00903932">
        <w:rPr>
          <w:rFonts w:eastAsia="Times New Roman"/>
        </w:rPr>
        <w:t>reduce the system</w:t>
      </w:r>
      <w:r w:rsidR="00805545">
        <w:rPr>
          <w:rFonts w:eastAsia="Times New Roman"/>
        </w:rPr>
        <w:t>’</w:t>
      </w:r>
      <w:r w:rsidR="00903932" w:rsidRPr="00903932">
        <w:rPr>
          <w:rFonts w:eastAsia="Times New Roman"/>
        </w:rPr>
        <w:t xml:space="preserve">s ability to mitigate runoff variability and increase the difficulty of future operation. </w:t>
      </w:r>
      <w:r w:rsidR="00906BFB">
        <w:rPr>
          <w:rFonts w:eastAsia="Times New Roman"/>
        </w:rPr>
        <w:t xml:space="preserve">Although </w:t>
      </w:r>
      <w:r w:rsidR="00903932">
        <w:rPr>
          <w:rFonts w:eastAsia="Times New Roman"/>
        </w:rPr>
        <w:t>t</w:t>
      </w:r>
      <w:r w:rsidR="00903932" w:rsidRPr="00903932">
        <w:rPr>
          <w:rFonts w:eastAsia="Times New Roman"/>
        </w:rPr>
        <w:t xml:space="preserve">hese issues </w:t>
      </w:r>
      <w:r w:rsidR="00903932">
        <w:rPr>
          <w:rFonts w:eastAsia="Times New Roman"/>
        </w:rPr>
        <w:t xml:space="preserve">were </w:t>
      </w:r>
      <w:r w:rsidR="00903932" w:rsidRPr="00903932">
        <w:rPr>
          <w:rFonts w:eastAsia="Times New Roman"/>
        </w:rPr>
        <w:t xml:space="preserve">not quantitatively analyzed in this </w:t>
      </w:r>
      <w:r w:rsidR="00903932">
        <w:rPr>
          <w:rFonts w:eastAsia="Times New Roman"/>
        </w:rPr>
        <w:t xml:space="preserve">assessment, they </w:t>
      </w:r>
      <w:r w:rsidR="000901B3">
        <w:rPr>
          <w:rFonts w:eastAsia="Times New Roman"/>
        </w:rPr>
        <w:t xml:space="preserve">can be </w:t>
      </w:r>
      <w:r w:rsidR="00903932">
        <w:rPr>
          <w:rFonts w:eastAsia="Times New Roman"/>
        </w:rPr>
        <w:t xml:space="preserve">further </w:t>
      </w:r>
      <w:r w:rsidR="000901B3">
        <w:rPr>
          <w:rFonts w:eastAsia="Times New Roman"/>
        </w:rPr>
        <w:t xml:space="preserve">investigated </w:t>
      </w:r>
      <w:r w:rsidR="00903932">
        <w:rPr>
          <w:rFonts w:eastAsia="Times New Roman"/>
        </w:rPr>
        <w:t>in future studies</w:t>
      </w:r>
      <w:r w:rsidR="00903932" w:rsidRPr="00903932">
        <w:rPr>
          <w:rFonts w:eastAsia="Times New Roman"/>
        </w:rPr>
        <w:t>.</w:t>
      </w:r>
    </w:p>
    <w:p w14:paraId="49E62B41" w14:textId="7CD2A1AB" w:rsidR="00D020A5" w:rsidRPr="00D23863" w:rsidRDefault="00D020A5" w:rsidP="00D020A5">
      <w:pPr>
        <w:pStyle w:val="Heading2"/>
      </w:pPr>
      <w:bookmarkStart w:id="598" w:name="_Toc113380851"/>
      <w:r>
        <w:t>Summary of Assessment Limitations</w:t>
      </w:r>
      <w:bookmarkEnd w:id="598"/>
    </w:p>
    <w:p w14:paraId="1E163CAC" w14:textId="6FBFC59D" w:rsidR="00D020A5" w:rsidRDefault="00DF1D64" w:rsidP="006941DB">
      <w:pPr>
        <w:pStyle w:val="BodyText"/>
      </w:pPr>
      <w:r>
        <w:t xml:space="preserve">Although </w:t>
      </w:r>
      <w:r w:rsidR="00097B94">
        <w:t xml:space="preserve">the assessment </w:t>
      </w:r>
      <w:r>
        <w:t xml:space="preserve">uses </w:t>
      </w:r>
      <w:r w:rsidR="00097B94">
        <w:t>state-of-the-art data and models, assessment limitations remain. They include</w:t>
      </w:r>
      <w:r w:rsidR="00494EAB" w:rsidRPr="00494EAB">
        <w:t xml:space="preserve"> </w:t>
      </w:r>
      <w:r w:rsidR="00494EAB">
        <w:t>the following</w:t>
      </w:r>
      <w:r w:rsidR="00097B94">
        <w:t>:</w:t>
      </w:r>
    </w:p>
    <w:p w14:paraId="7B853F5B" w14:textId="3900202E" w:rsidR="00097B94" w:rsidRDefault="00097B94" w:rsidP="006941DB">
      <w:pPr>
        <w:pStyle w:val="BulletListspace"/>
      </w:pPr>
      <w:r w:rsidRPr="00097B94">
        <w:rPr>
          <w:b/>
          <w:bCs/>
        </w:rPr>
        <w:t>Interpretation of future projections</w:t>
      </w:r>
      <w:r>
        <w:t xml:space="preserve">: </w:t>
      </w:r>
      <w:r w:rsidRPr="00D535D8">
        <w:t>Although GCM-driven dynamical/statistical downscaling may provide the most scientifically defensible regional</w:t>
      </w:r>
      <w:r>
        <w:t>-</w:t>
      </w:r>
      <w:r w:rsidRPr="00D535D8">
        <w:t>scale climate projections, it should not be considered an absolute, day-to-day weather prediction. The main purpose of climate modeling is to simulate how general climate statistics may evolve with respect to the specified future emission scenarios—not to provide an exact prediction of future weather and hydrolog</w:t>
      </w:r>
      <w:r>
        <w:t>y</w:t>
      </w:r>
      <w:r w:rsidRPr="00D535D8">
        <w:t>.</w:t>
      </w:r>
      <w:r>
        <w:t xml:space="preserve"> Also, a simulation is only one of the tools that one may use to evaluate the potential impacts and system vulnerabilities. Other observation-based assessment approaches are equally valuable and should not be omitted for a more holistic understanding.</w:t>
      </w:r>
    </w:p>
    <w:p w14:paraId="41DC9326" w14:textId="40929815" w:rsidR="00097B94" w:rsidRDefault="00097B94" w:rsidP="006941DB">
      <w:pPr>
        <w:pStyle w:val="BulletListspace"/>
      </w:pPr>
      <w:r w:rsidRPr="00C51FD1">
        <w:rPr>
          <w:b/>
          <w:bCs/>
        </w:rPr>
        <w:t>Broader characterization of uncertainty</w:t>
      </w:r>
      <w:r>
        <w:t xml:space="preserve">: </w:t>
      </w:r>
      <w:r w:rsidR="007F5630">
        <w:t xml:space="preserve">Although </w:t>
      </w:r>
      <w:r>
        <w:t xml:space="preserve">the </w:t>
      </w:r>
      <w:r w:rsidRPr="00D535D8">
        <w:t>multimodel framework provide</w:t>
      </w:r>
      <w:r>
        <w:t>s</w:t>
      </w:r>
      <w:r w:rsidRPr="00D535D8">
        <w:t xml:space="preserve"> a more comprehensive projection of future US federal hydropower generation, multimodel projections still do not represent the full range of uncertainties related to all possible modeling choices.</w:t>
      </w:r>
      <w:r>
        <w:t xml:space="preserve"> The extent of warmer temperatures causing increasingly drier soils and greater </w:t>
      </w:r>
      <w:r w:rsidRPr="00175E53">
        <w:t>evapotranspiration</w:t>
      </w:r>
      <w:r>
        <w:t xml:space="preserve"> is a significant </w:t>
      </w:r>
      <w:r>
        <w:lastRenderedPageBreak/>
        <w:t xml:space="preserve">additional uncertainty. Even in the case of higher average precipitation, drier soils and greater </w:t>
      </w:r>
      <w:r w:rsidRPr="00175E53">
        <w:t>evapotranspiration</w:t>
      </w:r>
      <w:r>
        <w:t xml:space="preserve"> will lead to </w:t>
      </w:r>
      <w:r w:rsidR="007F5630">
        <w:t xml:space="preserve">reduced </w:t>
      </w:r>
      <w:r>
        <w:t>water availability and lower average generation.</w:t>
      </w:r>
      <w:r w:rsidRPr="00D535D8">
        <w:t xml:space="preserve"> </w:t>
      </w:r>
      <w:r w:rsidRPr="009E1FA1">
        <w:t xml:space="preserve">The true uncertainties </w:t>
      </w:r>
      <w:r>
        <w:t xml:space="preserve">are </w:t>
      </w:r>
      <w:r w:rsidRPr="009E1FA1">
        <w:t xml:space="preserve">more comprehensive </w:t>
      </w:r>
      <w:r>
        <w:t>and may not</w:t>
      </w:r>
      <w:r w:rsidRPr="009E1FA1">
        <w:t xml:space="preserve"> be fully captured </w:t>
      </w:r>
      <w:r>
        <w:t>because of limited</w:t>
      </w:r>
      <w:r w:rsidRPr="009E1FA1">
        <w:t xml:space="preserve"> </w:t>
      </w:r>
      <w:r>
        <w:t xml:space="preserve">knowledge, tools, and </w:t>
      </w:r>
      <w:r w:rsidRPr="009E1FA1">
        <w:t>resource</w:t>
      </w:r>
      <w:r>
        <w:t>s</w:t>
      </w:r>
      <w:r w:rsidRPr="009E1FA1">
        <w:t>.</w:t>
      </w:r>
      <w:r>
        <w:t xml:space="preserve"> The ensemble-based approach adopted in this study can serve as an initial example for the systematic analysis of broader uncertainties</w:t>
      </w:r>
      <w:r w:rsidRPr="00903932">
        <w:rPr>
          <w:rFonts w:eastAsia="Times New Roman"/>
        </w:rPr>
        <w:t>.</w:t>
      </w:r>
    </w:p>
    <w:p w14:paraId="4605F3D8" w14:textId="157897B8" w:rsidR="00097B94" w:rsidRDefault="00097B94" w:rsidP="006941DB">
      <w:pPr>
        <w:pStyle w:val="BulletListspace"/>
      </w:pPr>
      <w:r w:rsidRPr="00097B94">
        <w:rPr>
          <w:b/>
          <w:bCs/>
        </w:rPr>
        <w:t>Progression of climate science</w:t>
      </w:r>
      <w:r w:rsidRPr="00097B94">
        <w:t>:</w:t>
      </w:r>
      <w:r>
        <w:t xml:space="preserve"> A</w:t>
      </w:r>
      <w:r w:rsidRPr="00D535D8">
        <w:t xml:space="preserve">lthough the capabilities of GCMs have continuously improved through the years, many </w:t>
      </w:r>
      <w:r>
        <w:t xml:space="preserve">open </w:t>
      </w:r>
      <w:r w:rsidRPr="00D535D8">
        <w:t>challenges</w:t>
      </w:r>
      <w:r>
        <w:t xml:space="preserve"> have not been resolved</w:t>
      </w:r>
      <w:r w:rsidRPr="00D535D8">
        <w:t xml:space="preserve">. For instance, although human activities play an important role in the Earth system environment, many of the GCM simulations were conducted without considering the potential human influence on land use </w:t>
      </w:r>
      <w:r w:rsidR="007F5630">
        <w:t xml:space="preserve">and </w:t>
      </w:r>
      <w:r w:rsidRPr="00D535D8">
        <w:t>land cover change, and surface hydrologic alterations. Therefore, recurring climate impact assessments based on the best available climate science remain necessary</w:t>
      </w:r>
      <w:r w:rsidRPr="00903932">
        <w:rPr>
          <w:rFonts w:eastAsia="Times New Roman"/>
        </w:rPr>
        <w:t>.</w:t>
      </w:r>
    </w:p>
    <w:p w14:paraId="6D68738B" w14:textId="6214C369" w:rsidR="00097B94" w:rsidRDefault="00097B94" w:rsidP="006941DB">
      <w:pPr>
        <w:pStyle w:val="BulletListspace"/>
      </w:pPr>
      <w:r w:rsidRPr="00097B94">
        <w:rPr>
          <w:b/>
          <w:bCs/>
        </w:rPr>
        <w:t>Regional assessment focus</w:t>
      </w:r>
      <w:r w:rsidRPr="00C66180">
        <w:rPr>
          <w:i/>
          <w:iCs/>
        </w:rPr>
        <w:t xml:space="preserve">: </w:t>
      </w:r>
      <w:r w:rsidRPr="00D535D8">
        <w:t>Overall, this study focuse</w:t>
      </w:r>
      <w:r w:rsidR="007F5630">
        <w:t>d</w:t>
      </w:r>
      <w:r w:rsidRPr="00D535D8">
        <w:t xml:space="preserve"> on 18 PMA study areas rather than individual reservoirs or power plants. </w:t>
      </w:r>
      <w:r>
        <w:t>Impacts on s</w:t>
      </w:r>
      <w:r w:rsidRPr="00D535D8">
        <w:t xml:space="preserve">ite-specific features, such as reservoir operation rules, water withdrawal/return, environmental flow requirements, and energy generation, were not explicitly modeled at each power plant. </w:t>
      </w:r>
      <w:r>
        <w:t>In other words, t</w:t>
      </w:r>
      <w:r w:rsidRPr="00D535D8">
        <w:t>his study provide</w:t>
      </w:r>
      <w:r w:rsidR="007F5630">
        <w:t>s</w:t>
      </w:r>
      <w:r w:rsidRPr="00D535D8">
        <w:t xml:space="preserve"> a first-order assessment to identify areas with the highest risk under projected climate conditions.</w:t>
      </w:r>
      <w:r>
        <w:t xml:space="preserve"> </w:t>
      </w:r>
      <w:r w:rsidRPr="00D535D8">
        <w:t xml:space="preserve">If a concern is identified for a specific region (e.g., change of streamflow seasonality), a </w:t>
      </w:r>
      <w:r>
        <w:t xml:space="preserve">regionally focused study </w:t>
      </w:r>
      <w:r w:rsidRPr="00D535D8">
        <w:t xml:space="preserve">can </w:t>
      </w:r>
      <w:r>
        <w:t xml:space="preserve">then </w:t>
      </w:r>
      <w:r w:rsidRPr="00D535D8">
        <w:t xml:space="preserve">be </w:t>
      </w:r>
      <w:r>
        <w:t>conducted</w:t>
      </w:r>
      <w:r w:rsidRPr="00D535D8">
        <w:t xml:space="preserve">. The assessment </w:t>
      </w:r>
      <w:r>
        <w:t xml:space="preserve">itself </w:t>
      </w:r>
      <w:r w:rsidRPr="00D535D8">
        <w:t>does not replace the existing site-specific models and tools used by</w:t>
      </w:r>
      <w:r>
        <w:t xml:space="preserve"> the PMA</w:t>
      </w:r>
      <w:r w:rsidR="00805545">
        <w:t>’</w:t>
      </w:r>
      <w:r>
        <w:t xml:space="preserve">s </w:t>
      </w:r>
      <w:r w:rsidRPr="00D535D8">
        <w:t>water and energy resource managers</w:t>
      </w:r>
      <w:r w:rsidRPr="00903932">
        <w:rPr>
          <w:rFonts w:eastAsia="Times New Roman"/>
        </w:rPr>
        <w:t>.</w:t>
      </w:r>
    </w:p>
    <w:p w14:paraId="7AA63974" w14:textId="77777777" w:rsidR="0020715F" w:rsidRPr="00D23863" w:rsidRDefault="0020715F" w:rsidP="00AD0C1C">
      <w:pPr>
        <w:pStyle w:val="Heading2"/>
      </w:pPr>
      <w:bookmarkStart w:id="599" w:name="_Toc113380852"/>
      <w:r w:rsidRPr="00D23863">
        <w:t>Future Assessment Needs</w:t>
      </w:r>
      <w:bookmarkEnd w:id="599"/>
    </w:p>
    <w:p w14:paraId="4CE09573" w14:textId="199EDE80" w:rsidR="009E1FA1" w:rsidRDefault="003C09E0">
      <w:pPr>
        <w:pStyle w:val="BodyText"/>
        <w:rPr>
          <w:highlight w:val="yellow"/>
        </w:rPr>
      </w:pPr>
      <w:r>
        <w:t xml:space="preserve">In this third 9505 assessment, an ensemble-based modeling framework that includes multiple </w:t>
      </w:r>
      <w:r>
        <w:rPr>
          <w:snapToGrid/>
        </w:rPr>
        <w:t xml:space="preserve">GCMs, downscaling approaches, </w:t>
      </w:r>
      <w:r w:rsidR="007F6F47">
        <w:rPr>
          <w:snapToGrid/>
        </w:rPr>
        <w:t xml:space="preserve">reference </w:t>
      </w:r>
      <w:r>
        <w:rPr>
          <w:snapToGrid/>
        </w:rPr>
        <w:t>meteorological observations, hydrologic and hydropower models</w:t>
      </w:r>
      <w:r>
        <w:t xml:space="preserve"> is introduced to evaluate the climate change effects on the US federal hydropower generation. </w:t>
      </w:r>
      <w:r w:rsidR="000C7DC8">
        <w:t>Although</w:t>
      </w:r>
      <w:r>
        <w:t xml:space="preserve"> the improved modeling capabilities may help the water and energy resource managers examine the climate change</w:t>
      </w:r>
      <w:r w:rsidR="006E05C4">
        <w:t>–</w:t>
      </w:r>
      <w:r>
        <w:t xml:space="preserve">induced risks more closely, unresolved issues and research challenges can be </w:t>
      </w:r>
      <w:r w:rsidR="000C7DC8">
        <w:t xml:space="preserve">addressed </w:t>
      </w:r>
      <w:r>
        <w:t>in the future. Some climate change and hydropower assessment needs include</w:t>
      </w:r>
      <w:r w:rsidR="000C7DC8">
        <w:t xml:space="preserve"> the following</w:t>
      </w:r>
      <w:r>
        <w:t>:</w:t>
      </w:r>
    </w:p>
    <w:p w14:paraId="0DE53B9D" w14:textId="47ACEAD9" w:rsidR="00BD00A0" w:rsidRPr="006941DB" w:rsidRDefault="00BD00A0" w:rsidP="00BD00A0">
      <w:pPr>
        <w:pStyle w:val="BulletListspace"/>
        <w:rPr>
          <w:b/>
          <w:bCs/>
        </w:rPr>
      </w:pPr>
      <w:r>
        <w:rPr>
          <w:b/>
          <w:bCs/>
        </w:rPr>
        <w:t>Overall assessment needs</w:t>
      </w:r>
    </w:p>
    <w:p w14:paraId="7748435D" w14:textId="77777777" w:rsidR="00BD00A0" w:rsidRPr="00BD00A0" w:rsidRDefault="00BD00A0" w:rsidP="00DC0B29">
      <w:pPr>
        <w:pStyle w:val="BulletListspace"/>
        <w:numPr>
          <w:ilvl w:val="1"/>
          <w:numId w:val="1"/>
        </w:numPr>
        <w:ind w:left="720"/>
        <w:rPr>
          <w:szCs w:val="24"/>
        </w:rPr>
      </w:pPr>
      <w:r w:rsidRPr="00BD00A0">
        <w:rPr>
          <w:b/>
          <w:bCs/>
        </w:rPr>
        <w:t>Need to conduct basin-specific studies</w:t>
      </w:r>
      <w:r w:rsidRPr="009D04CB">
        <w:t>:</w:t>
      </w:r>
      <w:r w:rsidRPr="00BD00A0">
        <w:rPr>
          <w:i/>
          <w:iCs/>
        </w:rPr>
        <w:t xml:space="preserve"> </w:t>
      </w:r>
      <w:r>
        <w:t xml:space="preserve">Considering the varying geographical and </w:t>
      </w:r>
      <w:r w:rsidRPr="00A22830">
        <w:t>socioeconomic</w:t>
      </w:r>
      <w:r>
        <w:t>al</w:t>
      </w:r>
      <w:r w:rsidRPr="00A22830">
        <w:t xml:space="preserve"> </w:t>
      </w:r>
      <w:r>
        <w:t>challenges in different river basins, reservoir-specific studies may be required for basins with high water and energy interests.</w:t>
      </w:r>
      <w:r w:rsidRPr="00A62399">
        <w:t xml:space="preserve"> </w:t>
      </w:r>
      <w:r>
        <w:t>S</w:t>
      </w:r>
      <w:r w:rsidRPr="00EB2046">
        <w:t>tudies using operational models forced by up-to-date hydroclimate projections, such as the recent RMJOC assessments</w:t>
      </w:r>
      <w:r>
        <w:t xml:space="preserve"> (</w:t>
      </w:r>
      <w:r w:rsidRPr="00976056">
        <w:rPr>
          <w:lang w:eastAsia="zh-TW"/>
        </w:rPr>
        <w:t xml:space="preserve">Pytlak </w:t>
      </w:r>
      <w:r>
        <w:rPr>
          <w:lang w:eastAsia="zh-TW"/>
        </w:rPr>
        <w:t xml:space="preserve">et al., 2018; </w:t>
      </w:r>
      <w:r w:rsidRPr="00976056">
        <w:rPr>
          <w:lang w:eastAsia="zh-TW"/>
        </w:rPr>
        <w:t>Glabau</w:t>
      </w:r>
      <w:r>
        <w:rPr>
          <w:lang w:eastAsia="zh-TW"/>
        </w:rPr>
        <w:t xml:space="preserve"> et al., 2020</w:t>
      </w:r>
      <w:r>
        <w:t>)</w:t>
      </w:r>
      <w:r w:rsidRPr="00EB2046">
        <w:t xml:space="preserve">, </w:t>
      </w:r>
      <w:r>
        <w:t xml:space="preserve">are </w:t>
      </w:r>
      <w:r w:rsidRPr="00EB2046">
        <w:t xml:space="preserve">one way to evaluate the risks and identify </w:t>
      </w:r>
      <w:r>
        <w:t>possible</w:t>
      </w:r>
      <w:r w:rsidRPr="00EB2046">
        <w:t xml:space="preserve"> mitigation actions</w:t>
      </w:r>
      <w:r>
        <w:t>.</w:t>
      </w:r>
    </w:p>
    <w:p w14:paraId="7735CFAB" w14:textId="77E8696A" w:rsidR="00BD00A0" w:rsidRPr="00BD00A0" w:rsidRDefault="00BD00A0" w:rsidP="00073A4F">
      <w:pPr>
        <w:pStyle w:val="BulletListspace"/>
        <w:numPr>
          <w:ilvl w:val="1"/>
          <w:numId w:val="1"/>
        </w:numPr>
        <w:ind w:left="720"/>
        <w:rPr>
          <w:szCs w:val="24"/>
        </w:rPr>
      </w:pPr>
      <w:r w:rsidRPr="00BD00A0">
        <w:rPr>
          <w:b/>
          <w:bCs/>
        </w:rPr>
        <w:t>Need to better understand the characteristics and impacts of future drought conditions</w:t>
      </w:r>
      <w:r>
        <w:t>:</w:t>
      </w:r>
      <w:r w:rsidRPr="0083115E">
        <w:t xml:space="preserve"> As </w:t>
      </w:r>
      <w:r>
        <w:t xml:space="preserve">reported by </w:t>
      </w:r>
      <w:r w:rsidRPr="00931052">
        <w:rPr>
          <w:lang w:eastAsia="zh-TW"/>
        </w:rPr>
        <w:t>Williams</w:t>
      </w:r>
      <w:r>
        <w:rPr>
          <w:lang w:eastAsia="zh-TW"/>
        </w:rPr>
        <w:t xml:space="preserve"> et al. (2022)</w:t>
      </w:r>
      <w:r w:rsidRPr="0083115E">
        <w:t xml:space="preserve">, </w:t>
      </w:r>
      <w:r w:rsidRPr="00111D8D">
        <w:t>2000–2021 was the driest 22</w:t>
      </w:r>
      <w:r>
        <w:t xml:space="preserve"> </w:t>
      </w:r>
      <w:r w:rsidRPr="00111D8D">
        <w:t>y</w:t>
      </w:r>
      <w:r>
        <w:t>ea</w:t>
      </w:r>
      <w:r w:rsidRPr="00111D8D">
        <w:t xml:space="preserve">r period </w:t>
      </w:r>
      <w:r>
        <w:t xml:space="preserve">in the </w:t>
      </w:r>
      <w:r w:rsidRPr="0083115E">
        <w:t>southwest</w:t>
      </w:r>
      <w:r>
        <w:t>ern</w:t>
      </w:r>
      <w:r w:rsidRPr="0083115E">
        <w:t xml:space="preserve"> </w:t>
      </w:r>
      <w:r>
        <w:t>United States in the past 1,200 years</w:t>
      </w:r>
      <w:r w:rsidRPr="0083115E">
        <w:t xml:space="preserve">. </w:t>
      </w:r>
      <w:r>
        <w:t>This prolonged megadrought highlights the need to better understand the characteristics (e.g., severity, timing, duration) and impacts of droughts for the resilience of our long-term energy and water supply</w:t>
      </w:r>
      <w:r w:rsidRPr="0083115E">
        <w:t>.</w:t>
      </w:r>
      <w:r>
        <w:t xml:space="preserve"> In particular, efforts should focus on improving the understanding, modeling, and analytics associated with future drought events.</w:t>
      </w:r>
    </w:p>
    <w:p w14:paraId="102A892E" w14:textId="77777777" w:rsidR="00BD00A0" w:rsidRDefault="00BD00A0" w:rsidP="00E1124B">
      <w:pPr>
        <w:pStyle w:val="BulletListspace"/>
        <w:numPr>
          <w:ilvl w:val="1"/>
          <w:numId w:val="1"/>
        </w:numPr>
        <w:ind w:left="720"/>
        <w:rPr>
          <w:szCs w:val="24"/>
        </w:rPr>
      </w:pPr>
      <w:r w:rsidRPr="00BD00A0">
        <w:rPr>
          <w:b/>
          <w:bCs/>
        </w:rPr>
        <w:t>Need actionable, climate-informed data support</w:t>
      </w:r>
      <w:r>
        <w:t>: S</w:t>
      </w:r>
      <w:r w:rsidRPr="00BD00A0">
        <w:rPr>
          <w:color w:val="000000"/>
        </w:rPr>
        <w:t xml:space="preserve">ince hydroclimate modeling is not within a utility’s original mission space, a utility may not have sufficient resources or dedicated in-house expertise to evaluate the risks due to long-term climate change. To reduce a utility’s burden in conducting a full-scale hydroclimate study (i.e., from GCM selection all the way to river management simulation), it will be beneficial to provide actionable, climate-informed data </w:t>
      </w:r>
      <w:r w:rsidRPr="00BD00A0">
        <w:rPr>
          <w:color w:val="000000"/>
        </w:rPr>
        <w:lastRenderedPageBreak/>
        <w:t>support to the broader energy and water communities. The capabilities established through this federal 9505 assessment may serve as a starting point</w:t>
      </w:r>
      <w:r w:rsidRPr="00BD00A0">
        <w:rPr>
          <w:szCs w:val="24"/>
        </w:rPr>
        <w:t>.</w:t>
      </w:r>
    </w:p>
    <w:p w14:paraId="3AC3A062" w14:textId="79DC36AD" w:rsidR="00BD00A0" w:rsidRPr="00BD00A0" w:rsidRDefault="00BD00A0" w:rsidP="00E1124B">
      <w:pPr>
        <w:pStyle w:val="BulletListspace"/>
        <w:numPr>
          <w:ilvl w:val="1"/>
          <w:numId w:val="1"/>
        </w:numPr>
        <w:ind w:left="720"/>
        <w:rPr>
          <w:szCs w:val="24"/>
        </w:rPr>
      </w:pPr>
      <w:r w:rsidRPr="00BD00A0">
        <w:rPr>
          <w:b/>
          <w:bCs/>
        </w:rPr>
        <w:t>Need to address the broader risks</w:t>
      </w:r>
      <w:r>
        <w:t xml:space="preserve">: Further </w:t>
      </w:r>
      <w:r w:rsidRPr="00BD00A0">
        <w:rPr>
          <w:rFonts w:eastAsia="Times New Roman"/>
        </w:rPr>
        <w:t xml:space="preserve">disruptions due to wildfire, </w:t>
      </w:r>
      <w:r>
        <w:t>environmental requirements</w:t>
      </w:r>
      <w:r w:rsidRPr="00BD00A0">
        <w:rPr>
          <w:rFonts w:eastAsia="Times New Roman"/>
        </w:rPr>
        <w:t>, and reduced operational flexibilities should be jointly considered. Additionally, the issue of aging infrastructure may reduce the system’s ability to mitigate runoff variability and increase the difficulty of future operation. Although these issues were not within the scope of this assessment, they should be further investigated in future studies</w:t>
      </w:r>
      <w:r w:rsidRPr="00BD00A0">
        <w:rPr>
          <w:szCs w:val="24"/>
        </w:rPr>
        <w:t>.</w:t>
      </w:r>
    </w:p>
    <w:p w14:paraId="4ED0E183" w14:textId="35EF0735" w:rsidR="000C7DC8" w:rsidRPr="006941DB" w:rsidRDefault="003C09E0" w:rsidP="006941DB">
      <w:pPr>
        <w:pStyle w:val="BulletListspace"/>
        <w:rPr>
          <w:b/>
          <w:bCs/>
        </w:rPr>
      </w:pPr>
      <w:r w:rsidRPr="006941DB">
        <w:rPr>
          <w:b/>
          <w:bCs/>
        </w:rPr>
        <w:t>Uncertainty</w:t>
      </w:r>
      <w:r w:rsidR="00D3593E">
        <w:rPr>
          <w:b/>
          <w:bCs/>
        </w:rPr>
        <w:t xml:space="preserve"> quantification</w:t>
      </w:r>
    </w:p>
    <w:p w14:paraId="63DE8E89" w14:textId="7854BD07" w:rsidR="00AF3EB8" w:rsidRDefault="003C09E0" w:rsidP="006941DB">
      <w:pPr>
        <w:pStyle w:val="BulletListospace"/>
      </w:pPr>
      <w:r w:rsidRPr="009E1FA1">
        <w:t xml:space="preserve">In the current assessment, </w:t>
      </w:r>
      <w:r w:rsidR="000C7DC8">
        <w:t xml:space="preserve">although </w:t>
      </w:r>
      <w:r w:rsidR="00AF3EB8">
        <w:t>alternative modeling choices along the modeling chain</w:t>
      </w:r>
      <w:r w:rsidR="000C7DC8">
        <w:t xml:space="preserve"> are introduced</w:t>
      </w:r>
      <w:r w:rsidR="00AF3EB8">
        <w:t xml:space="preserve">, they still cannot capture the full range of uncertainties in the future hydroclimate projections. </w:t>
      </w:r>
      <w:r w:rsidR="00AF3EB8" w:rsidRPr="009E1FA1">
        <w:t xml:space="preserve">The true uncertainties </w:t>
      </w:r>
      <w:r w:rsidR="00C36312">
        <w:t xml:space="preserve">are likely </w:t>
      </w:r>
      <w:r w:rsidR="00AF3EB8" w:rsidRPr="009E1FA1">
        <w:t xml:space="preserve">even more comprehensive </w:t>
      </w:r>
      <w:r w:rsidR="00C36312">
        <w:t xml:space="preserve">and </w:t>
      </w:r>
      <w:r w:rsidR="00AF3EB8" w:rsidRPr="009E1FA1">
        <w:t xml:space="preserve">cannot be fully captured </w:t>
      </w:r>
      <w:r w:rsidR="00C36312">
        <w:t>because of limited</w:t>
      </w:r>
      <w:r w:rsidR="00AF3EB8" w:rsidRPr="009E1FA1">
        <w:t xml:space="preserve"> </w:t>
      </w:r>
      <w:r w:rsidR="00AF3EB8">
        <w:t>knowledge, tool</w:t>
      </w:r>
      <w:r w:rsidR="00C36312">
        <w:t>s</w:t>
      </w:r>
      <w:r w:rsidR="00AF3EB8">
        <w:t xml:space="preserve">, and </w:t>
      </w:r>
      <w:r w:rsidR="00AF3EB8" w:rsidRPr="009E1FA1">
        <w:t>resource</w:t>
      </w:r>
      <w:r w:rsidR="00C36312">
        <w:t>s</w:t>
      </w:r>
      <w:r w:rsidR="00AF3EB8" w:rsidRPr="009E1FA1">
        <w:t>.</w:t>
      </w:r>
      <w:r w:rsidR="00D92219">
        <w:t xml:space="preserve"> Depending on the topic of interest, further uncertainty analysis should be conducted to </w:t>
      </w:r>
      <w:r w:rsidR="001F6D7C">
        <w:t xml:space="preserve">better address </w:t>
      </w:r>
      <w:r w:rsidR="00D92219">
        <w:t>both known and unknown uncertainties. The ensemble-based approach adopted in this study can serve as an initial example for the systematic analysis of broader uncertainties.</w:t>
      </w:r>
      <w:r w:rsidR="000F0CE2" w:rsidRPr="000F0CE2">
        <w:t xml:space="preserve"> </w:t>
      </w:r>
      <w:r w:rsidR="000F0CE2">
        <w:t xml:space="preserve">Further experiments can be designed to explore the physical reasons controlling these </w:t>
      </w:r>
      <w:r w:rsidR="000F0CE2" w:rsidRPr="000F0CE2">
        <w:t>differences.</w:t>
      </w:r>
    </w:p>
    <w:p w14:paraId="78541A90" w14:textId="0732C76C" w:rsidR="00716C2A" w:rsidRDefault="00716C2A" w:rsidP="006941DB">
      <w:pPr>
        <w:pStyle w:val="BulletListospace"/>
      </w:pPr>
      <w:r>
        <w:t xml:space="preserve">The current ANOVA did not consider </w:t>
      </w:r>
      <w:r w:rsidRPr="00716C2A">
        <w:t xml:space="preserve">the contribution of </w:t>
      </w:r>
      <w:r>
        <w:t xml:space="preserve">internal (e.g., interannual) </w:t>
      </w:r>
      <w:r w:rsidRPr="00716C2A">
        <w:t xml:space="preserve">variability </w:t>
      </w:r>
      <w:r>
        <w:t>of each GCM</w:t>
      </w:r>
      <w:r w:rsidRPr="00716C2A">
        <w:t>.</w:t>
      </w:r>
      <w:r>
        <w:t xml:space="preserve"> The assessment also did not test other alternative ANOVA </w:t>
      </w:r>
      <w:r w:rsidRPr="00716C2A">
        <w:t>subsampling approach (</w:t>
      </w:r>
      <w:r>
        <w:t xml:space="preserve">e.g., </w:t>
      </w:r>
      <w:r w:rsidRPr="00716C2A">
        <w:t>Bosshard et al., 2013)</w:t>
      </w:r>
      <w:r>
        <w:t xml:space="preserve"> that can better address the unequal number of members in each modeling dimension</w:t>
      </w:r>
      <w:r w:rsidRPr="00716C2A">
        <w:t>.</w:t>
      </w:r>
      <w:r>
        <w:t xml:space="preserve"> These more in-depth ANOVA exploration</w:t>
      </w:r>
      <w:r w:rsidR="00DF1D64">
        <w:t>s</w:t>
      </w:r>
      <w:r>
        <w:t xml:space="preserve"> can be topics of future study.</w:t>
      </w:r>
    </w:p>
    <w:p w14:paraId="47648CBE" w14:textId="40F3C3BE" w:rsidR="000C7DC8" w:rsidRPr="006941DB" w:rsidRDefault="00AC6784" w:rsidP="006941DB">
      <w:pPr>
        <w:pStyle w:val="BulletListspace"/>
        <w:keepNext/>
        <w:rPr>
          <w:b/>
          <w:bCs/>
        </w:rPr>
      </w:pPr>
      <w:r w:rsidRPr="006941DB">
        <w:rPr>
          <w:b/>
          <w:bCs/>
        </w:rPr>
        <w:t>Downscaling</w:t>
      </w:r>
      <w:r w:rsidR="0010273D" w:rsidRPr="006941DB">
        <w:rPr>
          <w:b/>
          <w:bCs/>
        </w:rPr>
        <w:t xml:space="preserve"> </w:t>
      </w:r>
      <w:r w:rsidR="00DF1D64" w:rsidRPr="006941DB">
        <w:rPr>
          <w:b/>
          <w:bCs/>
        </w:rPr>
        <w:t>techniques</w:t>
      </w:r>
    </w:p>
    <w:p w14:paraId="0F0CD322" w14:textId="6B317641" w:rsidR="00AC6784" w:rsidRDefault="00AC6784" w:rsidP="006941DB">
      <w:pPr>
        <w:pStyle w:val="BulletListospace"/>
      </w:pPr>
      <w:r w:rsidRPr="001272AF">
        <w:t xml:space="preserve">In this </w:t>
      </w:r>
      <w:r>
        <w:t>assessment</w:t>
      </w:r>
      <w:r w:rsidRPr="001272AF">
        <w:t xml:space="preserve">, </w:t>
      </w:r>
      <w:r>
        <w:t xml:space="preserve">two very different </w:t>
      </w:r>
      <w:r w:rsidRPr="001272AF">
        <w:t>downscaling technique</w:t>
      </w:r>
      <w:r>
        <w:t>s,</w:t>
      </w:r>
      <w:r w:rsidRPr="001272AF">
        <w:t xml:space="preserve"> as well as </w:t>
      </w:r>
      <w:r>
        <w:t xml:space="preserve">two different </w:t>
      </w:r>
      <w:r w:rsidR="007F6F47">
        <w:t xml:space="preserve">reference </w:t>
      </w:r>
      <w:r>
        <w:t xml:space="preserve">meteorological </w:t>
      </w:r>
      <w:r w:rsidRPr="001272AF">
        <w:t>observations</w:t>
      </w:r>
      <w:r w:rsidR="00753255">
        <w:t>, were compared</w:t>
      </w:r>
      <w:r>
        <w:t xml:space="preserve">. </w:t>
      </w:r>
      <w:r w:rsidR="00753255">
        <w:t xml:space="preserve">Although </w:t>
      </w:r>
      <w:r>
        <w:t>all approaches produce</w:t>
      </w:r>
      <w:r w:rsidR="00F80129">
        <w:t>d</w:t>
      </w:r>
      <w:r>
        <w:t xml:space="preserve"> comparable downscaled </w:t>
      </w:r>
      <w:r w:rsidR="000124C6">
        <w:t xml:space="preserve">climate </w:t>
      </w:r>
      <w:r>
        <w:t xml:space="preserve">projections, more involved differences need to be investigated further. </w:t>
      </w:r>
      <w:r w:rsidRPr="009E1FA1">
        <w:t xml:space="preserve">In the next steps, this work </w:t>
      </w:r>
      <w:r w:rsidR="00C166AC">
        <w:t xml:space="preserve">may be extended </w:t>
      </w:r>
      <w:r w:rsidRPr="009E1FA1">
        <w:t xml:space="preserve">by incorporating other </w:t>
      </w:r>
      <w:r w:rsidR="000124C6">
        <w:t>alternative</w:t>
      </w:r>
      <w:r w:rsidRPr="009E1FA1">
        <w:t xml:space="preserve"> statistical downscaling techniques and regional </w:t>
      </w:r>
      <w:r w:rsidR="00187E2F">
        <w:t>CM</w:t>
      </w:r>
      <w:r w:rsidRPr="009E1FA1">
        <w:t>s and by utilizing a larger set of driving GCMs</w:t>
      </w:r>
      <w:r w:rsidR="00F80129">
        <w:t xml:space="preserve"> for a more in-depth evaluation</w:t>
      </w:r>
      <w:r w:rsidRPr="009E1FA1">
        <w:t>. A wider range of approaches can be tested for a region of interest before implementing them at the national scale</w:t>
      </w:r>
      <w:r>
        <w:t>.</w:t>
      </w:r>
      <w:r w:rsidR="00F80129">
        <w:t xml:space="preserve"> A most suitable strategy </w:t>
      </w:r>
      <w:r w:rsidR="000124C6">
        <w:t>for climate downscaling remains an open challenge.</w:t>
      </w:r>
    </w:p>
    <w:p w14:paraId="4E45D1B6" w14:textId="26937AB6" w:rsidR="000C7DC8" w:rsidRPr="006941DB" w:rsidRDefault="00D52536" w:rsidP="006941DB">
      <w:pPr>
        <w:pStyle w:val="BulletListspace"/>
        <w:rPr>
          <w:b/>
          <w:bCs/>
        </w:rPr>
      </w:pPr>
      <w:r w:rsidRPr="006941DB">
        <w:rPr>
          <w:b/>
          <w:bCs/>
        </w:rPr>
        <w:t>Bias</w:t>
      </w:r>
      <w:r w:rsidR="003B2B16">
        <w:rPr>
          <w:b/>
          <w:bCs/>
        </w:rPr>
        <w:t xml:space="preserve"> </w:t>
      </w:r>
      <w:r w:rsidR="000C7DC8" w:rsidRPr="006941DB">
        <w:rPr>
          <w:b/>
          <w:bCs/>
        </w:rPr>
        <w:t xml:space="preserve">correction </w:t>
      </w:r>
      <w:r w:rsidR="00DF1D64" w:rsidRPr="006941DB">
        <w:rPr>
          <w:b/>
          <w:bCs/>
        </w:rPr>
        <w:t>techniques</w:t>
      </w:r>
    </w:p>
    <w:p w14:paraId="68840142" w14:textId="08A73763" w:rsidR="00D52536" w:rsidRDefault="00017D00" w:rsidP="006941DB">
      <w:pPr>
        <w:pStyle w:val="BulletListospace"/>
      </w:pPr>
      <w:r>
        <w:t>Further</w:t>
      </w:r>
      <w:r w:rsidR="00534EAC">
        <w:t xml:space="preserve"> analysis about suitable bias</w:t>
      </w:r>
      <w:r w:rsidR="003B2B16">
        <w:t xml:space="preserve"> </w:t>
      </w:r>
      <w:r w:rsidR="00534EAC">
        <w:t xml:space="preserve">correction techniques is needed (which is not specifically evaluated in this assessment). </w:t>
      </w:r>
      <w:r w:rsidR="00D52536">
        <w:t xml:space="preserve">Other </w:t>
      </w:r>
      <w:r w:rsidR="00D52536" w:rsidRPr="00A752CA">
        <w:t>studies have highlighted the difficulties in applying model bias corrections and statistical post-processing to temperature, precipitation</w:t>
      </w:r>
      <w:r w:rsidR="00886266">
        <w:t>,</w:t>
      </w:r>
      <w:r w:rsidR="00D52536" w:rsidRPr="00A752CA">
        <w:t xml:space="preserve"> and streamflow projections. This is especially </w:t>
      </w:r>
      <w:r w:rsidR="00886266">
        <w:t xml:space="preserve">challenging </w:t>
      </w:r>
      <w:r w:rsidR="00D52536" w:rsidRPr="00A752CA">
        <w:t xml:space="preserve">in some basins </w:t>
      </w:r>
      <w:r w:rsidR="00886266">
        <w:t xml:space="preserve">in which </w:t>
      </w:r>
      <w:r w:rsidR="00D52536" w:rsidRPr="00A752CA">
        <w:t>the calibration record has become nonstationary, and many post-processing techniques rely on past observational</w:t>
      </w:r>
      <w:r w:rsidR="00D64187">
        <w:t xml:space="preserve"> data sets,</w:t>
      </w:r>
      <w:r w:rsidR="00D52536" w:rsidRPr="00A752CA">
        <w:t xml:space="preserve"> which can inadvertently overcorrect and obscure emerging climate signals.</w:t>
      </w:r>
    </w:p>
    <w:p w14:paraId="23D45BB8" w14:textId="0E5CC898" w:rsidR="000124C6" w:rsidRPr="006941DB" w:rsidRDefault="000124C6" w:rsidP="006941DB">
      <w:pPr>
        <w:pStyle w:val="BulletListspace"/>
        <w:rPr>
          <w:b/>
          <w:bCs/>
        </w:rPr>
      </w:pPr>
      <w:r w:rsidRPr="006941DB">
        <w:rPr>
          <w:b/>
          <w:bCs/>
        </w:rPr>
        <w:t xml:space="preserve">Hydrologic </w:t>
      </w:r>
      <w:r w:rsidR="003C1FEC">
        <w:rPr>
          <w:b/>
          <w:bCs/>
        </w:rPr>
        <w:t>m</w:t>
      </w:r>
      <w:r w:rsidRPr="006941DB">
        <w:rPr>
          <w:b/>
          <w:bCs/>
        </w:rPr>
        <w:t>odel</w:t>
      </w:r>
    </w:p>
    <w:p w14:paraId="7A1ECCA4" w14:textId="6B0D8CE4" w:rsidR="000124C6" w:rsidRDefault="000124C6" w:rsidP="006941DB">
      <w:pPr>
        <w:pStyle w:val="BulletListospace"/>
      </w:pPr>
      <w:r>
        <w:t>In this study, two calibrated hydrologic models</w:t>
      </w:r>
      <w:r w:rsidR="00B473A9">
        <w:t xml:space="preserve"> were used</w:t>
      </w:r>
      <w:r>
        <w:t xml:space="preserve"> with an anticipation that at least one of the hydrologic models may produce reasonable results in regions with weaker hydrologic model performance. However, </w:t>
      </w:r>
      <w:r w:rsidR="00F05536">
        <w:t xml:space="preserve">although </w:t>
      </w:r>
      <w:r>
        <w:t xml:space="preserve">both hydrologic models (VIC and PRMS) performed well for most parts of the CONUS, they have degraded performance in similar regions (e.g., with strong </w:t>
      </w:r>
      <w:r>
        <w:lastRenderedPageBreak/>
        <w:t>surface-groundwater interactions). Future efforts may be to investigate other alternative hydrologic models with improved groundwater processes representation</w:t>
      </w:r>
      <w:r w:rsidR="0010273D">
        <w:t xml:space="preserve">, or to identify </w:t>
      </w:r>
      <w:r w:rsidR="001F6D7C">
        <w:t>other</w:t>
      </w:r>
      <w:r w:rsidR="0010273D">
        <w:t xml:space="preserve"> reasons (e.g., lack of meteorologic and hydrologic observations) that are beyond the choice of hydrologic models.</w:t>
      </w:r>
    </w:p>
    <w:p w14:paraId="6CFAEA9F" w14:textId="6A1906EB" w:rsidR="000124C6" w:rsidRDefault="000124C6" w:rsidP="006941DB">
      <w:pPr>
        <w:pStyle w:val="BulletListospace"/>
      </w:pPr>
      <w:r>
        <w:t>VIC and PRMS were calibrated using similar procedures and</w:t>
      </w:r>
      <w:r w:rsidR="00D64187">
        <w:t xml:space="preserve"> data sets,</w:t>
      </w:r>
      <w:r>
        <w:t xml:space="preserve"> </w:t>
      </w:r>
      <w:r w:rsidR="007B2558">
        <w:t xml:space="preserve">but </w:t>
      </w:r>
      <w:r>
        <w:t>they can still result in unintentional biases due to differences in spatial resolution, parameterization, calibration and validation approach, modeling configuration</w:t>
      </w:r>
      <w:r w:rsidR="007B2558">
        <w:t>,</w:t>
      </w:r>
      <w:r>
        <w:t xml:space="preserve"> </w:t>
      </w:r>
      <w:r w:rsidR="007B2558">
        <w:t>and so on</w:t>
      </w:r>
      <w:r>
        <w:t>. Future assessments may attempt to improve on this front by conducting systematic evaluations to investigate the magnitude of these biases and identify areas of improvement. Alternatively, community modeling tool</w:t>
      </w:r>
      <w:r w:rsidR="007B2558">
        <w:t>s</w:t>
      </w:r>
      <w:r>
        <w:t xml:space="preserve"> such as </w:t>
      </w:r>
      <w:r w:rsidR="0010273D" w:rsidRPr="0010273D">
        <w:t>Structure for Unifying Multiple Modeling Alternatives (</w:t>
      </w:r>
      <w:r w:rsidR="00AC25F3" w:rsidRPr="00AC25F3">
        <w:t>Clark</w:t>
      </w:r>
      <w:r w:rsidR="00AC25F3">
        <w:t xml:space="preserve"> et al., 2015a, 2015b</w:t>
      </w:r>
      <w:r w:rsidR="0010273D" w:rsidRPr="0010273D">
        <w:t xml:space="preserve">) </w:t>
      </w:r>
      <w:r>
        <w:t>may be considered</w:t>
      </w:r>
      <w:r w:rsidR="007B2558">
        <w:t>,</w:t>
      </w:r>
      <w:r>
        <w:t xml:space="preserve"> which </w:t>
      </w:r>
      <w:r w:rsidR="007B2558">
        <w:t xml:space="preserve">would </w:t>
      </w:r>
      <w:r>
        <w:t xml:space="preserve">allow for configuration of </w:t>
      </w:r>
      <w:r w:rsidR="007B2558">
        <w:t xml:space="preserve">a </w:t>
      </w:r>
      <w:r>
        <w:t>wide range of hydrologic modeling alternatives and may enable a more systematic model comparison.</w:t>
      </w:r>
    </w:p>
    <w:p w14:paraId="2EAC8E33" w14:textId="4115A78D" w:rsidR="00BD6124" w:rsidRDefault="00BD6124" w:rsidP="006941DB">
      <w:pPr>
        <w:pStyle w:val="BulletListospace"/>
      </w:pPr>
      <w:r>
        <w:t>The hydrologic models in this study use</w:t>
      </w:r>
      <w:r w:rsidR="00DF1D64">
        <w:t>d</w:t>
      </w:r>
      <w:r>
        <w:t xml:space="preserve"> an assumption of stationary land use/land cover in the future period. Future assessments may explore the use of projected land use/land cover types</w:t>
      </w:r>
      <w:r w:rsidR="00DF1D64">
        <w:t>,</w:t>
      </w:r>
      <w:r>
        <w:t xml:space="preserve"> which may help develop a more realistic representation of runoff/streamflow projections.</w:t>
      </w:r>
    </w:p>
    <w:p w14:paraId="030DC134" w14:textId="37F00C20" w:rsidR="00AC25F3" w:rsidRPr="006941DB" w:rsidRDefault="00AC25F3" w:rsidP="006941DB">
      <w:pPr>
        <w:pStyle w:val="BulletListspace"/>
        <w:rPr>
          <w:b/>
          <w:bCs/>
        </w:rPr>
      </w:pPr>
      <w:r w:rsidRPr="006941DB">
        <w:rPr>
          <w:b/>
          <w:bCs/>
        </w:rPr>
        <w:t xml:space="preserve">Hydropower </w:t>
      </w:r>
      <w:r w:rsidR="003C1FEC">
        <w:rPr>
          <w:b/>
          <w:bCs/>
        </w:rPr>
        <w:t>m</w:t>
      </w:r>
      <w:r w:rsidRPr="006941DB">
        <w:rPr>
          <w:b/>
          <w:bCs/>
        </w:rPr>
        <w:t>odel</w:t>
      </w:r>
    </w:p>
    <w:p w14:paraId="4C66409A" w14:textId="4F780ADD" w:rsidR="006344F5" w:rsidRPr="000076B5" w:rsidRDefault="003228FF" w:rsidP="006941DB">
      <w:pPr>
        <w:pStyle w:val="BulletListospace"/>
      </w:pPr>
      <w:r>
        <w:t>An opportunity exists to integrate this type of modeling approach to support long-term resource adequacy studies. The consistent representation of both federal and nonfederal hydropower across the CONUS domain provides the opportunity to integrate long-term hydroclimate projections with utilities, balancing authorities, and system operators resource adequacy and reliability studies. An ensemble of capacity expansion models could be used to provide a range of infrastructure scenarios to understand the contribution of hydropower under different policy</w:t>
      </w:r>
      <w:r w:rsidR="006344F5">
        <w:rPr>
          <w:szCs w:val="24"/>
        </w:rPr>
        <w:t>.</w:t>
      </w:r>
    </w:p>
    <w:p w14:paraId="09C9235F" w14:textId="6FBEB8E3" w:rsidR="006344F5" w:rsidRDefault="00500558" w:rsidP="006941DB">
      <w:pPr>
        <w:pStyle w:val="BulletListospace"/>
      </w:pPr>
      <w:r>
        <w:t>The representation of hydropower operations must be enhanced to support the operation of future grids. For example, enhancement to a weekly time step, and representation of storage targets and daily fluctuations range and ramping, would be needed to further integrate the hydropower projections into unit commitment production cost models. This enhancement would allow for evaluating the impact of climate change on the ability for hydropower resources to sustain grid resilience under extreme events conditions, as well as under new power grid infrastructure and generation portfolio with new markets and net load profiles. The water management model would also be enhanced with the ability to add or remove reservoirs</w:t>
      </w:r>
      <w:r w:rsidR="006344F5">
        <w:rPr>
          <w:szCs w:val="24"/>
        </w:rPr>
        <w:t>.</w:t>
      </w:r>
    </w:p>
    <w:p w14:paraId="045EBBAC" w14:textId="619E88BF" w:rsidR="006344F5" w:rsidRDefault="006E054B" w:rsidP="006941DB">
      <w:pPr>
        <w:pStyle w:val="BulletListospace"/>
      </w:pPr>
      <w:r>
        <w:t>A</w:t>
      </w:r>
      <w:r w:rsidR="006344F5">
        <w:t xml:space="preserve"> need </w:t>
      </w:r>
      <w:r>
        <w:t xml:space="preserve">exists </w:t>
      </w:r>
      <w:r w:rsidR="006344F5">
        <w:t>to b</w:t>
      </w:r>
      <w:r w:rsidR="006344F5" w:rsidRPr="00AC25F3">
        <w:t>etter represent reservoir operations with developing projections in forecast mode rather than analysis mode. As the temporal resolution</w:t>
      </w:r>
      <w:r>
        <w:t xml:space="preserve"> is increased</w:t>
      </w:r>
      <w:r w:rsidR="006344F5" w:rsidRPr="00AC25F3">
        <w:t>, the contribution of inflow forecast to decision</w:t>
      </w:r>
      <w:r>
        <w:t>-</w:t>
      </w:r>
      <w:r w:rsidR="006344F5" w:rsidRPr="00AC25F3">
        <w:t>making will increase and should be represented</w:t>
      </w:r>
      <w:r w:rsidR="006344F5">
        <w:t xml:space="preserve"> in future assessment</w:t>
      </w:r>
      <w:r>
        <w:t>s</w:t>
      </w:r>
      <w:r w:rsidR="006344F5">
        <w:t>.</w:t>
      </w:r>
    </w:p>
    <w:p w14:paraId="19F0E37A" w14:textId="0D1CD2C9" w:rsidR="00405717" w:rsidRDefault="00405717" w:rsidP="006941DB">
      <w:pPr>
        <w:pStyle w:val="BulletListospace"/>
      </w:pPr>
      <w:r w:rsidRPr="64B33465">
        <w:t>A deep uncertainty analysis is also needed, integrating uncertainties in future water availability, water demand, priority in water uses, allocation of supply to different users, hydropower contribution to power grid operations</w:t>
      </w:r>
      <w:r w:rsidR="00DF1D64">
        <w:t>,</w:t>
      </w:r>
      <w:r w:rsidRPr="64B33465">
        <w:t xml:space="preserve"> and other hydropower dynamics parameterization.</w:t>
      </w:r>
    </w:p>
    <w:p w14:paraId="3EA9880B" w14:textId="23AFF319" w:rsidR="000C7DC8" w:rsidRPr="006941DB" w:rsidRDefault="006344F5" w:rsidP="006941DB">
      <w:pPr>
        <w:pStyle w:val="BulletListspace"/>
        <w:rPr>
          <w:b/>
          <w:bCs/>
        </w:rPr>
      </w:pPr>
      <w:r w:rsidRPr="006941DB">
        <w:rPr>
          <w:b/>
          <w:bCs/>
        </w:rPr>
        <w:t>Powe</w:t>
      </w:r>
      <w:r w:rsidR="000C7DC8" w:rsidRPr="006941DB">
        <w:rPr>
          <w:b/>
          <w:bCs/>
        </w:rPr>
        <w:t xml:space="preserve">r </w:t>
      </w:r>
      <w:r w:rsidR="00DF1D64" w:rsidRPr="006941DB">
        <w:rPr>
          <w:b/>
          <w:bCs/>
        </w:rPr>
        <w:t>marketing analysis</w:t>
      </w:r>
    </w:p>
    <w:p w14:paraId="6F25B8AF" w14:textId="5454C97E" w:rsidR="0010273D" w:rsidRPr="000C7DC8" w:rsidRDefault="000767C3" w:rsidP="006941DB">
      <w:pPr>
        <w:pStyle w:val="BulletListospace"/>
      </w:pPr>
      <w:r w:rsidRPr="000C7DC8">
        <w:t xml:space="preserve">Except for </w:t>
      </w:r>
      <w:r w:rsidR="006E054B">
        <w:t xml:space="preserve">in </w:t>
      </w:r>
      <w:r w:rsidRPr="000C7DC8">
        <w:t xml:space="preserve">BPA, the sales data (proxy for load) used to estimate the relationship between load and degree days in this assessment were annual. Monthly data for the rest of </w:t>
      </w:r>
      <w:r w:rsidR="006E054B">
        <w:t xml:space="preserve">the </w:t>
      </w:r>
      <w:r w:rsidRPr="000C7DC8">
        <w:t xml:space="preserve">PMAs would allow for </w:t>
      </w:r>
      <w:r w:rsidR="006E054B">
        <w:t xml:space="preserve">an </w:t>
      </w:r>
      <w:r w:rsidRPr="000C7DC8">
        <w:t>enhanced understanding of the relationship between load and degree days in future assessments.</w:t>
      </w:r>
    </w:p>
    <w:p w14:paraId="1A7E779A" w14:textId="6083DF7B" w:rsidR="000767C3" w:rsidRPr="000C7DC8" w:rsidRDefault="006E054B" w:rsidP="006941DB">
      <w:pPr>
        <w:pStyle w:val="BulletListospace"/>
      </w:pPr>
      <w:r>
        <w:lastRenderedPageBreak/>
        <w:t>E</w:t>
      </w:r>
      <w:r w:rsidR="009F3A4D" w:rsidRPr="000C7DC8">
        <w:t xml:space="preserve">stimating the response of load to degree days separately for each month may provide some clarity about potential changes in the length of the cooling load season in different PMA marketing subregions. If the cooling loads served by PMA preference customers extend into the early fall (as already observed in SWPA for several years), preference customers would request larger volumes of federal hydropower during that period. This </w:t>
      </w:r>
      <w:r>
        <w:t xml:space="preserve">request </w:t>
      </w:r>
      <w:r w:rsidR="009F3A4D" w:rsidRPr="000C7DC8">
        <w:t>can be challenging for the PMAs because that period has historically had low loads and been reserved for planned maintenance outages of hydropower plants.</w:t>
      </w:r>
    </w:p>
    <w:p w14:paraId="10CCA8CF" w14:textId="4FADC333" w:rsidR="009F3A4D" w:rsidRPr="000C7DC8" w:rsidRDefault="009F3A4D" w:rsidP="006941DB">
      <w:pPr>
        <w:pStyle w:val="BulletListospace"/>
      </w:pPr>
      <w:r w:rsidRPr="000C7DC8">
        <w:t xml:space="preserve">A second benefit of monthly sales or load data at the preference customer level is that </w:t>
      </w:r>
      <w:r w:rsidR="006E054B">
        <w:t xml:space="preserve">the data </w:t>
      </w:r>
      <w:r w:rsidRPr="000C7DC8">
        <w:t>unveil important differences in customer load shapes</w:t>
      </w:r>
      <w:r w:rsidR="006E054B">
        <w:t>,</w:t>
      </w:r>
      <w:r w:rsidRPr="000C7DC8">
        <w:t xml:space="preserve"> </w:t>
      </w:r>
      <w:r w:rsidR="006E054B">
        <w:t xml:space="preserve">such as </w:t>
      </w:r>
      <w:r w:rsidRPr="000C7DC8">
        <w:t xml:space="preserve">those seen for BPA between winter peaking customers and those with large irrigation loads. </w:t>
      </w:r>
      <w:r w:rsidR="006E054B">
        <w:t>C</w:t>
      </w:r>
      <w:r w:rsidRPr="000C7DC8">
        <w:t>ontrol</w:t>
      </w:r>
      <w:r w:rsidR="006E054B">
        <w:t>ling</w:t>
      </w:r>
      <w:r w:rsidRPr="000C7DC8">
        <w:t xml:space="preserve"> for these different customer types could improve the explanatory power of the load equations, especially in some of the WAPA marketing subregions </w:t>
      </w:r>
      <w:r w:rsidR="006E054B">
        <w:t xml:space="preserve">that </w:t>
      </w:r>
      <w:r w:rsidRPr="000C7DC8">
        <w:t>are likely to also have customers with large irrigation loads.</w:t>
      </w:r>
    </w:p>
    <w:p w14:paraId="34910547" w14:textId="77777777" w:rsidR="00ED4D25" w:rsidRDefault="00ED4D25" w:rsidP="0020715F">
      <w:pPr>
        <w:pStyle w:val="Text"/>
        <w:spacing w:before="120"/>
        <w:rPr>
          <w:sz w:val="24"/>
          <w:szCs w:val="24"/>
          <w:lang w:eastAsia="zh-TW"/>
        </w:rPr>
      </w:pPr>
    </w:p>
    <w:p w14:paraId="77482606" w14:textId="77777777" w:rsidR="00D23863" w:rsidRDefault="00D23863" w:rsidP="00D038B8">
      <w:pPr>
        <w:spacing w:line="240" w:lineRule="auto"/>
        <w:ind w:firstLine="0"/>
        <w:rPr>
          <w:lang w:eastAsia="zh-TW"/>
        </w:rPr>
      </w:pPr>
    </w:p>
    <w:p w14:paraId="3D84D68A" w14:textId="77777777" w:rsidR="001C6180" w:rsidRDefault="001C6180" w:rsidP="001C6180">
      <w:pPr>
        <w:pStyle w:val="BodyText"/>
        <w:sectPr w:rsidR="001C6180" w:rsidSect="00B121A5">
          <w:pgSz w:w="12240" w:h="15840" w:code="1"/>
          <w:pgMar w:top="1440" w:right="1440" w:bottom="1440" w:left="1440" w:header="720" w:footer="720" w:gutter="0"/>
          <w:cols w:space="720"/>
          <w:docGrid w:linePitch="360"/>
        </w:sectPr>
      </w:pPr>
    </w:p>
    <w:p w14:paraId="2C272FB8" w14:textId="77777777" w:rsidR="001C6180" w:rsidRDefault="001C6180" w:rsidP="001C6180">
      <w:pPr>
        <w:pStyle w:val="BodyText"/>
        <w:jc w:val="center"/>
      </w:pPr>
      <w:r>
        <w:lastRenderedPageBreak/>
        <w:t>(This page intentionally left blank)</w:t>
      </w:r>
    </w:p>
    <w:p w14:paraId="765E7989" w14:textId="77777777" w:rsidR="001C6180" w:rsidRDefault="001C6180" w:rsidP="001C6180">
      <w:pPr>
        <w:pStyle w:val="BodyText"/>
      </w:pPr>
    </w:p>
    <w:p w14:paraId="216978DA" w14:textId="77777777" w:rsidR="001C6180" w:rsidRDefault="001C6180" w:rsidP="001C6180">
      <w:pPr>
        <w:pStyle w:val="BodyText"/>
        <w:sectPr w:rsidR="001C6180" w:rsidSect="00093CC9">
          <w:pgSz w:w="12240" w:h="15840" w:code="1"/>
          <w:pgMar w:top="1440" w:right="1440" w:bottom="1440" w:left="1440" w:header="720" w:footer="720" w:gutter="0"/>
          <w:cols w:space="720"/>
          <w:vAlign w:val="center"/>
          <w:docGrid w:linePitch="360"/>
        </w:sectPr>
      </w:pPr>
    </w:p>
    <w:p w14:paraId="270C696B" w14:textId="77777777" w:rsidR="00706B38" w:rsidRPr="00DD0BFA" w:rsidRDefault="00D30AE1" w:rsidP="00DE0A21">
      <w:pPr>
        <w:pStyle w:val="Heading1"/>
      </w:pPr>
      <w:bookmarkStart w:id="600" w:name="_Toc377479368"/>
      <w:bookmarkStart w:id="601" w:name="_Toc377479491"/>
      <w:bookmarkStart w:id="602" w:name="_Toc377480699"/>
      <w:bookmarkStart w:id="603" w:name="_Toc113380853"/>
      <w:r w:rsidRPr="00DD0BFA">
        <w:lastRenderedPageBreak/>
        <w:t>REFERENCES</w:t>
      </w:r>
      <w:bookmarkEnd w:id="600"/>
      <w:bookmarkEnd w:id="601"/>
      <w:bookmarkEnd w:id="602"/>
      <w:bookmarkEnd w:id="603"/>
    </w:p>
    <w:bookmarkEnd w:id="244"/>
    <w:p w14:paraId="596E9100" w14:textId="49B7A961" w:rsidR="005742FD" w:rsidRDefault="005742FD" w:rsidP="00D91AF1">
      <w:pPr>
        <w:pStyle w:val="Refs"/>
        <w:ind w:left="360" w:hanging="360"/>
        <w:rPr>
          <w:szCs w:val="22"/>
          <w:lang w:eastAsia="zh-TW"/>
        </w:rPr>
      </w:pPr>
      <w:r w:rsidRPr="00976056">
        <w:rPr>
          <w:szCs w:val="22"/>
          <w:lang w:eastAsia="zh-TW"/>
        </w:rPr>
        <w:t>Abatzoglou</w:t>
      </w:r>
      <w:r w:rsidR="00C34C3D" w:rsidRPr="00976056">
        <w:rPr>
          <w:szCs w:val="22"/>
          <w:lang w:eastAsia="zh-TW"/>
        </w:rPr>
        <w:t>, J. T.</w:t>
      </w:r>
      <w:r w:rsidRPr="00976056">
        <w:rPr>
          <w:szCs w:val="22"/>
          <w:lang w:eastAsia="zh-TW"/>
        </w:rPr>
        <w:t xml:space="preserve"> (2013), Development of Gridded Surface Meteorological Data for Ecological Applications and Modelling, </w:t>
      </w:r>
      <w:r w:rsidRPr="00976056">
        <w:rPr>
          <w:i/>
          <w:iCs/>
          <w:szCs w:val="22"/>
          <w:lang w:eastAsia="zh-TW"/>
        </w:rPr>
        <w:t>Int. J. Climatol.</w:t>
      </w:r>
      <w:r w:rsidRPr="00976056">
        <w:rPr>
          <w:szCs w:val="22"/>
          <w:lang w:eastAsia="zh-TW"/>
        </w:rPr>
        <w:t xml:space="preserve">, </w:t>
      </w:r>
      <w:r w:rsidRPr="00976056">
        <w:rPr>
          <w:i/>
          <w:iCs/>
          <w:szCs w:val="22"/>
          <w:lang w:eastAsia="zh-TW"/>
        </w:rPr>
        <w:t>33</w:t>
      </w:r>
      <w:r w:rsidRPr="00976056">
        <w:rPr>
          <w:szCs w:val="22"/>
          <w:lang w:eastAsia="zh-TW"/>
        </w:rPr>
        <w:t xml:space="preserve">, 121–131, </w:t>
      </w:r>
      <w:hyperlink r:id="rId278" w:history="1">
        <w:r w:rsidR="00347DCD" w:rsidRPr="00E00258">
          <w:rPr>
            <w:rStyle w:val="Hyperlink"/>
            <w:szCs w:val="22"/>
            <w:lang w:eastAsia="zh-TW"/>
          </w:rPr>
          <w:t>https://doi.org/10.1002/joc.3413</w:t>
        </w:r>
      </w:hyperlink>
      <w:r w:rsidRPr="00976056">
        <w:rPr>
          <w:szCs w:val="22"/>
          <w:lang w:eastAsia="zh-TW"/>
        </w:rPr>
        <w:t>.</w:t>
      </w:r>
    </w:p>
    <w:p w14:paraId="13F1CFB7" w14:textId="567E94B9" w:rsidR="007412CA" w:rsidRPr="00976056" w:rsidRDefault="007412CA" w:rsidP="00D91AF1">
      <w:pPr>
        <w:pStyle w:val="Refs"/>
        <w:ind w:left="360" w:hanging="360"/>
        <w:rPr>
          <w:szCs w:val="22"/>
          <w:lang w:eastAsia="zh-TW"/>
        </w:rPr>
      </w:pPr>
      <w:r w:rsidRPr="007412CA">
        <w:rPr>
          <w:szCs w:val="22"/>
          <w:lang w:eastAsia="zh-TW"/>
        </w:rPr>
        <w:t xml:space="preserve">Alder, J. R., </w:t>
      </w:r>
      <w:r>
        <w:rPr>
          <w:szCs w:val="22"/>
          <w:lang w:eastAsia="zh-TW"/>
        </w:rPr>
        <w:t>and S. W.</w:t>
      </w:r>
      <w:r w:rsidRPr="007412CA">
        <w:rPr>
          <w:szCs w:val="22"/>
          <w:lang w:eastAsia="zh-TW"/>
        </w:rPr>
        <w:t xml:space="preserve"> Hostetler (2019)</w:t>
      </w:r>
      <w:r>
        <w:rPr>
          <w:szCs w:val="22"/>
          <w:lang w:eastAsia="zh-TW"/>
        </w:rPr>
        <w:t>,</w:t>
      </w:r>
      <w:r w:rsidRPr="007412CA">
        <w:rPr>
          <w:szCs w:val="22"/>
          <w:lang w:eastAsia="zh-TW"/>
        </w:rPr>
        <w:t xml:space="preserve"> The Dependence of Hydroclimate Projections </w:t>
      </w:r>
      <w:r>
        <w:rPr>
          <w:szCs w:val="22"/>
          <w:lang w:eastAsia="zh-TW"/>
        </w:rPr>
        <w:t>i</w:t>
      </w:r>
      <w:r w:rsidRPr="007412CA">
        <w:rPr>
          <w:szCs w:val="22"/>
          <w:lang w:eastAsia="zh-TW"/>
        </w:rPr>
        <w:t xml:space="preserve">n Snow-Dominated Regions </w:t>
      </w:r>
      <w:r>
        <w:rPr>
          <w:szCs w:val="22"/>
          <w:lang w:eastAsia="zh-TW"/>
        </w:rPr>
        <w:t>o</w:t>
      </w:r>
      <w:r w:rsidRPr="007412CA">
        <w:rPr>
          <w:szCs w:val="22"/>
          <w:lang w:eastAsia="zh-TW"/>
        </w:rPr>
        <w:t xml:space="preserve">f </w:t>
      </w:r>
      <w:r>
        <w:rPr>
          <w:szCs w:val="22"/>
          <w:lang w:eastAsia="zh-TW"/>
        </w:rPr>
        <w:t>t</w:t>
      </w:r>
      <w:r w:rsidRPr="007412CA">
        <w:rPr>
          <w:szCs w:val="22"/>
          <w:lang w:eastAsia="zh-TW"/>
        </w:rPr>
        <w:t xml:space="preserve">he Western United States </w:t>
      </w:r>
      <w:r>
        <w:rPr>
          <w:szCs w:val="22"/>
          <w:lang w:eastAsia="zh-TW"/>
        </w:rPr>
        <w:t>o</w:t>
      </w:r>
      <w:r w:rsidRPr="007412CA">
        <w:rPr>
          <w:szCs w:val="22"/>
          <w:lang w:eastAsia="zh-TW"/>
        </w:rPr>
        <w:t xml:space="preserve">n </w:t>
      </w:r>
      <w:r>
        <w:rPr>
          <w:szCs w:val="22"/>
          <w:lang w:eastAsia="zh-TW"/>
        </w:rPr>
        <w:t>t</w:t>
      </w:r>
      <w:r w:rsidRPr="007412CA">
        <w:rPr>
          <w:szCs w:val="22"/>
          <w:lang w:eastAsia="zh-TW"/>
        </w:rPr>
        <w:t xml:space="preserve">he Choice </w:t>
      </w:r>
      <w:r>
        <w:rPr>
          <w:szCs w:val="22"/>
          <w:lang w:eastAsia="zh-TW"/>
        </w:rPr>
        <w:t>o</w:t>
      </w:r>
      <w:r w:rsidRPr="007412CA">
        <w:rPr>
          <w:szCs w:val="22"/>
          <w:lang w:eastAsia="zh-TW"/>
        </w:rPr>
        <w:t>f Statistically Downscaled Climate Data</w:t>
      </w:r>
      <w:r>
        <w:rPr>
          <w:szCs w:val="22"/>
          <w:lang w:eastAsia="zh-TW"/>
        </w:rPr>
        <w:t>,</w:t>
      </w:r>
      <w:r w:rsidRPr="007412CA">
        <w:rPr>
          <w:szCs w:val="22"/>
          <w:lang w:eastAsia="zh-TW"/>
        </w:rPr>
        <w:t xml:space="preserve"> </w:t>
      </w:r>
      <w:r w:rsidRPr="007412CA">
        <w:rPr>
          <w:i/>
          <w:iCs/>
          <w:szCs w:val="22"/>
          <w:lang w:eastAsia="zh-TW"/>
        </w:rPr>
        <w:t>Water Resour. Res.</w:t>
      </w:r>
      <w:r w:rsidRPr="007412CA">
        <w:rPr>
          <w:szCs w:val="22"/>
          <w:lang w:eastAsia="zh-TW"/>
        </w:rPr>
        <w:t xml:space="preserve">, </w:t>
      </w:r>
      <w:r w:rsidRPr="007412CA">
        <w:rPr>
          <w:i/>
          <w:iCs/>
          <w:szCs w:val="22"/>
          <w:lang w:eastAsia="zh-TW"/>
        </w:rPr>
        <w:t>55</w:t>
      </w:r>
      <w:r w:rsidRPr="007412CA">
        <w:rPr>
          <w:szCs w:val="22"/>
          <w:lang w:eastAsia="zh-TW"/>
        </w:rPr>
        <w:t>, 2279–2300</w:t>
      </w:r>
      <w:r>
        <w:rPr>
          <w:szCs w:val="22"/>
          <w:lang w:eastAsia="zh-TW"/>
        </w:rPr>
        <w:t xml:space="preserve">, </w:t>
      </w:r>
      <w:hyperlink r:id="rId279" w:history="1">
        <w:r w:rsidR="00347DCD" w:rsidRPr="00E00258">
          <w:rPr>
            <w:rStyle w:val="Hyperlink"/>
            <w:szCs w:val="22"/>
            <w:lang w:eastAsia="zh-TW"/>
          </w:rPr>
          <w:t>https://doi.org/10.1029/2018WR023458</w:t>
        </w:r>
      </w:hyperlink>
      <w:r>
        <w:rPr>
          <w:szCs w:val="22"/>
          <w:lang w:eastAsia="zh-TW"/>
        </w:rPr>
        <w:t>.</w:t>
      </w:r>
    </w:p>
    <w:p w14:paraId="01BD9741" w14:textId="3F5FC630" w:rsidR="005742FD" w:rsidRPr="00976056" w:rsidRDefault="005742FD" w:rsidP="00D91AF1">
      <w:pPr>
        <w:pStyle w:val="Refs"/>
        <w:ind w:left="360" w:hanging="360"/>
        <w:rPr>
          <w:szCs w:val="22"/>
          <w:lang w:eastAsia="zh-TW"/>
        </w:rPr>
      </w:pPr>
      <w:r w:rsidRPr="00976056">
        <w:rPr>
          <w:szCs w:val="22"/>
          <w:lang w:eastAsia="zh-TW"/>
        </w:rPr>
        <w:t>Almazroui, M., M. N. Islam, F. Saeed, S. Saeed, M. Ismail, M. A. Ehsan, I. Diallo, E. O</w:t>
      </w:r>
      <w:r w:rsidR="00805545">
        <w:rPr>
          <w:szCs w:val="22"/>
          <w:lang w:eastAsia="zh-TW"/>
        </w:rPr>
        <w:t>’</w:t>
      </w:r>
      <w:r w:rsidRPr="00976056">
        <w:rPr>
          <w:szCs w:val="22"/>
          <w:lang w:eastAsia="zh-TW"/>
        </w:rPr>
        <w:t xml:space="preserve">Brien, M. Ashfaq, D. Martínez-Castro, T. Cavazos, R. Cerezo-Mota, M. K. Tippett, W. J. Gutowski Jr., E. J. Alfaro, H. G. Hidalgo, A. Vichot-Llano, J. D. Campbell, S. Kamil, I. U. Rashid, M. B. Sylla, T. Stephenson, M. Taylor, and M. Barlow (2021), Projected Changes in Temperature and Precipitation over the United States, Central America, and the Caribbean in CMIP6 GCMs, </w:t>
      </w:r>
      <w:r w:rsidRPr="00976056">
        <w:rPr>
          <w:i/>
          <w:iCs/>
          <w:szCs w:val="22"/>
          <w:lang w:eastAsia="zh-TW"/>
        </w:rPr>
        <w:t>Earth Syst. Environ.</w:t>
      </w:r>
      <w:r w:rsidRPr="00976056">
        <w:rPr>
          <w:szCs w:val="22"/>
          <w:lang w:eastAsia="zh-TW"/>
        </w:rPr>
        <w:t xml:space="preserve">, </w:t>
      </w:r>
      <w:r w:rsidRPr="00976056">
        <w:rPr>
          <w:i/>
          <w:iCs/>
          <w:szCs w:val="22"/>
          <w:lang w:eastAsia="zh-TW"/>
        </w:rPr>
        <w:t>5</w:t>
      </w:r>
      <w:r w:rsidRPr="00976056">
        <w:rPr>
          <w:szCs w:val="22"/>
          <w:lang w:eastAsia="zh-TW"/>
        </w:rPr>
        <w:t xml:space="preserve">(1), 1–24, </w:t>
      </w:r>
      <w:hyperlink r:id="rId280" w:history="1">
        <w:r w:rsidR="00347DCD" w:rsidRPr="00E00258">
          <w:rPr>
            <w:rStyle w:val="Hyperlink"/>
            <w:szCs w:val="22"/>
            <w:lang w:eastAsia="zh-TW"/>
          </w:rPr>
          <w:t>https://doi.org/10.1007/s41748-021-00199-5</w:t>
        </w:r>
      </w:hyperlink>
      <w:r w:rsidRPr="00976056">
        <w:rPr>
          <w:szCs w:val="22"/>
          <w:lang w:eastAsia="zh-TW"/>
        </w:rPr>
        <w:t>.</w:t>
      </w:r>
    </w:p>
    <w:p w14:paraId="37955593" w14:textId="48EDF18D" w:rsidR="009E7DAA" w:rsidRDefault="009E7DAA" w:rsidP="00D91AF1">
      <w:pPr>
        <w:pStyle w:val="Refs"/>
        <w:ind w:left="360" w:hanging="360"/>
        <w:rPr>
          <w:szCs w:val="22"/>
          <w:lang w:eastAsia="zh-TW"/>
        </w:rPr>
      </w:pPr>
      <w:r w:rsidRPr="009E7DAA">
        <w:rPr>
          <w:szCs w:val="22"/>
          <w:lang w:eastAsia="zh-TW"/>
        </w:rPr>
        <w:t xml:space="preserve">Ashfaq, M., D. Rastogi, M. A. Abid, and S.-C. Kao (2022), Evaluation of CMIP6 GCMs Over the CONUS for Downscaling Studies, ESSOAr, preprint, </w:t>
      </w:r>
      <w:hyperlink r:id="rId281" w:history="1">
        <w:r w:rsidRPr="00E00258">
          <w:rPr>
            <w:rStyle w:val="Hyperlink"/>
            <w:szCs w:val="22"/>
            <w:lang w:eastAsia="zh-TW"/>
          </w:rPr>
          <w:t>https://doi.org/10.1002/essoar.10510589.1</w:t>
        </w:r>
      </w:hyperlink>
      <w:r>
        <w:rPr>
          <w:szCs w:val="22"/>
          <w:lang w:eastAsia="zh-TW"/>
        </w:rPr>
        <w:t>.</w:t>
      </w:r>
    </w:p>
    <w:p w14:paraId="61603B74" w14:textId="27064BC4" w:rsidR="005742FD" w:rsidRPr="00976056" w:rsidRDefault="005742FD" w:rsidP="00D91AF1">
      <w:pPr>
        <w:pStyle w:val="Refs"/>
        <w:ind w:left="360" w:hanging="360"/>
        <w:rPr>
          <w:szCs w:val="22"/>
          <w:lang w:eastAsia="zh-TW"/>
        </w:rPr>
      </w:pPr>
      <w:r w:rsidRPr="00976056">
        <w:rPr>
          <w:szCs w:val="22"/>
          <w:lang w:eastAsia="zh-TW"/>
        </w:rPr>
        <w:t xml:space="preserve">Ashfaq, M., D. Rastogi, R. Mei, S.-C. Kao, S. Gangrade, B. S. Naz, and D. Touma (2016), High-resolution Ensemble Projections of Near-term Regional Climate over the Continental United States, </w:t>
      </w:r>
      <w:r w:rsidRPr="00976056">
        <w:rPr>
          <w:i/>
          <w:iCs/>
          <w:szCs w:val="22"/>
          <w:lang w:eastAsia="zh-TW"/>
        </w:rPr>
        <w:t>J. Geophys. Res.</w:t>
      </w:r>
      <w:r w:rsidRPr="00976056">
        <w:rPr>
          <w:szCs w:val="22"/>
          <w:lang w:eastAsia="zh-TW"/>
        </w:rPr>
        <w:t xml:space="preserve">, </w:t>
      </w:r>
      <w:r w:rsidRPr="00976056">
        <w:rPr>
          <w:i/>
          <w:iCs/>
          <w:szCs w:val="22"/>
          <w:lang w:eastAsia="zh-TW"/>
        </w:rPr>
        <w:t>121</w:t>
      </w:r>
      <w:r w:rsidRPr="00976056">
        <w:rPr>
          <w:szCs w:val="22"/>
          <w:lang w:eastAsia="zh-TW"/>
        </w:rPr>
        <w:t xml:space="preserve">, 9943–9963, </w:t>
      </w:r>
      <w:hyperlink r:id="rId282" w:history="1">
        <w:r w:rsidR="00347DCD" w:rsidRPr="00E00258">
          <w:rPr>
            <w:rStyle w:val="Hyperlink"/>
            <w:szCs w:val="22"/>
            <w:lang w:eastAsia="zh-TW"/>
          </w:rPr>
          <w:t>https://doi.org/10.1002/2016JD025285</w:t>
        </w:r>
      </w:hyperlink>
      <w:r w:rsidRPr="00976056">
        <w:rPr>
          <w:szCs w:val="22"/>
          <w:lang w:eastAsia="zh-TW"/>
        </w:rPr>
        <w:t>.</w:t>
      </w:r>
    </w:p>
    <w:p w14:paraId="43D5BCBD" w14:textId="5450E201" w:rsidR="005742FD" w:rsidRPr="00976056" w:rsidRDefault="005742FD" w:rsidP="00D91AF1">
      <w:pPr>
        <w:pStyle w:val="Refs"/>
        <w:ind w:left="360" w:hanging="360"/>
        <w:rPr>
          <w:szCs w:val="22"/>
          <w:lang w:eastAsia="zh-TW"/>
        </w:rPr>
      </w:pPr>
      <w:r w:rsidRPr="00976056">
        <w:rPr>
          <w:szCs w:val="22"/>
          <w:lang w:eastAsia="zh-TW"/>
        </w:rPr>
        <w:t xml:space="preserve">Ashfaq, M., L. C. Bowling, K. Cherkauer, J. S. Pal, and N. S. Diffenbaugh (2010), Influence of Climate Model Biases and Daily-scale Temperature and Precipitation Events on Hydrological Impacts Assessment: A Case Study of the United States, </w:t>
      </w:r>
      <w:r w:rsidRPr="00976056">
        <w:rPr>
          <w:i/>
          <w:iCs/>
          <w:szCs w:val="22"/>
          <w:lang w:eastAsia="zh-TW"/>
        </w:rPr>
        <w:t>J. Geophys. Res.</w:t>
      </w:r>
      <w:r w:rsidRPr="00976056">
        <w:rPr>
          <w:szCs w:val="22"/>
          <w:lang w:eastAsia="zh-TW"/>
        </w:rPr>
        <w:t xml:space="preserve">, </w:t>
      </w:r>
      <w:r w:rsidRPr="00976056">
        <w:rPr>
          <w:i/>
          <w:iCs/>
          <w:szCs w:val="22"/>
          <w:lang w:eastAsia="zh-TW"/>
        </w:rPr>
        <w:t>115</w:t>
      </w:r>
      <w:r w:rsidRPr="00976056">
        <w:rPr>
          <w:szCs w:val="22"/>
          <w:lang w:eastAsia="zh-TW"/>
        </w:rPr>
        <w:t xml:space="preserve">, D14116, </w:t>
      </w:r>
      <w:hyperlink r:id="rId283" w:history="1">
        <w:r w:rsidR="00347DCD" w:rsidRPr="00E00258">
          <w:rPr>
            <w:rStyle w:val="Hyperlink"/>
            <w:szCs w:val="22"/>
            <w:lang w:eastAsia="zh-TW"/>
          </w:rPr>
          <w:t>https://doi.org/10.1029/2009JD012965</w:t>
        </w:r>
      </w:hyperlink>
      <w:r w:rsidRPr="00976056">
        <w:rPr>
          <w:szCs w:val="22"/>
          <w:lang w:eastAsia="zh-TW"/>
        </w:rPr>
        <w:t>.</w:t>
      </w:r>
    </w:p>
    <w:p w14:paraId="79B68934" w14:textId="12755C87" w:rsidR="005742FD" w:rsidRPr="00976056" w:rsidRDefault="005742FD" w:rsidP="00D91AF1">
      <w:pPr>
        <w:pStyle w:val="Refs"/>
        <w:ind w:left="360" w:hanging="360"/>
        <w:rPr>
          <w:szCs w:val="22"/>
          <w:lang w:eastAsia="zh-TW"/>
        </w:rPr>
      </w:pPr>
      <w:r w:rsidRPr="00976056">
        <w:rPr>
          <w:szCs w:val="22"/>
          <w:lang w:eastAsia="zh-TW"/>
        </w:rPr>
        <w:t xml:space="preserve">Ashfaq, M., S. Ghosh, S.-C. Kao, L. C. Bowling, P. Mote, D. Touma, S. A. Rauscher, and N. S. Diffenbaugh (2013), Near-term Acceleration of Hydroclimatic Change in the Western US, </w:t>
      </w:r>
      <w:r w:rsidRPr="00976056">
        <w:rPr>
          <w:i/>
          <w:iCs/>
          <w:szCs w:val="22"/>
          <w:lang w:eastAsia="zh-TW"/>
        </w:rPr>
        <w:t>J. Geophys. Res.</w:t>
      </w:r>
      <w:r w:rsidRPr="00976056">
        <w:rPr>
          <w:szCs w:val="22"/>
          <w:lang w:eastAsia="zh-TW"/>
        </w:rPr>
        <w:t xml:space="preserve">, </w:t>
      </w:r>
      <w:r w:rsidRPr="00976056">
        <w:rPr>
          <w:i/>
          <w:iCs/>
          <w:szCs w:val="22"/>
          <w:lang w:eastAsia="zh-TW"/>
        </w:rPr>
        <w:t>118</w:t>
      </w:r>
      <w:r w:rsidRPr="00976056">
        <w:rPr>
          <w:szCs w:val="22"/>
          <w:lang w:eastAsia="zh-TW"/>
        </w:rPr>
        <w:t xml:space="preserve">, 10676–10693, </w:t>
      </w:r>
      <w:hyperlink r:id="rId284" w:history="1">
        <w:r w:rsidR="00347DCD" w:rsidRPr="00E00258">
          <w:rPr>
            <w:rStyle w:val="Hyperlink"/>
            <w:szCs w:val="22"/>
            <w:lang w:eastAsia="zh-TW"/>
          </w:rPr>
          <w:t>https://doi.org/10.1002/jgrd.50816</w:t>
        </w:r>
      </w:hyperlink>
      <w:r w:rsidRPr="00976056">
        <w:rPr>
          <w:szCs w:val="22"/>
          <w:lang w:eastAsia="zh-TW"/>
        </w:rPr>
        <w:t>.</w:t>
      </w:r>
    </w:p>
    <w:p w14:paraId="6ABA9B54" w14:textId="3A208EFC" w:rsidR="005742FD" w:rsidRPr="00976056" w:rsidRDefault="005742FD" w:rsidP="00D91AF1">
      <w:pPr>
        <w:pStyle w:val="Refs"/>
        <w:ind w:left="360" w:hanging="360"/>
        <w:rPr>
          <w:szCs w:val="22"/>
          <w:lang w:eastAsia="zh-TW"/>
        </w:rPr>
      </w:pPr>
      <w:r w:rsidRPr="00976056">
        <w:rPr>
          <w:szCs w:val="22"/>
          <w:lang w:eastAsia="zh-TW"/>
        </w:rPr>
        <w:t xml:space="preserve">Auffhammer, M., P. Baylis, and C. Hausman (2017), Climate Change Is Projected to Have </w:t>
      </w:r>
      <w:r w:rsidRPr="00976056">
        <w:rPr>
          <w:szCs w:val="22"/>
          <w:lang w:eastAsia="zh-TW"/>
        </w:rPr>
        <w:br/>
        <w:t xml:space="preserve">Severe Impacts on the Frequency and Intensity of Peak Electricity Demand Across the United States, </w:t>
      </w:r>
      <w:r w:rsidRPr="00976056">
        <w:rPr>
          <w:i/>
          <w:iCs/>
          <w:szCs w:val="22"/>
          <w:lang w:eastAsia="zh-TW"/>
        </w:rPr>
        <w:t>P. Natl. Acad. Sci.</w:t>
      </w:r>
      <w:r w:rsidRPr="00976056">
        <w:rPr>
          <w:szCs w:val="22"/>
          <w:lang w:eastAsia="zh-TW"/>
        </w:rPr>
        <w:t xml:space="preserve">, </w:t>
      </w:r>
      <w:r w:rsidRPr="00976056">
        <w:rPr>
          <w:i/>
          <w:iCs/>
          <w:szCs w:val="22"/>
          <w:lang w:eastAsia="zh-TW"/>
        </w:rPr>
        <w:t>114</w:t>
      </w:r>
      <w:r w:rsidRPr="00976056">
        <w:rPr>
          <w:szCs w:val="22"/>
          <w:lang w:eastAsia="zh-TW"/>
        </w:rPr>
        <w:t xml:space="preserve">(8), 1886–1891, </w:t>
      </w:r>
      <w:hyperlink r:id="rId285" w:history="1">
        <w:r w:rsidR="00347DCD" w:rsidRPr="00E00258">
          <w:rPr>
            <w:rStyle w:val="Hyperlink"/>
            <w:szCs w:val="22"/>
            <w:lang w:eastAsia="zh-TW"/>
          </w:rPr>
          <w:t>https://doi.org/10.1073/pnas.1613193114</w:t>
        </w:r>
      </w:hyperlink>
      <w:r w:rsidRPr="00976056">
        <w:rPr>
          <w:szCs w:val="22"/>
          <w:lang w:eastAsia="zh-TW"/>
        </w:rPr>
        <w:t>.</w:t>
      </w:r>
    </w:p>
    <w:p w14:paraId="13E5E712" w14:textId="58B18617" w:rsidR="005742FD" w:rsidRPr="00976056" w:rsidRDefault="005742FD" w:rsidP="00D91AF1">
      <w:pPr>
        <w:pStyle w:val="Refs"/>
        <w:ind w:left="360" w:hanging="360"/>
        <w:rPr>
          <w:szCs w:val="22"/>
          <w:lang w:eastAsia="zh-TW"/>
        </w:rPr>
      </w:pPr>
      <w:r w:rsidRPr="00976056">
        <w:rPr>
          <w:szCs w:val="22"/>
          <w:lang w:eastAsia="zh-TW"/>
        </w:rPr>
        <w:t xml:space="preserve">Ban, Z., T. Das, D. Cayan, M. Xiao, and D. P. Lettenmaier (2020), Understanding the Asymmetry of Annual Streamflow Responses to Seasonal Warming in the Western United States, </w:t>
      </w:r>
      <w:r w:rsidRPr="00976056">
        <w:rPr>
          <w:i/>
          <w:iCs/>
          <w:szCs w:val="22"/>
          <w:lang w:eastAsia="zh-TW"/>
        </w:rPr>
        <w:t>Water Resour. Res.</w:t>
      </w:r>
      <w:r w:rsidRPr="00976056">
        <w:rPr>
          <w:szCs w:val="22"/>
          <w:lang w:eastAsia="zh-TW"/>
        </w:rPr>
        <w:t xml:space="preserve">, </w:t>
      </w:r>
      <w:r w:rsidRPr="00976056">
        <w:rPr>
          <w:i/>
          <w:iCs/>
          <w:szCs w:val="22"/>
          <w:lang w:eastAsia="zh-TW"/>
        </w:rPr>
        <w:t>56</w:t>
      </w:r>
      <w:r w:rsidRPr="00976056">
        <w:rPr>
          <w:szCs w:val="22"/>
          <w:lang w:eastAsia="zh-TW"/>
        </w:rPr>
        <w:t xml:space="preserve">, e2020WR027158, </w:t>
      </w:r>
      <w:hyperlink r:id="rId286" w:history="1">
        <w:r w:rsidR="00347DCD" w:rsidRPr="00E00258">
          <w:rPr>
            <w:rStyle w:val="Hyperlink"/>
            <w:szCs w:val="22"/>
            <w:lang w:eastAsia="zh-TW"/>
          </w:rPr>
          <w:t>https://doi.org/10.1029/2020WR027158</w:t>
        </w:r>
      </w:hyperlink>
      <w:r w:rsidRPr="00976056">
        <w:rPr>
          <w:szCs w:val="22"/>
          <w:lang w:eastAsia="zh-TW"/>
        </w:rPr>
        <w:t>.</w:t>
      </w:r>
    </w:p>
    <w:p w14:paraId="75DE532F" w14:textId="2B1A5860" w:rsidR="005742FD" w:rsidRPr="00976056" w:rsidRDefault="005742FD" w:rsidP="006D30F3">
      <w:pPr>
        <w:pStyle w:val="Refs"/>
        <w:ind w:left="360" w:hanging="360"/>
        <w:rPr>
          <w:szCs w:val="22"/>
        </w:rPr>
      </w:pPr>
      <w:r w:rsidRPr="00976056">
        <w:rPr>
          <w:szCs w:val="22"/>
        </w:rPr>
        <w:t xml:space="preserve">Beigi, E., and F. Tsai (2014), GIS-based Water Budget Framework for High-resolution Groundwater Recharge Estimation of Large-scale Humid Regions, </w:t>
      </w:r>
      <w:r w:rsidRPr="00976056">
        <w:rPr>
          <w:i/>
          <w:szCs w:val="22"/>
        </w:rPr>
        <w:t>J. Hydrol. Eng.</w:t>
      </w:r>
      <w:r w:rsidRPr="00976056">
        <w:rPr>
          <w:szCs w:val="22"/>
        </w:rPr>
        <w:t xml:space="preserve">, </w:t>
      </w:r>
      <w:r w:rsidRPr="00976056">
        <w:rPr>
          <w:i/>
          <w:szCs w:val="22"/>
        </w:rPr>
        <w:t>19</w:t>
      </w:r>
      <w:r w:rsidRPr="00976056">
        <w:rPr>
          <w:szCs w:val="22"/>
        </w:rPr>
        <w:t xml:space="preserve">(8), 05014004, </w:t>
      </w:r>
      <w:hyperlink r:id="rId287" w:history="1">
        <w:r w:rsidR="00347DCD" w:rsidRPr="00E00258">
          <w:rPr>
            <w:rStyle w:val="Hyperlink"/>
            <w:szCs w:val="22"/>
          </w:rPr>
          <w:t>https://doi.org/10.1061/(ASCE)HE.1943-5584.0000993</w:t>
        </w:r>
      </w:hyperlink>
      <w:r w:rsidRPr="00976056">
        <w:rPr>
          <w:szCs w:val="22"/>
        </w:rPr>
        <w:t>.</w:t>
      </w:r>
    </w:p>
    <w:p w14:paraId="6D2A345F" w14:textId="1D3AEE54" w:rsidR="005742FD" w:rsidRDefault="005742FD" w:rsidP="00D91AF1">
      <w:pPr>
        <w:pStyle w:val="Refs"/>
        <w:ind w:left="360" w:hanging="360"/>
        <w:rPr>
          <w:szCs w:val="22"/>
          <w:lang w:eastAsia="zh-TW"/>
        </w:rPr>
      </w:pPr>
      <w:r w:rsidRPr="00976056">
        <w:rPr>
          <w:szCs w:val="22"/>
          <w:lang w:eastAsia="zh-TW"/>
        </w:rPr>
        <w:t>Biemans, H., I. Haddeland, P. Kabat, F. Ludwig, R. W. A. Hutjes, J. Heinke, W. von Bloh, and D. Gerten (2011), Impact of Reservoirs on River Discharge and Irrigation Water Supply During the 20</w:t>
      </w:r>
      <w:r w:rsidR="00FA458A" w:rsidRPr="00FA458A">
        <w:rPr>
          <w:szCs w:val="22"/>
          <w:lang w:eastAsia="zh-TW"/>
        </w:rPr>
        <w:t>th</w:t>
      </w:r>
      <w:r w:rsidRPr="00976056">
        <w:rPr>
          <w:szCs w:val="22"/>
          <w:lang w:eastAsia="zh-TW"/>
        </w:rPr>
        <w:t xml:space="preserve"> Century, </w:t>
      </w:r>
      <w:r w:rsidRPr="00976056">
        <w:rPr>
          <w:i/>
          <w:iCs/>
          <w:szCs w:val="22"/>
          <w:lang w:eastAsia="zh-TW"/>
        </w:rPr>
        <w:t>Water Resour. Res.</w:t>
      </w:r>
      <w:r w:rsidRPr="00976056">
        <w:rPr>
          <w:szCs w:val="22"/>
          <w:lang w:eastAsia="zh-TW"/>
        </w:rPr>
        <w:t xml:space="preserve">, </w:t>
      </w:r>
      <w:r w:rsidRPr="00976056">
        <w:rPr>
          <w:i/>
          <w:iCs/>
          <w:szCs w:val="22"/>
          <w:lang w:eastAsia="zh-TW"/>
        </w:rPr>
        <w:t>47</w:t>
      </w:r>
      <w:r w:rsidRPr="00976056">
        <w:rPr>
          <w:szCs w:val="22"/>
          <w:lang w:eastAsia="zh-TW"/>
        </w:rPr>
        <w:t xml:space="preserve">, W03509, </w:t>
      </w:r>
      <w:hyperlink r:id="rId288" w:history="1">
        <w:r w:rsidR="00347DCD" w:rsidRPr="00E00258">
          <w:rPr>
            <w:rStyle w:val="Hyperlink"/>
            <w:szCs w:val="22"/>
            <w:lang w:eastAsia="zh-TW"/>
          </w:rPr>
          <w:t>https://doi.org/10.1029/2009WR008929</w:t>
        </w:r>
      </w:hyperlink>
      <w:r w:rsidRPr="00976056">
        <w:rPr>
          <w:szCs w:val="22"/>
          <w:lang w:eastAsia="zh-TW"/>
        </w:rPr>
        <w:t>.</w:t>
      </w:r>
    </w:p>
    <w:p w14:paraId="301C993C" w14:textId="0262A8DD" w:rsidR="008436A7" w:rsidRPr="008436A7" w:rsidRDefault="008436A7" w:rsidP="008436A7">
      <w:pPr>
        <w:pStyle w:val="Refs"/>
        <w:ind w:left="360" w:hanging="360"/>
        <w:rPr>
          <w:szCs w:val="22"/>
          <w:lang w:eastAsia="zh-TW"/>
        </w:rPr>
      </w:pPr>
      <w:r w:rsidRPr="008436A7">
        <w:rPr>
          <w:szCs w:val="22"/>
          <w:lang w:eastAsia="zh-TW"/>
        </w:rPr>
        <w:t xml:space="preserve">Bohn, T. J., </w:t>
      </w:r>
      <w:r>
        <w:rPr>
          <w:szCs w:val="22"/>
          <w:lang w:eastAsia="zh-TW"/>
        </w:rPr>
        <w:t xml:space="preserve">B. </w:t>
      </w:r>
      <w:r w:rsidRPr="008436A7">
        <w:rPr>
          <w:szCs w:val="22"/>
          <w:lang w:eastAsia="zh-TW"/>
        </w:rPr>
        <w:t xml:space="preserve">Livneh, </w:t>
      </w:r>
      <w:r>
        <w:rPr>
          <w:szCs w:val="22"/>
          <w:lang w:eastAsia="zh-TW"/>
        </w:rPr>
        <w:t>J. W.</w:t>
      </w:r>
      <w:r w:rsidRPr="008436A7">
        <w:rPr>
          <w:szCs w:val="22"/>
          <w:lang w:eastAsia="zh-TW"/>
        </w:rPr>
        <w:t xml:space="preserve"> Oyler, </w:t>
      </w:r>
      <w:r>
        <w:rPr>
          <w:szCs w:val="22"/>
          <w:lang w:eastAsia="zh-TW"/>
        </w:rPr>
        <w:t>S. W.</w:t>
      </w:r>
      <w:r w:rsidRPr="008436A7">
        <w:rPr>
          <w:szCs w:val="22"/>
          <w:lang w:eastAsia="zh-TW"/>
        </w:rPr>
        <w:t xml:space="preserve"> Running, </w:t>
      </w:r>
      <w:r>
        <w:rPr>
          <w:szCs w:val="22"/>
          <w:lang w:eastAsia="zh-TW"/>
        </w:rPr>
        <w:t>B.</w:t>
      </w:r>
      <w:r w:rsidRPr="008436A7">
        <w:rPr>
          <w:szCs w:val="22"/>
          <w:lang w:eastAsia="zh-TW"/>
        </w:rPr>
        <w:t xml:space="preserve"> Nijssen, </w:t>
      </w:r>
      <w:r>
        <w:rPr>
          <w:szCs w:val="22"/>
          <w:lang w:eastAsia="zh-TW"/>
        </w:rPr>
        <w:t>and D. P.</w:t>
      </w:r>
      <w:r w:rsidRPr="008436A7">
        <w:rPr>
          <w:szCs w:val="22"/>
          <w:lang w:eastAsia="zh-TW"/>
        </w:rPr>
        <w:t xml:space="preserve"> Lettenmaier (2013)</w:t>
      </w:r>
      <w:r>
        <w:rPr>
          <w:szCs w:val="22"/>
          <w:lang w:eastAsia="zh-TW"/>
        </w:rPr>
        <w:t>,</w:t>
      </w:r>
      <w:r w:rsidRPr="008436A7">
        <w:rPr>
          <w:szCs w:val="22"/>
          <w:lang w:eastAsia="zh-TW"/>
        </w:rPr>
        <w:t xml:space="preserve"> Global Evaluation of MTCLIM </w:t>
      </w:r>
      <w:r>
        <w:rPr>
          <w:szCs w:val="22"/>
          <w:lang w:eastAsia="zh-TW"/>
        </w:rPr>
        <w:t>a</w:t>
      </w:r>
      <w:r w:rsidRPr="008436A7">
        <w:rPr>
          <w:szCs w:val="22"/>
          <w:lang w:eastAsia="zh-TW"/>
        </w:rPr>
        <w:t xml:space="preserve">nd Related Algorithms </w:t>
      </w:r>
      <w:r>
        <w:rPr>
          <w:szCs w:val="22"/>
          <w:lang w:eastAsia="zh-TW"/>
        </w:rPr>
        <w:t>f</w:t>
      </w:r>
      <w:r w:rsidRPr="008436A7">
        <w:rPr>
          <w:szCs w:val="22"/>
          <w:lang w:eastAsia="zh-TW"/>
        </w:rPr>
        <w:t xml:space="preserve">or Forcing </w:t>
      </w:r>
      <w:r>
        <w:rPr>
          <w:szCs w:val="22"/>
          <w:lang w:eastAsia="zh-TW"/>
        </w:rPr>
        <w:t>o</w:t>
      </w:r>
      <w:r w:rsidRPr="008436A7">
        <w:rPr>
          <w:szCs w:val="22"/>
          <w:lang w:eastAsia="zh-TW"/>
        </w:rPr>
        <w:t xml:space="preserve">f Ecological </w:t>
      </w:r>
      <w:r>
        <w:rPr>
          <w:szCs w:val="22"/>
          <w:lang w:eastAsia="zh-TW"/>
        </w:rPr>
        <w:t>a</w:t>
      </w:r>
      <w:r w:rsidRPr="008436A7">
        <w:rPr>
          <w:szCs w:val="22"/>
          <w:lang w:eastAsia="zh-TW"/>
        </w:rPr>
        <w:t>nd Hydrological Models</w:t>
      </w:r>
      <w:r>
        <w:rPr>
          <w:szCs w:val="22"/>
          <w:lang w:eastAsia="zh-TW"/>
        </w:rPr>
        <w:t>,</w:t>
      </w:r>
      <w:r w:rsidRPr="008436A7">
        <w:rPr>
          <w:szCs w:val="22"/>
          <w:lang w:eastAsia="zh-TW"/>
        </w:rPr>
        <w:t xml:space="preserve"> </w:t>
      </w:r>
      <w:r w:rsidRPr="009C602C">
        <w:rPr>
          <w:i/>
          <w:iCs/>
          <w:szCs w:val="22"/>
          <w:lang w:eastAsia="zh-TW"/>
        </w:rPr>
        <w:t>Agr</w:t>
      </w:r>
      <w:r w:rsidR="009C602C" w:rsidRPr="009C602C">
        <w:rPr>
          <w:i/>
          <w:iCs/>
          <w:szCs w:val="22"/>
          <w:lang w:eastAsia="zh-TW"/>
        </w:rPr>
        <w:t>.</w:t>
      </w:r>
      <w:r w:rsidRPr="009C602C">
        <w:rPr>
          <w:i/>
          <w:iCs/>
          <w:szCs w:val="22"/>
          <w:lang w:eastAsia="zh-TW"/>
        </w:rPr>
        <w:t xml:space="preserve"> </w:t>
      </w:r>
      <w:r w:rsidR="009C602C" w:rsidRPr="009C602C">
        <w:rPr>
          <w:i/>
          <w:iCs/>
          <w:szCs w:val="22"/>
          <w:lang w:eastAsia="zh-TW"/>
        </w:rPr>
        <w:t>F</w:t>
      </w:r>
      <w:r w:rsidRPr="009C602C">
        <w:rPr>
          <w:i/>
          <w:iCs/>
          <w:szCs w:val="22"/>
          <w:lang w:eastAsia="zh-TW"/>
        </w:rPr>
        <w:t xml:space="preserve">orest </w:t>
      </w:r>
      <w:r w:rsidR="009C602C" w:rsidRPr="009C602C">
        <w:rPr>
          <w:i/>
          <w:iCs/>
          <w:szCs w:val="22"/>
          <w:lang w:eastAsia="zh-TW"/>
        </w:rPr>
        <w:t>M</w:t>
      </w:r>
      <w:r w:rsidRPr="009C602C">
        <w:rPr>
          <w:i/>
          <w:iCs/>
          <w:szCs w:val="22"/>
          <w:lang w:eastAsia="zh-TW"/>
        </w:rPr>
        <w:t>eteorol</w:t>
      </w:r>
      <w:r w:rsidR="009C602C" w:rsidRPr="009C602C">
        <w:rPr>
          <w:i/>
          <w:iCs/>
          <w:szCs w:val="22"/>
          <w:lang w:eastAsia="zh-TW"/>
        </w:rPr>
        <w:t>.</w:t>
      </w:r>
      <w:r w:rsidRPr="008436A7">
        <w:rPr>
          <w:szCs w:val="22"/>
          <w:lang w:eastAsia="zh-TW"/>
        </w:rPr>
        <w:t xml:space="preserve">, </w:t>
      </w:r>
      <w:r w:rsidRPr="009C602C">
        <w:rPr>
          <w:i/>
          <w:iCs/>
          <w:szCs w:val="22"/>
          <w:lang w:eastAsia="zh-TW"/>
        </w:rPr>
        <w:t>176</w:t>
      </w:r>
      <w:r w:rsidRPr="008436A7">
        <w:rPr>
          <w:szCs w:val="22"/>
          <w:lang w:eastAsia="zh-TW"/>
        </w:rPr>
        <w:t>, 38</w:t>
      </w:r>
      <w:r w:rsidR="009C602C">
        <w:rPr>
          <w:szCs w:val="22"/>
          <w:lang w:eastAsia="zh-TW"/>
        </w:rPr>
        <w:t>–</w:t>
      </w:r>
      <w:r w:rsidRPr="008436A7">
        <w:rPr>
          <w:szCs w:val="22"/>
          <w:lang w:eastAsia="zh-TW"/>
        </w:rPr>
        <w:t>49</w:t>
      </w:r>
      <w:r w:rsidR="009C602C">
        <w:rPr>
          <w:szCs w:val="22"/>
          <w:lang w:eastAsia="zh-TW"/>
        </w:rPr>
        <w:t xml:space="preserve">, </w:t>
      </w:r>
      <w:hyperlink r:id="rId289" w:history="1">
        <w:r w:rsidR="00347DCD" w:rsidRPr="00E00258">
          <w:rPr>
            <w:rStyle w:val="Hyperlink"/>
            <w:szCs w:val="22"/>
            <w:lang w:eastAsia="zh-TW"/>
          </w:rPr>
          <w:t>https://doi.org/10.1016/j.agrformet.2013.03.003</w:t>
        </w:r>
      </w:hyperlink>
      <w:r w:rsidR="009C602C">
        <w:rPr>
          <w:szCs w:val="22"/>
          <w:lang w:eastAsia="zh-TW"/>
        </w:rPr>
        <w:t>.</w:t>
      </w:r>
    </w:p>
    <w:p w14:paraId="07281BEC" w14:textId="1341AECB" w:rsidR="005742FD" w:rsidRPr="00976056" w:rsidRDefault="005742FD" w:rsidP="00D91AF1">
      <w:pPr>
        <w:pStyle w:val="Refs"/>
        <w:ind w:left="360" w:hanging="360"/>
        <w:rPr>
          <w:szCs w:val="22"/>
          <w:lang w:eastAsia="zh-TW"/>
        </w:rPr>
      </w:pPr>
      <w:r w:rsidRPr="00976056">
        <w:rPr>
          <w:szCs w:val="22"/>
          <w:lang w:eastAsia="zh-TW"/>
        </w:rPr>
        <w:lastRenderedPageBreak/>
        <w:t xml:space="preserve">Bosshard, T., M. Carambia, K. Goergen, S. Kotlarski, P. Krahe, M. Zappa, and C. Schär (2013), Quantifying Uncertainty Sources in An Ensemble of Hydrological Climate-impact Projections, </w:t>
      </w:r>
      <w:r w:rsidRPr="00976056">
        <w:rPr>
          <w:i/>
          <w:iCs/>
          <w:szCs w:val="22"/>
          <w:lang w:eastAsia="zh-TW"/>
        </w:rPr>
        <w:t>Water Resour. Res.</w:t>
      </w:r>
      <w:r w:rsidRPr="00976056">
        <w:rPr>
          <w:szCs w:val="22"/>
          <w:lang w:eastAsia="zh-TW"/>
        </w:rPr>
        <w:t xml:space="preserve">, </w:t>
      </w:r>
      <w:r w:rsidRPr="00976056">
        <w:rPr>
          <w:i/>
          <w:iCs/>
          <w:szCs w:val="22"/>
          <w:lang w:eastAsia="zh-TW"/>
        </w:rPr>
        <w:t>49</w:t>
      </w:r>
      <w:r w:rsidRPr="00976056">
        <w:rPr>
          <w:szCs w:val="22"/>
          <w:lang w:eastAsia="zh-TW"/>
        </w:rPr>
        <w:t xml:space="preserve">, 1523–1536, </w:t>
      </w:r>
      <w:hyperlink r:id="rId290" w:history="1">
        <w:r w:rsidR="00347DCD" w:rsidRPr="00E00258">
          <w:rPr>
            <w:rStyle w:val="Hyperlink"/>
            <w:szCs w:val="22"/>
            <w:lang w:eastAsia="zh-TW"/>
          </w:rPr>
          <w:t>https://doi.org/10.1029/2011WR011533</w:t>
        </w:r>
      </w:hyperlink>
      <w:r w:rsidRPr="00976056">
        <w:rPr>
          <w:szCs w:val="22"/>
          <w:lang w:eastAsia="zh-TW"/>
        </w:rPr>
        <w:t>.</w:t>
      </w:r>
    </w:p>
    <w:p w14:paraId="28C3E681" w14:textId="4EAAB2E3" w:rsidR="005742FD" w:rsidRPr="00976056" w:rsidRDefault="005742FD" w:rsidP="00FF21C0">
      <w:pPr>
        <w:pStyle w:val="Refs"/>
        <w:ind w:left="360" w:hanging="360"/>
        <w:rPr>
          <w:szCs w:val="22"/>
        </w:rPr>
      </w:pPr>
      <w:r w:rsidRPr="00976056">
        <w:rPr>
          <w:szCs w:val="22"/>
        </w:rPr>
        <w:t xml:space="preserve">Brakebill, J. W., D. M. Wolock, and S. E. Terziotti (2011), Digital Hydrologic Networks Supporting Applications Related to Spatially Referenced Regression Modeling, </w:t>
      </w:r>
      <w:r w:rsidRPr="00976056">
        <w:rPr>
          <w:i/>
          <w:szCs w:val="22"/>
        </w:rPr>
        <w:t>J. Am. Water Resour. Assoc.</w:t>
      </w:r>
      <w:r w:rsidRPr="00976056">
        <w:rPr>
          <w:szCs w:val="22"/>
        </w:rPr>
        <w:t xml:space="preserve">, </w:t>
      </w:r>
      <w:r w:rsidRPr="00976056">
        <w:rPr>
          <w:i/>
          <w:szCs w:val="22"/>
        </w:rPr>
        <w:t>47</w:t>
      </w:r>
      <w:r w:rsidRPr="00976056">
        <w:rPr>
          <w:szCs w:val="22"/>
        </w:rPr>
        <w:t xml:space="preserve">(5), 916–932, </w:t>
      </w:r>
      <w:hyperlink r:id="rId291" w:history="1">
        <w:r w:rsidR="00347DCD" w:rsidRPr="00E00258">
          <w:rPr>
            <w:rStyle w:val="Hyperlink"/>
            <w:szCs w:val="22"/>
          </w:rPr>
          <w:t>https://doi.org/10.1111/j.1752-1688.2011.00578.x</w:t>
        </w:r>
      </w:hyperlink>
      <w:r w:rsidRPr="00976056">
        <w:rPr>
          <w:szCs w:val="22"/>
        </w:rPr>
        <w:t>.</w:t>
      </w:r>
    </w:p>
    <w:p w14:paraId="7E6EBE6C" w14:textId="3A5044AA" w:rsidR="005742FD" w:rsidRPr="00976056" w:rsidRDefault="005742FD" w:rsidP="00D34C60">
      <w:pPr>
        <w:pStyle w:val="Refs"/>
        <w:ind w:left="360" w:hanging="360"/>
        <w:rPr>
          <w:szCs w:val="22"/>
          <w:lang w:eastAsia="zh-TW"/>
        </w:rPr>
      </w:pPr>
      <w:r w:rsidRPr="00976056">
        <w:rPr>
          <w:szCs w:val="22"/>
        </w:rPr>
        <w:t xml:space="preserve">Brekke, L., B.L. Thrasher, E.P. Maurer, and T. Pruitt (2013), </w:t>
      </w:r>
      <w:r w:rsidRPr="00976056">
        <w:rPr>
          <w:i/>
          <w:szCs w:val="22"/>
        </w:rPr>
        <w:t>Downscaled CMIP3 and CMIP5 climate and hydrology projections: Release of downscaled CMIP5 climate projections, comparison with preceding information, and summary of user needs</w:t>
      </w:r>
      <w:r w:rsidRPr="00976056">
        <w:rPr>
          <w:szCs w:val="22"/>
        </w:rPr>
        <w:t>, US Department of the Interior, US Bureau of Reclamation, Technical Services Center, Denver, CO.</w:t>
      </w:r>
    </w:p>
    <w:p w14:paraId="798C3416" w14:textId="7C5C10BC" w:rsidR="005742FD" w:rsidRDefault="005742FD" w:rsidP="00D91AF1">
      <w:pPr>
        <w:pStyle w:val="Refs"/>
        <w:ind w:left="360" w:hanging="360"/>
        <w:rPr>
          <w:szCs w:val="22"/>
          <w:lang w:eastAsia="zh-TW"/>
        </w:rPr>
      </w:pPr>
      <w:r w:rsidRPr="00976056">
        <w:rPr>
          <w:szCs w:val="22"/>
          <w:lang w:eastAsia="zh-TW"/>
        </w:rPr>
        <w:t xml:space="preserve">Chegwidden, O. S., B. Nijssen, D. E. Rupp, J. R. Arnold, M. P. Clark, J. J. Hamman, S.-C. Kao, Y. Mao, N. Mizukami, P. Mote, M. Pan, E. Pytlak, and M. Xiao (2019), How do Modeling Decisions Affect the Spread among Hydrologic Climate Change Projections? Exploring a Large Ensemble of Simulations across a Diversity of Hydroclimates, </w:t>
      </w:r>
      <w:r w:rsidRPr="00976056">
        <w:rPr>
          <w:i/>
          <w:iCs/>
          <w:szCs w:val="22"/>
          <w:lang w:eastAsia="zh-TW"/>
        </w:rPr>
        <w:t>Earth</w:t>
      </w:r>
      <w:r w:rsidR="00805545">
        <w:rPr>
          <w:i/>
          <w:iCs/>
          <w:szCs w:val="22"/>
          <w:lang w:eastAsia="zh-TW"/>
        </w:rPr>
        <w:t>’</w:t>
      </w:r>
      <w:r w:rsidRPr="00976056">
        <w:rPr>
          <w:i/>
          <w:iCs/>
          <w:szCs w:val="22"/>
          <w:lang w:eastAsia="zh-TW"/>
        </w:rPr>
        <w:t>s Future</w:t>
      </w:r>
      <w:r w:rsidRPr="00976056">
        <w:rPr>
          <w:szCs w:val="22"/>
          <w:lang w:eastAsia="zh-TW"/>
        </w:rPr>
        <w:t xml:space="preserve">, </w:t>
      </w:r>
      <w:r w:rsidRPr="00976056">
        <w:rPr>
          <w:i/>
          <w:iCs/>
          <w:szCs w:val="22"/>
          <w:lang w:eastAsia="zh-TW"/>
        </w:rPr>
        <w:t>7</w:t>
      </w:r>
      <w:r w:rsidRPr="00976056">
        <w:rPr>
          <w:szCs w:val="22"/>
          <w:lang w:eastAsia="zh-TW"/>
        </w:rPr>
        <w:t xml:space="preserve">, 623–637, </w:t>
      </w:r>
      <w:hyperlink r:id="rId292" w:history="1">
        <w:r w:rsidR="00347DCD" w:rsidRPr="00E00258">
          <w:rPr>
            <w:rStyle w:val="Hyperlink"/>
            <w:szCs w:val="22"/>
            <w:lang w:eastAsia="zh-TW"/>
          </w:rPr>
          <w:t>https://doi.org/10.1029/2018EF001047</w:t>
        </w:r>
      </w:hyperlink>
      <w:r w:rsidRPr="00976056">
        <w:rPr>
          <w:szCs w:val="22"/>
          <w:lang w:eastAsia="zh-TW"/>
        </w:rPr>
        <w:t>.</w:t>
      </w:r>
    </w:p>
    <w:p w14:paraId="7E26BADC" w14:textId="716B2CAF" w:rsidR="00BD6124" w:rsidRPr="00976056" w:rsidRDefault="00BD6124" w:rsidP="00D91AF1">
      <w:pPr>
        <w:pStyle w:val="Refs"/>
        <w:ind w:left="360" w:hanging="360"/>
        <w:rPr>
          <w:szCs w:val="22"/>
          <w:lang w:eastAsia="zh-TW"/>
        </w:rPr>
      </w:pPr>
      <w:r w:rsidRPr="00BD6124">
        <w:rPr>
          <w:szCs w:val="22"/>
          <w:lang w:eastAsia="zh-TW"/>
        </w:rPr>
        <w:t xml:space="preserve">Chegwidden, O. S., </w:t>
      </w:r>
      <w:r>
        <w:rPr>
          <w:szCs w:val="22"/>
          <w:lang w:eastAsia="zh-TW"/>
        </w:rPr>
        <w:t xml:space="preserve">D. E. </w:t>
      </w:r>
      <w:r w:rsidRPr="00BD6124">
        <w:rPr>
          <w:szCs w:val="22"/>
          <w:lang w:eastAsia="zh-TW"/>
        </w:rPr>
        <w:t xml:space="preserve">Rupp, </w:t>
      </w:r>
      <w:r>
        <w:rPr>
          <w:szCs w:val="22"/>
          <w:lang w:eastAsia="zh-TW"/>
        </w:rPr>
        <w:t>and</w:t>
      </w:r>
      <w:r w:rsidRPr="00BD6124">
        <w:rPr>
          <w:szCs w:val="22"/>
          <w:lang w:eastAsia="zh-TW"/>
        </w:rPr>
        <w:t xml:space="preserve"> </w:t>
      </w:r>
      <w:r>
        <w:rPr>
          <w:szCs w:val="22"/>
          <w:lang w:eastAsia="zh-TW"/>
        </w:rPr>
        <w:t xml:space="preserve">B. </w:t>
      </w:r>
      <w:r w:rsidRPr="00BD6124">
        <w:rPr>
          <w:szCs w:val="22"/>
          <w:lang w:eastAsia="zh-TW"/>
        </w:rPr>
        <w:t>Nijssen (2020)</w:t>
      </w:r>
      <w:r>
        <w:rPr>
          <w:szCs w:val="22"/>
          <w:lang w:eastAsia="zh-TW"/>
        </w:rPr>
        <w:t>,</w:t>
      </w:r>
      <w:r w:rsidRPr="00BD6124">
        <w:rPr>
          <w:szCs w:val="22"/>
          <w:lang w:eastAsia="zh-TW"/>
        </w:rPr>
        <w:t xml:space="preserve"> Climate Change Alters Flood Magnitudes </w:t>
      </w:r>
      <w:r>
        <w:rPr>
          <w:szCs w:val="22"/>
          <w:lang w:eastAsia="zh-TW"/>
        </w:rPr>
        <w:t>a</w:t>
      </w:r>
      <w:r w:rsidRPr="00BD6124">
        <w:rPr>
          <w:szCs w:val="22"/>
          <w:lang w:eastAsia="zh-TW"/>
        </w:rPr>
        <w:t xml:space="preserve">nd Mechanisms </w:t>
      </w:r>
      <w:r>
        <w:rPr>
          <w:szCs w:val="22"/>
          <w:lang w:eastAsia="zh-TW"/>
        </w:rPr>
        <w:t>i</w:t>
      </w:r>
      <w:r w:rsidRPr="00BD6124">
        <w:rPr>
          <w:szCs w:val="22"/>
          <w:lang w:eastAsia="zh-TW"/>
        </w:rPr>
        <w:t xml:space="preserve">n Climatically-Diverse Headwaters Across </w:t>
      </w:r>
      <w:r>
        <w:rPr>
          <w:szCs w:val="22"/>
          <w:lang w:eastAsia="zh-TW"/>
        </w:rPr>
        <w:t>t</w:t>
      </w:r>
      <w:r w:rsidRPr="00BD6124">
        <w:rPr>
          <w:szCs w:val="22"/>
          <w:lang w:eastAsia="zh-TW"/>
        </w:rPr>
        <w:t>he Northwestern United States</w:t>
      </w:r>
      <w:r>
        <w:rPr>
          <w:szCs w:val="22"/>
          <w:lang w:eastAsia="zh-TW"/>
        </w:rPr>
        <w:t>,</w:t>
      </w:r>
      <w:r w:rsidRPr="00BD6124">
        <w:rPr>
          <w:szCs w:val="22"/>
          <w:lang w:eastAsia="zh-TW"/>
        </w:rPr>
        <w:t xml:space="preserve"> </w:t>
      </w:r>
      <w:r w:rsidRPr="00BD6124">
        <w:rPr>
          <w:i/>
          <w:iCs/>
          <w:szCs w:val="22"/>
          <w:lang w:eastAsia="zh-TW"/>
        </w:rPr>
        <w:t>Environ. Res. Lett.</w:t>
      </w:r>
      <w:r w:rsidRPr="00BD6124">
        <w:rPr>
          <w:szCs w:val="22"/>
          <w:lang w:eastAsia="zh-TW"/>
        </w:rPr>
        <w:t xml:space="preserve">, </w:t>
      </w:r>
      <w:r w:rsidRPr="00BD6124">
        <w:rPr>
          <w:i/>
          <w:iCs/>
          <w:szCs w:val="22"/>
          <w:lang w:eastAsia="zh-TW"/>
        </w:rPr>
        <w:t>15</w:t>
      </w:r>
      <w:r w:rsidRPr="00BD6124">
        <w:rPr>
          <w:szCs w:val="22"/>
          <w:lang w:eastAsia="zh-TW"/>
        </w:rPr>
        <w:t>(9), 094048</w:t>
      </w:r>
      <w:r>
        <w:rPr>
          <w:szCs w:val="22"/>
          <w:lang w:eastAsia="zh-TW"/>
        </w:rPr>
        <w:t xml:space="preserve">, </w:t>
      </w:r>
      <w:hyperlink r:id="rId293" w:history="1">
        <w:r w:rsidR="00347DCD" w:rsidRPr="00E00258">
          <w:rPr>
            <w:rStyle w:val="Hyperlink"/>
            <w:szCs w:val="22"/>
            <w:lang w:eastAsia="zh-TW"/>
          </w:rPr>
          <w:t>https://doi.org/10.1088/1748-9326/ab986f</w:t>
        </w:r>
      </w:hyperlink>
      <w:r>
        <w:rPr>
          <w:szCs w:val="22"/>
          <w:lang w:eastAsia="zh-TW"/>
        </w:rPr>
        <w:t>.</w:t>
      </w:r>
    </w:p>
    <w:p w14:paraId="12B71DC4" w14:textId="182925D1" w:rsidR="005742FD" w:rsidRPr="00976056" w:rsidRDefault="005742FD" w:rsidP="00D91AF1">
      <w:pPr>
        <w:pStyle w:val="Refs"/>
        <w:ind w:left="360" w:hanging="360"/>
        <w:rPr>
          <w:szCs w:val="22"/>
          <w:lang w:eastAsia="zh-TW"/>
        </w:rPr>
      </w:pPr>
      <w:r w:rsidRPr="00976056">
        <w:rPr>
          <w:szCs w:val="22"/>
          <w:lang w:eastAsia="zh-TW"/>
        </w:rPr>
        <w:t xml:space="preserve">Chen, J., F. P. Brissette, A. Poulin, and R. Leconte (2011), Overall Uncertainty Study of the Hydrological Impacts of Climate Change for a Canadian Watershed, </w:t>
      </w:r>
      <w:r w:rsidRPr="00976056">
        <w:rPr>
          <w:i/>
          <w:iCs/>
          <w:szCs w:val="22"/>
          <w:lang w:eastAsia="zh-TW"/>
        </w:rPr>
        <w:t>Water Resour. Res.</w:t>
      </w:r>
      <w:r w:rsidRPr="00976056">
        <w:rPr>
          <w:szCs w:val="22"/>
          <w:lang w:eastAsia="zh-TW"/>
        </w:rPr>
        <w:t xml:space="preserve">, </w:t>
      </w:r>
      <w:r w:rsidRPr="00976056">
        <w:rPr>
          <w:i/>
          <w:iCs/>
          <w:szCs w:val="22"/>
          <w:lang w:eastAsia="zh-TW"/>
        </w:rPr>
        <w:t>47</w:t>
      </w:r>
      <w:r w:rsidRPr="00976056">
        <w:rPr>
          <w:szCs w:val="22"/>
          <w:lang w:eastAsia="zh-TW"/>
        </w:rPr>
        <w:t xml:space="preserve">, W12509, </w:t>
      </w:r>
      <w:hyperlink r:id="rId294" w:history="1">
        <w:r w:rsidR="00347DCD" w:rsidRPr="00E00258">
          <w:rPr>
            <w:rStyle w:val="Hyperlink"/>
            <w:szCs w:val="22"/>
            <w:lang w:eastAsia="zh-TW"/>
          </w:rPr>
          <w:t>https://doi.org/10.1029/2011WR010602</w:t>
        </w:r>
      </w:hyperlink>
      <w:r w:rsidRPr="00976056">
        <w:rPr>
          <w:szCs w:val="22"/>
          <w:lang w:eastAsia="zh-TW"/>
        </w:rPr>
        <w:t>.</w:t>
      </w:r>
    </w:p>
    <w:p w14:paraId="15FD9FBA" w14:textId="298BB9CA" w:rsidR="005742FD" w:rsidRPr="00976056" w:rsidRDefault="005742FD" w:rsidP="00D91AF1">
      <w:pPr>
        <w:pStyle w:val="Refs"/>
        <w:ind w:left="360" w:hanging="360"/>
        <w:rPr>
          <w:szCs w:val="22"/>
          <w:lang w:eastAsia="zh-TW"/>
        </w:rPr>
      </w:pPr>
      <w:r w:rsidRPr="00976056">
        <w:rPr>
          <w:szCs w:val="22"/>
          <w:lang w:eastAsia="zh-TW"/>
        </w:rPr>
        <w:t xml:space="preserve">Chhin, R., and S. Yoden (2018), Ranking CMIP5 GCMs for Model Ensemble Selection on Regional Scale: Case Study of the Indochina Region, </w:t>
      </w:r>
      <w:r w:rsidRPr="00976056">
        <w:rPr>
          <w:i/>
          <w:iCs/>
          <w:szCs w:val="22"/>
          <w:lang w:eastAsia="zh-TW"/>
        </w:rPr>
        <w:t>J. Geophys. Res</w:t>
      </w:r>
      <w:r w:rsidRPr="00976056">
        <w:rPr>
          <w:szCs w:val="22"/>
          <w:lang w:eastAsia="zh-TW"/>
        </w:rPr>
        <w:t xml:space="preserve">., </w:t>
      </w:r>
      <w:r w:rsidRPr="00976056">
        <w:rPr>
          <w:i/>
          <w:iCs/>
          <w:szCs w:val="22"/>
          <w:lang w:eastAsia="zh-TW"/>
        </w:rPr>
        <w:t>123</w:t>
      </w:r>
      <w:r w:rsidRPr="00976056">
        <w:rPr>
          <w:szCs w:val="22"/>
          <w:lang w:eastAsia="zh-TW"/>
        </w:rPr>
        <w:t xml:space="preserve">, 8949– 8974. </w:t>
      </w:r>
      <w:hyperlink r:id="rId295" w:history="1">
        <w:r w:rsidR="00347DCD" w:rsidRPr="00E00258">
          <w:rPr>
            <w:rStyle w:val="Hyperlink"/>
            <w:szCs w:val="22"/>
            <w:lang w:eastAsia="zh-TW"/>
          </w:rPr>
          <w:t>https://doi.org/10.1029/2017JD028026</w:t>
        </w:r>
      </w:hyperlink>
      <w:r w:rsidRPr="00976056">
        <w:rPr>
          <w:szCs w:val="22"/>
          <w:lang w:eastAsia="zh-TW"/>
        </w:rPr>
        <w:t>.</w:t>
      </w:r>
    </w:p>
    <w:p w14:paraId="3DE56CE6" w14:textId="09304DEA" w:rsidR="005742FD" w:rsidRPr="00976056" w:rsidRDefault="005742FD" w:rsidP="0010273D">
      <w:pPr>
        <w:pStyle w:val="Refs"/>
        <w:ind w:left="360" w:hanging="360"/>
        <w:rPr>
          <w:szCs w:val="22"/>
          <w:lang w:eastAsia="zh-TW"/>
        </w:rPr>
      </w:pPr>
      <w:r w:rsidRPr="00976056">
        <w:rPr>
          <w:szCs w:val="22"/>
          <w:lang w:eastAsia="zh-TW"/>
        </w:rPr>
        <w:t xml:space="preserve">Clark, M. P., B. Nijssen, J. Lundquist, D. Kavetski, D. Rupp, R. Woods, E. Gutmann, A. Wood, L. Brekke, J. Arnold, D. Gochis, and R. Rasmussen (2015a), A Unified Approach to Process-based Hydrologic Modeling. Part 1: Modeling concept, </w:t>
      </w:r>
      <w:r w:rsidRPr="00976056">
        <w:rPr>
          <w:i/>
          <w:iCs/>
          <w:szCs w:val="22"/>
          <w:lang w:eastAsia="zh-TW"/>
        </w:rPr>
        <w:t>Water Resour. Res.</w:t>
      </w:r>
      <w:r w:rsidRPr="00976056">
        <w:rPr>
          <w:szCs w:val="22"/>
          <w:lang w:eastAsia="zh-TW"/>
        </w:rPr>
        <w:t xml:space="preserve">, </w:t>
      </w:r>
      <w:r w:rsidRPr="00976056">
        <w:rPr>
          <w:i/>
          <w:iCs/>
          <w:szCs w:val="22"/>
          <w:lang w:eastAsia="zh-TW"/>
        </w:rPr>
        <w:t>51</w:t>
      </w:r>
      <w:r w:rsidRPr="00976056">
        <w:rPr>
          <w:szCs w:val="22"/>
          <w:lang w:eastAsia="zh-TW"/>
        </w:rPr>
        <w:t xml:space="preserve">, 2498–2514, </w:t>
      </w:r>
      <w:hyperlink r:id="rId296" w:history="1">
        <w:r w:rsidR="00347DCD" w:rsidRPr="00E00258">
          <w:rPr>
            <w:rStyle w:val="Hyperlink"/>
            <w:szCs w:val="22"/>
            <w:lang w:eastAsia="zh-TW"/>
          </w:rPr>
          <w:t>https://doi.org/10.1002/2015WR017198</w:t>
        </w:r>
      </w:hyperlink>
      <w:r w:rsidRPr="00976056">
        <w:rPr>
          <w:szCs w:val="22"/>
          <w:lang w:eastAsia="zh-TW"/>
        </w:rPr>
        <w:t>.</w:t>
      </w:r>
    </w:p>
    <w:p w14:paraId="258F9497" w14:textId="50CFE305" w:rsidR="005742FD" w:rsidRPr="00976056" w:rsidRDefault="005742FD" w:rsidP="0010273D">
      <w:pPr>
        <w:pStyle w:val="Refs"/>
        <w:ind w:left="360" w:hanging="360"/>
        <w:rPr>
          <w:szCs w:val="22"/>
          <w:lang w:eastAsia="zh-TW"/>
        </w:rPr>
      </w:pPr>
      <w:r w:rsidRPr="00976056">
        <w:rPr>
          <w:szCs w:val="22"/>
          <w:lang w:eastAsia="zh-TW"/>
        </w:rPr>
        <w:t xml:space="preserve">Clark, M. P., B. Nijssen, J. Lundquist, D. Kavetski, D. Rupp, R. Woods, E. Gutmann, A. Wood, D. Gochis, R. Rasmussen, D. Tarboton, V. Mahat, G. Flerchinger, and D. Marks (2015b), A Unified Approach for Process-based Hydrologic Modeling: Part 2. Model Implementation and Example Applications, </w:t>
      </w:r>
      <w:r w:rsidRPr="00976056">
        <w:rPr>
          <w:i/>
          <w:iCs/>
          <w:szCs w:val="22"/>
          <w:lang w:eastAsia="zh-TW"/>
        </w:rPr>
        <w:t>Water Resour. Res.</w:t>
      </w:r>
      <w:r w:rsidRPr="00976056">
        <w:rPr>
          <w:szCs w:val="22"/>
          <w:lang w:eastAsia="zh-TW"/>
        </w:rPr>
        <w:t xml:space="preserve">, </w:t>
      </w:r>
      <w:r w:rsidRPr="00976056">
        <w:rPr>
          <w:i/>
          <w:iCs/>
          <w:szCs w:val="22"/>
          <w:lang w:eastAsia="zh-TW"/>
        </w:rPr>
        <w:t>51</w:t>
      </w:r>
      <w:r w:rsidRPr="00976056">
        <w:rPr>
          <w:szCs w:val="22"/>
          <w:lang w:eastAsia="zh-TW"/>
        </w:rPr>
        <w:t xml:space="preserve">, 2515–2542, </w:t>
      </w:r>
      <w:hyperlink r:id="rId297" w:history="1">
        <w:r w:rsidR="00347DCD" w:rsidRPr="00E00258">
          <w:rPr>
            <w:rStyle w:val="Hyperlink"/>
            <w:szCs w:val="22"/>
            <w:lang w:eastAsia="zh-TW"/>
          </w:rPr>
          <w:t>https://doi.org/10.1002/2015WR017200</w:t>
        </w:r>
      </w:hyperlink>
      <w:r w:rsidR="00347DCD">
        <w:rPr>
          <w:szCs w:val="22"/>
          <w:lang w:eastAsia="zh-TW"/>
        </w:rPr>
        <w:t>.</w:t>
      </w:r>
    </w:p>
    <w:p w14:paraId="104420F4" w14:textId="3CC7EA1E" w:rsidR="005742FD" w:rsidRDefault="005742FD" w:rsidP="00D91AF1">
      <w:pPr>
        <w:pStyle w:val="Refs"/>
        <w:ind w:left="360" w:hanging="360"/>
        <w:rPr>
          <w:szCs w:val="22"/>
          <w:lang w:eastAsia="zh-TW"/>
        </w:rPr>
      </w:pPr>
      <w:r w:rsidRPr="00976056">
        <w:rPr>
          <w:szCs w:val="22"/>
          <w:lang w:eastAsia="zh-TW"/>
        </w:rPr>
        <w:t xml:space="preserve">Clark, M. P., R. L. Wilby, E. D. Gutmann, J. A. Vano, S. Gangopadhyay, A. W. Wood, H. J. Fowler, C. Prudhomme, J. R. Arnold, and L. D. Brekke (2016), Characterizing Uncertainty of the Hydrologic Impacts of Climate Change, </w:t>
      </w:r>
      <w:r w:rsidRPr="00976056">
        <w:rPr>
          <w:i/>
          <w:iCs/>
          <w:szCs w:val="22"/>
          <w:lang w:eastAsia="zh-TW"/>
        </w:rPr>
        <w:t>Curr. Clim. Change Rep.</w:t>
      </w:r>
      <w:r w:rsidRPr="00976056">
        <w:rPr>
          <w:szCs w:val="22"/>
          <w:lang w:eastAsia="zh-TW"/>
        </w:rPr>
        <w:t xml:space="preserve">, </w:t>
      </w:r>
      <w:r w:rsidRPr="00976056">
        <w:rPr>
          <w:i/>
          <w:iCs/>
          <w:szCs w:val="22"/>
          <w:lang w:eastAsia="zh-TW"/>
        </w:rPr>
        <w:t>2</w:t>
      </w:r>
      <w:r w:rsidRPr="00976056">
        <w:rPr>
          <w:szCs w:val="22"/>
          <w:lang w:eastAsia="zh-TW"/>
        </w:rPr>
        <w:t xml:space="preserve">, 55–64, </w:t>
      </w:r>
      <w:hyperlink r:id="rId298" w:history="1">
        <w:r w:rsidR="00347DCD" w:rsidRPr="00E00258">
          <w:rPr>
            <w:rStyle w:val="Hyperlink"/>
            <w:szCs w:val="22"/>
            <w:lang w:eastAsia="zh-TW"/>
          </w:rPr>
          <w:t>https://doi.org/10.1007/s40641-016-0034-x</w:t>
        </w:r>
      </w:hyperlink>
      <w:r w:rsidRPr="00976056">
        <w:rPr>
          <w:szCs w:val="22"/>
          <w:lang w:eastAsia="zh-TW"/>
        </w:rPr>
        <w:t>.</w:t>
      </w:r>
    </w:p>
    <w:p w14:paraId="5EA9EC08" w14:textId="50D71F3A" w:rsidR="006D2A2E" w:rsidRDefault="006D2A2E" w:rsidP="00D91AF1">
      <w:pPr>
        <w:pStyle w:val="Refs"/>
        <w:ind w:left="360" w:hanging="360"/>
        <w:rPr>
          <w:szCs w:val="22"/>
          <w:lang w:eastAsia="zh-TW"/>
        </w:rPr>
      </w:pPr>
      <w:r w:rsidRPr="006D2A2E">
        <w:rPr>
          <w:szCs w:val="22"/>
          <w:lang w:eastAsia="zh-TW"/>
        </w:rPr>
        <w:t>Connolly, K. (2016)</w:t>
      </w:r>
      <w:r>
        <w:rPr>
          <w:szCs w:val="22"/>
          <w:lang w:eastAsia="zh-TW"/>
        </w:rPr>
        <w:t>,</w:t>
      </w:r>
      <w:r w:rsidRPr="006D2A2E">
        <w:rPr>
          <w:szCs w:val="22"/>
          <w:lang w:eastAsia="zh-TW"/>
        </w:rPr>
        <w:t xml:space="preserve"> </w:t>
      </w:r>
      <w:r w:rsidRPr="006D2A2E">
        <w:rPr>
          <w:i/>
          <w:iCs/>
          <w:szCs w:val="22"/>
          <w:lang w:eastAsia="zh-TW"/>
        </w:rPr>
        <w:t>Focus 2028 – Federal Hydropower Program</w:t>
      </w:r>
      <w:r>
        <w:rPr>
          <w:szCs w:val="22"/>
          <w:lang w:eastAsia="zh-TW"/>
        </w:rPr>
        <w:t xml:space="preserve">, </w:t>
      </w:r>
      <w:hyperlink r:id="rId299" w:history="1">
        <w:r w:rsidRPr="00E536F1">
          <w:rPr>
            <w:rStyle w:val="Hyperlink"/>
            <w:szCs w:val="22"/>
            <w:lang w:eastAsia="zh-TW"/>
          </w:rPr>
          <w:t>https://www.bpa.gov/Finance/FinancialPublicProcesses/2028/doc2028/Focus%202028_Federal%20Hydro.pdf</w:t>
        </w:r>
      </w:hyperlink>
      <w:r w:rsidRPr="006D2A2E">
        <w:rPr>
          <w:szCs w:val="22"/>
          <w:lang w:eastAsia="zh-TW"/>
        </w:rPr>
        <w:t>, accessed January 2022.</w:t>
      </w:r>
    </w:p>
    <w:p w14:paraId="3EC0B4CF" w14:textId="2B80C5E5" w:rsidR="00330C85" w:rsidRPr="00976056" w:rsidRDefault="00330C85" w:rsidP="00330C85">
      <w:pPr>
        <w:pStyle w:val="Refs"/>
        <w:ind w:left="360" w:hanging="360"/>
        <w:rPr>
          <w:szCs w:val="22"/>
          <w:lang w:eastAsia="zh-TW"/>
        </w:rPr>
      </w:pPr>
      <w:r w:rsidRPr="00330C85">
        <w:rPr>
          <w:szCs w:val="22"/>
          <w:lang w:eastAsia="zh-TW"/>
        </w:rPr>
        <w:lastRenderedPageBreak/>
        <w:t xml:space="preserve">Cosgrove, B. A., </w:t>
      </w:r>
      <w:r>
        <w:rPr>
          <w:szCs w:val="22"/>
          <w:lang w:eastAsia="zh-TW"/>
        </w:rPr>
        <w:t xml:space="preserve">D. </w:t>
      </w:r>
      <w:r w:rsidRPr="00330C85">
        <w:rPr>
          <w:szCs w:val="22"/>
          <w:lang w:eastAsia="zh-TW"/>
        </w:rPr>
        <w:t xml:space="preserve">Lohmann, </w:t>
      </w:r>
      <w:r>
        <w:rPr>
          <w:szCs w:val="22"/>
          <w:lang w:eastAsia="zh-TW"/>
        </w:rPr>
        <w:t>K. E.</w:t>
      </w:r>
      <w:r w:rsidRPr="00330C85">
        <w:rPr>
          <w:szCs w:val="22"/>
          <w:lang w:eastAsia="zh-TW"/>
        </w:rPr>
        <w:t xml:space="preserve"> Mitchell, </w:t>
      </w:r>
      <w:r>
        <w:rPr>
          <w:szCs w:val="22"/>
          <w:lang w:eastAsia="zh-TW"/>
        </w:rPr>
        <w:t>P. R.</w:t>
      </w:r>
      <w:r w:rsidRPr="00330C85">
        <w:rPr>
          <w:szCs w:val="22"/>
          <w:lang w:eastAsia="zh-TW"/>
        </w:rPr>
        <w:t xml:space="preserve"> Houser, </w:t>
      </w:r>
      <w:r>
        <w:rPr>
          <w:szCs w:val="22"/>
          <w:lang w:eastAsia="zh-TW"/>
        </w:rPr>
        <w:t>E. F.</w:t>
      </w:r>
      <w:r w:rsidRPr="00330C85">
        <w:rPr>
          <w:szCs w:val="22"/>
          <w:lang w:eastAsia="zh-TW"/>
        </w:rPr>
        <w:t xml:space="preserve"> Wood, </w:t>
      </w:r>
      <w:r>
        <w:rPr>
          <w:szCs w:val="22"/>
          <w:lang w:eastAsia="zh-TW"/>
        </w:rPr>
        <w:t>J. C.</w:t>
      </w:r>
      <w:r w:rsidRPr="00330C85">
        <w:rPr>
          <w:szCs w:val="22"/>
          <w:lang w:eastAsia="zh-TW"/>
        </w:rPr>
        <w:t xml:space="preserve"> Schaake, A</w:t>
      </w:r>
      <w:r>
        <w:rPr>
          <w:szCs w:val="22"/>
          <w:lang w:eastAsia="zh-TW"/>
        </w:rPr>
        <w:t>.</w:t>
      </w:r>
      <w:r w:rsidRPr="00330C85">
        <w:rPr>
          <w:szCs w:val="22"/>
          <w:lang w:eastAsia="zh-TW"/>
        </w:rPr>
        <w:t xml:space="preserve"> Robock,</w:t>
      </w:r>
      <w:r>
        <w:rPr>
          <w:szCs w:val="22"/>
          <w:lang w:eastAsia="zh-TW"/>
        </w:rPr>
        <w:t xml:space="preserve"> </w:t>
      </w:r>
      <w:r w:rsidRPr="00330C85">
        <w:rPr>
          <w:szCs w:val="22"/>
          <w:lang w:eastAsia="zh-TW"/>
        </w:rPr>
        <w:t>J</w:t>
      </w:r>
      <w:r>
        <w:rPr>
          <w:szCs w:val="22"/>
          <w:lang w:eastAsia="zh-TW"/>
        </w:rPr>
        <w:t>.</w:t>
      </w:r>
      <w:r w:rsidRPr="00330C85">
        <w:rPr>
          <w:szCs w:val="22"/>
          <w:lang w:eastAsia="zh-TW"/>
        </w:rPr>
        <w:t xml:space="preserve"> Sheffield,</w:t>
      </w:r>
      <w:r>
        <w:rPr>
          <w:szCs w:val="22"/>
          <w:lang w:eastAsia="zh-TW"/>
        </w:rPr>
        <w:t xml:space="preserve"> </w:t>
      </w:r>
      <w:r w:rsidRPr="00330C85">
        <w:rPr>
          <w:szCs w:val="22"/>
          <w:lang w:eastAsia="zh-TW"/>
        </w:rPr>
        <w:t>Q</w:t>
      </w:r>
      <w:r>
        <w:rPr>
          <w:szCs w:val="22"/>
          <w:lang w:eastAsia="zh-TW"/>
        </w:rPr>
        <w:t>.</w:t>
      </w:r>
      <w:r w:rsidRPr="00330C85">
        <w:rPr>
          <w:szCs w:val="22"/>
          <w:lang w:eastAsia="zh-TW"/>
        </w:rPr>
        <w:t xml:space="preserve"> Duan,</w:t>
      </w:r>
      <w:r>
        <w:rPr>
          <w:szCs w:val="22"/>
          <w:lang w:eastAsia="zh-TW"/>
        </w:rPr>
        <w:t xml:space="preserve"> </w:t>
      </w:r>
      <w:r w:rsidRPr="00330C85">
        <w:rPr>
          <w:szCs w:val="22"/>
          <w:lang w:eastAsia="zh-TW"/>
        </w:rPr>
        <w:t>L</w:t>
      </w:r>
      <w:r>
        <w:rPr>
          <w:szCs w:val="22"/>
          <w:lang w:eastAsia="zh-TW"/>
        </w:rPr>
        <w:t>.</w:t>
      </w:r>
      <w:r w:rsidRPr="00330C85">
        <w:rPr>
          <w:szCs w:val="22"/>
          <w:lang w:eastAsia="zh-TW"/>
        </w:rPr>
        <w:t xml:space="preserve"> Luo,</w:t>
      </w:r>
      <w:r>
        <w:rPr>
          <w:szCs w:val="22"/>
          <w:lang w:eastAsia="zh-TW"/>
        </w:rPr>
        <w:t xml:space="preserve"> </w:t>
      </w:r>
      <w:r w:rsidRPr="00330C85">
        <w:rPr>
          <w:szCs w:val="22"/>
          <w:lang w:eastAsia="zh-TW"/>
        </w:rPr>
        <w:t>R. W</w:t>
      </w:r>
      <w:r>
        <w:rPr>
          <w:szCs w:val="22"/>
          <w:lang w:eastAsia="zh-TW"/>
        </w:rPr>
        <w:t>.</w:t>
      </w:r>
      <w:r w:rsidRPr="00330C85">
        <w:rPr>
          <w:szCs w:val="22"/>
          <w:lang w:eastAsia="zh-TW"/>
        </w:rPr>
        <w:t xml:space="preserve"> Higgins,</w:t>
      </w:r>
      <w:r>
        <w:rPr>
          <w:szCs w:val="22"/>
          <w:lang w:eastAsia="zh-TW"/>
        </w:rPr>
        <w:t xml:space="preserve"> </w:t>
      </w:r>
      <w:r w:rsidRPr="00330C85">
        <w:rPr>
          <w:szCs w:val="22"/>
          <w:lang w:eastAsia="zh-TW"/>
        </w:rPr>
        <w:t>R</w:t>
      </w:r>
      <w:r>
        <w:rPr>
          <w:szCs w:val="22"/>
          <w:lang w:eastAsia="zh-TW"/>
        </w:rPr>
        <w:t>.</w:t>
      </w:r>
      <w:r w:rsidRPr="00330C85">
        <w:rPr>
          <w:szCs w:val="22"/>
          <w:lang w:eastAsia="zh-TW"/>
        </w:rPr>
        <w:t xml:space="preserve"> T. Pinker,</w:t>
      </w:r>
      <w:r>
        <w:rPr>
          <w:szCs w:val="22"/>
          <w:lang w:eastAsia="zh-TW"/>
        </w:rPr>
        <w:t xml:space="preserve"> and </w:t>
      </w:r>
      <w:r w:rsidRPr="00330C85">
        <w:rPr>
          <w:szCs w:val="22"/>
          <w:lang w:eastAsia="zh-TW"/>
        </w:rPr>
        <w:t>J. D</w:t>
      </w:r>
      <w:r>
        <w:rPr>
          <w:szCs w:val="22"/>
          <w:lang w:eastAsia="zh-TW"/>
        </w:rPr>
        <w:t>.</w:t>
      </w:r>
      <w:r w:rsidRPr="00330C85">
        <w:rPr>
          <w:szCs w:val="22"/>
          <w:lang w:eastAsia="zh-TW"/>
        </w:rPr>
        <w:t xml:space="preserve"> Tarpley (2003)</w:t>
      </w:r>
      <w:r>
        <w:rPr>
          <w:szCs w:val="22"/>
          <w:lang w:eastAsia="zh-TW"/>
        </w:rPr>
        <w:t>,</w:t>
      </w:r>
      <w:r w:rsidRPr="00330C85">
        <w:rPr>
          <w:szCs w:val="22"/>
          <w:lang w:eastAsia="zh-TW"/>
        </w:rPr>
        <w:t xml:space="preserve"> Land </w:t>
      </w:r>
      <w:r>
        <w:rPr>
          <w:szCs w:val="22"/>
          <w:lang w:eastAsia="zh-TW"/>
        </w:rPr>
        <w:t>S</w:t>
      </w:r>
      <w:r w:rsidRPr="00330C85">
        <w:rPr>
          <w:szCs w:val="22"/>
          <w:lang w:eastAsia="zh-TW"/>
        </w:rPr>
        <w:t xml:space="preserve">urface </w:t>
      </w:r>
      <w:r>
        <w:rPr>
          <w:szCs w:val="22"/>
          <w:lang w:eastAsia="zh-TW"/>
        </w:rPr>
        <w:t>M</w:t>
      </w:r>
      <w:r w:rsidRPr="00330C85">
        <w:rPr>
          <w:szCs w:val="22"/>
          <w:lang w:eastAsia="zh-TW"/>
        </w:rPr>
        <w:t xml:space="preserve">odel </w:t>
      </w:r>
      <w:r>
        <w:rPr>
          <w:szCs w:val="22"/>
          <w:lang w:eastAsia="zh-TW"/>
        </w:rPr>
        <w:t>S</w:t>
      </w:r>
      <w:r w:rsidRPr="00330C85">
        <w:rPr>
          <w:szCs w:val="22"/>
          <w:lang w:eastAsia="zh-TW"/>
        </w:rPr>
        <w:t xml:space="preserve">pin‐up </w:t>
      </w:r>
      <w:r>
        <w:rPr>
          <w:szCs w:val="22"/>
          <w:lang w:eastAsia="zh-TW"/>
        </w:rPr>
        <w:t>B</w:t>
      </w:r>
      <w:r w:rsidRPr="00330C85">
        <w:rPr>
          <w:szCs w:val="22"/>
          <w:lang w:eastAsia="zh-TW"/>
        </w:rPr>
        <w:t>ehavior in the North American Land Data Assimilation System (NLDAS)</w:t>
      </w:r>
      <w:r>
        <w:rPr>
          <w:szCs w:val="22"/>
          <w:lang w:eastAsia="zh-TW"/>
        </w:rPr>
        <w:t>,</w:t>
      </w:r>
      <w:r w:rsidRPr="00330C85">
        <w:rPr>
          <w:szCs w:val="22"/>
          <w:lang w:eastAsia="zh-TW"/>
        </w:rPr>
        <w:t xml:space="preserve"> </w:t>
      </w:r>
      <w:r w:rsidRPr="00330C85">
        <w:rPr>
          <w:i/>
          <w:iCs/>
          <w:szCs w:val="22"/>
          <w:lang w:eastAsia="zh-TW"/>
        </w:rPr>
        <w:t>J. Geophys. Res.</w:t>
      </w:r>
      <w:r w:rsidRPr="00330C85">
        <w:rPr>
          <w:szCs w:val="22"/>
          <w:lang w:eastAsia="zh-TW"/>
        </w:rPr>
        <w:t xml:space="preserve">, </w:t>
      </w:r>
      <w:r w:rsidRPr="00330C85">
        <w:rPr>
          <w:i/>
          <w:iCs/>
          <w:szCs w:val="22"/>
          <w:lang w:eastAsia="zh-TW"/>
        </w:rPr>
        <w:t>108</w:t>
      </w:r>
      <w:r w:rsidRPr="00330C85">
        <w:rPr>
          <w:szCs w:val="22"/>
          <w:lang w:eastAsia="zh-TW"/>
        </w:rPr>
        <w:t>(D22)</w:t>
      </w:r>
      <w:r>
        <w:rPr>
          <w:szCs w:val="22"/>
          <w:lang w:eastAsia="zh-TW"/>
        </w:rPr>
        <w:t>,</w:t>
      </w:r>
      <w:r w:rsidRPr="00330C85">
        <w:t xml:space="preserve"> </w:t>
      </w:r>
      <w:r w:rsidRPr="00330C85">
        <w:rPr>
          <w:i/>
          <w:iCs/>
          <w:szCs w:val="22"/>
          <w:lang w:eastAsia="zh-TW"/>
        </w:rPr>
        <w:t>8845</w:t>
      </w:r>
      <w:r w:rsidRPr="00330C85">
        <w:rPr>
          <w:szCs w:val="22"/>
          <w:lang w:eastAsia="zh-TW"/>
        </w:rPr>
        <w:t xml:space="preserve">, </w:t>
      </w:r>
      <w:hyperlink r:id="rId300" w:history="1">
        <w:r w:rsidR="004A4125" w:rsidRPr="00E00258">
          <w:rPr>
            <w:rStyle w:val="Hyperlink"/>
            <w:szCs w:val="22"/>
            <w:lang w:eastAsia="zh-TW"/>
          </w:rPr>
          <w:t>https://doi.org/10.1029/2002JD003316</w:t>
        </w:r>
      </w:hyperlink>
      <w:r>
        <w:rPr>
          <w:szCs w:val="22"/>
          <w:lang w:eastAsia="zh-TW"/>
        </w:rPr>
        <w:t>.</w:t>
      </w:r>
    </w:p>
    <w:p w14:paraId="20B0D7AE" w14:textId="259FE00C" w:rsidR="005742FD" w:rsidRPr="00976056" w:rsidRDefault="005742FD" w:rsidP="003D0BA1">
      <w:pPr>
        <w:pStyle w:val="Refs"/>
        <w:ind w:left="360" w:hanging="360"/>
        <w:rPr>
          <w:szCs w:val="22"/>
          <w:lang w:eastAsia="zh-TW"/>
        </w:rPr>
      </w:pPr>
      <w:r w:rsidRPr="00976056">
        <w:rPr>
          <w:szCs w:val="22"/>
          <w:lang w:eastAsia="zh-TW"/>
        </w:rPr>
        <w:t xml:space="preserve">Daly, C., W. P. Gibson, G. H. Taylor, G. L. Johnson, and P. Pasteris (2002), A Knowledge-based Approach to the Statistical Mapping of Climate, </w:t>
      </w:r>
      <w:r w:rsidRPr="00976056">
        <w:rPr>
          <w:i/>
          <w:szCs w:val="22"/>
          <w:lang w:eastAsia="zh-TW"/>
        </w:rPr>
        <w:t>Climate Res.</w:t>
      </w:r>
      <w:r w:rsidRPr="00976056">
        <w:rPr>
          <w:szCs w:val="22"/>
          <w:lang w:eastAsia="zh-TW"/>
        </w:rPr>
        <w:t xml:space="preserve">, </w:t>
      </w:r>
      <w:r w:rsidRPr="00976056">
        <w:rPr>
          <w:i/>
          <w:szCs w:val="22"/>
          <w:lang w:eastAsia="zh-TW"/>
        </w:rPr>
        <w:t>22</w:t>
      </w:r>
      <w:r w:rsidRPr="00976056">
        <w:rPr>
          <w:szCs w:val="22"/>
          <w:lang w:eastAsia="zh-TW"/>
        </w:rPr>
        <w:t>, 99–113,</w:t>
      </w:r>
      <w:r w:rsidRPr="00976056">
        <w:rPr>
          <w:rFonts w:hint="eastAsia"/>
          <w:szCs w:val="22"/>
          <w:lang w:eastAsia="zh-TW"/>
        </w:rPr>
        <w:t xml:space="preserve"> </w:t>
      </w:r>
      <w:hyperlink r:id="rId301" w:history="1">
        <w:r w:rsidR="004A4125" w:rsidRPr="00E00258">
          <w:rPr>
            <w:rStyle w:val="Hyperlink"/>
            <w:szCs w:val="22"/>
            <w:lang w:eastAsia="zh-TW"/>
          </w:rPr>
          <w:t>https://doi.org/10.3354/cr022099</w:t>
        </w:r>
      </w:hyperlink>
      <w:r w:rsidRPr="00976056">
        <w:rPr>
          <w:szCs w:val="22"/>
          <w:lang w:eastAsia="zh-TW"/>
        </w:rPr>
        <w:t>.</w:t>
      </w:r>
    </w:p>
    <w:p w14:paraId="3B4EFA0A" w14:textId="7A9483D3" w:rsidR="005742FD" w:rsidRPr="00976056" w:rsidRDefault="005742FD" w:rsidP="00D91AF1">
      <w:pPr>
        <w:pStyle w:val="Refs"/>
        <w:ind w:left="360" w:hanging="360"/>
        <w:rPr>
          <w:szCs w:val="22"/>
          <w:lang w:eastAsia="zh-TW"/>
        </w:rPr>
      </w:pPr>
      <w:r w:rsidRPr="00976056">
        <w:rPr>
          <w:szCs w:val="22"/>
          <w:lang w:eastAsia="zh-TW"/>
        </w:rPr>
        <w:t xml:space="preserve">Davies, M. (1959), The Relationship between Weather and Electricity Demand, </w:t>
      </w:r>
      <w:r w:rsidRPr="00976056">
        <w:rPr>
          <w:i/>
          <w:iCs/>
          <w:szCs w:val="22"/>
          <w:lang w:eastAsia="zh-TW"/>
        </w:rPr>
        <w:t>Proceedings of the IEE – Part C: Monographs</w:t>
      </w:r>
      <w:r w:rsidRPr="00976056">
        <w:rPr>
          <w:szCs w:val="22"/>
          <w:lang w:eastAsia="zh-TW"/>
        </w:rPr>
        <w:t xml:space="preserve">, </w:t>
      </w:r>
      <w:r w:rsidRPr="00976056">
        <w:rPr>
          <w:i/>
          <w:iCs/>
          <w:szCs w:val="22"/>
          <w:lang w:eastAsia="zh-TW"/>
        </w:rPr>
        <w:t>106</w:t>
      </w:r>
      <w:r w:rsidRPr="00976056">
        <w:rPr>
          <w:szCs w:val="22"/>
          <w:lang w:eastAsia="zh-TW"/>
        </w:rPr>
        <w:t xml:space="preserve">(9), 27–37, </w:t>
      </w:r>
      <w:hyperlink r:id="rId302" w:history="1">
        <w:r w:rsidR="004A4125" w:rsidRPr="00E00258">
          <w:rPr>
            <w:rStyle w:val="Hyperlink"/>
            <w:szCs w:val="22"/>
            <w:lang w:eastAsia="zh-TW"/>
          </w:rPr>
          <w:t>https://doi.org/10.1049/pi-c.1959.0007</w:t>
        </w:r>
      </w:hyperlink>
      <w:r w:rsidRPr="00976056">
        <w:rPr>
          <w:szCs w:val="22"/>
          <w:lang w:eastAsia="zh-TW"/>
        </w:rPr>
        <w:t>.</w:t>
      </w:r>
    </w:p>
    <w:p w14:paraId="5FDB2494" w14:textId="64FBEE92" w:rsidR="005742FD" w:rsidRPr="00976056" w:rsidRDefault="005742FD" w:rsidP="002F77DD">
      <w:pPr>
        <w:pStyle w:val="Refs"/>
        <w:ind w:left="360" w:hanging="360"/>
        <w:rPr>
          <w:szCs w:val="22"/>
          <w:lang w:eastAsia="zh-TW"/>
        </w:rPr>
      </w:pPr>
      <w:r w:rsidRPr="00976056">
        <w:rPr>
          <w:szCs w:val="22"/>
          <w:lang w:eastAsia="zh-TW"/>
        </w:rPr>
        <w:t xml:space="preserve">Diffenbaugh, N. S., and M. Ashfaq (2010), Intensification of Hot Extremes in the United States, </w:t>
      </w:r>
      <w:r w:rsidRPr="00976056">
        <w:rPr>
          <w:i/>
          <w:iCs/>
          <w:szCs w:val="22"/>
          <w:lang w:eastAsia="zh-TW"/>
        </w:rPr>
        <w:t>Geophys. Res. Lett.</w:t>
      </w:r>
      <w:r w:rsidRPr="00976056">
        <w:rPr>
          <w:szCs w:val="22"/>
          <w:lang w:eastAsia="zh-TW"/>
        </w:rPr>
        <w:t xml:space="preserve">, </w:t>
      </w:r>
      <w:r w:rsidRPr="00976056">
        <w:rPr>
          <w:i/>
          <w:iCs/>
          <w:szCs w:val="22"/>
          <w:lang w:eastAsia="zh-TW"/>
        </w:rPr>
        <w:t>37</w:t>
      </w:r>
      <w:r w:rsidRPr="00976056">
        <w:rPr>
          <w:szCs w:val="22"/>
          <w:lang w:eastAsia="zh-TW"/>
        </w:rPr>
        <w:t xml:space="preserve">, L15701, </w:t>
      </w:r>
      <w:hyperlink r:id="rId303" w:history="1">
        <w:r w:rsidR="004A4125" w:rsidRPr="00E00258">
          <w:rPr>
            <w:rStyle w:val="Hyperlink"/>
            <w:szCs w:val="22"/>
            <w:lang w:eastAsia="zh-TW"/>
          </w:rPr>
          <w:t>https://doi.org/10.1029/2010GL043888</w:t>
        </w:r>
      </w:hyperlink>
      <w:r w:rsidRPr="00976056">
        <w:rPr>
          <w:szCs w:val="22"/>
          <w:lang w:eastAsia="zh-TW"/>
        </w:rPr>
        <w:t>.</w:t>
      </w:r>
    </w:p>
    <w:p w14:paraId="75171E86" w14:textId="1F3276C1" w:rsidR="005742FD" w:rsidRPr="00976056" w:rsidRDefault="005742FD" w:rsidP="002F77DD">
      <w:pPr>
        <w:pStyle w:val="Refs"/>
        <w:ind w:left="360" w:hanging="360"/>
        <w:rPr>
          <w:szCs w:val="22"/>
          <w:lang w:eastAsia="zh-TW"/>
        </w:rPr>
      </w:pPr>
      <w:r w:rsidRPr="00976056">
        <w:rPr>
          <w:szCs w:val="22"/>
          <w:lang w:eastAsia="zh-TW"/>
        </w:rPr>
        <w:t xml:space="preserve">Diffenbaugh, N. S., J. S. Pal, R. J. Trapp, and F. Giorgi (2005), Fine-scale Processes Regulate the Response of Extreme Events to Global Climate Change, </w:t>
      </w:r>
      <w:r w:rsidRPr="00976056">
        <w:rPr>
          <w:i/>
          <w:iCs/>
          <w:szCs w:val="22"/>
          <w:lang w:eastAsia="zh-TW"/>
        </w:rPr>
        <w:t>Proc. Natl. Acad. Sci.</w:t>
      </w:r>
      <w:r w:rsidRPr="00976056">
        <w:rPr>
          <w:szCs w:val="22"/>
          <w:lang w:eastAsia="zh-TW"/>
        </w:rPr>
        <w:t xml:space="preserve">, </w:t>
      </w:r>
      <w:r w:rsidRPr="00976056">
        <w:rPr>
          <w:i/>
          <w:iCs/>
          <w:szCs w:val="22"/>
          <w:lang w:eastAsia="zh-TW"/>
        </w:rPr>
        <w:t>102</w:t>
      </w:r>
      <w:r w:rsidRPr="00976056">
        <w:rPr>
          <w:szCs w:val="22"/>
          <w:lang w:eastAsia="zh-TW"/>
        </w:rPr>
        <w:t xml:space="preserve">(44), 15,774–15,778, </w:t>
      </w:r>
      <w:hyperlink r:id="rId304" w:history="1">
        <w:r w:rsidR="004A4125" w:rsidRPr="00E00258">
          <w:rPr>
            <w:rStyle w:val="Hyperlink"/>
            <w:szCs w:val="22"/>
            <w:lang w:eastAsia="zh-TW"/>
          </w:rPr>
          <w:t>https://doi.org/10.1073/pnas.0506042102</w:t>
        </w:r>
      </w:hyperlink>
      <w:r w:rsidRPr="00976056">
        <w:rPr>
          <w:szCs w:val="22"/>
          <w:lang w:eastAsia="zh-TW"/>
        </w:rPr>
        <w:t>.</w:t>
      </w:r>
    </w:p>
    <w:p w14:paraId="12FAF5F1" w14:textId="1FC0AAAD" w:rsidR="005742FD" w:rsidRPr="00976056" w:rsidRDefault="005742FD" w:rsidP="002F77DD">
      <w:pPr>
        <w:pStyle w:val="Refs"/>
        <w:ind w:left="360" w:hanging="360"/>
        <w:rPr>
          <w:szCs w:val="22"/>
          <w:lang w:eastAsia="zh-TW"/>
        </w:rPr>
      </w:pPr>
      <w:r w:rsidRPr="00976056">
        <w:rPr>
          <w:szCs w:val="22"/>
          <w:lang w:eastAsia="zh-TW"/>
        </w:rPr>
        <w:t xml:space="preserve">Diffenbaugh, N. S., M. Ashfaq, and M. Scherer (2011), Transient Regional Climate Change: Analysis of the Summer Climate Response in a High-resolution, Century-scale Ensemble Experiment Over the Continental United States, </w:t>
      </w:r>
      <w:r w:rsidRPr="00976056">
        <w:rPr>
          <w:i/>
          <w:iCs/>
          <w:szCs w:val="22"/>
          <w:lang w:eastAsia="zh-TW"/>
        </w:rPr>
        <w:t>J. Geophys. Res.</w:t>
      </w:r>
      <w:r w:rsidRPr="00976056">
        <w:rPr>
          <w:szCs w:val="22"/>
          <w:lang w:eastAsia="zh-TW"/>
        </w:rPr>
        <w:t xml:space="preserve">, </w:t>
      </w:r>
      <w:r w:rsidRPr="00976056">
        <w:rPr>
          <w:i/>
          <w:iCs/>
          <w:szCs w:val="22"/>
          <w:lang w:eastAsia="zh-TW"/>
        </w:rPr>
        <w:t>116</w:t>
      </w:r>
      <w:r w:rsidRPr="00976056">
        <w:rPr>
          <w:szCs w:val="22"/>
          <w:lang w:eastAsia="zh-TW"/>
        </w:rPr>
        <w:t xml:space="preserve">, D24111, </w:t>
      </w:r>
      <w:hyperlink r:id="rId305" w:history="1">
        <w:r w:rsidR="004A4125" w:rsidRPr="00E00258">
          <w:rPr>
            <w:rStyle w:val="Hyperlink"/>
            <w:szCs w:val="22"/>
            <w:lang w:eastAsia="zh-TW"/>
          </w:rPr>
          <w:t>https://doi.org/10.1029/2011JD016458</w:t>
        </w:r>
      </w:hyperlink>
      <w:r w:rsidRPr="00976056">
        <w:rPr>
          <w:szCs w:val="22"/>
          <w:lang w:eastAsia="zh-TW"/>
        </w:rPr>
        <w:t>.</w:t>
      </w:r>
    </w:p>
    <w:p w14:paraId="40B9CA62" w14:textId="267DA4B0" w:rsidR="005742FD" w:rsidRPr="00976056" w:rsidRDefault="005742FD" w:rsidP="00D91AF1">
      <w:pPr>
        <w:pStyle w:val="Refs"/>
        <w:ind w:left="360" w:hanging="360"/>
        <w:rPr>
          <w:szCs w:val="22"/>
          <w:lang w:eastAsia="zh-TW"/>
        </w:rPr>
      </w:pPr>
      <w:r w:rsidRPr="00976056">
        <w:rPr>
          <w:szCs w:val="22"/>
          <w:lang w:eastAsia="zh-TW"/>
        </w:rPr>
        <w:t xml:space="preserve">DOE (US Department of Energy) (2013), </w:t>
      </w:r>
      <w:r w:rsidRPr="00976056">
        <w:rPr>
          <w:i/>
          <w:iCs/>
          <w:szCs w:val="22"/>
          <w:lang w:eastAsia="zh-TW"/>
        </w:rPr>
        <w:t>Effects of Climate Change on Federal Hydropower: Report to Congress</w:t>
      </w:r>
      <w:r w:rsidRPr="00976056">
        <w:rPr>
          <w:szCs w:val="22"/>
          <w:lang w:eastAsia="zh-TW"/>
        </w:rPr>
        <w:t>, Washington, DC.</w:t>
      </w:r>
    </w:p>
    <w:p w14:paraId="3295F568" w14:textId="499CDDF4" w:rsidR="005742FD" w:rsidRPr="00976056" w:rsidRDefault="005742FD" w:rsidP="00D91AF1">
      <w:pPr>
        <w:pStyle w:val="Refs"/>
        <w:ind w:left="360" w:hanging="360"/>
        <w:rPr>
          <w:szCs w:val="22"/>
          <w:lang w:eastAsia="zh-TW"/>
        </w:rPr>
      </w:pPr>
      <w:r w:rsidRPr="00976056">
        <w:rPr>
          <w:szCs w:val="22"/>
          <w:lang w:eastAsia="zh-TW"/>
        </w:rPr>
        <w:t xml:space="preserve">DOE (US Department of Energy) (2017), </w:t>
      </w:r>
      <w:r w:rsidRPr="00976056">
        <w:rPr>
          <w:i/>
          <w:iCs/>
          <w:szCs w:val="22"/>
          <w:lang w:eastAsia="zh-TW"/>
        </w:rPr>
        <w:t>Effects of Climate Change on Federal Hydropower: The Second Report to Congress</w:t>
      </w:r>
      <w:r w:rsidRPr="00976056">
        <w:rPr>
          <w:szCs w:val="22"/>
          <w:lang w:eastAsia="zh-TW"/>
        </w:rPr>
        <w:t>, Washington, DC.</w:t>
      </w:r>
    </w:p>
    <w:p w14:paraId="3DF46E86" w14:textId="2001F01C" w:rsidR="005742FD" w:rsidRPr="00976056" w:rsidRDefault="005742FD" w:rsidP="00D91AF1">
      <w:pPr>
        <w:pStyle w:val="Refs"/>
        <w:ind w:left="360" w:hanging="360"/>
        <w:rPr>
          <w:szCs w:val="22"/>
          <w:lang w:eastAsia="zh-TW"/>
        </w:rPr>
      </w:pPr>
      <w:r w:rsidRPr="00976056">
        <w:rPr>
          <w:szCs w:val="22"/>
          <w:lang w:eastAsia="zh-TW"/>
        </w:rPr>
        <w:t xml:space="preserve">Döll, P., H. Hoffmann-Dobrev, F. T. Portmann, S. Siebert, A. Eicker, M. Rodell, G. Strassberg, B. R. Scanlon (2012), Impact of Water Withdrawals from Groundwater and Surface Water on Continental Water Storage Variations, </w:t>
      </w:r>
      <w:r w:rsidRPr="00976056">
        <w:rPr>
          <w:i/>
          <w:iCs/>
          <w:szCs w:val="22"/>
          <w:lang w:eastAsia="zh-TW"/>
        </w:rPr>
        <w:t>J. Geodyn.</w:t>
      </w:r>
      <w:r w:rsidRPr="00976056">
        <w:rPr>
          <w:szCs w:val="22"/>
          <w:lang w:eastAsia="zh-TW"/>
        </w:rPr>
        <w:t xml:space="preserve">, </w:t>
      </w:r>
      <w:r w:rsidRPr="00976056">
        <w:rPr>
          <w:i/>
          <w:iCs/>
          <w:szCs w:val="22"/>
          <w:lang w:eastAsia="zh-TW"/>
        </w:rPr>
        <w:t>59–60</w:t>
      </w:r>
      <w:r w:rsidRPr="00976056">
        <w:rPr>
          <w:szCs w:val="22"/>
          <w:lang w:eastAsia="zh-TW"/>
        </w:rPr>
        <w:t xml:space="preserve">, 143–156, </w:t>
      </w:r>
      <w:hyperlink r:id="rId306" w:history="1">
        <w:r w:rsidR="004A4125" w:rsidRPr="00E00258">
          <w:rPr>
            <w:rStyle w:val="Hyperlink"/>
            <w:szCs w:val="22"/>
            <w:lang w:eastAsia="zh-TW"/>
          </w:rPr>
          <w:t>https://doi.org/10.1016/j.jog.2011.05.001</w:t>
        </w:r>
      </w:hyperlink>
      <w:r w:rsidRPr="00976056">
        <w:rPr>
          <w:szCs w:val="22"/>
          <w:lang w:eastAsia="zh-TW"/>
        </w:rPr>
        <w:t>.</w:t>
      </w:r>
    </w:p>
    <w:p w14:paraId="6540D90D" w14:textId="350FB169" w:rsidR="005742FD" w:rsidRPr="00976056" w:rsidRDefault="005742FD" w:rsidP="00D91AF1">
      <w:pPr>
        <w:pStyle w:val="Refs"/>
        <w:ind w:left="360" w:hanging="360"/>
        <w:rPr>
          <w:szCs w:val="22"/>
          <w:lang w:eastAsia="zh-TW"/>
        </w:rPr>
      </w:pPr>
      <w:r w:rsidRPr="00976056">
        <w:rPr>
          <w:szCs w:val="22"/>
          <w:lang w:eastAsia="zh-TW"/>
        </w:rPr>
        <w:t xml:space="preserve">Duan, Q. Y., V. K. Gupta, and S. Sorooshian (1993), Shuffled Complex Evolution Approach for Effective and Efficient Global Minimization, </w:t>
      </w:r>
      <w:r w:rsidRPr="00976056">
        <w:rPr>
          <w:i/>
          <w:iCs/>
          <w:szCs w:val="22"/>
          <w:lang w:eastAsia="zh-TW"/>
        </w:rPr>
        <w:t>J. Optim. Theory Appl.</w:t>
      </w:r>
      <w:r w:rsidRPr="00976056">
        <w:rPr>
          <w:szCs w:val="22"/>
          <w:lang w:eastAsia="zh-TW"/>
        </w:rPr>
        <w:t xml:space="preserve">, </w:t>
      </w:r>
      <w:r w:rsidRPr="00976056">
        <w:rPr>
          <w:i/>
          <w:iCs/>
          <w:szCs w:val="22"/>
          <w:lang w:eastAsia="zh-TW"/>
        </w:rPr>
        <w:t>76</w:t>
      </w:r>
      <w:r w:rsidRPr="00976056">
        <w:rPr>
          <w:szCs w:val="22"/>
          <w:lang w:eastAsia="zh-TW"/>
        </w:rPr>
        <w:t xml:space="preserve">, 501–521, </w:t>
      </w:r>
      <w:hyperlink r:id="rId307" w:history="1">
        <w:r w:rsidR="004A4125" w:rsidRPr="00E00258">
          <w:rPr>
            <w:rStyle w:val="Hyperlink"/>
            <w:szCs w:val="22"/>
            <w:lang w:eastAsia="zh-TW"/>
          </w:rPr>
          <w:t>https://doi.org/10.1007/BF00939380</w:t>
        </w:r>
      </w:hyperlink>
      <w:r w:rsidRPr="00976056">
        <w:rPr>
          <w:szCs w:val="22"/>
          <w:lang w:eastAsia="zh-TW"/>
        </w:rPr>
        <w:t>.</w:t>
      </w:r>
    </w:p>
    <w:p w14:paraId="03D3C7C7" w14:textId="77777777" w:rsidR="005742FD" w:rsidRPr="00976056" w:rsidRDefault="005742FD" w:rsidP="00D91AF1">
      <w:pPr>
        <w:pStyle w:val="Refs"/>
        <w:ind w:left="360" w:hanging="360"/>
        <w:rPr>
          <w:szCs w:val="22"/>
          <w:lang w:eastAsia="zh-TW"/>
        </w:rPr>
      </w:pPr>
      <w:r w:rsidRPr="00976056">
        <w:rPr>
          <w:szCs w:val="22"/>
          <w:lang w:eastAsia="zh-TW"/>
        </w:rPr>
        <w:t xml:space="preserve">Edmonds, J., and J. M. Reilly (1985), </w:t>
      </w:r>
      <w:r w:rsidRPr="00976056">
        <w:rPr>
          <w:i/>
          <w:iCs/>
          <w:szCs w:val="22"/>
          <w:lang w:eastAsia="zh-TW"/>
        </w:rPr>
        <w:t>Global Energy: Assessing the Future</w:t>
      </w:r>
      <w:r w:rsidRPr="00976056">
        <w:rPr>
          <w:szCs w:val="22"/>
          <w:lang w:eastAsia="zh-TW"/>
        </w:rPr>
        <w:t>, Oxford University Press.</w:t>
      </w:r>
    </w:p>
    <w:p w14:paraId="6EA3E107" w14:textId="0DB8BA38" w:rsidR="005742FD" w:rsidRPr="00976056" w:rsidRDefault="005742FD" w:rsidP="00D91AF1">
      <w:pPr>
        <w:pStyle w:val="Refs"/>
        <w:ind w:left="360" w:hanging="360"/>
        <w:rPr>
          <w:szCs w:val="22"/>
          <w:lang w:eastAsia="zh-TW"/>
        </w:rPr>
      </w:pPr>
      <w:r w:rsidRPr="00976056">
        <w:rPr>
          <w:szCs w:val="22"/>
          <w:lang w:eastAsia="zh-TW"/>
        </w:rPr>
        <w:t xml:space="preserve">Edmonds, J., M. Wise, H. Pitcher, R. Richels, T. Wigley, and C. Maccracken (1997), An Integrated Assessment of Climate Change and the Accelerated Introduction of Advanced Energy Technologies, </w:t>
      </w:r>
      <w:r w:rsidRPr="00976056">
        <w:rPr>
          <w:i/>
          <w:iCs/>
          <w:szCs w:val="22"/>
          <w:lang w:eastAsia="zh-TW"/>
        </w:rPr>
        <w:t>Mitig. Adapt. Strat. Glob. Change</w:t>
      </w:r>
      <w:r w:rsidRPr="00976056">
        <w:rPr>
          <w:szCs w:val="22"/>
          <w:lang w:eastAsia="zh-TW"/>
        </w:rPr>
        <w:t xml:space="preserve">, </w:t>
      </w:r>
      <w:r w:rsidRPr="00976056">
        <w:rPr>
          <w:i/>
          <w:iCs/>
          <w:szCs w:val="22"/>
          <w:lang w:eastAsia="zh-TW"/>
        </w:rPr>
        <w:t>1</w:t>
      </w:r>
      <w:r w:rsidRPr="00976056">
        <w:rPr>
          <w:szCs w:val="22"/>
          <w:lang w:eastAsia="zh-TW"/>
        </w:rPr>
        <w:t xml:space="preserve">(4), 311–339, </w:t>
      </w:r>
      <w:hyperlink r:id="rId308" w:history="1">
        <w:r w:rsidR="004A4125" w:rsidRPr="00E00258">
          <w:rPr>
            <w:rStyle w:val="Hyperlink"/>
            <w:szCs w:val="22"/>
            <w:lang w:eastAsia="zh-TW"/>
          </w:rPr>
          <w:t>https://doi.org/10.1007/BF00464886</w:t>
        </w:r>
      </w:hyperlink>
      <w:r w:rsidRPr="00976056">
        <w:rPr>
          <w:szCs w:val="22"/>
          <w:lang w:eastAsia="zh-TW"/>
        </w:rPr>
        <w:t>.</w:t>
      </w:r>
    </w:p>
    <w:p w14:paraId="1FFCAB2D" w14:textId="67D5E223" w:rsidR="005742FD" w:rsidRPr="00976056" w:rsidRDefault="005742FD" w:rsidP="00FA17F9">
      <w:pPr>
        <w:pStyle w:val="Refs"/>
        <w:ind w:left="360" w:hanging="360"/>
        <w:rPr>
          <w:szCs w:val="22"/>
        </w:rPr>
      </w:pPr>
      <w:r w:rsidRPr="00976056">
        <w:rPr>
          <w:szCs w:val="22"/>
        </w:rPr>
        <w:t xml:space="preserve">EIA (US Energy Information Administration) (2020), </w:t>
      </w:r>
      <w:r w:rsidRPr="00976056">
        <w:rPr>
          <w:i/>
          <w:iCs/>
          <w:szCs w:val="22"/>
        </w:rPr>
        <w:t>Form EIA-923 Detailed Data with Previous form Data (EIA-906/920)</w:t>
      </w:r>
      <w:r w:rsidRPr="00976056">
        <w:rPr>
          <w:szCs w:val="22"/>
        </w:rPr>
        <w:t xml:space="preserve">, </w:t>
      </w:r>
      <w:hyperlink r:id="rId309" w:history="1">
        <w:r w:rsidRPr="00976056">
          <w:rPr>
            <w:rStyle w:val="Hyperlink"/>
            <w:szCs w:val="22"/>
          </w:rPr>
          <w:t>http://www.eia.gov/electricity/data/eia923/</w:t>
        </w:r>
      </w:hyperlink>
      <w:r w:rsidRPr="00976056">
        <w:rPr>
          <w:szCs w:val="22"/>
        </w:rPr>
        <w:t>, accessed June 2020.</w:t>
      </w:r>
    </w:p>
    <w:p w14:paraId="3B3FAAE6" w14:textId="730A5D2A" w:rsidR="005742FD" w:rsidRPr="00976056" w:rsidRDefault="005742FD" w:rsidP="00FA17F9">
      <w:pPr>
        <w:pStyle w:val="Refs"/>
        <w:ind w:left="360" w:hanging="360"/>
        <w:rPr>
          <w:szCs w:val="22"/>
        </w:rPr>
      </w:pPr>
      <w:r w:rsidRPr="00976056">
        <w:rPr>
          <w:szCs w:val="22"/>
        </w:rPr>
        <w:t xml:space="preserve">Elsner, M. M., S. Gangopadhyay, T. Pruitt, L. D. Brekke, N. Mizukami, and M. P. Clark (2014), How Does the Choice of Distributed Meteorological Data Affect Hydrologic Model Calibration and Streamflow Simulations?, </w:t>
      </w:r>
      <w:r w:rsidRPr="00976056">
        <w:rPr>
          <w:i/>
          <w:iCs/>
          <w:szCs w:val="22"/>
        </w:rPr>
        <w:t>J. Hydrometeor.</w:t>
      </w:r>
      <w:r w:rsidRPr="00976056">
        <w:rPr>
          <w:szCs w:val="22"/>
        </w:rPr>
        <w:t xml:space="preserve">, </w:t>
      </w:r>
      <w:r w:rsidRPr="00976056">
        <w:rPr>
          <w:i/>
          <w:iCs/>
          <w:szCs w:val="22"/>
        </w:rPr>
        <w:t>15</w:t>
      </w:r>
      <w:r w:rsidRPr="00976056">
        <w:rPr>
          <w:szCs w:val="22"/>
        </w:rPr>
        <w:t xml:space="preserve">(4), 1384–1403, </w:t>
      </w:r>
      <w:hyperlink r:id="rId310" w:history="1">
        <w:r w:rsidR="004A4125" w:rsidRPr="00E00258">
          <w:rPr>
            <w:rStyle w:val="Hyperlink"/>
            <w:szCs w:val="22"/>
          </w:rPr>
          <w:t>https://doi.org/10.1175/JHM-D-13-083.1</w:t>
        </w:r>
      </w:hyperlink>
      <w:r w:rsidRPr="00976056">
        <w:rPr>
          <w:szCs w:val="22"/>
        </w:rPr>
        <w:t>.</w:t>
      </w:r>
    </w:p>
    <w:p w14:paraId="7A1AF823" w14:textId="58E87724" w:rsidR="00401D5E" w:rsidRPr="008436A7" w:rsidRDefault="00401D5E" w:rsidP="00401D5E">
      <w:pPr>
        <w:pStyle w:val="Refs"/>
        <w:ind w:left="360" w:hanging="360"/>
        <w:rPr>
          <w:szCs w:val="22"/>
          <w:lang w:eastAsia="zh-TW"/>
        </w:rPr>
      </w:pPr>
      <w:r w:rsidRPr="008436A7">
        <w:rPr>
          <w:szCs w:val="22"/>
          <w:lang w:eastAsia="zh-TW"/>
        </w:rPr>
        <w:lastRenderedPageBreak/>
        <w:t xml:space="preserve">Erlandsen, H. B., </w:t>
      </w:r>
      <w:r>
        <w:rPr>
          <w:szCs w:val="22"/>
          <w:lang w:eastAsia="zh-TW"/>
        </w:rPr>
        <w:t xml:space="preserve">L. M. </w:t>
      </w:r>
      <w:r w:rsidRPr="008436A7">
        <w:rPr>
          <w:szCs w:val="22"/>
          <w:lang w:eastAsia="zh-TW"/>
        </w:rPr>
        <w:t xml:space="preserve">Tallaksen, </w:t>
      </w:r>
      <w:r>
        <w:rPr>
          <w:szCs w:val="22"/>
          <w:lang w:eastAsia="zh-TW"/>
        </w:rPr>
        <w:t>and</w:t>
      </w:r>
      <w:r w:rsidRPr="008436A7">
        <w:rPr>
          <w:szCs w:val="22"/>
          <w:lang w:eastAsia="zh-TW"/>
        </w:rPr>
        <w:t xml:space="preserve"> </w:t>
      </w:r>
      <w:r>
        <w:rPr>
          <w:szCs w:val="22"/>
          <w:lang w:eastAsia="zh-TW"/>
        </w:rPr>
        <w:t xml:space="preserve">J. </w:t>
      </w:r>
      <w:r w:rsidRPr="008436A7">
        <w:rPr>
          <w:szCs w:val="22"/>
          <w:lang w:eastAsia="zh-TW"/>
        </w:rPr>
        <w:t>Kristiansen (2019)</w:t>
      </w:r>
      <w:r>
        <w:rPr>
          <w:szCs w:val="22"/>
          <w:lang w:eastAsia="zh-TW"/>
        </w:rPr>
        <w:t>,</w:t>
      </w:r>
      <w:r w:rsidRPr="008436A7">
        <w:rPr>
          <w:szCs w:val="22"/>
          <w:lang w:eastAsia="zh-TW"/>
        </w:rPr>
        <w:t xml:space="preserve"> Merits of Novel High-Resolution Estimates </w:t>
      </w:r>
      <w:r>
        <w:rPr>
          <w:szCs w:val="22"/>
          <w:lang w:eastAsia="zh-TW"/>
        </w:rPr>
        <w:t>a</w:t>
      </w:r>
      <w:r w:rsidRPr="008436A7">
        <w:rPr>
          <w:szCs w:val="22"/>
          <w:lang w:eastAsia="zh-TW"/>
        </w:rPr>
        <w:t xml:space="preserve">nd Existing Long-Term Estimates </w:t>
      </w:r>
      <w:r>
        <w:rPr>
          <w:szCs w:val="22"/>
          <w:lang w:eastAsia="zh-TW"/>
        </w:rPr>
        <w:t>o</w:t>
      </w:r>
      <w:r w:rsidRPr="008436A7">
        <w:rPr>
          <w:szCs w:val="22"/>
          <w:lang w:eastAsia="zh-TW"/>
        </w:rPr>
        <w:t xml:space="preserve">f Humidity </w:t>
      </w:r>
      <w:r>
        <w:rPr>
          <w:szCs w:val="22"/>
          <w:lang w:eastAsia="zh-TW"/>
        </w:rPr>
        <w:t>a</w:t>
      </w:r>
      <w:r w:rsidRPr="008436A7">
        <w:rPr>
          <w:szCs w:val="22"/>
          <w:lang w:eastAsia="zh-TW"/>
        </w:rPr>
        <w:t xml:space="preserve">nd Incident Radiation </w:t>
      </w:r>
      <w:r>
        <w:rPr>
          <w:szCs w:val="22"/>
          <w:lang w:eastAsia="zh-TW"/>
        </w:rPr>
        <w:t>i</w:t>
      </w:r>
      <w:r w:rsidRPr="008436A7">
        <w:rPr>
          <w:szCs w:val="22"/>
          <w:lang w:eastAsia="zh-TW"/>
        </w:rPr>
        <w:t>n A Complex Domain</w:t>
      </w:r>
      <w:r>
        <w:rPr>
          <w:szCs w:val="22"/>
          <w:lang w:eastAsia="zh-TW"/>
        </w:rPr>
        <w:t>,</w:t>
      </w:r>
      <w:r w:rsidRPr="008436A7">
        <w:rPr>
          <w:szCs w:val="22"/>
          <w:lang w:eastAsia="zh-TW"/>
        </w:rPr>
        <w:t xml:space="preserve"> </w:t>
      </w:r>
      <w:r w:rsidRPr="00401D5E">
        <w:rPr>
          <w:i/>
          <w:iCs/>
          <w:szCs w:val="22"/>
          <w:lang w:eastAsia="zh-TW"/>
        </w:rPr>
        <w:t>Earth Syst. Sci. Data</w:t>
      </w:r>
      <w:r w:rsidRPr="008436A7">
        <w:rPr>
          <w:szCs w:val="22"/>
          <w:lang w:eastAsia="zh-TW"/>
        </w:rPr>
        <w:t xml:space="preserve">, </w:t>
      </w:r>
      <w:r w:rsidRPr="00401D5E">
        <w:rPr>
          <w:i/>
          <w:iCs/>
          <w:szCs w:val="22"/>
          <w:lang w:eastAsia="zh-TW"/>
        </w:rPr>
        <w:t>11</w:t>
      </w:r>
      <w:r w:rsidRPr="008436A7">
        <w:rPr>
          <w:szCs w:val="22"/>
          <w:lang w:eastAsia="zh-TW"/>
        </w:rPr>
        <w:t>(2), 797</w:t>
      </w:r>
      <w:r>
        <w:rPr>
          <w:szCs w:val="22"/>
          <w:lang w:eastAsia="zh-TW"/>
        </w:rPr>
        <w:t>–</w:t>
      </w:r>
      <w:r w:rsidRPr="008436A7">
        <w:rPr>
          <w:szCs w:val="22"/>
          <w:lang w:eastAsia="zh-TW"/>
        </w:rPr>
        <w:t>821</w:t>
      </w:r>
      <w:r>
        <w:rPr>
          <w:szCs w:val="22"/>
          <w:lang w:eastAsia="zh-TW"/>
        </w:rPr>
        <w:t xml:space="preserve">, </w:t>
      </w:r>
      <w:hyperlink r:id="rId311" w:history="1">
        <w:r w:rsidR="004A4125" w:rsidRPr="00E00258">
          <w:rPr>
            <w:rStyle w:val="Hyperlink"/>
            <w:szCs w:val="22"/>
            <w:lang w:eastAsia="zh-TW"/>
          </w:rPr>
          <w:t>https://doi.org/10.5194/essd-11-797-2019</w:t>
        </w:r>
      </w:hyperlink>
      <w:r>
        <w:rPr>
          <w:szCs w:val="22"/>
          <w:lang w:eastAsia="zh-TW"/>
        </w:rPr>
        <w:t>.</w:t>
      </w:r>
    </w:p>
    <w:p w14:paraId="148C1352" w14:textId="258F75F7" w:rsidR="005742FD" w:rsidRPr="00976056" w:rsidRDefault="005742FD" w:rsidP="00D330AF">
      <w:pPr>
        <w:pStyle w:val="Refs"/>
        <w:ind w:left="360" w:hanging="360"/>
        <w:rPr>
          <w:szCs w:val="22"/>
        </w:rPr>
      </w:pPr>
      <w:r w:rsidRPr="00976056">
        <w:rPr>
          <w:szCs w:val="22"/>
        </w:rPr>
        <w:t xml:space="preserve">Eyring, V., P. M. Cox, G. M. Flato, P. J. Gleckler, G. Abramowitz, P. Caldwell, W. D. Collins, B. K. Gier, A. D. Hall, F. M. Hoffman, G. C. Hurtt, A. Jahn, C. D. Jones, S. A. Klein, J. P. Krasting, L. Kwiatkowski, R. Lorenz, E. Maloney, G. A. Meehl, A. G. Pendergrass, R. Pincus, A. C. Ruane, J. L. Russell, B. M. Sanderson, B. D. Santer, S. C. Sherwood, I. R. Simpson, R. J. Stouffer, M. S. Williamson (2019), Taking Climate Model Evaluation to the Next Level, </w:t>
      </w:r>
      <w:r w:rsidRPr="00976056">
        <w:rPr>
          <w:i/>
          <w:iCs/>
          <w:szCs w:val="22"/>
        </w:rPr>
        <w:t>Nature Clim. Change</w:t>
      </w:r>
      <w:r w:rsidRPr="00976056">
        <w:rPr>
          <w:szCs w:val="22"/>
        </w:rPr>
        <w:t xml:space="preserve">, </w:t>
      </w:r>
      <w:r w:rsidRPr="00976056">
        <w:rPr>
          <w:i/>
          <w:iCs/>
          <w:szCs w:val="22"/>
        </w:rPr>
        <w:t>9</w:t>
      </w:r>
      <w:r w:rsidRPr="00976056">
        <w:rPr>
          <w:szCs w:val="22"/>
        </w:rPr>
        <w:t xml:space="preserve">(2), 102–110, </w:t>
      </w:r>
      <w:hyperlink r:id="rId312" w:history="1">
        <w:r w:rsidR="004A4125" w:rsidRPr="00E00258">
          <w:rPr>
            <w:rStyle w:val="Hyperlink"/>
            <w:szCs w:val="22"/>
          </w:rPr>
          <w:t>https://doi.org/10.1038/s41558-018-0355-y</w:t>
        </w:r>
      </w:hyperlink>
      <w:r w:rsidRPr="00976056">
        <w:rPr>
          <w:szCs w:val="22"/>
        </w:rPr>
        <w:t>.</w:t>
      </w:r>
    </w:p>
    <w:p w14:paraId="5CCDFB7E" w14:textId="16BD7179" w:rsidR="005742FD" w:rsidRPr="00976056" w:rsidRDefault="005742FD" w:rsidP="00D330AF">
      <w:pPr>
        <w:pStyle w:val="Refs"/>
        <w:ind w:left="360" w:hanging="360"/>
        <w:rPr>
          <w:szCs w:val="22"/>
        </w:rPr>
      </w:pPr>
      <w:r w:rsidRPr="00976056">
        <w:rPr>
          <w:szCs w:val="22"/>
        </w:rPr>
        <w:t xml:space="preserve">Eyring, V., S. Bony, G. A. Meehl, C. A. Senior, B. Stevens, R. J. Stouffer, and K. E. Taylor (2016), Overview of the Coupled Model Intercomparison Project Phase 6 (CMIP6) Experimental Design and Organization, </w:t>
      </w:r>
      <w:r w:rsidRPr="00976056">
        <w:rPr>
          <w:i/>
          <w:iCs/>
          <w:szCs w:val="22"/>
        </w:rPr>
        <w:t>Geosci. Model Dev.</w:t>
      </w:r>
      <w:r w:rsidRPr="00976056">
        <w:rPr>
          <w:szCs w:val="22"/>
        </w:rPr>
        <w:t xml:space="preserve">, </w:t>
      </w:r>
      <w:r w:rsidRPr="00976056">
        <w:rPr>
          <w:i/>
          <w:iCs/>
          <w:szCs w:val="22"/>
        </w:rPr>
        <w:t>9</w:t>
      </w:r>
      <w:r w:rsidRPr="00976056">
        <w:rPr>
          <w:szCs w:val="22"/>
        </w:rPr>
        <w:t xml:space="preserve">, 1937–1958, </w:t>
      </w:r>
      <w:hyperlink r:id="rId313" w:history="1">
        <w:r w:rsidR="004A4125" w:rsidRPr="00E00258">
          <w:rPr>
            <w:rStyle w:val="Hyperlink"/>
            <w:szCs w:val="22"/>
          </w:rPr>
          <w:t>https://doi.org/10.5194/gmd-9-1937-2016</w:t>
        </w:r>
      </w:hyperlink>
      <w:r w:rsidRPr="00976056">
        <w:rPr>
          <w:szCs w:val="22"/>
        </w:rPr>
        <w:t>.</w:t>
      </w:r>
    </w:p>
    <w:p w14:paraId="6535EE48" w14:textId="06C5FE3A" w:rsidR="005742FD" w:rsidRPr="00976056" w:rsidRDefault="005742FD" w:rsidP="00FA17F9">
      <w:pPr>
        <w:pStyle w:val="Refs"/>
        <w:ind w:left="360" w:hanging="360"/>
        <w:rPr>
          <w:szCs w:val="22"/>
          <w:lang w:eastAsia="zh-TW"/>
        </w:rPr>
      </w:pPr>
      <w:r w:rsidRPr="00976056">
        <w:rPr>
          <w:szCs w:val="22"/>
          <w:lang w:eastAsia="zh-TW"/>
        </w:rPr>
        <w:t xml:space="preserve">Fekete, B. M., D. Wisser, C. Kroeze, E. Mayorga, L. Bouwman, W. M. Wollheim, and C. Vörösmarty (2010), Millennium Ecosystem Assessment Scenario Drivers (1970–2050): Climate and Hydrological Alterations, </w:t>
      </w:r>
      <w:r w:rsidRPr="00976056">
        <w:rPr>
          <w:i/>
          <w:iCs/>
          <w:szCs w:val="22"/>
          <w:lang w:eastAsia="zh-TW"/>
        </w:rPr>
        <w:t>Global Biogeochem. Cycles</w:t>
      </w:r>
      <w:r w:rsidRPr="00976056">
        <w:rPr>
          <w:szCs w:val="22"/>
          <w:lang w:eastAsia="zh-TW"/>
        </w:rPr>
        <w:t xml:space="preserve">, </w:t>
      </w:r>
      <w:r w:rsidRPr="00976056">
        <w:rPr>
          <w:i/>
          <w:iCs/>
          <w:szCs w:val="22"/>
          <w:lang w:eastAsia="zh-TW"/>
        </w:rPr>
        <w:t>24</w:t>
      </w:r>
      <w:r w:rsidRPr="00976056">
        <w:rPr>
          <w:szCs w:val="22"/>
          <w:lang w:eastAsia="zh-TW"/>
        </w:rPr>
        <w:t xml:space="preserve">, GB0A12, </w:t>
      </w:r>
      <w:hyperlink r:id="rId314" w:history="1">
        <w:r w:rsidR="004A4125" w:rsidRPr="00E00258">
          <w:rPr>
            <w:rStyle w:val="Hyperlink"/>
            <w:szCs w:val="22"/>
            <w:lang w:eastAsia="zh-TW"/>
          </w:rPr>
          <w:t>https://doi.org/10.1029/2009GB003593</w:t>
        </w:r>
      </w:hyperlink>
      <w:r w:rsidRPr="00976056">
        <w:rPr>
          <w:szCs w:val="22"/>
          <w:lang w:eastAsia="zh-TW"/>
        </w:rPr>
        <w:t>.</w:t>
      </w:r>
    </w:p>
    <w:p w14:paraId="6103345E" w14:textId="13822580" w:rsidR="005742FD" w:rsidRPr="00976056" w:rsidRDefault="005742FD" w:rsidP="00D91AF1">
      <w:pPr>
        <w:pStyle w:val="Refs"/>
        <w:ind w:left="360" w:hanging="360"/>
        <w:rPr>
          <w:szCs w:val="22"/>
          <w:lang w:eastAsia="zh-TW"/>
        </w:rPr>
      </w:pPr>
      <w:r w:rsidRPr="00976056">
        <w:rPr>
          <w:szCs w:val="22"/>
          <w:lang w:eastAsia="zh-TW"/>
        </w:rPr>
        <w:t xml:space="preserve">Fernandez, A. (2020), </w:t>
      </w:r>
      <w:r w:rsidRPr="004A4125">
        <w:rPr>
          <w:i/>
          <w:iCs/>
          <w:szCs w:val="22"/>
          <w:lang w:eastAsia="zh-TW"/>
        </w:rPr>
        <w:t>A Summary of Current Federal Hydropower Generation and Marketing Flexibility</w:t>
      </w:r>
      <w:r w:rsidRPr="00976056">
        <w:rPr>
          <w:szCs w:val="22"/>
          <w:lang w:eastAsia="zh-TW"/>
        </w:rPr>
        <w:t xml:space="preserve">, </w:t>
      </w:r>
      <w:r w:rsidR="004A4125" w:rsidRPr="004A4125">
        <w:rPr>
          <w:szCs w:val="22"/>
          <w:lang w:eastAsia="zh-TW"/>
        </w:rPr>
        <w:t>ORNL/TM-</w:t>
      </w:r>
      <w:r w:rsidR="004A4125">
        <w:rPr>
          <w:szCs w:val="22"/>
          <w:lang w:eastAsia="zh-TW"/>
        </w:rPr>
        <w:t>2020</w:t>
      </w:r>
      <w:r w:rsidR="004A4125" w:rsidRPr="004A4125">
        <w:rPr>
          <w:szCs w:val="22"/>
          <w:lang w:eastAsia="zh-TW"/>
        </w:rPr>
        <w:t>/</w:t>
      </w:r>
      <w:r w:rsidR="004A4125">
        <w:rPr>
          <w:szCs w:val="22"/>
          <w:lang w:eastAsia="zh-TW"/>
        </w:rPr>
        <w:t>1461</w:t>
      </w:r>
      <w:r w:rsidR="004A4125" w:rsidRPr="004A4125">
        <w:rPr>
          <w:szCs w:val="22"/>
          <w:lang w:eastAsia="zh-TW"/>
        </w:rPr>
        <w:t>, Oak Ridge National Laboratory, Oak Ridge, TN</w:t>
      </w:r>
      <w:r w:rsidRPr="00976056">
        <w:rPr>
          <w:szCs w:val="22"/>
          <w:lang w:eastAsia="zh-TW"/>
        </w:rPr>
        <w:t>.</w:t>
      </w:r>
    </w:p>
    <w:p w14:paraId="52FCEFC9" w14:textId="1FF87CBC" w:rsidR="005742FD" w:rsidRPr="00976056" w:rsidRDefault="005742FD" w:rsidP="00D91AF1">
      <w:pPr>
        <w:pStyle w:val="Refs"/>
        <w:ind w:left="360" w:hanging="360"/>
        <w:rPr>
          <w:szCs w:val="22"/>
          <w:lang w:eastAsia="zh-TW"/>
        </w:rPr>
      </w:pPr>
      <w:r w:rsidRPr="00976056">
        <w:rPr>
          <w:szCs w:val="22"/>
          <w:lang w:eastAsia="zh-TW"/>
        </w:rPr>
        <w:t xml:space="preserve">Friedrich, K., R. L. Grossman, J. Huntington, P. D. Blanken, J. Lenters, K. D. Holman, D. Gochis, B. Livneh, J. Prairie, E. Skeie, N. C. Healey, K. Dahm, C. Pearson, T. Finnessey, S. J. Hook, and T. Kowalski (2018), Reservoir Evaporation in the Western United States: Current Science, Challenges, and Future Needs, </w:t>
      </w:r>
      <w:r w:rsidRPr="00976056">
        <w:rPr>
          <w:i/>
          <w:iCs/>
          <w:szCs w:val="22"/>
          <w:lang w:eastAsia="zh-TW"/>
        </w:rPr>
        <w:t>B. Am. Meteorol. Soc.</w:t>
      </w:r>
      <w:r w:rsidRPr="00976056">
        <w:rPr>
          <w:szCs w:val="22"/>
          <w:lang w:eastAsia="zh-TW"/>
        </w:rPr>
        <w:t xml:space="preserve">, </w:t>
      </w:r>
      <w:r w:rsidRPr="00976056">
        <w:rPr>
          <w:i/>
          <w:iCs/>
          <w:szCs w:val="22"/>
          <w:lang w:eastAsia="zh-TW"/>
        </w:rPr>
        <w:t>99</w:t>
      </w:r>
      <w:r w:rsidRPr="00976056">
        <w:rPr>
          <w:szCs w:val="22"/>
          <w:lang w:eastAsia="zh-TW"/>
        </w:rPr>
        <w:t xml:space="preserve">(1), 167–187, </w:t>
      </w:r>
      <w:hyperlink r:id="rId315" w:history="1">
        <w:r w:rsidR="004A4125" w:rsidRPr="00E00258">
          <w:rPr>
            <w:rStyle w:val="Hyperlink"/>
            <w:szCs w:val="22"/>
            <w:lang w:eastAsia="zh-TW"/>
          </w:rPr>
          <w:t>https://doi.org/10.1175/BAMS-D-15-00224.1</w:t>
        </w:r>
      </w:hyperlink>
      <w:r w:rsidRPr="00976056">
        <w:rPr>
          <w:szCs w:val="22"/>
          <w:lang w:eastAsia="zh-TW"/>
        </w:rPr>
        <w:t>.</w:t>
      </w:r>
    </w:p>
    <w:p w14:paraId="4C87D29A" w14:textId="29A44E53" w:rsidR="005742FD" w:rsidRPr="00976056" w:rsidRDefault="005742FD" w:rsidP="006624D8">
      <w:pPr>
        <w:pStyle w:val="Refs"/>
        <w:ind w:left="360" w:hanging="360"/>
        <w:rPr>
          <w:szCs w:val="22"/>
        </w:rPr>
      </w:pPr>
      <w:r w:rsidRPr="00976056">
        <w:rPr>
          <w:szCs w:val="22"/>
        </w:rPr>
        <w:t xml:space="preserve">Gangrade, S., S.-C. Kao, and R. A. McManamay (2020), Multimodel Hydroclimate Projections for the Alabama-Coosa-Tallapoosa River Basin in the Southeastern United States, </w:t>
      </w:r>
      <w:r w:rsidRPr="00976056">
        <w:rPr>
          <w:i/>
          <w:iCs/>
          <w:szCs w:val="22"/>
        </w:rPr>
        <w:t>Nature Sci. Rep.</w:t>
      </w:r>
      <w:r w:rsidRPr="00976056">
        <w:rPr>
          <w:szCs w:val="22"/>
        </w:rPr>
        <w:t xml:space="preserve">, </w:t>
      </w:r>
      <w:r w:rsidRPr="00976056">
        <w:rPr>
          <w:i/>
          <w:iCs/>
          <w:szCs w:val="22"/>
        </w:rPr>
        <w:t>10</w:t>
      </w:r>
      <w:r w:rsidRPr="00976056">
        <w:rPr>
          <w:szCs w:val="22"/>
        </w:rPr>
        <w:t xml:space="preserve">, 2870, </w:t>
      </w:r>
      <w:hyperlink r:id="rId316" w:history="1">
        <w:r w:rsidR="009B285E" w:rsidRPr="00E00258">
          <w:rPr>
            <w:rStyle w:val="Hyperlink"/>
            <w:szCs w:val="22"/>
          </w:rPr>
          <w:t>https://doi.org/10.1038/s41598-020-59806-6</w:t>
        </w:r>
      </w:hyperlink>
      <w:r w:rsidRPr="00976056">
        <w:rPr>
          <w:szCs w:val="22"/>
        </w:rPr>
        <w:t>.</w:t>
      </w:r>
    </w:p>
    <w:p w14:paraId="11A73CF5" w14:textId="13515267" w:rsidR="005742FD" w:rsidRPr="00976056" w:rsidRDefault="005742FD" w:rsidP="00E932A1">
      <w:pPr>
        <w:pStyle w:val="Refs"/>
        <w:ind w:left="360" w:hanging="360"/>
        <w:rPr>
          <w:szCs w:val="22"/>
        </w:rPr>
      </w:pPr>
      <w:r w:rsidRPr="00976056">
        <w:rPr>
          <w:szCs w:val="22"/>
        </w:rPr>
        <w:t xml:space="preserve">GAO (Government Accountability Office) (2001), </w:t>
      </w:r>
      <w:r w:rsidRPr="00976056">
        <w:rPr>
          <w:i/>
          <w:iCs/>
          <w:szCs w:val="22"/>
        </w:rPr>
        <w:t>The Evolution of Preference in Marketing Federal Power</w:t>
      </w:r>
      <w:r w:rsidRPr="00976056">
        <w:rPr>
          <w:szCs w:val="22"/>
        </w:rPr>
        <w:t xml:space="preserve">, GAO-01-373, accessed 05/24/2021: </w:t>
      </w:r>
      <w:hyperlink r:id="rId317" w:history="1">
        <w:r w:rsidRPr="00976056">
          <w:rPr>
            <w:rStyle w:val="Hyperlink"/>
            <w:szCs w:val="22"/>
          </w:rPr>
          <w:t>https://www.gao.gov/assets/gao-01-373.pdf</w:t>
        </w:r>
      </w:hyperlink>
      <w:r w:rsidRPr="00976056">
        <w:rPr>
          <w:szCs w:val="22"/>
          <w:lang w:eastAsia="zh-TW"/>
        </w:rPr>
        <w:t>.</w:t>
      </w:r>
    </w:p>
    <w:p w14:paraId="57DA42C4" w14:textId="2531A018" w:rsidR="005742FD" w:rsidRPr="00976056" w:rsidRDefault="005742FD" w:rsidP="00215646">
      <w:pPr>
        <w:pStyle w:val="Refs"/>
        <w:ind w:left="360" w:hanging="360"/>
        <w:rPr>
          <w:szCs w:val="22"/>
        </w:rPr>
      </w:pPr>
      <w:r w:rsidRPr="00976056">
        <w:rPr>
          <w:szCs w:val="22"/>
        </w:rPr>
        <w:t>Giorgi, F., E. Coppola, F. Solmon, L. Mariotti, M. B. Sylla, X. Bi, N. Elguindi, G. T. Diro, V. Nair, G. Giuliani, U. U. Turuncoglu, S. Cozzini, I. Güttler, T. A. O</w:t>
      </w:r>
      <w:r w:rsidR="00805545">
        <w:rPr>
          <w:szCs w:val="22"/>
        </w:rPr>
        <w:t>’</w:t>
      </w:r>
      <w:r w:rsidRPr="00976056">
        <w:rPr>
          <w:szCs w:val="22"/>
        </w:rPr>
        <w:t xml:space="preserve">Brien, A. B. Tawfik, A. Shalaby, A. S. Zakey, A. L. Steiner, F. Stordal, L. C. Sloan, and C. Brankovic (2012), RegCM4: Model Description and Preliminary Tests Over Multiple CORDEX Domains, </w:t>
      </w:r>
      <w:r w:rsidRPr="00976056">
        <w:rPr>
          <w:i/>
          <w:iCs/>
          <w:szCs w:val="22"/>
        </w:rPr>
        <w:t>Clim. Res.</w:t>
      </w:r>
      <w:r w:rsidRPr="00976056">
        <w:rPr>
          <w:szCs w:val="22"/>
        </w:rPr>
        <w:t xml:space="preserve">, </w:t>
      </w:r>
      <w:r w:rsidRPr="00976056">
        <w:rPr>
          <w:i/>
          <w:iCs/>
          <w:szCs w:val="22"/>
        </w:rPr>
        <w:t>52</w:t>
      </w:r>
      <w:r w:rsidRPr="00976056">
        <w:rPr>
          <w:szCs w:val="22"/>
        </w:rPr>
        <w:t xml:space="preserve">(1), 7–29, </w:t>
      </w:r>
      <w:hyperlink r:id="rId318" w:history="1">
        <w:r w:rsidR="009B285E" w:rsidRPr="00E00258">
          <w:rPr>
            <w:rStyle w:val="Hyperlink"/>
            <w:szCs w:val="22"/>
          </w:rPr>
          <w:t>https://doi.org/10.3354/cr01018</w:t>
        </w:r>
      </w:hyperlink>
      <w:r w:rsidRPr="00976056">
        <w:rPr>
          <w:szCs w:val="22"/>
        </w:rPr>
        <w:t>.</w:t>
      </w:r>
    </w:p>
    <w:p w14:paraId="6B404925" w14:textId="12D2AA8E" w:rsidR="005742FD" w:rsidRPr="00976056" w:rsidRDefault="005742FD" w:rsidP="00215646">
      <w:pPr>
        <w:pStyle w:val="Refs"/>
        <w:ind w:left="360" w:hanging="360"/>
        <w:rPr>
          <w:szCs w:val="22"/>
        </w:rPr>
      </w:pPr>
      <w:r w:rsidRPr="00976056">
        <w:rPr>
          <w:szCs w:val="22"/>
        </w:rPr>
        <w:t xml:space="preserve">Giuntoli, I., G. Villarini, C. Prudhomme, and D. M. Hannah (2018), Uncertainties in Projected Runoff Over the Conterminous United States, </w:t>
      </w:r>
      <w:r w:rsidRPr="00976056">
        <w:rPr>
          <w:i/>
          <w:iCs/>
          <w:szCs w:val="22"/>
        </w:rPr>
        <w:t>Climatic Change</w:t>
      </w:r>
      <w:r w:rsidRPr="00976056">
        <w:rPr>
          <w:szCs w:val="22"/>
        </w:rPr>
        <w:t xml:space="preserve">, </w:t>
      </w:r>
      <w:r w:rsidRPr="00976056">
        <w:rPr>
          <w:i/>
          <w:iCs/>
          <w:szCs w:val="22"/>
        </w:rPr>
        <w:t>150</w:t>
      </w:r>
      <w:r w:rsidRPr="00976056">
        <w:rPr>
          <w:szCs w:val="22"/>
        </w:rPr>
        <w:t xml:space="preserve">, 149–162 (2018), </w:t>
      </w:r>
      <w:hyperlink r:id="rId319" w:history="1">
        <w:r w:rsidR="009B285E" w:rsidRPr="00E00258">
          <w:rPr>
            <w:rStyle w:val="Hyperlink"/>
            <w:szCs w:val="22"/>
          </w:rPr>
          <w:t>https://doi.org/10.1007/s10584-018-2280-5</w:t>
        </w:r>
      </w:hyperlink>
      <w:r w:rsidRPr="00976056">
        <w:rPr>
          <w:szCs w:val="22"/>
        </w:rPr>
        <w:t>.</w:t>
      </w:r>
    </w:p>
    <w:p w14:paraId="1C42F885" w14:textId="33200555" w:rsidR="005742FD" w:rsidRPr="00976056" w:rsidRDefault="005742FD" w:rsidP="000F6B44">
      <w:pPr>
        <w:pStyle w:val="Refs"/>
        <w:ind w:left="360" w:hanging="360"/>
        <w:rPr>
          <w:szCs w:val="22"/>
          <w:lang w:eastAsia="zh-TW"/>
        </w:rPr>
      </w:pPr>
      <w:r w:rsidRPr="00976056">
        <w:rPr>
          <w:szCs w:val="22"/>
          <w:lang w:eastAsia="zh-TW"/>
        </w:rPr>
        <w:t>Glabau, B., E. Nielsen, A. Mylvahanan, N. Stephan, C. Frans, K. Duffy, J. Giovando, and J. Johnson (20</w:t>
      </w:r>
      <w:r w:rsidR="00516D26">
        <w:rPr>
          <w:szCs w:val="22"/>
          <w:lang w:eastAsia="zh-TW"/>
        </w:rPr>
        <w:t>2</w:t>
      </w:r>
      <w:r w:rsidRPr="00976056">
        <w:rPr>
          <w:szCs w:val="22"/>
          <w:lang w:eastAsia="zh-TW"/>
        </w:rPr>
        <w:t xml:space="preserve">0), </w:t>
      </w:r>
      <w:r w:rsidRPr="00976056">
        <w:rPr>
          <w:i/>
          <w:iCs/>
          <w:szCs w:val="22"/>
          <w:lang w:eastAsia="zh-TW"/>
        </w:rPr>
        <w:t>Climate and Hydrology</w:t>
      </w:r>
      <w:r w:rsidR="00D64187">
        <w:rPr>
          <w:i/>
          <w:iCs/>
          <w:szCs w:val="22"/>
          <w:lang w:eastAsia="zh-TW"/>
        </w:rPr>
        <w:t xml:space="preserve"> </w:t>
      </w:r>
      <w:r w:rsidR="005606E5">
        <w:rPr>
          <w:i/>
          <w:iCs/>
          <w:szCs w:val="22"/>
          <w:lang w:eastAsia="zh-TW"/>
        </w:rPr>
        <w:t>data sets</w:t>
      </w:r>
      <w:r w:rsidR="00D64187">
        <w:rPr>
          <w:i/>
          <w:iCs/>
          <w:szCs w:val="22"/>
          <w:lang w:eastAsia="zh-TW"/>
        </w:rPr>
        <w:t xml:space="preserve"> </w:t>
      </w:r>
      <w:r w:rsidRPr="00976056">
        <w:rPr>
          <w:i/>
          <w:iCs/>
          <w:szCs w:val="22"/>
          <w:lang w:eastAsia="zh-TW"/>
        </w:rPr>
        <w:t>for RMJOC Long-Term Planning Studies: Second Edition (RMJOC-II), Part II: Columbia River Reservoir Regulation and Operations—Modeling and Analyses</w:t>
      </w:r>
      <w:r w:rsidRPr="00976056">
        <w:rPr>
          <w:szCs w:val="22"/>
          <w:lang w:eastAsia="zh-TW"/>
        </w:rPr>
        <w:t>, River Management Joint Operating Committee (RMJOC): Bonneville Power Administration, US Army Corps of Engineers, and US Bureau of Reclamation.</w:t>
      </w:r>
    </w:p>
    <w:p w14:paraId="5044C555" w14:textId="6D026418" w:rsidR="005742FD" w:rsidRPr="00976056" w:rsidRDefault="005742FD" w:rsidP="00215646">
      <w:pPr>
        <w:pStyle w:val="Refs"/>
        <w:ind w:left="360" w:hanging="360"/>
        <w:rPr>
          <w:szCs w:val="22"/>
        </w:rPr>
      </w:pPr>
      <w:r w:rsidRPr="00976056">
        <w:rPr>
          <w:szCs w:val="22"/>
        </w:rPr>
        <w:lastRenderedPageBreak/>
        <w:t xml:space="preserve">Grell, G. A. (1993), Prognostic Evaluation of Assumptions Used by Cumulus Parameterizations, </w:t>
      </w:r>
      <w:r w:rsidRPr="00976056">
        <w:rPr>
          <w:i/>
          <w:iCs/>
          <w:szCs w:val="22"/>
        </w:rPr>
        <w:t>Mon. Weather Rev.</w:t>
      </w:r>
      <w:r w:rsidRPr="00976056">
        <w:rPr>
          <w:szCs w:val="22"/>
        </w:rPr>
        <w:t xml:space="preserve">, </w:t>
      </w:r>
      <w:r w:rsidRPr="00976056">
        <w:rPr>
          <w:i/>
          <w:iCs/>
          <w:szCs w:val="22"/>
        </w:rPr>
        <w:t>121</w:t>
      </w:r>
      <w:r w:rsidRPr="00976056">
        <w:rPr>
          <w:szCs w:val="22"/>
        </w:rPr>
        <w:t xml:space="preserve">(3), 764–787, </w:t>
      </w:r>
      <w:hyperlink r:id="rId320" w:history="1">
        <w:r w:rsidR="009B285E" w:rsidRPr="00E00258">
          <w:rPr>
            <w:rStyle w:val="Hyperlink"/>
            <w:szCs w:val="22"/>
          </w:rPr>
          <w:t>https://doi.org/10.1175/1520-0493(1993)121&lt;0764:Peoaub&gt;2.0.Co;2</w:t>
        </w:r>
      </w:hyperlink>
      <w:r w:rsidRPr="00976056">
        <w:rPr>
          <w:szCs w:val="22"/>
        </w:rPr>
        <w:t>.</w:t>
      </w:r>
    </w:p>
    <w:p w14:paraId="79531E80" w14:textId="14102204" w:rsidR="005742FD" w:rsidRDefault="005742FD" w:rsidP="00215646">
      <w:pPr>
        <w:pStyle w:val="Refs"/>
        <w:ind w:left="360" w:hanging="360"/>
        <w:rPr>
          <w:szCs w:val="22"/>
        </w:rPr>
      </w:pPr>
      <w:r w:rsidRPr="00976056">
        <w:rPr>
          <w:szCs w:val="22"/>
        </w:rPr>
        <w:t xml:space="preserve">Gupta, H. V., H. Kling, K. K. Yilmaz, and G. F. Martinez (2009), Decomposition of the Mean Squared Error and NSE Performance Criteria: Implications for Improving Hydrological Modelling, </w:t>
      </w:r>
      <w:r w:rsidRPr="00976056">
        <w:rPr>
          <w:i/>
          <w:iCs/>
          <w:szCs w:val="22"/>
        </w:rPr>
        <w:t>J. Hydrol.</w:t>
      </w:r>
      <w:r w:rsidRPr="00976056">
        <w:rPr>
          <w:szCs w:val="22"/>
        </w:rPr>
        <w:t xml:space="preserve">, </w:t>
      </w:r>
      <w:r w:rsidRPr="00976056">
        <w:rPr>
          <w:i/>
          <w:iCs/>
          <w:szCs w:val="22"/>
        </w:rPr>
        <w:t>377</w:t>
      </w:r>
      <w:r w:rsidRPr="00976056">
        <w:rPr>
          <w:szCs w:val="22"/>
        </w:rPr>
        <w:t xml:space="preserve">, 80–91, </w:t>
      </w:r>
      <w:hyperlink r:id="rId321" w:history="1">
        <w:r w:rsidR="009B285E" w:rsidRPr="00E00258">
          <w:rPr>
            <w:rStyle w:val="Hyperlink"/>
            <w:szCs w:val="22"/>
          </w:rPr>
          <w:t>https://doi.org/10.1016/j.jhydrol.2009.08.003</w:t>
        </w:r>
      </w:hyperlink>
      <w:r w:rsidRPr="00976056">
        <w:rPr>
          <w:szCs w:val="22"/>
        </w:rPr>
        <w:t>.</w:t>
      </w:r>
    </w:p>
    <w:p w14:paraId="7671D9C9" w14:textId="1E7D2A03" w:rsidR="00C14144" w:rsidRPr="00C14144" w:rsidRDefault="00C14144" w:rsidP="00C14144">
      <w:pPr>
        <w:pStyle w:val="Refs"/>
        <w:ind w:left="360" w:hanging="360"/>
        <w:rPr>
          <w:szCs w:val="22"/>
        </w:rPr>
      </w:pPr>
      <w:r w:rsidRPr="00C14144">
        <w:rPr>
          <w:szCs w:val="22"/>
        </w:rPr>
        <w:t>Guo, G</w:t>
      </w:r>
      <w:r>
        <w:rPr>
          <w:szCs w:val="22"/>
        </w:rPr>
        <w:t>.</w:t>
      </w:r>
      <w:r w:rsidRPr="00C14144">
        <w:rPr>
          <w:szCs w:val="22"/>
        </w:rPr>
        <w:t>, X</w:t>
      </w:r>
      <w:r>
        <w:rPr>
          <w:szCs w:val="22"/>
        </w:rPr>
        <w:t>.</w:t>
      </w:r>
      <w:r w:rsidRPr="00C14144">
        <w:rPr>
          <w:szCs w:val="22"/>
        </w:rPr>
        <w:t xml:space="preserve"> Wang, L</w:t>
      </w:r>
      <w:r>
        <w:rPr>
          <w:szCs w:val="22"/>
        </w:rPr>
        <w:t>.</w:t>
      </w:r>
      <w:r w:rsidRPr="00C14144">
        <w:rPr>
          <w:szCs w:val="22"/>
        </w:rPr>
        <w:t xml:space="preserve"> Xiang, and F</w:t>
      </w:r>
      <w:r>
        <w:rPr>
          <w:szCs w:val="22"/>
        </w:rPr>
        <w:t>.</w:t>
      </w:r>
      <w:r w:rsidRPr="00C14144">
        <w:rPr>
          <w:szCs w:val="22"/>
        </w:rPr>
        <w:t xml:space="preserve"> Nian</w:t>
      </w:r>
      <w:r>
        <w:rPr>
          <w:szCs w:val="22"/>
        </w:rPr>
        <w:t xml:space="preserve"> (2014), </w:t>
      </w:r>
      <w:r w:rsidRPr="00C14144">
        <w:rPr>
          <w:szCs w:val="22"/>
        </w:rPr>
        <w:t xml:space="preserve">Sensor/Actuator Networks </w:t>
      </w:r>
      <w:r>
        <w:rPr>
          <w:szCs w:val="22"/>
        </w:rPr>
        <w:t>a</w:t>
      </w:r>
      <w:r w:rsidRPr="00C14144">
        <w:rPr>
          <w:szCs w:val="22"/>
        </w:rPr>
        <w:t>nd Networked Control Systems</w:t>
      </w:r>
      <w:r>
        <w:rPr>
          <w:szCs w:val="22"/>
        </w:rPr>
        <w:t>,</w:t>
      </w:r>
      <w:r w:rsidRPr="00C14144">
        <w:rPr>
          <w:szCs w:val="22"/>
        </w:rPr>
        <w:t xml:space="preserve"> </w:t>
      </w:r>
      <w:r w:rsidRPr="00C14144">
        <w:rPr>
          <w:i/>
          <w:iCs/>
          <w:szCs w:val="22"/>
        </w:rPr>
        <w:t>Math. Probl. Eng.</w:t>
      </w:r>
      <w:r>
        <w:rPr>
          <w:szCs w:val="22"/>
        </w:rPr>
        <w:t xml:space="preserve">, </w:t>
      </w:r>
      <w:r w:rsidRPr="00C14144">
        <w:rPr>
          <w:i/>
          <w:iCs/>
          <w:szCs w:val="22"/>
        </w:rPr>
        <w:t>2014</w:t>
      </w:r>
      <w:r>
        <w:rPr>
          <w:szCs w:val="22"/>
        </w:rPr>
        <w:t xml:space="preserve">, 805380, </w:t>
      </w:r>
      <w:hyperlink r:id="rId322" w:history="1">
        <w:r w:rsidR="009B285E" w:rsidRPr="00E00258">
          <w:rPr>
            <w:rStyle w:val="Hyperlink"/>
            <w:szCs w:val="22"/>
          </w:rPr>
          <w:t>https://doi.org/10.1155/2014/805380</w:t>
        </w:r>
      </w:hyperlink>
      <w:r>
        <w:rPr>
          <w:szCs w:val="22"/>
        </w:rPr>
        <w:t>.</w:t>
      </w:r>
    </w:p>
    <w:p w14:paraId="04C5FF6D" w14:textId="52D53A5A" w:rsidR="005742FD" w:rsidRPr="00976056" w:rsidRDefault="005742FD" w:rsidP="00215646">
      <w:pPr>
        <w:pStyle w:val="Refs"/>
        <w:ind w:left="360" w:hanging="360"/>
        <w:rPr>
          <w:szCs w:val="22"/>
        </w:rPr>
      </w:pPr>
      <w:r w:rsidRPr="00976056">
        <w:rPr>
          <w:szCs w:val="22"/>
        </w:rPr>
        <w:t xml:space="preserve">Gutmann, E., T. Pruitt, M. P. Clark, L. Brekke, J. R. Arnold, D. A. Raff, and R. M. Rasmussen (2014), An Intercomparison of Statistical Downscaling Methods Used for Water Resource Assessments in the United States, </w:t>
      </w:r>
      <w:r w:rsidRPr="00976056">
        <w:rPr>
          <w:i/>
          <w:iCs/>
          <w:szCs w:val="22"/>
        </w:rPr>
        <w:t>Water Resour. Res.</w:t>
      </w:r>
      <w:r w:rsidRPr="00976056">
        <w:rPr>
          <w:szCs w:val="22"/>
        </w:rPr>
        <w:t xml:space="preserve">, </w:t>
      </w:r>
      <w:r w:rsidRPr="00976056">
        <w:rPr>
          <w:i/>
          <w:iCs/>
          <w:szCs w:val="22"/>
        </w:rPr>
        <w:t>50</w:t>
      </w:r>
      <w:r w:rsidRPr="00976056">
        <w:rPr>
          <w:szCs w:val="22"/>
        </w:rPr>
        <w:t xml:space="preserve">, 7167–7186, </w:t>
      </w:r>
      <w:hyperlink r:id="rId323" w:history="1">
        <w:r w:rsidR="009B285E" w:rsidRPr="00E00258">
          <w:rPr>
            <w:rStyle w:val="Hyperlink"/>
            <w:szCs w:val="22"/>
          </w:rPr>
          <w:t>https://doi.org/10.1002/2014WR015559</w:t>
        </w:r>
      </w:hyperlink>
      <w:r w:rsidRPr="00976056">
        <w:rPr>
          <w:szCs w:val="22"/>
        </w:rPr>
        <w:t>.</w:t>
      </w:r>
    </w:p>
    <w:p w14:paraId="3AE4B3DE" w14:textId="4BD3FE9D" w:rsidR="005742FD" w:rsidRPr="00976056" w:rsidRDefault="005742FD" w:rsidP="001D1003">
      <w:pPr>
        <w:pStyle w:val="Refs"/>
        <w:ind w:left="360" w:hanging="360"/>
        <w:rPr>
          <w:szCs w:val="22"/>
        </w:rPr>
      </w:pPr>
      <w:r w:rsidRPr="00976056">
        <w:rPr>
          <w:szCs w:val="22"/>
        </w:rPr>
        <w:t xml:space="preserve">Hamman, J. J., B. Nijssen, T. J. Bohn, D. R. Gergel, and Y. Mao (2018), The Variable Infiltration Capacity Model Version 5 (VIC-5): Infrastructure Improvements for New Applications and Reproducibility, </w:t>
      </w:r>
      <w:r w:rsidRPr="00976056">
        <w:rPr>
          <w:i/>
          <w:iCs/>
          <w:szCs w:val="22"/>
        </w:rPr>
        <w:t>Geosci. Model Dev.</w:t>
      </w:r>
      <w:r w:rsidRPr="00976056">
        <w:rPr>
          <w:szCs w:val="22"/>
        </w:rPr>
        <w:t xml:space="preserve">, </w:t>
      </w:r>
      <w:r w:rsidRPr="00976056">
        <w:rPr>
          <w:i/>
          <w:iCs/>
          <w:szCs w:val="22"/>
        </w:rPr>
        <w:t>11</w:t>
      </w:r>
      <w:r w:rsidRPr="00976056">
        <w:rPr>
          <w:szCs w:val="22"/>
        </w:rPr>
        <w:t xml:space="preserve">, 3481–3496, </w:t>
      </w:r>
      <w:hyperlink r:id="rId324" w:history="1">
        <w:r w:rsidR="009B285E" w:rsidRPr="00E00258">
          <w:rPr>
            <w:rStyle w:val="Hyperlink"/>
            <w:szCs w:val="22"/>
          </w:rPr>
          <w:t>https://doi.org/10.5194/gmd-11-3481-2018</w:t>
        </w:r>
      </w:hyperlink>
      <w:r w:rsidRPr="00976056">
        <w:rPr>
          <w:szCs w:val="22"/>
        </w:rPr>
        <w:t>.</w:t>
      </w:r>
    </w:p>
    <w:p w14:paraId="72D5191F" w14:textId="3CD2E3ED" w:rsidR="005742FD" w:rsidRPr="00976056" w:rsidRDefault="005742FD" w:rsidP="00215646">
      <w:pPr>
        <w:pStyle w:val="Refs"/>
        <w:ind w:left="360" w:hanging="360"/>
        <w:rPr>
          <w:szCs w:val="22"/>
        </w:rPr>
      </w:pPr>
      <w:r w:rsidRPr="00976056">
        <w:rPr>
          <w:szCs w:val="22"/>
        </w:rPr>
        <w:t xml:space="preserve">Hanasaki, N., S. Kanae, and T. Oki (2006), A Reservoir Operation Scheme for Global River Routing Models, </w:t>
      </w:r>
      <w:r w:rsidRPr="00976056">
        <w:rPr>
          <w:i/>
          <w:iCs/>
          <w:szCs w:val="22"/>
        </w:rPr>
        <w:t>J. Hydrol.</w:t>
      </w:r>
      <w:r w:rsidRPr="00976056">
        <w:rPr>
          <w:szCs w:val="22"/>
        </w:rPr>
        <w:t xml:space="preserve">, </w:t>
      </w:r>
      <w:r w:rsidRPr="00976056">
        <w:rPr>
          <w:i/>
          <w:iCs/>
          <w:szCs w:val="22"/>
        </w:rPr>
        <w:t>327</w:t>
      </w:r>
      <w:r w:rsidRPr="00976056">
        <w:rPr>
          <w:szCs w:val="22"/>
        </w:rPr>
        <w:t xml:space="preserve">, 22–41, </w:t>
      </w:r>
      <w:hyperlink r:id="rId325" w:history="1">
        <w:r w:rsidR="009B285E" w:rsidRPr="00E00258">
          <w:rPr>
            <w:rStyle w:val="Hyperlink"/>
            <w:szCs w:val="22"/>
          </w:rPr>
          <w:t>https://doi.org/10.1016/j.jhydrol.2005.11.011</w:t>
        </w:r>
      </w:hyperlink>
      <w:r w:rsidRPr="00976056">
        <w:rPr>
          <w:szCs w:val="22"/>
        </w:rPr>
        <w:t>.</w:t>
      </w:r>
    </w:p>
    <w:p w14:paraId="7431B36B" w14:textId="3C786D7C" w:rsidR="005742FD" w:rsidRPr="00976056" w:rsidRDefault="005742FD" w:rsidP="00215646">
      <w:pPr>
        <w:pStyle w:val="Refs"/>
        <w:ind w:left="360" w:hanging="360"/>
        <w:rPr>
          <w:szCs w:val="22"/>
        </w:rPr>
      </w:pPr>
      <w:r w:rsidRPr="00976056">
        <w:rPr>
          <w:szCs w:val="22"/>
        </w:rPr>
        <w:t xml:space="preserve">Harding, B. L., A. W. Wood, and J. R. Prairie (2012), The Implications of Climate Change Scenario Selection for Future Streamflow Projection in the Upper Colorado River Basin, </w:t>
      </w:r>
      <w:r w:rsidRPr="00976056">
        <w:rPr>
          <w:i/>
          <w:iCs/>
          <w:szCs w:val="22"/>
        </w:rPr>
        <w:t>Hydrol. Earth Syst. Sci.</w:t>
      </w:r>
      <w:r w:rsidRPr="00976056">
        <w:rPr>
          <w:szCs w:val="22"/>
        </w:rPr>
        <w:t xml:space="preserve">, </w:t>
      </w:r>
      <w:r w:rsidRPr="00976056">
        <w:rPr>
          <w:i/>
          <w:iCs/>
          <w:szCs w:val="22"/>
        </w:rPr>
        <w:t>16</w:t>
      </w:r>
      <w:r w:rsidRPr="00976056">
        <w:rPr>
          <w:szCs w:val="22"/>
        </w:rPr>
        <w:t xml:space="preserve">(11), 3989–4007, </w:t>
      </w:r>
      <w:hyperlink r:id="rId326" w:history="1">
        <w:r w:rsidR="009B285E" w:rsidRPr="00E00258">
          <w:rPr>
            <w:rStyle w:val="Hyperlink"/>
            <w:szCs w:val="22"/>
          </w:rPr>
          <w:t>https://doi.org/10.5194/hess-16-3989-2012</w:t>
        </w:r>
      </w:hyperlink>
      <w:r w:rsidRPr="00976056">
        <w:rPr>
          <w:szCs w:val="22"/>
        </w:rPr>
        <w:t>.</w:t>
      </w:r>
    </w:p>
    <w:p w14:paraId="31BD0523" w14:textId="34AA6AB0" w:rsidR="005742FD" w:rsidRPr="00976056" w:rsidRDefault="005742FD" w:rsidP="006624D8">
      <w:pPr>
        <w:pStyle w:val="Refs"/>
        <w:ind w:left="360" w:hanging="360"/>
        <w:rPr>
          <w:szCs w:val="22"/>
        </w:rPr>
      </w:pPr>
      <w:r w:rsidRPr="00976056">
        <w:rPr>
          <w:szCs w:val="22"/>
        </w:rPr>
        <w:t xml:space="preserve">Hattermann, F. F., T. Vetter, L. Breuer, B. Su, P. Daggupati, C. Donnelly, B. Fekete, F. Flörke, S. N. Gosling, P. Hoffmann, S. Liersch, Y. Masaki, Y. Motovilov, C. Müller, L. Samaniego, T. Stacke, Y. Wada, T. Yang, and V. Krysnaova (2018), Sources of Uncertainty in Hydrological Climate Impact Assessment: A Cross-scale Study, </w:t>
      </w:r>
      <w:r w:rsidRPr="00976056">
        <w:rPr>
          <w:i/>
          <w:iCs/>
          <w:szCs w:val="22"/>
        </w:rPr>
        <w:t>Environ. Res. Lett.</w:t>
      </w:r>
      <w:r w:rsidRPr="00976056">
        <w:rPr>
          <w:szCs w:val="22"/>
        </w:rPr>
        <w:t xml:space="preserve">, </w:t>
      </w:r>
      <w:r w:rsidRPr="00976056">
        <w:rPr>
          <w:i/>
          <w:iCs/>
          <w:szCs w:val="22"/>
        </w:rPr>
        <w:t>13</w:t>
      </w:r>
      <w:r w:rsidRPr="00976056">
        <w:rPr>
          <w:szCs w:val="22"/>
        </w:rPr>
        <w:t xml:space="preserve">, 015006, </w:t>
      </w:r>
      <w:hyperlink r:id="rId327" w:history="1">
        <w:r w:rsidR="009B285E" w:rsidRPr="00E00258">
          <w:rPr>
            <w:rStyle w:val="Hyperlink"/>
            <w:szCs w:val="22"/>
          </w:rPr>
          <w:t>https://doi.org/10.1088/1748-9326/aa9938</w:t>
        </w:r>
      </w:hyperlink>
      <w:r w:rsidRPr="00976056">
        <w:rPr>
          <w:szCs w:val="22"/>
        </w:rPr>
        <w:t>.</w:t>
      </w:r>
    </w:p>
    <w:p w14:paraId="27A35791" w14:textId="56BEC0D5" w:rsidR="00FF6AD5" w:rsidRPr="00330C85" w:rsidRDefault="00FF6AD5" w:rsidP="00FF6AD5">
      <w:pPr>
        <w:pStyle w:val="Refs"/>
        <w:ind w:left="360" w:hanging="360"/>
        <w:rPr>
          <w:szCs w:val="22"/>
          <w:lang w:eastAsia="zh-TW"/>
        </w:rPr>
      </w:pPr>
      <w:r w:rsidRPr="00330C85">
        <w:rPr>
          <w:szCs w:val="22"/>
          <w:lang w:eastAsia="zh-TW"/>
        </w:rPr>
        <w:t>Hay, L.</w:t>
      </w:r>
      <w:r>
        <w:rPr>
          <w:szCs w:val="22"/>
          <w:lang w:eastAsia="zh-TW"/>
        </w:rPr>
        <w:t xml:space="preserve"> </w:t>
      </w:r>
      <w:r w:rsidRPr="00330C85">
        <w:rPr>
          <w:szCs w:val="22"/>
          <w:lang w:eastAsia="zh-TW"/>
        </w:rPr>
        <w:t xml:space="preserve">E. </w:t>
      </w:r>
      <w:r>
        <w:rPr>
          <w:szCs w:val="22"/>
          <w:lang w:eastAsia="zh-TW"/>
        </w:rPr>
        <w:t>(</w:t>
      </w:r>
      <w:r w:rsidRPr="00330C85">
        <w:rPr>
          <w:szCs w:val="22"/>
          <w:lang w:eastAsia="zh-TW"/>
        </w:rPr>
        <w:t>2019</w:t>
      </w:r>
      <w:r>
        <w:rPr>
          <w:szCs w:val="22"/>
          <w:lang w:eastAsia="zh-TW"/>
        </w:rPr>
        <w:t>)</w:t>
      </w:r>
      <w:r w:rsidRPr="00330C85">
        <w:rPr>
          <w:szCs w:val="22"/>
          <w:lang w:eastAsia="zh-TW"/>
        </w:rPr>
        <w:t xml:space="preserve">, </w:t>
      </w:r>
      <w:r w:rsidRPr="00FF6AD5">
        <w:rPr>
          <w:i/>
          <w:iCs/>
          <w:szCs w:val="22"/>
          <w:lang w:eastAsia="zh-TW"/>
        </w:rPr>
        <w:t>Application of the National Hydrologic Model Infrastructure with the Precipitation-Runoff Modeling System (NHM-PRMS), by HRU Calibrated Version</w:t>
      </w:r>
      <w:r>
        <w:rPr>
          <w:szCs w:val="22"/>
          <w:lang w:eastAsia="zh-TW"/>
        </w:rPr>
        <w:t>,</w:t>
      </w:r>
      <w:r w:rsidRPr="00330C85">
        <w:rPr>
          <w:szCs w:val="22"/>
          <w:lang w:eastAsia="zh-TW"/>
        </w:rPr>
        <w:t xml:space="preserve"> US Geological Survey </w:t>
      </w:r>
      <w:r>
        <w:rPr>
          <w:szCs w:val="22"/>
          <w:lang w:eastAsia="zh-TW"/>
        </w:rPr>
        <w:t>D</w:t>
      </w:r>
      <w:r w:rsidRPr="00330C85">
        <w:rPr>
          <w:szCs w:val="22"/>
          <w:lang w:eastAsia="zh-TW"/>
        </w:rPr>
        <w:t xml:space="preserve">ata </w:t>
      </w:r>
      <w:r>
        <w:rPr>
          <w:szCs w:val="22"/>
          <w:lang w:eastAsia="zh-TW"/>
        </w:rPr>
        <w:t>R</w:t>
      </w:r>
      <w:r w:rsidRPr="00330C85">
        <w:rPr>
          <w:szCs w:val="22"/>
          <w:lang w:eastAsia="zh-TW"/>
        </w:rPr>
        <w:t xml:space="preserve">elease, </w:t>
      </w:r>
      <w:hyperlink r:id="rId328" w:history="1">
        <w:r w:rsidR="009B285E" w:rsidRPr="00E00258">
          <w:rPr>
            <w:rStyle w:val="Hyperlink"/>
            <w:szCs w:val="22"/>
            <w:lang w:eastAsia="zh-TW"/>
          </w:rPr>
          <w:t>https://doi.org/10.5066/P9NM8K8W</w:t>
        </w:r>
      </w:hyperlink>
      <w:r w:rsidRPr="00330C85">
        <w:rPr>
          <w:szCs w:val="22"/>
          <w:lang w:eastAsia="zh-TW"/>
        </w:rPr>
        <w:t>.</w:t>
      </w:r>
    </w:p>
    <w:p w14:paraId="3B7ACD88" w14:textId="5FD29868" w:rsidR="005742FD" w:rsidRPr="00976056" w:rsidRDefault="005742FD" w:rsidP="00F804A8">
      <w:pPr>
        <w:pStyle w:val="Refs"/>
        <w:ind w:left="360" w:hanging="360"/>
        <w:rPr>
          <w:szCs w:val="22"/>
        </w:rPr>
      </w:pPr>
      <w:r w:rsidRPr="00976056">
        <w:rPr>
          <w:szCs w:val="22"/>
        </w:rPr>
        <w:t xml:space="preserve">Hay, L. E., and J. H. LaFontaine (2020), </w:t>
      </w:r>
      <w:r w:rsidRPr="00976056">
        <w:rPr>
          <w:i/>
          <w:iCs/>
          <w:szCs w:val="22"/>
        </w:rPr>
        <w:t>Application of the National Hydrologic Model Infrastructure with the Precipitation-Runoff Modeling System (NHM-PRMS), 1980–2016, Daymet Version 3 Calibration</w:t>
      </w:r>
      <w:r w:rsidRPr="00976056">
        <w:rPr>
          <w:szCs w:val="22"/>
        </w:rPr>
        <w:t xml:space="preserve">, US Geological Survey Data Release, </w:t>
      </w:r>
      <w:hyperlink r:id="rId329" w:history="1">
        <w:r w:rsidR="009B285E" w:rsidRPr="00E00258">
          <w:rPr>
            <w:rStyle w:val="Hyperlink"/>
            <w:szCs w:val="22"/>
          </w:rPr>
          <w:t>https://doi.org/10.5066/P9PGZE0S</w:t>
        </w:r>
      </w:hyperlink>
      <w:r w:rsidRPr="00976056">
        <w:rPr>
          <w:szCs w:val="22"/>
        </w:rPr>
        <w:t>.</w:t>
      </w:r>
    </w:p>
    <w:p w14:paraId="712BAE9F" w14:textId="536DA756" w:rsidR="005742FD" w:rsidRPr="00976056" w:rsidRDefault="005742FD" w:rsidP="00F804A8">
      <w:pPr>
        <w:pStyle w:val="Refs"/>
        <w:ind w:left="360" w:hanging="360"/>
        <w:rPr>
          <w:szCs w:val="22"/>
        </w:rPr>
      </w:pPr>
      <w:r w:rsidRPr="00976056">
        <w:rPr>
          <w:szCs w:val="22"/>
        </w:rPr>
        <w:t xml:space="preserve">Hay, L. E., S. L. Markstrom, and C. Ward-Garrison (2011), Watershed-Scale Response to Climate Change through the Twenty-First Century for Selected Basins across the United States, </w:t>
      </w:r>
      <w:r w:rsidRPr="00976056">
        <w:rPr>
          <w:i/>
          <w:iCs/>
          <w:szCs w:val="22"/>
        </w:rPr>
        <w:t>Earth Interactions</w:t>
      </w:r>
      <w:r w:rsidRPr="00976056">
        <w:rPr>
          <w:szCs w:val="22"/>
        </w:rPr>
        <w:t xml:space="preserve">, </w:t>
      </w:r>
      <w:r w:rsidRPr="00976056">
        <w:rPr>
          <w:i/>
          <w:iCs/>
          <w:szCs w:val="22"/>
        </w:rPr>
        <w:t>15</w:t>
      </w:r>
      <w:r w:rsidRPr="00976056">
        <w:rPr>
          <w:szCs w:val="22"/>
        </w:rPr>
        <w:t xml:space="preserve">(17), 1–37, </w:t>
      </w:r>
      <w:hyperlink r:id="rId330" w:history="1">
        <w:r w:rsidR="009B285E" w:rsidRPr="00E00258">
          <w:rPr>
            <w:rStyle w:val="Hyperlink"/>
            <w:szCs w:val="22"/>
          </w:rPr>
          <w:t>https://doi.org/10.1175/2010EI370.1</w:t>
        </w:r>
      </w:hyperlink>
      <w:r w:rsidRPr="00976056">
        <w:rPr>
          <w:szCs w:val="22"/>
        </w:rPr>
        <w:t>.</w:t>
      </w:r>
    </w:p>
    <w:p w14:paraId="33D71042" w14:textId="36C3AA46" w:rsidR="005742FD" w:rsidRPr="00976056" w:rsidRDefault="005742FD" w:rsidP="002A285F">
      <w:pPr>
        <w:pStyle w:val="Refs"/>
        <w:ind w:left="360" w:hanging="360"/>
        <w:rPr>
          <w:szCs w:val="22"/>
        </w:rPr>
      </w:pPr>
      <w:r w:rsidRPr="00976056">
        <w:rPr>
          <w:szCs w:val="22"/>
        </w:rPr>
        <w:t xml:space="preserve">Heidari, H., M. Arabi, T. Warziniack, and S.-C. Kao (2020), Assessing Shifts in Regional Hydroclimatic Conditions of U.S. River Basins in Response to Climate Change over the 21st Century, </w:t>
      </w:r>
      <w:r w:rsidRPr="00976056">
        <w:rPr>
          <w:i/>
          <w:iCs/>
          <w:szCs w:val="22"/>
        </w:rPr>
        <w:t>Earth</w:t>
      </w:r>
      <w:r w:rsidR="00805545">
        <w:rPr>
          <w:i/>
          <w:iCs/>
          <w:szCs w:val="22"/>
        </w:rPr>
        <w:t>’</w:t>
      </w:r>
      <w:r w:rsidRPr="00976056">
        <w:rPr>
          <w:i/>
          <w:iCs/>
          <w:szCs w:val="22"/>
        </w:rPr>
        <w:t>s Future</w:t>
      </w:r>
      <w:r w:rsidRPr="00976056">
        <w:rPr>
          <w:szCs w:val="22"/>
        </w:rPr>
        <w:t xml:space="preserve">, </w:t>
      </w:r>
      <w:r w:rsidRPr="00976056">
        <w:rPr>
          <w:i/>
          <w:iCs/>
          <w:szCs w:val="22"/>
        </w:rPr>
        <w:t>8</w:t>
      </w:r>
      <w:r w:rsidRPr="00976056">
        <w:rPr>
          <w:szCs w:val="22"/>
        </w:rPr>
        <w:t xml:space="preserve">(10), e2020EF001657, </w:t>
      </w:r>
      <w:hyperlink r:id="rId331" w:history="1">
        <w:r w:rsidR="009B285E" w:rsidRPr="00E00258">
          <w:rPr>
            <w:rStyle w:val="Hyperlink"/>
            <w:szCs w:val="22"/>
          </w:rPr>
          <w:t>https://doi.org/10.1029/2020EF001657</w:t>
        </w:r>
      </w:hyperlink>
      <w:r w:rsidRPr="00976056">
        <w:rPr>
          <w:szCs w:val="22"/>
        </w:rPr>
        <w:t>.</w:t>
      </w:r>
    </w:p>
    <w:p w14:paraId="5C978F9D" w14:textId="54045953" w:rsidR="005742FD" w:rsidRPr="00976056" w:rsidRDefault="005742FD" w:rsidP="00DE26C3">
      <w:pPr>
        <w:pStyle w:val="Refs"/>
        <w:ind w:left="360" w:hanging="360"/>
        <w:rPr>
          <w:szCs w:val="22"/>
        </w:rPr>
      </w:pPr>
      <w:r w:rsidRPr="00976056">
        <w:rPr>
          <w:szCs w:val="22"/>
        </w:rPr>
        <w:t xml:space="preserve">Hejazi, M. I., N. Voisin, L. Liu, L. M. Bramer, D. C. Fortin, J. E. Hathaway, M. Huang, P. Kyle, L. R. Leung, H.-Y. Li, Y. Liu, P. L. Patel, T. C. Pulsipher, J. S. Rice, T. K. Tesfa, C. R. Vernon, and Y. Zhou (2015), 21st Century United States Emissions Mitigation Could Increase Water Stress More </w:t>
      </w:r>
      <w:r w:rsidRPr="00976056">
        <w:rPr>
          <w:szCs w:val="22"/>
        </w:rPr>
        <w:lastRenderedPageBreak/>
        <w:t xml:space="preserve">Than the Climate Change It Is Mitigating, </w:t>
      </w:r>
      <w:r w:rsidRPr="00976056">
        <w:rPr>
          <w:i/>
          <w:iCs/>
          <w:szCs w:val="22"/>
        </w:rPr>
        <w:t>Proc. Natl. Acad. Sci.</w:t>
      </w:r>
      <w:r w:rsidRPr="00976056">
        <w:rPr>
          <w:szCs w:val="22"/>
        </w:rPr>
        <w:t xml:space="preserve">, </w:t>
      </w:r>
      <w:r w:rsidRPr="00976056">
        <w:rPr>
          <w:i/>
          <w:iCs/>
          <w:szCs w:val="22"/>
        </w:rPr>
        <w:t>112</w:t>
      </w:r>
      <w:r w:rsidRPr="00976056">
        <w:rPr>
          <w:szCs w:val="22"/>
        </w:rPr>
        <w:t xml:space="preserve">(34), 10635–40, </w:t>
      </w:r>
      <w:hyperlink r:id="rId332" w:history="1">
        <w:r w:rsidR="009B285E" w:rsidRPr="00E00258">
          <w:rPr>
            <w:rStyle w:val="Hyperlink"/>
            <w:szCs w:val="22"/>
          </w:rPr>
          <w:t>https://doi.org/10.1073/pnas.1421675112</w:t>
        </w:r>
      </w:hyperlink>
      <w:r w:rsidRPr="00976056">
        <w:rPr>
          <w:szCs w:val="22"/>
        </w:rPr>
        <w:t>.</w:t>
      </w:r>
    </w:p>
    <w:p w14:paraId="3D6D597F" w14:textId="680C7F9F" w:rsidR="005742FD" w:rsidRPr="00976056" w:rsidRDefault="005742FD" w:rsidP="00F804A8">
      <w:pPr>
        <w:pStyle w:val="Refs"/>
        <w:ind w:left="360" w:hanging="360"/>
        <w:rPr>
          <w:szCs w:val="22"/>
        </w:rPr>
      </w:pPr>
      <w:r w:rsidRPr="00976056">
        <w:rPr>
          <w:szCs w:val="22"/>
        </w:rPr>
        <w:t xml:space="preserve">Hengade, N., T. I. Eldho, and S. Ghosh (2018), Climate Change Impact Assessment of a River Basin Using CMIP5 Climate Models and the VIC Hydrological Model, </w:t>
      </w:r>
      <w:r w:rsidRPr="00976056">
        <w:rPr>
          <w:i/>
          <w:iCs/>
          <w:szCs w:val="22"/>
        </w:rPr>
        <w:t>Hydrolog. Sci. J.</w:t>
      </w:r>
      <w:r w:rsidRPr="00976056">
        <w:rPr>
          <w:szCs w:val="22"/>
        </w:rPr>
        <w:t xml:space="preserve">, </w:t>
      </w:r>
      <w:r w:rsidRPr="00976056">
        <w:rPr>
          <w:i/>
          <w:iCs/>
          <w:szCs w:val="22"/>
        </w:rPr>
        <w:t>63</w:t>
      </w:r>
      <w:r w:rsidRPr="00976056">
        <w:rPr>
          <w:szCs w:val="22"/>
        </w:rPr>
        <w:t xml:space="preserve">(4), 596–614, </w:t>
      </w:r>
      <w:hyperlink r:id="rId333" w:history="1">
        <w:r w:rsidR="009B285E" w:rsidRPr="00E00258">
          <w:rPr>
            <w:rStyle w:val="Hyperlink"/>
            <w:szCs w:val="22"/>
          </w:rPr>
          <w:t>https://doi.org/10.1080/02626667.2018.1441531</w:t>
        </w:r>
      </w:hyperlink>
      <w:r w:rsidRPr="00976056">
        <w:rPr>
          <w:szCs w:val="22"/>
        </w:rPr>
        <w:t>.</w:t>
      </w:r>
    </w:p>
    <w:p w14:paraId="270F2059" w14:textId="17537FDB" w:rsidR="005742FD" w:rsidRPr="00976056" w:rsidRDefault="005742FD" w:rsidP="006624D8">
      <w:pPr>
        <w:pStyle w:val="Refs"/>
        <w:ind w:left="360" w:hanging="360"/>
        <w:rPr>
          <w:szCs w:val="22"/>
        </w:rPr>
      </w:pPr>
      <w:r w:rsidRPr="00976056">
        <w:rPr>
          <w:szCs w:val="22"/>
        </w:rPr>
        <w:t xml:space="preserve">Holtslag, A. A. M., E. I. F. Debruijn, and H. L. Pan (1990), A High-Resolution Air-Mass Transformation Model for Short-Range Weather Forecasting, </w:t>
      </w:r>
      <w:r w:rsidRPr="00976056">
        <w:rPr>
          <w:i/>
          <w:iCs/>
          <w:szCs w:val="22"/>
        </w:rPr>
        <w:t>Moon Weather Rev.</w:t>
      </w:r>
      <w:r w:rsidRPr="00976056">
        <w:rPr>
          <w:szCs w:val="22"/>
        </w:rPr>
        <w:t xml:space="preserve">, </w:t>
      </w:r>
      <w:r w:rsidRPr="00976056">
        <w:rPr>
          <w:i/>
          <w:iCs/>
          <w:szCs w:val="22"/>
        </w:rPr>
        <w:t>118</w:t>
      </w:r>
      <w:r w:rsidRPr="00976056">
        <w:rPr>
          <w:szCs w:val="22"/>
        </w:rPr>
        <w:t xml:space="preserve">(8), 1561–1575, </w:t>
      </w:r>
      <w:hyperlink r:id="rId334" w:history="1">
        <w:r w:rsidR="009B285E" w:rsidRPr="00E00258">
          <w:rPr>
            <w:rStyle w:val="Hyperlink"/>
            <w:szCs w:val="22"/>
          </w:rPr>
          <w:t>https://doi.org/10.1175/1520-0493(1990)118&lt;1561:Ahramt&gt;2.0.Co;2</w:t>
        </w:r>
      </w:hyperlink>
      <w:r w:rsidRPr="00976056">
        <w:rPr>
          <w:szCs w:val="22"/>
        </w:rPr>
        <w:t>.</w:t>
      </w:r>
    </w:p>
    <w:p w14:paraId="0A58CD8D" w14:textId="7BBEE722" w:rsidR="005742FD" w:rsidRPr="00976056" w:rsidRDefault="005742FD" w:rsidP="006624D8">
      <w:pPr>
        <w:pStyle w:val="Refs"/>
        <w:ind w:left="360" w:hanging="360"/>
        <w:rPr>
          <w:szCs w:val="22"/>
        </w:rPr>
      </w:pPr>
      <w:r w:rsidRPr="00976056">
        <w:rPr>
          <w:szCs w:val="22"/>
        </w:rPr>
        <w:t xml:space="preserve">Huang, J., and K. R. Gurney (2016), The Variation of Climate Change Impact On Building Energy Consumption to Building Type and Spatiotemporal Scale, </w:t>
      </w:r>
      <w:r w:rsidRPr="00976056">
        <w:rPr>
          <w:i/>
          <w:iCs/>
          <w:szCs w:val="22"/>
        </w:rPr>
        <w:t>Energy</w:t>
      </w:r>
      <w:r w:rsidRPr="00976056">
        <w:rPr>
          <w:szCs w:val="22"/>
        </w:rPr>
        <w:t xml:space="preserve">, </w:t>
      </w:r>
      <w:r w:rsidRPr="00976056">
        <w:rPr>
          <w:i/>
          <w:iCs/>
          <w:szCs w:val="22"/>
        </w:rPr>
        <w:t>111</w:t>
      </w:r>
      <w:r w:rsidRPr="00976056">
        <w:rPr>
          <w:szCs w:val="22"/>
        </w:rPr>
        <w:t xml:space="preserve">, 137–153, </w:t>
      </w:r>
      <w:hyperlink r:id="rId335" w:history="1">
        <w:r w:rsidR="007C01B6" w:rsidRPr="00E00258">
          <w:rPr>
            <w:rStyle w:val="Hyperlink"/>
            <w:szCs w:val="22"/>
          </w:rPr>
          <w:t>https://doi.org/10.1016/j.energy.2016.05.118</w:t>
        </w:r>
      </w:hyperlink>
      <w:r w:rsidRPr="00976056">
        <w:rPr>
          <w:szCs w:val="22"/>
        </w:rPr>
        <w:t>.</w:t>
      </w:r>
    </w:p>
    <w:p w14:paraId="0BD25E30" w14:textId="315A1C80" w:rsidR="005742FD" w:rsidRPr="00976056" w:rsidRDefault="005742FD" w:rsidP="006624D8">
      <w:pPr>
        <w:pStyle w:val="Refs"/>
        <w:ind w:left="360" w:hanging="360"/>
        <w:rPr>
          <w:szCs w:val="22"/>
        </w:rPr>
      </w:pPr>
      <w:r w:rsidRPr="00976056">
        <w:rPr>
          <w:szCs w:val="22"/>
        </w:rPr>
        <w:t xml:space="preserve">Huang, X., and P. A. Ullrich (2017), The Changing Character of Twenty-first-century Precipitation Over the Western United States in the Variable-resolution CESM, </w:t>
      </w:r>
      <w:r w:rsidRPr="00976056">
        <w:rPr>
          <w:i/>
          <w:iCs/>
          <w:szCs w:val="22"/>
        </w:rPr>
        <w:t>J. Clim.</w:t>
      </w:r>
      <w:r w:rsidRPr="00976056">
        <w:rPr>
          <w:szCs w:val="22"/>
        </w:rPr>
        <w:t xml:space="preserve">, </w:t>
      </w:r>
      <w:r w:rsidRPr="00976056">
        <w:rPr>
          <w:i/>
          <w:iCs/>
          <w:szCs w:val="22"/>
        </w:rPr>
        <w:t>30</w:t>
      </w:r>
      <w:r w:rsidRPr="00976056">
        <w:rPr>
          <w:szCs w:val="22"/>
        </w:rPr>
        <w:t xml:space="preserve">(18), 7555–7575, </w:t>
      </w:r>
      <w:hyperlink r:id="rId336" w:history="1">
        <w:r w:rsidR="009B285E" w:rsidRPr="00E00258">
          <w:rPr>
            <w:rStyle w:val="Hyperlink"/>
            <w:szCs w:val="22"/>
          </w:rPr>
          <w:t>https://doi.org/10.1175/JCLI-D-16-0673.1</w:t>
        </w:r>
      </w:hyperlink>
      <w:r w:rsidRPr="00976056">
        <w:rPr>
          <w:szCs w:val="22"/>
        </w:rPr>
        <w:t>.</w:t>
      </w:r>
    </w:p>
    <w:p w14:paraId="20740140" w14:textId="29A1DBB4" w:rsidR="005742FD" w:rsidRPr="00976056" w:rsidRDefault="005742FD" w:rsidP="006624D8">
      <w:pPr>
        <w:pStyle w:val="Refs"/>
        <w:ind w:left="360" w:hanging="360"/>
        <w:rPr>
          <w:szCs w:val="22"/>
        </w:rPr>
      </w:pPr>
      <w:r w:rsidRPr="00976056">
        <w:rPr>
          <w:szCs w:val="22"/>
        </w:rPr>
        <w:t xml:space="preserve">Islam, S. U., S. J. Déry, and A. T. Werner (2017), Future Climate Change Impacts on Snow and Water Resources of the Fraser River Basin, British Columbia, </w:t>
      </w:r>
      <w:r w:rsidRPr="00976056">
        <w:rPr>
          <w:i/>
          <w:iCs/>
          <w:szCs w:val="22"/>
        </w:rPr>
        <w:t>J. Hydrometeor.</w:t>
      </w:r>
      <w:r w:rsidRPr="00976056">
        <w:rPr>
          <w:szCs w:val="22"/>
        </w:rPr>
        <w:t xml:space="preserve">, </w:t>
      </w:r>
      <w:r w:rsidRPr="00976056">
        <w:rPr>
          <w:i/>
          <w:iCs/>
          <w:szCs w:val="22"/>
        </w:rPr>
        <w:t>18</w:t>
      </w:r>
      <w:r w:rsidRPr="00976056">
        <w:rPr>
          <w:szCs w:val="22"/>
        </w:rPr>
        <w:t xml:space="preserve">(2), 473–496, </w:t>
      </w:r>
      <w:hyperlink r:id="rId337" w:history="1">
        <w:r w:rsidR="009B285E" w:rsidRPr="00E00258">
          <w:rPr>
            <w:rStyle w:val="Hyperlink"/>
            <w:szCs w:val="22"/>
          </w:rPr>
          <w:t>https://doi.org/10.1175/JHM-D-16-0012.1</w:t>
        </w:r>
      </w:hyperlink>
      <w:r w:rsidRPr="00976056">
        <w:rPr>
          <w:szCs w:val="22"/>
        </w:rPr>
        <w:t>.</w:t>
      </w:r>
    </w:p>
    <w:p w14:paraId="13413791" w14:textId="183429AD" w:rsidR="00C14144" w:rsidRPr="00C14144" w:rsidRDefault="00C14144" w:rsidP="00C14144">
      <w:pPr>
        <w:pStyle w:val="Refs"/>
        <w:ind w:left="360" w:hanging="360"/>
        <w:rPr>
          <w:szCs w:val="22"/>
        </w:rPr>
      </w:pPr>
      <w:r w:rsidRPr="00C14144">
        <w:rPr>
          <w:szCs w:val="22"/>
        </w:rPr>
        <w:t>Jiang, Y</w:t>
      </w:r>
      <w:r>
        <w:rPr>
          <w:szCs w:val="22"/>
        </w:rPr>
        <w:t>.</w:t>
      </w:r>
      <w:r w:rsidRPr="00C14144">
        <w:rPr>
          <w:szCs w:val="22"/>
        </w:rPr>
        <w:t>, T</w:t>
      </w:r>
      <w:r>
        <w:rPr>
          <w:szCs w:val="22"/>
        </w:rPr>
        <w:t>.</w:t>
      </w:r>
      <w:r w:rsidRPr="00C14144">
        <w:rPr>
          <w:szCs w:val="22"/>
        </w:rPr>
        <w:t xml:space="preserve"> Hu, C</w:t>
      </w:r>
      <w:r>
        <w:rPr>
          <w:szCs w:val="22"/>
        </w:rPr>
        <w:t>.</w:t>
      </w:r>
      <w:r w:rsidRPr="00C14144">
        <w:rPr>
          <w:szCs w:val="22"/>
        </w:rPr>
        <w:t xml:space="preserve"> Huang, and X</w:t>
      </w:r>
      <w:r>
        <w:rPr>
          <w:szCs w:val="22"/>
        </w:rPr>
        <w:t>.</w:t>
      </w:r>
      <w:r w:rsidRPr="00C14144">
        <w:rPr>
          <w:szCs w:val="22"/>
        </w:rPr>
        <w:t xml:space="preserve"> Wu</w:t>
      </w:r>
      <w:r>
        <w:rPr>
          <w:szCs w:val="22"/>
        </w:rPr>
        <w:t xml:space="preserve"> (2007), </w:t>
      </w:r>
      <w:r w:rsidRPr="00C14144">
        <w:rPr>
          <w:szCs w:val="22"/>
        </w:rPr>
        <w:t>An Improved Particle Swarm Optimization Algorithm</w:t>
      </w:r>
      <w:r>
        <w:rPr>
          <w:szCs w:val="22"/>
        </w:rPr>
        <w:t>,</w:t>
      </w:r>
      <w:r w:rsidRPr="00C14144">
        <w:rPr>
          <w:szCs w:val="22"/>
        </w:rPr>
        <w:t xml:space="preserve"> </w:t>
      </w:r>
      <w:r w:rsidRPr="00C14144">
        <w:rPr>
          <w:i/>
          <w:iCs/>
          <w:szCs w:val="22"/>
        </w:rPr>
        <w:t>Appl. Math. Comput.</w:t>
      </w:r>
      <w:r>
        <w:rPr>
          <w:szCs w:val="22"/>
        </w:rPr>
        <w:t>,</w:t>
      </w:r>
      <w:r w:rsidRPr="00C14144">
        <w:rPr>
          <w:szCs w:val="22"/>
        </w:rPr>
        <w:t xml:space="preserve"> </w:t>
      </w:r>
      <w:r w:rsidRPr="00C14144">
        <w:rPr>
          <w:i/>
          <w:iCs/>
          <w:szCs w:val="22"/>
        </w:rPr>
        <w:t>193</w:t>
      </w:r>
      <w:r w:rsidRPr="00C14144">
        <w:rPr>
          <w:szCs w:val="22"/>
        </w:rPr>
        <w:t xml:space="preserve">, </w:t>
      </w:r>
      <w:r w:rsidRPr="00C14144">
        <w:rPr>
          <w:i/>
          <w:iCs/>
          <w:szCs w:val="22"/>
        </w:rPr>
        <w:t>1</w:t>
      </w:r>
      <w:r>
        <w:rPr>
          <w:szCs w:val="22"/>
        </w:rPr>
        <w:t xml:space="preserve">, </w:t>
      </w:r>
      <w:r w:rsidRPr="00C14144">
        <w:rPr>
          <w:szCs w:val="22"/>
        </w:rPr>
        <w:t>231</w:t>
      </w:r>
      <w:r>
        <w:rPr>
          <w:szCs w:val="22"/>
        </w:rPr>
        <w:t>–</w:t>
      </w:r>
      <w:r w:rsidRPr="00C14144">
        <w:rPr>
          <w:szCs w:val="22"/>
        </w:rPr>
        <w:t>239</w:t>
      </w:r>
      <w:r>
        <w:rPr>
          <w:szCs w:val="22"/>
        </w:rPr>
        <w:t xml:space="preserve">, </w:t>
      </w:r>
      <w:hyperlink r:id="rId338" w:history="1">
        <w:r w:rsidR="009B285E" w:rsidRPr="00E00258">
          <w:rPr>
            <w:rStyle w:val="Hyperlink"/>
            <w:szCs w:val="22"/>
          </w:rPr>
          <w:t>https://doi.org/10.1016/j.amc.2007.03.047</w:t>
        </w:r>
      </w:hyperlink>
      <w:r>
        <w:rPr>
          <w:szCs w:val="22"/>
        </w:rPr>
        <w:t>.</w:t>
      </w:r>
    </w:p>
    <w:p w14:paraId="1D60B55D" w14:textId="519658CA" w:rsidR="005742FD" w:rsidRPr="00976056" w:rsidRDefault="005742FD" w:rsidP="006624D8">
      <w:pPr>
        <w:pStyle w:val="Refs"/>
        <w:ind w:left="360" w:hanging="360"/>
        <w:rPr>
          <w:szCs w:val="22"/>
        </w:rPr>
      </w:pPr>
      <w:r w:rsidRPr="00976056">
        <w:rPr>
          <w:szCs w:val="22"/>
        </w:rPr>
        <w:t>Jiang, Y., J. B. Kim, C. J. Still, B. K. Kerns, J. D. Kline, and P. G. Cunningham (2018), Inter-comparison of Multiple Statistically Downscaled Climate</w:t>
      </w:r>
      <w:r w:rsidR="00D64187">
        <w:rPr>
          <w:szCs w:val="22"/>
        </w:rPr>
        <w:t xml:space="preserve"> </w:t>
      </w:r>
      <w:r w:rsidR="005606E5">
        <w:rPr>
          <w:szCs w:val="22"/>
        </w:rPr>
        <w:t>data sets</w:t>
      </w:r>
      <w:r w:rsidR="00D64187">
        <w:rPr>
          <w:szCs w:val="22"/>
        </w:rPr>
        <w:t xml:space="preserve"> </w:t>
      </w:r>
      <w:r w:rsidRPr="00976056">
        <w:rPr>
          <w:szCs w:val="22"/>
        </w:rPr>
        <w:t xml:space="preserve">for the Pacific Northwest, USA, </w:t>
      </w:r>
      <w:r w:rsidRPr="00976056">
        <w:rPr>
          <w:i/>
          <w:iCs/>
          <w:szCs w:val="22"/>
        </w:rPr>
        <w:t>Sci. Data</w:t>
      </w:r>
      <w:r w:rsidRPr="00976056">
        <w:rPr>
          <w:szCs w:val="22"/>
        </w:rPr>
        <w:t xml:space="preserve">, </w:t>
      </w:r>
      <w:r w:rsidRPr="00976056">
        <w:rPr>
          <w:i/>
          <w:iCs/>
          <w:szCs w:val="22"/>
        </w:rPr>
        <w:t>5</w:t>
      </w:r>
      <w:r w:rsidRPr="00976056">
        <w:rPr>
          <w:szCs w:val="22"/>
        </w:rPr>
        <w:t xml:space="preserve">(1), 1–18, </w:t>
      </w:r>
      <w:hyperlink r:id="rId339" w:history="1">
        <w:r w:rsidR="009B285E" w:rsidRPr="00E00258">
          <w:rPr>
            <w:rStyle w:val="Hyperlink"/>
            <w:szCs w:val="22"/>
          </w:rPr>
          <w:t>https://doi.org/10.1038/sdata.2018.16</w:t>
        </w:r>
      </w:hyperlink>
      <w:r w:rsidRPr="00976056">
        <w:rPr>
          <w:szCs w:val="22"/>
        </w:rPr>
        <w:t>.</w:t>
      </w:r>
    </w:p>
    <w:p w14:paraId="221A84B5" w14:textId="3F06681B" w:rsidR="005742FD" w:rsidRPr="00976056" w:rsidRDefault="005742FD" w:rsidP="009E1E30">
      <w:pPr>
        <w:pStyle w:val="Refs"/>
        <w:ind w:left="360" w:hanging="360"/>
        <w:rPr>
          <w:szCs w:val="22"/>
          <w:lang w:eastAsia="zh-TW"/>
        </w:rPr>
      </w:pPr>
      <w:r w:rsidRPr="00976056">
        <w:rPr>
          <w:szCs w:val="22"/>
          <w:lang w:eastAsia="zh-TW"/>
        </w:rPr>
        <w:t xml:space="preserve">Johnson, M. M. (2021), </w:t>
      </w:r>
      <w:r w:rsidRPr="00976056">
        <w:rPr>
          <w:i/>
          <w:iCs/>
          <w:szCs w:val="22"/>
          <w:lang w:eastAsia="zh-TW"/>
        </w:rPr>
        <w:t>Existing Hydropower Assets (EHA) Capacity Plant Database, 2005-2019</w:t>
      </w:r>
      <w:r w:rsidRPr="00976056">
        <w:rPr>
          <w:szCs w:val="22"/>
          <w:lang w:eastAsia="zh-TW"/>
        </w:rPr>
        <w:t xml:space="preserve">, HydroSource, Oak Ridge National Laboratory, Oak Ridge, TN, </w:t>
      </w:r>
      <w:hyperlink r:id="rId340" w:history="1">
        <w:r w:rsidR="007C01B6" w:rsidRPr="00E00258">
          <w:rPr>
            <w:rStyle w:val="Hyperlink"/>
            <w:szCs w:val="22"/>
            <w:lang w:eastAsia="zh-TW"/>
          </w:rPr>
          <w:t>https://doi.org/10.21951/EHA_Capacity_FY2020/1721365</w:t>
        </w:r>
      </w:hyperlink>
      <w:r w:rsidRPr="00976056">
        <w:rPr>
          <w:szCs w:val="22"/>
          <w:lang w:eastAsia="zh-TW"/>
        </w:rPr>
        <w:t>.</w:t>
      </w:r>
    </w:p>
    <w:p w14:paraId="6E61D803" w14:textId="0BB961D3" w:rsidR="005742FD" w:rsidRPr="00976056" w:rsidRDefault="005742FD" w:rsidP="009E1E30">
      <w:pPr>
        <w:pStyle w:val="Refs"/>
        <w:ind w:left="360" w:hanging="360"/>
        <w:rPr>
          <w:szCs w:val="22"/>
          <w:lang w:eastAsia="zh-TW"/>
        </w:rPr>
      </w:pPr>
      <w:r w:rsidRPr="00976056">
        <w:rPr>
          <w:szCs w:val="22"/>
          <w:lang w:eastAsia="zh-TW"/>
        </w:rPr>
        <w:t xml:space="preserve">Johnson, M. M., S.-C. Kao, N. M. Samu, and R. Uría Martínez (2021), </w:t>
      </w:r>
      <w:r w:rsidRPr="00976056">
        <w:rPr>
          <w:i/>
          <w:iCs/>
          <w:szCs w:val="22"/>
          <w:lang w:eastAsia="zh-TW"/>
        </w:rPr>
        <w:t>Existing Hydropower Assets, 2021</w:t>
      </w:r>
      <w:r w:rsidRPr="00976056">
        <w:rPr>
          <w:szCs w:val="22"/>
          <w:lang w:eastAsia="zh-TW"/>
        </w:rPr>
        <w:t xml:space="preserve">, HydroSource, Oak Ridge National Laboratory, Oak Ridge, TN, </w:t>
      </w:r>
      <w:hyperlink r:id="rId341" w:history="1">
        <w:r w:rsidR="007C01B6" w:rsidRPr="00E00258">
          <w:rPr>
            <w:rStyle w:val="Hyperlink"/>
            <w:szCs w:val="22"/>
            <w:lang w:eastAsia="zh-TW"/>
          </w:rPr>
          <w:t>https://doi.org/10.21951/EHA_FY2021/1782791</w:t>
        </w:r>
      </w:hyperlink>
      <w:r w:rsidRPr="00976056">
        <w:rPr>
          <w:szCs w:val="22"/>
          <w:lang w:eastAsia="zh-TW"/>
        </w:rPr>
        <w:t>.</w:t>
      </w:r>
    </w:p>
    <w:p w14:paraId="3AA8D723" w14:textId="5A0CCF17" w:rsidR="005742FD" w:rsidRPr="00976056" w:rsidRDefault="005742FD" w:rsidP="006624D8">
      <w:pPr>
        <w:pStyle w:val="Refs"/>
        <w:ind w:left="360" w:hanging="360"/>
        <w:rPr>
          <w:szCs w:val="22"/>
        </w:rPr>
      </w:pPr>
      <w:r w:rsidRPr="00976056">
        <w:rPr>
          <w:szCs w:val="22"/>
        </w:rPr>
        <w:t xml:space="preserve">Kalnay, E., M. Kanamitsu, R. Kistler, W. Collins, D. Deaven, L. Gandin, M. Iredell, S. Saha, G. White, J. Woollen, Y. Zhu, A. Leetmaa, R. Reynolds, M. Chelliah, W. Ebisuzaki, W.Higgins, J. Janowiak, K. C. Mo, C. Ropelewski, J. Wang, R. Jenne, and D. Joseph (1996), The NCEP/NCAR 40-year reanalysis project, </w:t>
      </w:r>
      <w:r w:rsidRPr="00976056">
        <w:rPr>
          <w:i/>
          <w:iCs/>
          <w:szCs w:val="22"/>
        </w:rPr>
        <w:t>B. Am. Meteorol. Soc.</w:t>
      </w:r>
      <w:r w:rsidRPr="00976056">
        <w:rPr>
          <w:szCs w:val="22"/>
        </w:rPr>
        <w:t xml:space="preserve">, </w:t>
      </w:r>
      <w:r w:rsidRPr="00976056">
        <w:rPr>
          <w:i/>
          <w:iCs/>
          <w:szCs w:val="22"/>
        </w:rPr>
        <w:t>77</w:t>
      </w:r>
      <w:r w:rsidRPr="00976056">
        <w:rPr>
          <w:szCs w:val="22"/>
        </w:rPr>
        <w:t xml:space="preserve">, 437–471, </w:t>
      </w:r>
      <w:hyperlink r:id="rId342" w:history="1">
        <w:r w:rsidR="007C01B6" w:rsidRPr="00E00258">
          <w:rPr>
            <w:rStyle w:val="Hyperlink"/>
            <w:szCs w:val="22"/>
          </w:rPr>
          <w:t>https://doi.org/10.1175/1520-0477(1996)077&lt;0437:TNYRP&gt;2.0.CO;2</w:t>
        </w:r>
      </w:hyperlink>
      <w:r w:rsidRPr="00976056">
        <w:rPr>
          <w:szCs w:val="22"/>
        </w:rPr>
        <w:t>.</w:t>
      </w:r>
    </w:p>
    <w:p w14:paraId="7A5230DA" w14:textId="3A0B23C1" w:rsidR="005742FD" w:rsidRPr="00976056" w:rsidRDefault="005742FD" w:rsidP="00202A3C">
      <w:pPr>
        <w:pStyle w:val="Refs"/>
        <w:ind w:left="360" w:hanging="360"/>
        <w:rPr>
          <w:szCs w:val="22"/>
          <w:lang w:eastAsia="zh-TW"/>
        </w:rPr>
      </w:pPr>
      <w:r w:rsidRPr="00976056">
        <w:rPr>
          <w:szCs w:val="22"/>
          <w:lang w:eastAsia="zh-TW"/>
        </w:rPr>
        <w:t xml:space="preserve">Kao, S.-C., M. Ashfaq, B. S. Naz, R. Uría Martínez, D. Rastogi, R. Mei, Y. Jager, N. M. Samu, and M. J. Sale (2016), </w:t>
      </w:r>
      <w:r w:rsidRPr="00976056">
        <w:rPr>
          <w:i/>
          <w:iCs/>
          <w:szCs w:val="22"/>
          <w:lang w:eastAsia="zh-TW"/>
        </w:rPr>
        <w:t>The Second Assessment of the Effects of Climate Change on Federal Hydropower</w:t>
      </w:r>
      <w:r w:rsidRPr="00976056">
        <w:rPr>
          <w:szCs w:val="22"/>
          <w:lang w:eastAsia="zh-TW"/>
        </w:rPr>
        <w:t xml:space="preserve">, ORNL/SR-2015/357, Oak Ridge National Laboratory, Oak Ridge, TN, </w:t>
      </w:r>
      <w:hyperlink r:id="rId343" w:history="1">
        <w:r w:rsidR="007C01B6" w:rsidRPr="00E00258">
          <w:rPr>
            <w:rStyle w:val="Hyperlink"/>
            <w:szCs w:val="22"/>
            <w:lang w:eastAsia="zh-TW"/>
          </w:rPr>
          <w:t>https://doi.org/10.2172/1340431</w:t>
        </w:r>
      </w:hyperlink>
      <w:r w:rsidRPr="00976056">
        <w:rPr>
          <w:szCs w:val="22"/>
          <w:lang w:eastAsia="zh-TW"/>
        </w:rPr>
        <w:t>.</w:t>
      </w:r>
    </w:p>
    <w:p w14:paraId="3E2924EA" w14:textId="5519926B" w:rsidR="005742FD" w:rsidRDefault="005742FD" w:rsidP="00C31023">
      <w:pPr>
        <w:pStyle w:val="Refs"/>
        <w:ind w:left="360" w:hanging="360"/>
        <w:rPr>
          <w:szCs w:val="22"/>
          <w:lang w:eastAsia="zh-TW"/>
        </w:rPr>
      </w:pPr>
      <w:r w:rsidRPr="00976056">
        <w:rPr>
          <w:szCs w:val="22"/>
          <w:lang w:eastAsia="zh-TW"/>
        </w:rPr>
        <w:t xml:space="preserve">Kao, S.-C., M. J. Sale, M. Ashfaq, R. Uría Martínez, D. P. Kaiser, Y. Wei, and N. S. Diffenbaugh (2015), Projecting Changes in Annual Hydropower Generation Using Regional Runoff Data: An Assessment </w:t>
      </w:r>
      <w:r w:rsidRPr="00976056">
        <w:rPr>
          <w:szCs w:val="22"/>
          <w:lang w:eastAsia="zh-TW"/>
        </w:rPr>
        <w:lastRenderedPageBreak/>
        <w:t xml:space="preserve">of the United States Federal Hydropower Plants, </w:t>
      </w:r>
      <w:r w:rsidRPr="00976056">
        <w:rPr>
          <w:i/>
          <w:iCs/>
          <w:szCs w:val="22"/>
          <w:lang w:eastAsia="zh-TW"/>
        </w:rPr>
        <w:t>Energy</w:t>
      </w:r>
      <w:r w:rsidRPr="00976056">
        <w:rPr>
          <w:szCs w:val="22"/>
          <w:lang w:eastAsia="zh-TW"/>
        </w:rPr>
        <w:t xml:space="preserve">, </w:t>
      </w:r>
      <w:r w:rsidRPr="00976056">
        <w:rPr>
          <w:i/>
          <w:iCs/>
          <w:szCs w:val="22"/>
          <w:lang w:eastAsia="zh-TW"/>
        </w:rPr>
        <w:t>80</w:t>
      </w:r>
      <w:r w:rsidRPr="00976056">
        <w:rPr>
          <w:szCs w:val="22"/>
          <w:lang w:eastAsia="zh-TW"/>
        </w:rPr>
        <w:t xml:space="preserve">, 239–250, </w:t>
      </w:r>
      <w:hyperlink r:id="rId344" w:history="1">
        <w:r w:rsidR="007C01B6" w:rsidRPr="00E00258">
          <w:rPr>
            <w:rStyle w:val="Hyperlink"/>
            <w:szCs w:val="22"/>
            <w:lang w:eastAsia="zh-TW"/>
          </w:rPr>
          <w:t>https://doi.org/10.1016/j.energy.2014.11.066</w:t>
        </w:r>
      </w:hyperlink>
      <w:r w:rsidRPr="00976056">
        <w:rPr>
          <w:szCs w:val="22"/>
          <w:lang w:eastAsia="zh-TW"/>
        </w:rPr>
        <w:t>.</w:t>
      </w:r>
    </w:p>
    <w:p w14:paraId="1A097571" w14:textId="1B2DF7F6" w:rsidR="005556BE" w:rsidRPr="00976056" w:rsidRDefault="005556BE" w:rsidP="00C31023">
      <w:pPr>
        <w:pStyle w:val="Refs"/>
        <w:ind w:left="360" w:hanging="360"/>
        <w:rPr>
          <w:szCs w:val="22"/>
          <w:lang w:eastAsia="zh-TW"/>
        </w:rPr>
      </w:pPr>
      <w:r w:rsidRPr="005556BE">
        <w:rPr>
          <w:szCs w:val="22"/>
          <w:lang w:eastAsia="zh-TW"/>
        </w:rPr>
        <w:t xml:space="preserve">Kao, S.-C., S. T. DeNeale, and D. B. Watson (2019), Hurricane Harvey Highlights: Need to Assess the Adequacy of Probable Maximum Precipitation Estimation Methods, </w:t>
      </w:r>
      <w:r w:rsidRPr="005556BE">
        <w:rPr>
          <w:i/>
          <w:iCs/>
          <w:szCs w:val="22"/>
          <w:lang w:eastAsia="zh-TW"/>
        </w:rPr>
        <w:t>J. Hydrol. Eng.</w:t>
      </w:r>
      <w:r w:rsidRPr="005556BE">
        <w:rPr>
          <w:szCs w:val="22"/>
          <w:lang w:eastAsia="zh-TW"/>
        </w:rPr>
        <w:t xml:space="preserve">, </w:t>
      </w:r>
      <w:r w:rsidRPr="005556BE">
        <w:rPr>
          <w:i/>
          <w:iCs/>
          <w:szCs w:val="22"/>
          <w:lang w:eastAsia="zh-TW"/>
        </w:rPr>
        <w:t>24</w:t>
      </w:r>
      <w:r w:rsidRPr="005556BE">
        <w:rPr>
          <w:szCs w:val="22"/>
          <w:lang w:eastAsia="zh-TW"/>
        </w:rPr>
        <w:t xml:space="preserve">(4), 05019005, </w:t>
      </w:r>
      <w:hyperlink r:id="rId345" w:history="1">
        <w:r w:rsidR="007C01B6" w:rsidRPr="00E00258">
          <w:rPr>
            <w:rStyle w:val="Hyperlink"/>
            <w:szCs w:val="22"/>
            <w:lang w:eastAsia="zh-TW"/>
          </w:rPr>
          <w:t>https://doi.org/10.1061/(ASCE)HE.1943-5584.0001768</w:t>
        </w:r>
      </w:hyperlink>
      <w:r w:rsidRPr="005556BE">
        <w:rPr>
          <w:szCs w:val="22"/>
          <w:lang w:eastAsia="zh-TW"/>
        </w:rPr>
        <w:t>.</w:t>
      </w:r>
    </w:p>
    <w:p w14:paraId="4B79F974" w14:textId="0D257A5F" w:rsidR="005742FD" w:rsidRPr="00976056" w:rsidRDefault="005742FD" w:rsidP="00202A3C">
      <w:pPr>
        <w:pStyle w:val="Refs"/>
        <w:ind w:left="360" w:hanging="360"/>
        <w:rPr>
          <w:szCs w:val="22"/>
          <w:lang w:eastAsia="zh-TW"/>
        </w:rPr>
      </w:pPr>
      <w:r w:rsidRPr="00976056">
        <w:rPr>
          <w:szCs w:val="22"/>
          <w:lang w:eastAsia="zh-TW"/>
        </w:rPr>
        <w:t xml:space="preserve">Kennedy, J., and R. Eberhart (1995), Particle Swarm Optimization, </w:t>
      </w:r>
      <w:r w:rsidRPr="00976056">
        <w:rPr>
          <w:i/>
          <w:iCs/>
          <w:szCs w:val="22"/>
          <w:lang w:eastAsia="zh-TW"/>
        </w:rPr>
        <w:t>Proceedings of ICNN</w:t>
      </w:r>
      <w:r w:rsidR="00805545">
        <w:rPr>
          <w:i/>
          <w:iCs/>
          <w:szCs w:val="22"/>
          <w:lang w:eastAsia="zh-TW"/>
        </w:rPr>
        <w:t>’</w:t>
      </w:r>
      <w:r w:rsidRPr="00976056">
        <w:rPr>
          <w:i/>
          <w:iCs/>
          <w:szCs w:val="22"/>
          <w:lang w:eastAsia="zh-TW"/>
        </w:rPr>
        <w:t>95-International Conference on Neural Networks</w:t>
      </w:r>
      <w:r w:rsidRPr="00976056">
        <w:rPr>
          <w:szCs w:val="22"/>
          <w:lang w:eastAsia="zh-TW"/>
        </w:rPr>
        <w:t xml:space="preserve">, </w:t>
      </w:r>
      <w:r w:rsidRPr="00976056">
        <w:rPr>
          <w:i/>
          <w:iCs/>
          <w:szCs w:val="22"/>
          <w:lang w:eastAsia="zh-TW"/>
        </w:rPr>
        <w:t>4</w:t>
      </w:r>
      <w:r w:rsidRPr="00976056">
        <w:rPr>
          <w:szCs w:val="22"/>
          <w:lang w:eastAsia="zh-TW"/>
        </w:rPr>
        <w:t xml:space="preserve">, 1942–1948, </w:t>
      </w:r>
      <w:hyperlink r:id="rId346" w:history="1">
        <w:r w:rsidR="007C01B6" w:rsidRPr="00E00258">
          <w:rPr>
            <w:rStyle w:val="Hyperlink"/>
            <w:szCs w:val="22"/>
            <w:lang w:eastAsia="zh-TW"/>
          </w:rPr>
          <w:t>https://doi.org/10.1109/ICNN.1995.488968</w:t>
        </w:r>
      </w:hyperlink>
      <w:r w:rsidRPr="00976056">
        <w:rPr>
          <w:szCs w:val="22"/>
          <w:lang w:eastAsia="zh-TW"/>
        </w:rPr>
        <w:t>.</w:t>
      </w:r>
    </w:p>
    <w:p w14:paraId="2163A5D1" w14:textId="3ECA604C" w:rsidR="005742FD" w:rsidRPr="00976056" w:rsidRDefault="005742FD" w:rsidP="00202A3C">
      <w:pPr>
        <w:pStyle w:val="Refs"/>
        <w:ind w:left="360" w:hanging="360"/>
        <w:rPr>
          <w:szCs w:val="22"/>
          <w:lang w:eastAsia="zh-TW"/>
        </w:rPr>
      </w:pPr>
      <w:r w:rsidRPr="00976056">
        <w:rPr>
          <w:szCs w:val="22"/>
          <w:lang w:eastAsia="zh-TW"/>
        </w:rPr>
        <w:t xml:space="preserve">Kiehl, J. T., J. J. Hack, G. B. Bonan, B. A. Boville, D. L. Williamson, and P. J. Rasch (1998), The National Center for Atmospheric Research Community Climate Model: CCM3, </w:t>
      </w:r>
      <w:r w:rsidRPr="00976056">
        <w:rPr>
          <w:i/>
          <w:iCs/>
          <w:szCs w:val="22"/>
          <w:lang w:eastAsia="zh-TW"/>
        </w:rPr>
        <w:t>J. Clim.</w:t>
      </w:r>
      <w:r w:rsidRPr="00976056">
        <w:rPr>
          <w:szCs w:val="22"/>
          <w:lang w:eastAsia="zh-TW"/>
        </w:rPr>
        <w:t xml:space="preserve">, </w:t>
      </w:r>
      <w:r w:rsidRPr="00976056">
        <w:rPr>
          <w:i/>
          <w:iCs/>
          <w:szCs w:val="22"/>
          <w:lang w:eastAsia="zh-TW"/>
        </w:rPr>
        <w:t>11</w:t>
      </w:r>
      <w:r w:rsidRPr="00976056">
        <w:rPr>
          <w:szCs w:val="22"/>
          <w:lang w:eastAsia="zh-TW"/>
        </w:rPr>
        <w:t xml:space="preserve">(6), 1131–1149, </w:t>
      </w:r>
      <w:hyperlink r:id="rId347" w:history="1">
        <w:r w:rsidR="007C01B6" w:rsidRPr="00E00258">
          <w:rPr>
            <w:rStyle w:val="Hyperlink"/>
            <w:szCs w:val="22"/>
            <w:lang w:eastAsia="zh-TW"/>
          </w:rPr>
          <w:t>https://doi.org/10.1175/1520-0442(1998)011&lt;1131:Tncfar&gt;2.0.Co;2</w:t>
        </w:r>
      </w:hyperlink>
      <w:r w:rsidRPr="00976056">
        <w:rPr>
          <w:szCs w:val="22"/>
          <w:lang w:eastAsia="zh-TW"/>
        </w:rPr>
        <w:t>.</w:t>
      </w:r>
    </w:p>
    <w:p w14:paraId="06DD1221" w14:textId="77777777" w:rsidR="005742FD" w:rsidRPr="00976056" w:rsidRDefault="005742FD" w:rsidP="00202A3C">
      <w:pPr>
        <w:pStyle w:val="Refs"/>
        <w:ind w:left="360" w:hanging="360"/>
        <w:rPr>
          <w:szCs w:val="22"/>
          <w:lang w:eastAsia="zh-TW"/>
        </w:rPr>
      </w:pPr>
      <w:r w:rsidRPr="00976056">
        <w:rPr>
          <w:szCs w:val="22"/>
          <w:lang w:eastAsia="zh-TW"/>
        </w:rPr>
        <w:t xml:space="preserve">Kim, S. H., J. Edmonds, J. Lurz, S. J. Smith, and M. Wise (2006), The ObjECTS Framework for Integrated Assessment: Hybrid Modeling of Transportation, </w:t>
      </w:r>
      <w:r w:rsidRPr="00976056">
        <w:rPr>
          <w:i/>
          <w:iCs/>
          <w:szCs w:val="22"/>
          <w:lang w:eastAsia="zh-TW"/>
        </w:rPr>
        <w:t>The Energy Journal</w:t>
      </w:r>
      <w:r w:rsidRPr="00976056">
        <w:rPr>
          <w:szCs w:val="22"/>
          <w:lang w:eastAsia="zh-TW"/>
        </w:rPr>
        <w:t>, Special Issue #2, 51–80.</w:t>
      </w:r>
    </w:p>
    <w:p w14:paraId="6A0D2F3D" w14:textId="1A1362F0" w:rsidR="005742FD" w:rsidRPr="00976056" w:rsidRDefault="005742FD" w:rsidP="00EA28B1">
      <w:pPr>
        <w:pStyle w:val="Refs"/>
        <w:ind w:left="360" w:hanging="360"/>
        <w:rPr>
          <w:szCs w:val="22"/>
          <w:lang w:eastAsia="zh-TW"/>
        </w:rPr>
      </w:pPr>
      <w:r w:rsidRPr="00976056">
        <w:rPr>
          <w:szCs w:val="22"/>
          <w:lang w:eastAsia="zh-TW"/>
        </w:rPr>
        <w:t xml:space="preserve">Knutti, R., D. Masson, and A. Gettelman (2013), Climate Model Genealogy: Generation CMIP5 and How We Got There, </w:t>
      </w:r>
      <w:r w:rsidRPr="00976056">
        <w:rPr>
          <w:i/>
          <w:iCs/>
          <w:szCs w:val="22"/>
          <w:lang w:eastAsia="zh-TW"/>
        </w:rPr>
        <w:t>Geophys. Res. Lett.</w:t>
      </w:r>
      <w:r w:rsidRPr="00976056">
        <w:rPr>
          <w:szCs w:val="22"/>
          <w:lang w:eastAsia="zh-TW"/>
        </w:rPr>
        <w:t xml:space="preserve">, </w:t>
      </w:r>
      <w:r w:rsidRPr="00976056">
        <w:rPr>
          <w:i/>
          <w:iCs/>
          <w:szCs w:val="22"/>
          <w:lang w:eastAsia="zh-TW"/>
        </w:rPr>
        <w:t>40</w:t>
      </w:r>
      <w:r w:rsidRPr="00976056">
        <w:rPr>
          <w:szCs w:val="22"/>
          <w:lang w:eastAsia="zh-TW"/>
        </w:rPr>
        <w:t xml:space="preserve">, 1194–1199, </w:t>
      </w:r>
      <w:hyperlink r:id="rId348" w:history="1">
        <w:r w:rsidR="007C01B6" w:rsidRPr="00E00258">
          <w:rPr>
            <w:rStyle w:val="Hyperlink"/>
            <w:szCs w:val="22"/>
            <w:lang w:eastAsia="zh-TW"/>
          </w:rPr>
          <w:t>https://doi.org/10.1002/grl.50256</w:t>
        </w:r>
      </w:hyperlink>
      <w:r w:rsidRPr="00976056">
        <w:rPr>
          <w:szCs w:val="22"/>
          <w:lang w:eastAsia="zh-TW"/>
        </w:rPr>
        <w:t>.</w:t>
      </w:r>
    </w:p>
    <w:p w14:paraId="16DA1A4B" w14:textId="5D68EECD" w:rsidR="005742FD" w:rsidRPr="00976056" w:rsidRDefault="005742FD" w:rsidP="00EA28B1">
      <w:pPr>
        <w:pStyle w:val="Refs"/>
        <w:ind w:left="360" w:hanging="360"/>
        <w:rPr>
          <w:szCs w:val="22"/>
          <w:lang w:eastAsia="zh-TW"/>
        </w:rPr>
      </w:pPr>
      <w:r w:rsidRPr="00976056">
        <w:rPr>
          <w:szCs w:val="22"/>
          <w:lang w:eastAsia="zh-TW"/>
        </w:rPr>
        <w:t xml:space="preserve">Knutti, R., R. Furrer, C. Tebaldi, J. Cermak, and G. A. Meehl (2010), Challenges in Combining Projections for Multiple Models, </w:t>
      </w:r>
      <w:r w:rsidRPr="00976056">
        <w:rPr>
          <w:i/>
          <w:iCs/>
          <w:szCs w:val="22"/>
          <w:lang w:eastAsia="zh-TW"/>
        </w:rPr>
        <w:t>J. Climate</w:t>
      </w:r>
      <w:r w:rsidRPr="00976056">
        <w:rPr>
          <w:szCs w:val="22"/>
          <w:lang w:eastAsia="zh-TW"/>
        </w:rPr>
        <w:t xml:space="preserve">, </w:t>
      </w:r>
      <w:r w:rsidRPr="00976056">
        <w:rPr>
          <w:i/>
          <w:iCs/>
          <w:szCs w:val="22"/>
          <w:lang w:eastAsia="zh-TW"/>
        </w:rPr>
        <w:t>23</w:t>
      </w:r>
      <w:r w:rsidRPr="00976056">
        <w:rPr>
          <w:szCs w:val="22"/>
          <w:lang w:eastAsia="zh-TW"/>
        </w:rPr>
        <w:t xml:space="preserve">, 2739–2758, </w:t>
      </w:r>
      <w:hyperlink r:id="rId349" w:history="1">
        <w:r w:rsidR="007C01B6" w:rsidRPr="00E00258">
          <w:rPr>
            <w:rStyle w:val="Hyperlink"/>
            <w:szCs w:val="22"/>
            <w:lang w:eastAsia="zh-TW"/>
          </w:rPr>
          <w:t>https://doi.org/10.1175/2009JCLI3361.1</w:t>
        </w:r>
      </w:hyperlink>
      <w:r w:rsidRPr="00976056">
        <w:rPr>
          <w:szCs w:val="22"/>
          <w:lang w:eastAsia="zh-TW"/>
        </w:rPr>
        <w:t>.</w:t>
      </w:r>
    </w:p>
    <w:p w14:paraId="482F6EA3" w14:textId="0DAB4B98" w:rsidR="005742FD" w:rsidRPr="00976056" w:rsidRDefault="005742FD" w:rsidP="001B61BB">
      <w:pPr>
        <w:pStyle w:val="Refs"/>
        <w:ind w:left="360" w:hanging="360"/>
        <w:rPr>
          <w:szCs w:val="22"/>
          <w:lang w:eastAsia="zh-TW"/>
        </w:rPr>
      </w:pPr>
      <w:r w:rsidRPr="00976056">
        <w:rPr>
          <w:szCs w:val="22"/>
          <w:lang w:eastAsia="zh-TW"/>
        </w:rPr>
        <w:t xml:space="preserve">LaFontaine, J. H., R. M. Hart, L. E. Hay, W. H. Farmer, A. R. Bock, R. J. Viger, S. L. Markstrom, R. S. Regan, and J. M. Driscoll (2019), </w:t>
      </w:r>
      <w:r w:rsidRPr="00976056">
        <w:rPr>
          <w:i/>
          <w:iCs/>
          <w:szCs w:val="22"/>
          <w:lang w:eastAsia="zh-TW"/>
        </w:rPr>
        <w:t>Simulation of Water Availability in the Southeastern United States for Historical and Potential Future Climate and Land-cover Conditions</w:t>
      </w:r>
      <w:r w:rsidRPr="00976056">
        <w:rPr>
          <w:szCs w:val="22"/>
          <w:lang w:eastAsia="zh-TW"/>
        </w:rPr>
        <w:t xml:space="preserve">, US Geological Survey Scientific Investigations Report 2019–5039, </w:t>
      </w:r>
      <w:hyperlink r:id="rId350" w:history="1">
        <w:r w:rsidR="007C01B6" w:rsidRPr="00E00258">
          <w:rPr>
            <w:rStyle w:val="Hyperlink"/>
            <w:szCs w:val="22"/>
            <w:lang w:eastAsia="zh-TW"/>
          </w:rPr>
          <w:t>https://doi.org/10.3133/sir20195039</w:t>
        </w:r>
      </w:hyperlink>
      <w:r w:rsidRPr="00976056">
        <w:rPr>
          <w:szCs w:val="22"/>
          <w:lang w:eastAsia="zh-TW"/>
        </w:rPr>
        <w:t>.</w:t>
      </w:r>
    </w:p>
    <w:p w14:paraId="5EB43051" w14:textId="22092C9D" w:rsidR="005742FD" w:rsidRPr="00976056" w:rsidRDefault="005742FD" w:rsidP="001B61BB">
      <w:pPr>
        <w:pStyle w:val="Refs"/>
        <w:ind w:left="360" w:hanging="360"/>
        <w:rPr>
          <w:szCs w:val="22"/>
          <w:lang w:eastAsia="zh-TW"/>
        </w:rPr>
      </w:pPr>
      <w:r w:rsidRPr="00976056">
        <w:rPr>
          <w:szCs w:val="22"/>
          <w:lang w:eastAsia="zh-TW"/>
        </w:rPr>
        <w:t xml:space="preserve">Leavesley, G. H., R. W. Lichty, B. M. Troutman, and L. G. Saindon (1983), </w:t>
      </w:r>
      <w:r w:rsidRPr="00976056">
        <w:rPr>
          <w:i/>
          <w:iCs/>
          <w:szCs w:val="22"/>
          <w:lang w:eastAsia="zh-TW"/>
        </w:rPr>
        <w:t>Precipitation-runoff Modeling System: User</w:t>
      </w:r>
      <w:r w:rsidR="00805545">
        <w:rPr>
          <w:i/>
          <w:iCs/>
          <w:szCs w:val="22"/>
          <w:lang w:eastAsia="zh-TW"/>
        </w:rPr>
        <w:t>’</w:t>
      </w:r>
      <w:r w:rsidRPr="00976056">
        <w:rPr>
          <w:i/>
          <w:iCs/>
          <w:szCs w:val="22"/>
          <w:lang w:eastAsia="zh-TW"/>
        </w:rPr>
        <w:t>s Manual</w:t>
      </w:r>
      <w:r w:rsidRPr="00976056">
        <w:rPr>
          <w:szCs w:val="22"/>
          <w:lang w:eastAsia="zh-TW"/>
        </w:rPr>
        <w:t xml:space="preserve">, US Geological Survey Water-resources Investigations Report 83-4238, </w:t>
      </w:r>
      <w:hyperlink r:id="rId351" w:history="1">
        <w:r w:rsidR="007C01B6" w:rsidRPr="00E00258">
          <w:rPr>
            <w:rStyle w:val="Hyperlink"/>
            <w:szCs w:val="22"/>
            <w:lang w:eastAsia="zh-TW"/>
          </w:rPr>
          <w:t>https://doi.org/10.3133/wri834238</w:t>
        </w:r>
      </w:hyperlink>
      <w:r w:rsidRPr="00976056">
        <w:rPr>
          <w:szCs w:val="22"/>
          <w:lang w:eastAsia="zh-TW"/>
        </w:rPr>
        <w:t>.</w:t>
      </w:r>
    </w:p>
    <w:p w14:paraId="31BD4F49" w14:textId="5066A6FB" w:rsidR="008A7F40" w:rsidRDefault="008A7F40" w:rsidP="008A7F40">
      <w:pPr>
        <w:pStyle w:val="Refs"/>
        <w:ind w:left="360" w:hanging="360"/>
        <w:rPr>
          <w:szCs w:val="22"/>
        </w:rPr>
      </w:pPr>
      <w:r w:rsidRPr="00C14144">
        <w:rPr>
          <w:szCs w:val="22"/>
        </w:rPr>
        <w:t>Lee, K</w:t>
      </w:r>
      <w:r>
        <w:rPr>
          <w:szCs w:val="22"/>
        </w:rPr>
        <w:t>.</w:t>
      </w:r>
      <w:r w:rsidRPr="00C14144">
        <w:rPr>
          <w:szCs w:val="22"/>
        </w:rPr>
        <w:t xml:space="preserve"> Y., and J</w:t>
      </w:r>
      <w:r>
        <w:rPr>
          <w:szCs w:val="22"/>
        </w:rPr>
        <w:t>.</w:t>
      </w:r>
      <w:r w:rsidRPr="00C14144">
        <w:rPr>
          <w:szCs w:val="22"/>
        </w:rPr>
        <w:t>-B</w:t>
      </w:r>
      <w:r>
        <w:rPr>
          <w:szCs w:val="22"/>
        </w:rPr>
        <w:t>.</w:t>
      </w:r>
      <w:r w:rsidRPr="00C14144">
        <w:rPr>
          <w:szCs w:val="22"/>
        </w:rPr>
        <w:t xml:space="preserve"> Park</w:t>
      </w:r>
      <w:r>
        <w:rPr>
          <w:szCs w:val="22"/>
        </w:rPr>
        <w:t xml:space="preserve"> (2006), </w:t>
      </w:r>
      <w:r w:rsidRPr="00C14144">
        <w:rPr>
          <w:szCs w:val="22"/>
        </w:rPr>
        <w:t xml:space="preserve">Application of Particle Swarm Optimization </w:t>
      </w:r>
      <w:r>
        <w:rPr>
          <w:szCs w:val="22"/>
        </w:rPr>
        <w:t>t</w:t>
      </w:r>
      <w:r w:rsidRPr="00C14144">
        <w:rPr>
          <w:szCs w:val="22"/>
        </w:rPr>
        <w:t xml:space="preserve">o Economic Dispatch Problem: Advantages </w:t>
      </w:r>
      <w:r>
        <w:rPr>
          <w:szCs w:val="22"/>
        </w:rPr>
        <w:t>a</w:t>
      </w:r>
      <w:r w:rsidRPr="00C14144">
        <w:rPr>
          <w:szCs w:val="22"/>
        </w:rPr>
        <w:t>nd Disadvantages</w:t>
      </w:r>
      <w:r>
        <w:rPr>
          <w:szCs w:val="22"/>
        </w:rPr>
        <w:t>, in</w:t>
      </w:r>
      <w:r w:rsidRPr="00C14144">
        <w:rPr>
          <w:szCs w:val="22"/>
        </w:rPr>
        <w:t xml:space="preserve"> </w:t>
      </w:r>
      <w:r w:rsidRPr="008A7F40">
        <w:rPr>
          <w:i/>
          <w:iCs/>
          <w:szCs w:val="22"/>
        </w:rPr>
        <w:t>2006 IEEE PES Power Systems Conference and Exposition</w:t>
      </w:r>
      <w:r w:rsidRPr="00C14144">
        <w:rPr>
          <w:szCs w:val="22"/>
        </w:rPr>
        <w:t>, 188</w:t>
      </w:r>
      <w:r>
        <w:rPr>
          <w:szCs w:val="22"/>
        </w:rPr>
        <w:t>–</w:t>
      </w:r>
      <w:r w:rsidRPr="00C14144">
        <w:rPr>
          <w:szCs w:val="22"/>
        </w:rPr>
        <w:t>192</w:t>
      </w:r>
      <w:r>
        <w:rPr>
          <w:szCs w:val="22"/>
        </w:rPr>
        <w:t xml:space="preserve">, </w:t>
      </w:r>
      <w:hyperlink r:id="rId352" w:history="1">
        <w:r w:rsidR="007C01B6" w:rsidRPr="00E00258">
          <w:rPr>
            <w:rStyle w:val="Hyperlink"/>
            <w:szCs w:val="22"/>
          </w:rPr>
          <w:t>https://doi.org/10.1109/PSCE.2006.296295</w:t>
        </w:r>
      </w:hyperlink>
      <w:r w:rsidRPr="00C14144">
        <w:rPr>
          <w:szCs w:val="22"/>
        </w:rPr>
        <w:t>.</w:t>
      </w:r>
    </w:p>
    <w:p w14:paraId="41AE69BE" w14:textId="3AB2D4C3" w:rsidR="005742FD" w:rsidRPr="00976056" w:rsidRDefault="005742FD" w:rsidP="00773514">
      <w:pPr>
        <w:pStyle w:val="Refs"/>
        <w:ind w:left="360" w:hanging="360"/>
        <w:rPr>
          <w:szCs w:val="22"/>
          <w:lang w:eastAsia="zh-TW"/>
        </w:rPr>
      </w:pPr>
      <w:r w:rsidRPr="00976056">
        <w:rPr>
          <w:szCs w:val="22"/>
          <w:lang w:eastAsia="zh-TW"/>
        </w:rPr>
        <w:t>Lehner, B., C. R. Liermann, C. Revenga, C. Vörösmarty, B. Fekete, P. Crouzet, P. Döll, M. Endejan, K. Frenken, J. Magome, C. Nilsson, J. C. Robertson, R. Rödel, N. Sindorf, and D. Wisser (2011), High-resolution Mapping of the World</w:t>
      </w:r>
      <w:r w:rsidR="00805545">
        <w:rPr>
          <w:szCs w:val="22"/>
          <w:lang w:eastAsia="zh-TW"/>
        </w:rPr>
        <w:t>’</w:t>
      </w:r>
      <w:r w:rsidRPr="00976056">
        <w:rPr>
          <w:szCs w:val="22"/>
          <w:lang w:eastAsia="zh-TW"/>
        </w:rPr>
        <w:t xml:space="preserve">s Reservoirs and Dams for Sustainable River-flow Management, </w:t>
      </w:r>
      <w:r w:rsidRPr="00976056">
        <w:rPr>
          <w:i/>
          <w:iCs/>
          <w:szCs w:val="22"/>
          <w:lang w:eastAsia="zh-TW"/>
        </w:rPr>
        <w:t>Front. Ecol. Environ.</w:t>
      </w:r>
      <w:r w:rsidRPr="00976056">
        <w:rPr>
          <w:szCs w:val="22"/>
          <w:lang w:eastAsia="zh-TW"/>
        </w:rPr>
        <w:t xml:space="preserve">, </w:t>
      </w:r>
      <w:r w:rsidRPr="00976056">
        <w:rPr>
          <w:i/>
          <w:iCs/>
          <w:szCs w:val="22"/>
          <w:lang w:eastAsia="zh-TW"/>
        </w:rPr>
        <w:t>9</w:t>
      </w:r>
      <w:r w:rsidRPr="00976056">
        <w:rPr>
          <w:szCs w:val="22"/>
          <w:lang w:eastAsia="zh-TW"/>
        </w:rPr>
        <w:t xml:space="preserve">, 494–502, </w:t>
      </w:r>
      <w:hyperlink r:id="rId353" w:history="1">
        <w:r w:rsidR="007C01B6" w:rsidRPr="00E00258">
          <w:rPr>
            <w:rStyle w:val="Hyperlink"/>
            <w:szCs w:val="22"/>
            <w:lang w:eastAsia="zh-TW"/>
          </w:rPr>
          <w:t>https://doi.org/10.1890/100125</w:t>
        </w:r>
      </w:hyperlink>
      <w:r w:rsidRPr="00976056">
        <w:rPr>
          <w:szCs w:val="22"/>
          <w:lang w:eastAsia="zh-TW"/>
        </w:rPr>
        <w:t>.</w:t>
      </w:r>
    </w:p>
    <w:p w14:paraId="5B1B8174" w14:textId="7BDE1F8E" w:rsidR="005742FD" w:rsidRPr="00976056" w:rsidRDefault="005742FD" w:rsidP="00773514">
      <w:pPr>
        <w:pStyle w:val="Refs"/>
        <w:ind w:left="360" w:hanging="360"/>
        <w:rPr>
          <w:szCs w:val="22"/>
          <w:lang w:eastAsia="zh-TW"/>
        </w:rPr>
      </w:pPr>
      <w:r w:rsidRPr="00976056">
        <w:rPr>
          <w:szCs w:val="22"/>
          <w:lang w:eastAsia="zh-TW"/>
        </w:rPr>
        <w:t xml:space="preserve">Leng, G., M. Huang, N. Voisin, X. Zhang, G. R Asrar, and L. R. Leung (2016), Emergence of New Hydrologic Regimes of Surface Water Resources in the Conterminous United States Under Future Warming, </w:t>
      </w:r>
      <w:r w:rsidRPr="00976056">
        <w:rPr>
          <w:i/>
          <w:iCs/>
          <w:szCs w:val="22"/>
          <w:lang w:eastAsia="zh-TW"/>
        </w:rPr>
        <w:t>Environ. Res. Lett.</w:t>
      </w:r>
      <w:r w:rsidRPr="00976056">
        <w:rPr>
          <w:szCs w:val="22"/>
          <w:lang w:eastAsia="zh-TW"/>
        </w:rPr>
        <w:t xml:space="preserve">, </w:t>
      </w:r>
      <w:r w:rsidRPr="00976056">
        <w:rPr>
          <w:i/>
          <w:iCs/>
          <w:szCs w:val="22"/>
          <w:lang w:eastAsia="zh-TW"/>
        </w:rPr>
        <w:t>11</w:t>
      </w:r>
      <w:r w:rsidRPr="00976056">
        <w:rPr>
          <w:szCs w:val="22"/>
          <w:lang w:eastAsia="zh-TW"/>
        </w:rPr>
        <w:t xml:space="preserve">, 114003, </w:t>
      </w:r>
      <w:hyperlink r:id="rId354" w:history="1">
        <w:r w:rsidR="007C01B6" w:rsidRPr="00E00258">
          <w:rPr>
            <w:rStyle w:val="Hyperlink"/>
            <w:szCs w:val="22"/>
            <w:lang w:eastAsia="zh-TW"/>
          </w:rPr>
          <w:t>https://doi.org/10.1088/1748-9326/11/11/114003</w:t>
        </w:r>
      </w:hyperlink>
      <w:r w:rsidRPr="00976056">
        <w:rPr>
          <w:szCs w:val="22"/>
          <w:lang w:eastAsia="zh-TW"/>
        </w:rPr>
        <w:t>.</w:t>
      </w:r>
    </w:p>
    <w:p w14:paraId="49421A67" w14:textId="6A2DCA23" w:rsidR="005742FD" w:rsidRPr="00976056" w:rsidRDefault="005742FD" w:rsidP="00773514">
      <w:pPr>
        <w:pStyle w:val="Refs"/>
        <w:ind w:left="360" w:hanging="360"/>
        <w:rPr>
          <w:szCs w:val="22"/>
          <w:lang w:eastAsia="zh-TW"/>
        </w:rPr>
      </w:pPr>
      <w:r w:rsidRPr="00976056">
        <w:rPr>
          <w:szCs w:val="22"/>
          <w:lang w:eastAsia="zh-TW"/>
        </w:rPr>
        <w:t xml:space="preserve">Li, H. Y., M. S. Wigmosta, H. Wu, M. Huang, Y. Ke, A. M. Coleman, and L. R. Leung (2013). A Physically Based Runoff Routing Model for Land Surface and Earth System Models, </w:t>
      </w:r>
      <w:r w:rsidRPr="00976056">
        <w:rPr>
          <w:i/>
          <w:iCs/>
          <w:szCs w:val="22"/>
          <w:lang w:eastAsia="zh-TW"/>
        </w:rPr>
        <w:t>J. Hydrometeor.</w:t>
      </w:r>
      <w:r w:rsidRPr="00976056">
        <w:rPr>
          <w:szCs w:val="22"/>
          <w:lang w:eastAsia="zh-TW"/>
        </w:rPr>
        <w:t xml:space="preserve">, </w:t>
      </w:r>
      <w:r w:rsidRPr="00976056">
        <w:rPr>
          <w:i/>
          <w:iCs/>
          <w:szCs w:val="22"/>
          <w:lang w:eastAsia="zh-TW"/>
        </w:rPr>
        <w:t>14</w:t>
      </w:r>
      <w:r w:rsidRPr="00976056">
        <w:rPr>
          <w:szCs w:val="22"/>
          <w:lang w:eastAsia="zh-TW"/>
        </w:rPr>
        <w:t xml:space="preserve">, 808–828, </w:t>
      </w:r>
      <w:hyperlink r:id="rId355" w:history="1">
        <w:r w:rsidR="007C01B6" w:rsidRPr="00E00258">
          <w:rPr>
            <w:rStyle w:val="Hyperlink"/>
            <w:szCs w:val="22"/>
            <w:lang w:eastAsia="zh-TW"/>
          </w:rPr>
          <w:t>https://doi.org/10.1175/JHM-D-12-015.1</w:t>
        </w:r>
      </w:hyperlink>
      <w:r w:rsidRPr="00976056">
        <w:rPr>
          <w:szCs w:val="22"/>
          <w:lang w:eastAsia="zh-TW"/>
        </w:rPr>
        <w:t>.</w:t>
      </w:r>
    </w:p>
    <w:p w14:paraId="07FBC467" w14:textId="04EBFA93" w:rsidR="005742FD" w:rsidRPr="00976056" w:rsidRDefault="005742FD" w:rsidP="00957AD2">
      <w:pPr>
        <w:pStyle w:val="Refs"/>
        <w:ind w:left="360" w:hanging="360"/>
        <w:rPr>
          <w:szCs w:val="22"/>
          <w:lang w:eastAsia="zh-TW"/>
        </w:rPr>
      </w:pPr>
      <w:r w:rsidRPr="00976056">
        <w:rPr>
          <w:szCs w:val="22"/>
          <w:lang w:eastAsia="zh-TW"/>
        </w:rPr>
        <w:lastRenderedPageBreak/>
        <w:t xml:space="preserve">Li, J., L. Yang, and H. Long (2018), Climatic Impacts on Energy Consumption: Intensive and Extensive Margins, </w:t>
      </w:r>
      <w:r w:rsidRPr="00976056">
        <w:rPr>
          <w:i/>
          <w:iCs/>
          <w:szCs w:val="22"/>
          <w:lang w:eastAsia="zh-TW"/>
        </w:rPr>
        <w:t>Energ. Econ.</w:t>
      </w:r>
      <w:r w:rsidRPr="00976056">
        <w:rPr>
          <w:szCs w:val="22"/>
          <w:lang w:eastAsia="zh-TW"/>
        </w:rPr>
        <w:t xml:space="preserve">, </w:t>
      </w:r>
      <w:r w:rsidRPr="00976056">
        <w:rPr>
          <w:i/>
          <w:iCs/>
          <w:szCs w:val="22"/>
          <w:lang w:eastAsia="zh-TW"/>
        </w:rPr>
        <w:t>71</w:t>
      </w:r>
      <w:r w:rsidRPr="00976056">
        <w:rPr>
          <w:szCs w:val="22"/>
          <w:lang w:eastAsia="zh-TW"/>
        </w:rPr>
        <w:t xml:space="preserve">, 332–343, </w:t>
      </w:r>
      <w:hyperlink r:id="rId356" w:history="1">
        <w:r w:rsidR="007C01B6" w:rsidRPr="00E00258">
          <w:rPr>
            <w:rStyle w:val="Hyperlink"/>
            <w:szCs w:val="22"/>
            <w:lang w:eastAsia="zh-TW"/>
          </w:rPr>
          <w:t>https://doi.org/10.1016/j.eneco.2018.03.010</w:t>
        </w:r>
      </w:hyperlink>
      <w:r w:rsidRPr="00976056">
        <w:rPr>
          <w:szCs w:val="22"/>
          <w:lang w:eastAsia="zh-TW"/>
        </w:rPr>
        <w:t>.</w:t>
      </w:r>
    </w:p>
    <w:p w14:paraId="60AA54DE" w14:textId="7575ABCE" w:rsidR="005742FD" w:rsidRPr="00976056" w:rsidRDefault="005742FD" w:rsidP="00957AD2">
      <w:pPr>
        <w:pStyle w:val="Refs"/>
        <w:ind w:left="360" w:hanging="360"/>
        <w:rPr>
          <w:szCs w:val="22"/>
          <w:lang w:eastAsia="zh-TW"/>
        </w:rPr>
      </w:pPr>
      <w:r w:rsidRPr="00976056">
        <w:rPr>
          <w:szCs w:val="22"/>
          <w:lang w:eastAsia="zh-TW"/>
        </w:rPr>
        <w:t xml:space="preserve">Liang, X., D. P. Lettenmaier, E. F. Wood, and S. J. Burges (1994), A Simple Hydrologically Based Model of Land Surface Water and Energy Fluxes for General Circulation Models, </w:t>
      </w:r>
      <w:r w:rsidRPr="00976056">
        <w:rPr>
          <w:i/>
          <w:iCs/>
          <w:szCs w:val="22"/>
          <w:lang w:eastAsia="zh-TW"/>
        </w:rPr>
        <w:t>J. Geophys. Res.</w:t>
      </w:r>
      <w:r w:rsidRPr="00976056">
        <w:rPr>
          <w:szCs w:val="22"/>
          <w:lang w:eastAsia="zh-TW"/>
        </w:rPr>
        <w:t xml:space="preserve">, </w:t>
      </w:r>
      <w:r w:rsidRPr="00976056">
        <w:rPr>
          <w:i/>
          <w:iCs/>
          <w:szCs w:val="22"/>
          <w:lang w:eastAsia="zh-TW"/>
        </w:rPr>
        <w:t>99</w:t>
      </w:r>
      <w:r w:rsidRPr="00976056">
        <w:rPr>
          <w:szCs w:val="22"/>
          <w:lang w:eastAsia="zh-TW"/>
        </w:rPr>
        <w:t xml:space="preserve">(D7), 14415–14428, </w:t>
      </w:r>
      <w:hyperlink r:id="rId357" w:history="1">
        <w:r w:rsidR="007C01B6" w:rsidRPr="00E00258">
          <w:rPr>
            <w:rStyle w:val="Hyperlink"/>
            <w:szCs w:val="22"/>
            <w:lang w:eastAsia="zh-TW"/>
          </w:rPr>
          <w:t>https://doi.org/10.1029/94JD00483</w:t>
        </w:r>
      </w:hyperlink>
      <w:r w:rsidRPr="00976056">
        <w:rPr>
          <w:szCs w:val="22"/>
          <w:lang w:eastAsia="zh-TW"/>
        </w:rPr>
        <w:t>.</w:t>
      </w:r>
    </w:p>
    <w:p w14:paraId="0186C45C" w14:textId="2787E75C" w:rsidR="005742FD" w:rsidRPr="00976056" w:rsidRDefault="005742FD" w:rsidP="00957AD2">
      <w:pPr>
        <w:pStyle w:val="Refs"/>
        <w:ind w:left="360" w:hanging="360"/>
        <w:rPr>
          <w:szCs w:val="22"/>
          <w:lang w:eastAsia="zh-TW"/>
        </w:rPr>
      </w:pPr>
      <w:r w:rsidRPr="00976056">
        <w:rPr>
          <w:szCs w:val="22"/>
          <w:lang w:eastAsia="zh-TW"/>
        </w:rPr>
        <w:t xml:space="preserve">Livneh, B., T. J. Bohn, D. W. Pierce, F. Munoz-Arriola, B. Nijssen, R. Vose, D. R. Cayan, and L. Brekke (2015), A Spatially Comprehensive, Hydrometeorological Data Set for Mexico, the U.S., and Southern Canada 1950––2013, </w:t>
      </w:r>
      <w:r w:rsidRPr="00976056">
        <w:rPr>
          <w:i/>
          <w:iCs/>
          <w:szCs w:val="22"/>
          <w:lang w:eastAsia="zh-TW"/>
        </w:rPr>
        <w:t>Nature Scientific Data</w:t>
      </w:r>
      <w:r w:rsidRPr="00976056">
        <w:rPr>
          <w:szCs w:val="22"/>
          <w:lang w:eastAsia="zh-TW"/>
        </w:rPr>
        <w:t xml:space="preserve">, </w:t>
      </w:r>
      <w:r w:rsidRPr="00976056">
        <w:rPr>
          <w:i/>
          <w:iCs/>
          <w:szCs w:val="22"/>
          <w:lang w:eastAsia="zh-TW"/>
        </w:rPr>
        <w:t>5</w:t>
      </w:r>
      <w:r w:rsidRPr="00976056">
        <w:rPr>
          <w:szCs w:val="22"/>
          <w:lang w:eastAsia="zh-TW"/>
        </w:rPr>
        <w:t xml:space="preserve">, 150042, </w:t>
      </w:r>
      <w:hyperlink r:id="rId358" w:history="1">
        <w:r w:rsidR="007C01B6" w:rsidRPr="00E00258">
          <w:rPr>
            <w:rStyle w:val="Hyperlink"/>
            <w:szCs w:val="22"/>
            <w:lang w:eastAsia="zh-TW"/>
          </w:rPr>
          <w:t>https://doi.org/10.1038/sdata.2015.42</w:t>
        </w:r>
      </w:hyperlink>
      <w:r w:rsidRPr="00976056">
        <w:rPr>
          <w:szCs w:val="22"/>
          <w:lang w:eastAsia="zh-TW"/>
        </w:rPr>
        <w:t>.</w:t>
      </w:r>
    </w:p>
    <w:p w14:paraId="2A27ACA1" w14:textId="30C91BAB" w:rsidR="005742FD" w:rsidRPr="00976056" w:rsidRDefault="005742FD" w:rsidP="00677FD5">
      <w:pPr>
        <w:pStyle w:val="Refs"/>
        <w:ind w:left="360" w:hanging="360"/>
        <w:rPr>
          <w:szCs w:val="22"/>
          <w:lang w:eastAsia="zh-TW"/>
        </w:rPr>
      </w:pPr>
      <w:r w:rsidRPr="00976056">
        <w:rPr>
          <w:szCs w:val="22"/>
          <w:lang w:eastAsia="zh-TW"/>
        </w:rPr>
        <w:t xml:space="preserve">Lohmann, D., E. Raschke, B. Nijssen, and D. P. Lettenmaier (1998), Regional Scale Hydrology: I. Formulation of the VIC-2L Model Coupled to a Routing Model, </w:t>
      </w:r>
      <w:r w:rsidRPr="00976056">
        <w:rPr>
          <w:i/>
          <w:iCs/>
          <w:szCs w:val="22"/>
          <w:lang w:eastAsia="zh-TW"/>
        </w:rPr>
        <w:t>Hydrolog. Sci. J.</w:t>
      </w:r>
      <w:r w:rsidRPr="00976056">
        <w:rPr>
          <w:szCs w:val="22"/>
          <w:lang w:eastAsia="zh-TW"/>
        </w:rPr>
        <w:t xml:space="preserve">, </w:t>
      </w:r>
      <w:r w:rsidRPr="00976056">
        <w:rPr>
          <w:i/>
          <w:iCs/>
          <w:szCs w:val="22"/>
          <w:lang w:eastAsia="zh-TW"/>
        </w:rPr>
        <w:t>43</w:t>
      </w:r>
      <w:r w:rsidRPr="00976056">
        <w:rPr>
          <w:szCs w:val="22"/>
          <w:lang w:eastAsia="zh-TW"/>
        </w:rPr>
        <w:t xml:space="preserve">(1), 131–141, </w:t>
      </w:r>
      <w:hyperlink r:id="rId359" w:history="1">
        <w:r w:rsidR="007C01B6" w:rsidRPr="00E00258">
          <w:rPr>
            <w:rStyle w:val="Hyperlink"/>
            <w:szCs w:val="22"/>
            <w:lang w:eastAsia="zh-TW"/>
          </w:rPr>
          <w:t>https://doi.org/10.1080/02626669809492107</w:t>
        </w:r>
      </w:hyperlink>
      <w:r w:rsidRPr="00976056">
        <w:rPr>
          <w:szCs w:val="22"/>
          <w:lang w:eastAsia="zh-TW"/>
        </w:rPr>
        <w:t>.</w:t>
      </w:r>
    </w:p>
    <w:p w14:paraId="4F166099" w14:textId="0A83D8DE" w:rsidR="005742FD" w:rsidRDefault="005742FD" w:rsidP="00677FD5">
      <w:pPr>
        <w:pStyle w:val="Refs"/>
        <w:ind w:left="360" w:hanging="360"/>
        <w:rPr>
          <w:szCs w:val="22"/>
          <w:lang w:eastAsia="zh-TW"/>
        </w:rPr>
      </w:pPr>
      <w:r w:rsidRPr="00976056">
        <w:rPr>
          <w:szCs w:val="22"/>
          <w:lang w:eastAsia="zh-TW"/>
        </w:rPr>
        <w:t xml:space="preserve">Lohmann, D., R. Nolte-Holube, and E. Raschke (1996), A Large-scale Horizontal Routing Model to Be Coupled to Land Surface Parametrization Schemes, </w:t>
      </w:r>
      <w:r w:rsidRPr="00976056">
        <w:rPr>
          <w:i/>
          <w:iCs/>
          <w:szCs w:val="22"/>
          <w:lang w:eastAsia="zh-TW"/>
        </w:rPr>
        <w:t>Tellus A</w:t>
      </w:r>
      <w:r w:rsidRPr="00976056">
        <w:rPr>
          <w:szCs w:val="22"/>
          <w:lang w:eastAsia="zh-TW"/>
        </w:rPr>
        <w:t xml:space="preserve">, </w:t>
      </w:r>
      <w:r w:rsidRPr="00976056">
        <w:rPr>
          <w:i/>
          <w:iCs/>
          <w:szCs w:val="22"/>
          <w:lang w:eastAsia="zh-TW"/>
        </w:rPr>
        <w:t>48</w:t>
      </w:r>
      <w:r w:rsidRPr="00976056">
        <w:rPr>
          <w:szCs w:val="22"/>
          <w:lang w:eastAsia="zh-TW"/>
        </w:rPr>
        <w:t xml:space="preserve">(5), 708–721, </w:t>
      </w:r>
      <w:hyperlink r:id="rId360" w:history="1">
        <w:r w:rsidR="007C01B6" w:rsidRPr="00E00258">
          <w:rPr>
            <w:rStyle w:val="Hyperlink"/>
            <w:szCs w:val="22"/>
            <w:lang w:eastAsia="zh-TW"/>
          </w:rPr>
          <w:t>https://doi.org/10.3402/tellusa.v48i5.12200</w:t>
        </w:r>
      </w:hyperlink>
      <w:r w:rsidRPr="00976056">
        <w:rPr>
          <w:szCs w:val="22"/>
          <w:lang w:eastAsia="zh-TW"/>
        </w:rPr>
        <w:t>.</w:t>
      </w:r>
    </w:p>
    <w:p w14:paraId="3E52D826" w14:textId="214518C5" w:rsidR="00C814CA" w:rsidRDefault="00C814CA" w:rsidP="00677FD5">
      <w:pPr>
        <w:pStyle w:val="Refs"/>
        <w:ind w:left="360" w:hanging="360"/>
        <w:rPr>
          <w:szCs w:val="22"/>
          <w:lang w:eastAsia="zh-TW"/>
        </w:rPr>
      </w:pPr>
      <w:r w:rsidRPr="0038147F">
        <w:t>Lukas, J</w:t>
      </w:r>
      <w:r>
        <w:t>.</w:t>
      </w:r>
      <w:r w:rsidRPr="0038147F">
        <w:t>, and E</w:t>
      </w:r>
      <w:r>
        <w:t>.</w:t>
      </w:r>
      <w:r w:rsidRPr="0038147F">
        <w:t xml:space="preserve"> Payton, eds. </w:t>
      </w:r>
      <w:r>
        <w:t>(</w:t>
      </w:r>
      <w:r w:rsidRPr="0038147F">
        <w:t>2020</w:t>
      </w:r>
      <w:r>
        <w:t>),</w:t>
      </w:r>
      <w:r w:rsidRPr="0038147F">
        <w:t xml:space="preserve"> </w:t>
      </w:r>
      <w:r w:rsidRPr="0038147F">
        <w:rPr>
          <w:i/>
          <w:iCs/>
        </w:rPr>
        <w:t>Colorado River Basin Climate and Hydrology: State of the Science</w:t>
      </w:r>
      <w:r>
        <w:t>,</w:t>
      </w:r>
      <w:r w:rsidRPr="0038147F">
        <w:t xml:space="preserve"> Western Water Assessment, University of Colorado Boulder</w:t>
      </w:r>
      <w:r>
        <w:t>,</w:t>
      </w:r>
      <w:r w:rsidRPr="0038147F">
        <w:t xml:space="preserve"> </w:t>
      </w:r>
      <w:hyperlink r:id="rId361" w:history="1">
        <w:r w:rsidR="007C01B6" w:rsidRPr="00E00258">
          <w:rPr>
            <w:rStyle w:val="Hyperlink"/>
          </w:rPr>
          <w:t>https://doi.org/10.25810/3hcv-w477</w:t>
        </w:r>
      </w:hyperlink>
      <w:r w:rsidRPr="0038147F">
        <w:t>.</w:t>
      </w:r>
    </w:p>
    <w:p w14:paraId="3AD5F75C" w14:textId="6DBA7981" w:rsidR="006D2A2E" w:rsidRPr="00976056" w:rsidRDefault="006D2A2E" w:rsidP="00677FD5">
      <w:pPr>
        <w:pStyle w:val="Refs"/>
        <w:ind w:left="360" w:hanging="360"/>
        <w:rPr>
          <w:szCs w:val="22"/>
          <w:lang w:eastAsia="zh-TW"/>
        </w:rPr>
      </w:pPr>
      <w:r w:rsidRPr="006D2A2E">
        <w:rPr>
          <w:szCs w:val="22"/>
          <w:lang w:eastAsia="zh-TW"/>
        </w:rPr>
        <w:t>Magnuson, P.</w:t>
      </w:r>
      <w:r>
        <w:rPr>
          <w:szCs w:val="22"/>
          <w:lang w:eastAsia="zh-TW"/>
        </w:rPr>
        <w:t xml:space="preserve"> </w:t>
      </w:r>
      <w:r w:rsidRPr="006D2A2E">
        <w:rPr>
          <w:szCs w:val="22"/>
          <w:lang w:eastAsia="zh-TW"/>
        </w:rPr>
        <w:t xml:space="preserve">A. </w:t>
      </w:r>
      <w:r>
        <w:rPr>
          <w:szCs w:val="22"/>
          <w:lang w:eastAsia="zh-TW"/>
        </w:rPr>
        <w:t>(</w:t>
      </w:r>
      <w:r w:rsidRPr="006D2A2E">
        <w:rPr>
          <w:szCs w:val="22"/>
          <w:lang w:eastAsia="zh-TW"/>
        </w:rPr>
        <w:t>2009</w:t>
      </w:r>
      <w:r>
        <w:rPr>
          <w:szCs w:val="22"/>
          <w:lang w:eastAsia="zh-TW"/>
        </w:rPr>
        <w:t>),</w:t>
      </w:r>
      <w:r w:rsidRPr="006D2A2E">
        <w:rPr>
          <w:szCs w:val="22"/>
          <w:lang w:eastAsia="zh-TW"/>
        </w:rPr>
        <w:t xml:space="preserve"> </w:t>
      </w:r>
      <w:r w:rsidRPr="006D2A2E">
        <w:rPr>
          <w:i/>
          <w:iCs/>
          <w:szCs w:val="22"/>
          <w:lang w:eastAsia="zh-TW"/>
        </w:rPr>
        <w:t>Memorandum and Order on the Tri-State Water Rights Litigation</w:t>
      </w:r>
      <w:r w:rsidRPr="006D2A2E">
        <w:rPr>
          <w:szCs w:val="22"/>
          <w:lang w:eastAsia="zh-TW"/>
        </w:rPr>
        <w:t>, Case No. 3:07-md-01, US District Court, Middle District of Florida.</w:t>
      </w:r>
    </w:p>
    <w:p w14:paraId="2884B732" w14:textId="675A9C7F" w:rsidR="005742FD" w:rsidRPr="00976056" w:rsidRDefault="005742FD" w:rsidP="0055622B">
      <w:pPr>
        <w:pStyle w:val="Refs"/>
        <w:ind w:left="360" w:hanging="360"/>
        <w:rPr>
          <w:szCs w:val="22"/>
          <w:lang w:eastAsia="zh-TW"/>
        </w:rPr>
      </w:pPr>
      <w:r w:rsidRPr="00976056">
        <w:rPr>
          <w:szCs w:val="22"/>
          <w:lang w:eastAsia="zh-TW"/>
        </w:rPr>
        <w:t xml:space="preserve">Markstrom, S. L., L. E. Hay, and M. P. Clark (2016), Towards Simplification of Hydrologic Modeling: Identification of Dominant Processes, </w:t>
      </w:r>
      <w:r w:rsidRPr="00976056">
        <w:rPr>
          <w:i/>
          <w:iCs/>
          <w:szCs w:val="22"/>
          <w:lang w:eastAsia="zh-TW"/>
        </w:rPr>
        <w:t>Hydrol. Earth Syst. Sci.</w:t>
      </w:r>
      <w:r w:rsidRPr="00976056">
        <w:rPr>
          <w:szCs w:val="22"/>
          <w:lang w:eastAsia="zh-TW"/>
        </w:rPr>
        <w:t xml:space="preserve">, </w:t>
      </w:r>
      <w:r w:rsidRPr="00976056">
        <w:rPr>
          <w:i/>
          <w:iCs/>
          <w:szCs w:val="22"/>
          <w:lang w:eastAsia="zh-TW"/>
        </w:rPr>
        <w:t>20</w:t>
      </w:r>
      <w:r w:rsidRPr="00976056">
        <w:rPr>
          <w:szCs w:val="22"/>
          <w:lang w:eastAsia="zh-TW"/>
        </w:rPr>
        <w:t xml:space="preserve">(11), 4655–4671, </w:t>
      </w:r>
      <w:hyperlink r:id="rId362" w:history="1">
        <w:r w:rsidR="007C01B6" w:rsidRPr="00E00258">
          <w:rPr>
            <w:rStyle w:val="Hyperlink"/>
            <w:szCs w:val="22"/>
            <w:lang w:eastAsia="zh-TW"/>
          </w:rPr>
          <w:t>https://doi.org/10.5194/hess-20-4655-2016</w:t>
        </w:r>
      </w:hyperlink>
      <w:r w:rsidRPr="00976056">
        <w:rPr>
          <w:szCs w:val="22"/>
          <w:lang w:eastAsia="zh-TW"/>
        </w:rPr>
        <w:t>.</w:t>
      </w:r>
    </w:p>
    <w:p w14:paraId="0674C0A6" w14:textId="3D77363B" w:rsidR="005742FD" w:rsidRPr="00976056" w:rsidRDefault="005742FD" w:rsidP="00AE284E">
      <w:pPr>
        <w:pStyle w:val="Refs"/>
        <w:ind w:left="360" w:hanging="360"/>
        <w:rPr>
          <w:szCs w:val="22"/>
          <w:lang w:eastAsia="zh-TW"/>
        </w:rPr>
      </w:pPr>
      <w:r w:rsidRPr="00976056">
        <w:rPr>
          <w:szCs w:val="22"/>
          <w:lang w:eastAsia="zh-TW"/>
        </w:rPr>
        <w:t xml:space="preserve">Markstrom, S. L., R. S. Regan, L. E. Hay, R. J. Viger, R. M. Webb, R. A. Payn, and J. H. LaFontaine (2015), </w:t>
      </w:r>
      <w:r w:rsidRPr="00976056">
        <w:rPr>
          <w:i/>
          <w:iCs/>
          <w:szCs w:val="22"/>
          <w:lang w:eastAsia="zh-TW"/>
        </w:rPr>
        <w:t>PRMS-IV, the Precipitation-runoff Modeling System, version 4</w:t>
      </w:r>
      <w:r w:rsidRPr="00976056">
        <w:rPr>
          <w:szCs w:val="22"/>
          <w:lang w:eastAsia="zh-TW"/>
        </w:rPr>
        <w:t xml:space="preserve">, US Geological Survey Techniques and Methods 6-B7, </w:t>
      </w:r>
      <w:hyperlink r:id="rId363" w:history="1">
        <w:r w:rsidR="007C01B6" w:rsidRPr="00E00258">
          <w:rPr>
            <w:rStyle w:val="Hyperlink"/>
            <w:szCs w:val="22"/>
            <w:lang w:eastAsia="zh-TW"/>
          </w:rPr>
          <w:t>https://doi.org/10.3133/tm6B7</w:t>
        </w:r>
      </w:hyperlink>
      <w:r w:rsidRPr="00976056">
        <w:rPr>
          <w:szCs w:val="22"/>
          <w:lang w:eastAsia="zh-TW"/>
        </w:rPr>
        <w:t>.</w:t>
      </w:r>
    </w:p>
    <w:p w14:paraId="480F5EB8" w14:textId="7463FBB4" w:rsidR="005742FD" w:rsidRPr="00976056" w:rsidRDefault="005742FD" w:rsidP="00CD7C82">
      <w:pPr>
        <w:pStyle w:val="Refs"/>
        <w:ind w:left="360" w:hanging="360"/>
        <w:rPr>
          <w:szCs w:val="22"/>
          <w:lang w:eastAsia="zh-TW"/>
        </w:rPr>
      </w:pPr>
      <w:r w:rsidRPr="00976056">
        <w:rPr>
          <w:szCs w:val="22"/>
          <w:lang w:eastAsia="zh-TW"/>
        </w:rPr>
        <w:t xml:space="preserve">Maurer, E. P., H. G. Hidalgo, T. Das, M. D. Dettinger, and D. R. Cayan (2010), The Utility of Daily Large-scale Climate Data in the Assessment of Climate Change Impacts on Daily Streamflow in California, </w:t>
      </w:r>
      <w:r w:rsidRPr="00976056">
        <w:rPr>
          <w:i/>
          <w:iCs/>
          <w:szCs w:val="22"/>
          <w:lang w:eastAsia="zh-TW"/>
        </w:rPr>
        <w:t>Hydrol. Earth Syst. Sci.</w:t>
      </w:r>
      <w:r w:rsidRPr="00976056">
        <w:rPr>
          <w:szCs w:val="22"/>
          <w:lang w:eastAsia="zh-TW"/>
        </w:rPr>
        <w:t xml:space="preserve">, </w:t>
      </w:r>
      <w:r w:rsidRPr="00976056">
        <w:rPr>
          <w:i/>
          <w:iCs/>
          <w:szCs w:val="22"/>
          <w:lang w:eastAsia="zh-TW"/>
        </w:rPr>
        <w:t>14</w:t>
      </w:r>
      <w:r w:rsidRPr="00976056">
        <w:rPr>
          <w:szCs w:val="22"/>
          <w:lang w:eastAsia="zh-TW"/>
        </w:rPr>
        <w:t xml:space="preserve">, 1125–1138, </w:t>
      </w:r>
      <w:hyperlink r:id="rId364" w:history="1">
        <w:r w:rsidR="007C01B6" w:rsidRPr="00E00258">
          <w:rPr>
            <w:rStyle w:val="Hyperlink"/>
            <w:szCs w:val="22"/>
            <w:lang w:eastAsia="zh-TW"/>
          </w:rPr>
          <w:t>https://doi.org/10.5194/hess-14-1125-2010</w:t>
        </w:r>
      </w:hyperlink>
      <w:r w:rsidRPr="00976056">
        <w:rPr>
          <w:szCs w:val="22"/>
          <w:lang w:eastAsia="zh-TW"/>
        </w:rPr>
        <w:t>.</w:t>
      </w:r>
    </w:p>
    <w:p w14:paraId="10B19E73" w14:textId="4175E762" w:rsidR="005742FD" w:rsidRPr="00976056" w:rsidRDefault="005742FD" w:rsidP="00623AF2">
      <w:pPr>
        <w:pStyle w:val="Refs"/>
        <w:ind w:left="360" w:hanging="360"/>
        <w:rPr>
          <w:szCs w:val="22"/>
          <w:lang w:eastAsia="zh-TW"/>
        </w:rPr>
      </w:pPr>
      <w:r w:rsidRPr="00976056">
        <w:rPr>
          <w:szCs w:val="22"/>
          <w:lang w:eastAsia="zh-TW"/>
        </w:rPr>
        <w:t xml:space="preserve">Maurer, E. P., T. Das, and D. R. Cayan (2013), Errors in Climate Model Daily Precipitation and Temperature Output: Time Invariance and Implications for Bias Correction, </w:t>
      </w:r>
      <w:r w:rsidRPr="00976056">
        <w:rPr>
          <w:i/>
          <w:iCs/>
          <w:szCs w:val="22"/>
          <w:lang w:eastAsia="zh-TW"/>
        </w:rPr>
        <w:t>Hydrol. Earth Syst. Sci.</w:t>
      </w:r>
      <w:r w:rsidRPr="00976056">
        <w:rPr>
          <w:szCs w:val="22"/>
          <w:lang w:eastAsia="zh-TW"/>
        </w:rPr>
        <w:t xml:space="preserve">, </w:t>
      </w:r>
      <w:r w:rsidRPr="00976056">
        <w:rPr>
          <w:i/>
          <w:iCs/>
          <w:szCs w:val="22"/>
          <w:lang w:eastAsia="zh-TW"/>
        </w:rPr>
        <w:t>17</w:t>
      </w:r>
      <w:r w:rsidRPr="00976056">
        <w:rPr>
          <w:szCs w:val="22"/>
          <w:lang w:eastAsia="zh-TW"/>
        </w:rPr>
        <w:t xml:space="preserve">(6), 2147–2159, </w:t>
      </w:r>
      <w:hyperlink r:id="rId365" w:history="1">
        <w:r w:rsidR="007C01B6" w:rsidRPr="00E00258">
          <w:rPr>
            <w:rStyle w:val="Hyperlink"/>
            <w:szCs w:val="22"/>
            <w:lang w:eastAsia="zh-TW"/>
          </w:rPr>
          <w:t>https://doi.org/10.5194/hess-17-2147-2013</w:t>
        </w:r>
      </w:hyperlink>
      <w:r w:rsidRPr="00976056">
        <w:rPr>
          <w:szCs w:val="22"/>
          <w:lang w:eastAsia="zh-TW"/>
        </w:rPr>
        <w:t>.</w:t>
      </w:r>
    </w:p>
    <w:p w14:paraId="091860F2" w14:textId="65CF9FB3" w:rsidR="005742FD" w:rsidRPr="00976056" w:rsidRDefault="005742FD" w:rsidP="00957AD2">
      <w:pPr>
        <w:pStyle w:val="Refs"/>
        <w:ind w:left="360" w:hanging="360"/>
        <w:rPr>
          <w:szCs w:val="22"/>
          <w:lang w:eastAsia="zh-TW"/>
        </w:rPr>
      </w:pPr>
      <w:r w:rsidRPr="00976056">
        <w:rPr>
          <w:szCs w:val="22"/>
          <w:lang w:eastAsia="zh-TW"/>
        </w:rPr>
        <w:t xml:space="preserve">Meresa, H. K., and R. J. Romanowicz (2017), The Critical Role of Uncertainty in Projections of Hydrological Extremes, </w:t>
      </w:r>
      <w:r w:rsidRPr="00976056">
        <w:rPr>
          <w:i/>
          <w:iCs/>
          <w:szCs w:val="22"/>
          <w:lang w:eastAsia="zh-TW"/>
        </w:rPr>
        <w:t>Hydrol. Earth Syst. Sci.</w:t>
      </w:r>
      <w:r w:rsidRPr="00976056">
        <w:rPr>
          <w:szCs w:val="22"/>
          <w:lang w:eastAsia="zh-TW"/>
        </w:rPr>
        <w:t xml:space="preserve">, </w:t>
      </w:r>
      <w:r w:rsidRPr="00976056">
        <w:rPr>
          <w:i/>
          <w:iCs/>
          <w:szCs w:val="22"/>
          <w:lang w:eastAsia="zh-TW"/>
        </w:rPr>
        <w:t>21</w:t>
      </w:r>
      <w:r w:rsidRPr="00976056">
        <w:rPr>
          <w:szCs w:val="22"/>
          <w:lang w:eastAsia="zh-TW"/>
        </w:rPr>
        <w:t xml:space="preserve">, 4245–4258, </w:t>
      </w:r>
      <w:hyperlink r:id="rId366" w:history="1">
        <w:r w:rsidR="007C01B6" w:rsidRPr="00E00258">
          <w:rPr>
            <w:rStyle w:val="Hyperlink"/>
            <w:szCs w:val="22"/>
            <w:lang w:eastAsia="zh-TW"/>
          </w:rPr>
          <w:t>https://doi.org/10.5194/hess-21-4245-2017</w:t>
        </w:r>
      </w:hyperlink>
      <w:r w:rsidRPr="00976056">
        <w:rPr>
          <w:szCs w:val="22"/>
          <w:lang w:eastAsia="zh-TW"/>
        </w:rPr>
        <w:t>.</w:t>
      </w:r>
    </w:p>
    <w:p w14:paraId="074BDC1D" w14:textId="093AA404" w:rsidR="005742FD" w:rsidRPr="00976056" w:rsidRDefault="005742FD" w:rsidP="000124ED">
      <w:pPr>
        <w:pStyle w:val="Refs"/>
        <w:ind w:left="360" w:hanging="360"/>
        <w:rPr>
          <w:szCs w:val="22"/>
          <w:lang w:eastAsia="zh-TW"/>
        </w:rPr>
      </w:pPr>
      <w:r w:rsidRPr="00976056">
        <w:rPr>
          <w:szCs w:val="22"/>
          <w:lang w:eastAsia="zh-TW"/>
        </w:rPr>
        <w:t>Mesinger, F., G. DiMegoand, E. Kalnay, K. Mitchell, P.C. Shafran, W. Ebisuzaki, D. Jovic, J.</w:t>
      </w:r>
      <w:r w:rsidRPr="00976056">
        <w:rPr>
          <w:rFonts w:hint="eastAsia"/>
          <w:szCs w:val="22"/>
          <w:lang w:eastAsia="zh-TW"/>
        </w:rPr>
        <w:t xml:space="preserve"> </w:t>
      </w:r>
      <w:r w:rsidRPr="00976056">
        <w:rPr>
          <w:szCs w:val="22"/>
          <w:lang w:eastAsia="zh-TW"/>
        </w:rPr>
        <w:t>Woollen, E. Rogers, E.H. Berbery, M.B. Ek, Y. Fan, R. Grumbine, W. Higgins, H. Li, Y.</w:t>
      </w:r>
      <w:r w:rsidRPr="00976056">
        <w:rPr>
          <w:rFonts w:hint="eastAsia"/>
          <w:szCs w:val="22"/>
          <w:lang w:eastAsia="zh-TW"/>
        </w:rPr>
        <w:t xml:space="preserve"> </w:t>
      </w:r>
      <w:r w:rsidRPr="00976056">
        <w:rPr>
          <w:szCs w:val="22"/>
          <w:lang w:eastAsia="zh-TW"/>
        </w:rPr>
        <w:t xml:space="preserve">Lin, G. Manikin, D. Parrish, and W. Shi (2006), North </w:t>
      </w:r>
      <w:r w:rsidRPr="00976056">
        <w:rPr>
          <w:rFonts w:hint="eastAsia"/>
          <w:szCs w:val="22"/>
          <w:lang w:eastAsia="zh-TW"/>
        </w:rPr>
        <w:t>A</w:t>
      </w:r>
      <w:r w:rsidRPr="00976056">
        <w:rPr>
          <w:szCs w:val="22"/>
          <w:lang w:eastAsia="zh-TW"/>
        </w:rPr>
        <w:t xml:space="preserve">merican regional reanalysis, </w:t>
      </w:r>
      <w:r w:rsidRPr="00976056">
        <w:rPr>
          <w:i/>
          <w:szCs w:val="22"/>
          <w:lang w:eastAsia="zh-TW"/>
        </w:rPr>
        <w:t>B. Am. Meteorol. Soc.</w:t>
      </w:r>
      <w:r w:rsidRPr="00976056">
        <w:rPr>
          <w:szCs w:val="22"/>
          <w:lang w:eastAsia="zh-TW"/>
        </w:rPr>
        <w:t xml:space="preserve">, </w:t>
      </w:r>
      <w:r w:rsidRPr="00976056">
        <w:rPr>
          <w:i/>
          <w:szCs w:val="22"/>
          <w:lang w:eastAsia="zh-TW"/>
        </w:rPr>
        <w:t>87</w:t>
      </w:r>
      <w:r w:rsidRPr="00976056">
        <w:rPr>
          <w:szCs w:val="22"/>
          <w:lang w:eastAsia="zh-TW"/>
        </w:rPr>
        <w:t xml:space="preserve">, 343–360, </w:t>
      </w:r>
      <w:hyperlink r:id="rId367" w:history="1">
        <w:r w:rsidR="007C01B6" w:rsidRPr="00E00258">
          <w:rPr>
            <w:rStyle w:val="Hyperlink"/>
            <w:szCs w:val="22"/>
            <w:lang w:eastAsia="zh-TW"/>
          </w:rPr>
          <w:t>https://doi.org/10.1175/BAMS-87-3-343</w:t>
        </w:r>
      </w:hyperlink>
      <w:r w:rsidRPr="00976056">
        <w:rPr>
          <w:szCs w:val="22"/>
          <w:lang w:eastAsia="zh-TW"/>
        </w:rPr>
        <w:t>.</w:t>
      </w:r>
    </w:p>
    <w:p w14:paraId="69CFB212" w14:textId="0F014300" w:rsidR="00FD16AF" w:rsidRPr="008436A7" w:rsidRDefault="00FD16AF" w:rsidP="00FD16AF">
      <w:pPr>
        <w:pStyle w:val="Refs"/>
        <w:ind w:left="360" w:hanging="360"/>
        <w:rPr>
          <w:szCs w:val="22"/>
          <w:lang w:eastAsia="zh-TW"/>
        </w:rPr>
      </w:pPr>
      <w:r w:rsidRPr="008436A7">
        <w:rPr>
          <w:szCs w:val="22"/>
          <w:lang w:eastAsia="zh-TW"/>
        </w:rPr>
        <w:lastRenderedPageBreak/>
        <w:t xml:space="preserve">Mizukami, N., </w:t>
      </w:r>
      <w:r>
        <w:rPr>
          <w:szCs w:val="22"/>
          <w:lang w:eastAsia="zh-TW"/>
        </w:rPr>
        <w:t xml:space="preserve">M. </w:t>
      </w:r>
      <w:r w:rsidRPr="008436A7">
        <w:rPr>
          <w:szCs w:val="22"/>
          <w:lang w:eastAsia="zh-TW"/>
        </w:rPr>
        <w:t xml:space="preserve">P. Clark, </w:t>
      </w:r>
      <w:r>
        <w:rPr>
          <w:szCs w:val="22"/>
          <w:lang w:eastAsia="zh-TW"/>
        </w:rPr>
        <w:t xml:space="preserve">A. </w:t>
      </w:r>
      <w:r w:rsidRPr="008436A7">
        <w:rPr>
          <w:szCs w:val="22"/>
          <w:lang w:eastAsia="zh-TW"/>
        </w:rPr>
        <w:t xml:space="preserve">G. Slater, </w:t>
      </w:r>
      <w:r>
        <w:rPr>
          <w:szCs w:val="22"/>
          <w:lang w:eastAsia="zh-TW"/>
        </w:rPr>
        <w:t xml:space="preserve">L. </w:t>
      </w:r>
      <w:r w:rsidRPr="008436A7">
        <w:rPr>
          <w:szCs w:val="22"/>
          <w:lang w:eastAsia="zh-TW"/>
        </w:rPr>
        <w:t xml:space="preserve">D. Brekke, </w:t>
      </w:r>
      <w:r>
        <w:rPr>
          <w:szCs w:val="22"/>
          <w:lang w:eastAsia="zh-TW"/>
        </w:rPr>
        <w:t>M.</w:t>
      </w:r>
      <w:r w:rsidRPr="008436A7">
        <w:rPr>
          <w:szCs w:val="22"/>
          <w:lang w:eastAsia="zh-TW"/>
        </w:rPr>
        <w:t xml:space="preserve"> M. Elsner, </w:t>
      </w:r>
      <w:r>
        <w:rPr>
          <w:szCs w:val="22"/>
          <w:lang w:eastAsia="zh-TW"/>
        </w:rPr>
        <w:t>J.</w:t>
      </w:r>
      <w:r w:rsidRPr="008436A7">
        <w:rPr>
          <w:szCs w:val="22"/>
          <w:lang w:eastAsia="zh-TW"/>
        </w:rPr>
        <w:t xml:space="preserve"> R. Arnold, </w:t>
      </w:r>
      <w:r>
        <w:rPr>
          <w:szCs w:val="22"/>
          <w:lang w:eastAsia="zh-TW"/>
        </w:rPr>
        <w:t>and S.</w:t>
      </w:r>
      <w:r w:rsidRPr="008436A7">
        <w:rPr>
          <w:szCs w:val="22"/>
          <w:lang w:eastAsia="zh-TW"/>
        </w:rPr>
        <w:t xml:space="preserve"> Gangopadhyay (2014)</w:t>
      </w:r>
      <w:r>
        <w:rPr>
          <w:szCs w:val="22"/>
          <w:lang w:eastAsia="zh-TW"/>
        </w:rPr>
        <w:t>,</w:t>
      </w:r>
      <w:r w:rsidRPr="008436A7">
        <w:rPr>
          <w:szCs w:val="22"/>
          <w:lang w:eastAsia="zh-TW"/>
        </w:rPr>
        <w:t xml:space="preserve"> Hydrologic Implications of Different Large-Scale Meteorological Model Forcing</w:t>
      </w:r>
      <w:r w:rsidR="00D64187">
        <w:rPr>
          <w:szCs w:val="22"/>
          <w:lang w:eastAsia="zh-TW"/>
        </w:rPr>
        <w:t xml:space="preserve"> </w:t>
      </w:r>
      <w:r w:rsidR="005606E5">
        <w:rPr>
          <w:szCs w:val="22"/>
          <w:lang w:eastAsia="zh-TW"/>
        </w:rPr>
        <w:t>data sets</w:t>
      </w:r>
      <w:r w:rsidR="00D64187">
        <w:rPr>
          <w:szCs w:val="22"/>
          <w:lang w:eastAsia="zh-TW"/>
        </w:rPr>
        <w:t xml:space="preserve"> </w:t>
      </w:r>
      <w:r>
        <w:rPr>
          <w:szCs w:val="22"/>
          <w:lang w:eastAsia="zh-TW"/>
        </w:rPr>
        <w:t>i</w:t>
      </w:r>
      <w:r w:rsidRPr="008436A7">
        <w:rPr>
          <w:szCs w:val="22"/>
          <w:lang w:eastAsia="zh-TW"/>
        </w:rPr>
        <w:t>n Mountainous Regions</w:t>
      </w:r>
      <w:r>
        <w:rPr>
          <w:szCs w:val="22"/>
          <w:lang w:eastAsia="zh-TW"/>
        </w:rPr>
        <w:t>,</w:t>
      </w:r>
      <w:r w:rsidRPr="008436A7">
        <w:rPr>
          <w:szCs w:val="22"/>
          <w:lang w:eastAsia="zh-TW"/>
        </w:rPr>
        <w:t xml:space="preserve"> </w:t>
      </w:r>
      <w:r w:rsidRPr="00FD16AF">
        <w:rPr>
          <w:i/>
          <w:iCs/>
          <w:szCs w:val="22"/>
          <w:lang w:eastAsia="zh-TW"/>
        </w:rPr>
        <w:t>J. Hydrometeorol.</w:t>
      </w:r>
      <w:r w:rsidRPr="008436A7">
        <w:rPr>
          <w:szCs w:val="22"/>
          <w:lang w:eastAsia="zh-TW"/>
        </w:rPr>
        <w:t xml:space="preserve">, </w:t>
      </w:r>
      <w:r w:rsidRPr="00FD16AF">
        <w:rPr>
          <w:i/>
          <w:iCs/>
          <w:szCs w:val="22"/>
          <w:lang w:eastAsia="zh-TW"/>
        </w:rPr>
        <w:t>15</w:t>
      </w:r>
      <w:r w:rsidRPr="008436A7">
        <w:rPr>
          <w:szCs w:val="22"/>
          <w:lang w:eastAsia="zh-TW"/>
        </w:rPr>
        <w:t>(1), 474</w:t>
      </w:r>
      <w:r>
        <w:rPr>
          <w:szCs w:val="22"/>
          <w:lang w:eastAsia="zh-TW"/>
        </w:rPr>
        <w:t>–</w:t>
      </w:r>
      <w:r w:rsidRPr="008436A7">
        <w:rPr>
          <w:szCs w:val="22"/>
          <w:lang w:eastAsia="zh-TW"/>
        </w:rPr>
        <w:t>488</w:t>
      </w:r>
      <w:r>
        <w:rPr>
          <w:szCs w:val="22"/>
          <w:lang w:eastAsia="zh-TW"/>
        </w:rPr>
        <w:t xml:space="preserve">, </w:t>
      </w:r>
      <w:hyperlink r:id="rId368" w:history="1">
        <w:r w:rsidR="007C01B6" w:rsidRPr="00E00258">
          <w:rPr>
            <w:rStyle w:val="Hyperlink"/>
            <w:szCs w:val="22"/>
            <w:lang w:eastAsia="zh-TW"/>
          </w:rPr>
          <w:t>https://doi.org/10.1175/JHM-D-13-036.1</w:t>
        </w:r>
      </w:hyperlink>
      <w:r w:rsidRPr="008436A7">
        <w:rPr>
          <w:szCs w:val="22"/>
          <w:lang w:eastAsia="zh-TW"/>
        </w:rPr>
        <w:t>.</w:t>
      </w:r>
    </w:p>
    <w:p w14:paraId="044800DB" w14:textId="762B29E0" w:rsidR="005742FD" w:rsidRDefault="005742FD" w:rsidP="000124ED">
      <w:pPr>
        <w:pStyle w:val="Refs"/>
        <w:ind w:left="360" w:hanging="360"/>
        <w:rPr>
          <w:szCs w:val="22"/>
          <w:lang w:eastAsia="zh-TW"/>
        </w:rPr>
      </w:pPr>
      <w:r w:rsidRPr="00976056">
        <w:rPr>
          <w:szCs w:val="22"/>
          <w:lang w:eastAsia="zh-TW"/>
        </w:rPr>
        <w:t xml:space="preserve">Moreo, M. T. (2015), </w:t>
      </w:r>
      <w:r w:rsidRPr="007F6F47">
        <w:rPr>
          <w:i/>
          <w:iCs/>
          <w:szCs w:val="22"/>
          <w:lang w:eastAsia="zh-TW"/>
        </w:rPr>
        <w:t>Evaporation Data from Lake Mead and Lake Mohave, Nevada and Arizona, March 2010 through April 2015</w:t>
      </w:r>
      <w:r w:rsidRPr="00976056">
        <w:rPr>
          <w:szCs w:val="22"/>
          <w:lang w:eastAsia="zh-TW"/>
        </w:rPr>
        <w:t xml:space="preserve">, US Geological Survey Data Release, </w:t>
      </w:r>
      <w:hyperlink r:id="rId369" w:history="1">
        <w:r w:rsidR="007C01B6" w:rsidRPr="00E00258">
          <w:rPr>
            <w:rStyle w:val="Hyperlink"/>
            <w:szCs w:val="22"/>
            <w:lang w:eastAsia="zh-TW"/>
          </w:rPr>
          <w:t>https://doi.org/10.5066/F79C6VG3</w:t>
        </w:r>
      </w:hyperlink>
      <w:r w:rsidRPr="00976056">
        <w:rPr>
          <w:szCs w:val="22"/>
          <w:lang w:eastAsia="zh-TW"/>
        </w:rPr>
        <w:t>.</w:t>
      </w:r>
    </w:p>
    <w:p w14:paraId="03AAB93E" w14:textId="331A3F83" w:rsidR="006275ED" w:rsidRPr="00976056" w:rsidRDefault="006275ED" w:rsidP="000124ED">
      <w:pPr>
        <w:pStyle w:val="Refs"/>
        <w:ind w:left="360" w:hanging="360"/>
        <w:rPr>
          <w:szCs w:val="22"/>
          <w:lang w:eastAsia="zh-TW"/>
        </w:rPr>
      </w:pPr>
      <w:r w:rsidRPr="006275ED">
        <w:rPr>
          <w:szCs w:val="22"/>
          <w:lang w:eastAsia="zh-TW"/>
        </w:rPr>
        <w:t xml:space="preserve">Mote, P. W., </w:t>
      </w:r>
      <w:r>
        <w:rPr>
          <w:szCs w:val="22"/>
          <w:lang w:eastAsia="zh-TW"/>
        </w:rPr>
        <w:t>and</w:t>
      </w:r>
      <w:r w:rsidRPr="006275ED">
        <w:rPr>
          <w:szCs w:val="22"/>
          <w:lang w:eastAsia="zh-TW"/>
        </w:rPr>
        <w:t xml:space="preserve"> </w:t>
      </w:r>
      <w:r>
        <w:rPr>
          <w:szCs w:val="22"/>
          <w:lang w:eastAsia="zh-TW"/>
        </w:rPr>
        <w:t xml:space="preserve">E. P. </w:t>
      </w:r>
      <w:r w:rsidRPr="006275ED">
        <w:rPr>
          <w:szCs w:val="22"/>
          <w:lang w:eastAsia="zh-TW"/>
        </w:rPr>
        <w:t>Salathé (2010)</w:t>
      </w:r>
      <w:r>
        <w:rPr>
          <w:szCs w:val="22"/>
          <w:lang w:eastAsia="zh-TW"/>
        </w:rPr>
        <w:t>,</w:t>
      </w:r>
      <w:r w:rsidRPr="006275ED">
        <w:rPr>
          <w:szCs w:val="22"/>
          <w:lang w:eastAsia="zh-TW"/>
        </w:rPr>
        <w:t xml:space="preserve"> Future </w:t>
      </w:r>
      <w:r>
        <w:rPr>
          <w:szCs w:val="22"/>
          <w:lang w:eastAsia="zh-TW"/>
        </w:rPr>
        <w:t>C</w:t>
      </w:r>
      <w:r w:rsidRPr="006275ED">
        <w:rPr>
          <w:szCs w:val="22"/>
          <w:lang w:eastAsia="zh-TW"/>
        </w:rPr>
        <w:t>limate in the Pacific Northwest</w:t>
      </w:r>
      <w:r>
        <w:rPr>
          <w:szCs w:val="22"/>
          <w:lang w:eastAsia="zh-TW"/>
        </w:rPr>
        <w:t>,</w:t>
      </w:r>
      <w:r w:rsidRPr="006275ED">
        <w:rPr>
          <w:szCs w:val="22"/>
          <w:lang w:eastAsia="zh-TW"/>
        </w:rPr>
        <w:t xml:space="preserve"> </w:t>
      </w:r>
      <w:r w:rsidRPr="006275ED">
        <w:rPr>
          <w:i/>
          <w:iCs/>
          <w:szCs w:val="22"/>
          <w:lang w:eastAsia="zh-TW"/>
        </w:rPr>
        <w:t>Clim. Change</w:t>
      </w:r>
      <w:r w:rsidRPr="006275ED">
        <w:rPr>
          <w:szCs w:val="22"/>
          <w:lang w:eastAsia="zh-TW"/>
        </w:rPr>
        <w:t xml:space="preserve">, </w:t>
      </w:r>
      <w:r w:rsidRPr="006275ED">
        <w:rPr>
          <w:i/>
          <w:iCs/>
          <w:szCs w:val="22"/>
          <w:lang w:eastAsia="zh-TW"/>
        </w:rPr>
        <w:t>102</w:t>
      </w:r>
      <w:r w:rsidRPr="006275ED">
        <w:rPr>
          <w:szCs w:val="22"/>
          <w:lang w:eastAsia="zh-TW"/>
        </w:rPr>
        <w:t>(1), 29</w:t>
      </w:r>
      <w:r>
        <w:rPr>
          <w:szCs w:val="22"/>
          <w:lang w:eastAsia="zh-TW"/>
        </w:rPr>
        <w:t>–</w:t>
      </w:r>
      <w:r w:rsidRPr="006275ED">
        <w:rPr>
          <w:szCs w:val="22"/>
          <w:lang w:eastAsia="zh-TW"/>
        </w:rPr>
        <w:t>50</w:t>
      </w:r>
      <w:r>
        <w:rPr>
          <w:szCs w:val="22"/>
          <w:lang w:eastAsia="zh-TW"/>
        </w:rPr>
        <w:t xml:space="preserve">, </w:t>
      </w:r>
      <w:hyperlink r:id="rId370" w:history="1">
        <w:r w:rsidR="007C01B6" w:rsidRPr="00E00258">
          <w:rPr>
            <w:rStyle w:val="Hyperlink"/>
            <w:szCs w:val="22"/>
            <w:lang w:eastAsia="zh-TW"/>
          </w:rPr>
          <w:t>https://doi.org/10.1007/s10584-010-9848-z</w:t>
        </w:r>
      </w:hyperlink>
      <w:r w:rsidRPr="006275ED">
        <w:rPr>
          <w:szCs w:val="22"/>
          <w:lang w:eastAsia="zh-TW"/>
        </w:rPr>
        <w:t>.</w:t>
      </w:r>
    </w:p>
    <w:p w14:paraId="59558D80" w14:textId="31E482F2" w:rsidR="005742FD" w:rsidRPr="00976056" w:rsidRDefault="005742FD" w:rsidP="00D7235E">
      <w:pPr>
        <w:pStyle w:val="Refs"/>
        <w:ind w:left="360" w:hanging="360"/>
        <w:rPr>
          <w:szCs w:val="22"/>
          <w:lang w:eastAsia="zh-TW"/>
        </w:rPr>
      </w:pPr>
      <w:r w:rsidRPr="00976056">
        <w:rPr>
          <w:szCs w:val="22"/>
          <w:lang w:eastAsia="zh-TW"/>
        </w:rPr>
        <w:t xml:space="preserve">Mote, P. W., </w:t>
      </w:r>
      <w:r w:rsidRPr="00976056">
        <w:rPr>
          <w:rFonts w:hint="eastAsia"/>
          <w:szCs w:val="22"/>
          <w:lang w:eastAsia="zh-TW"/>
        </w:rPr>
        <w:t>A.</w:t>
      </w:r>
      <w:r w:rsidRPr="00976056">
        <w:rPr>
          <w:szCs w:val="22"/>
          <w:lang w:eastAsia="zh-TW"/>
        </w:rPr>
        <w:t xml:space="preserve"> </w:t>
      </w:r>
      <w:r w:rsidRPr="00976056">
        <w:rPr>
          <w:rFonts w:hint="eastAsia"/>
          <w:szCs w:val="22"/>
          <w:lang w:eastAsia="zh-TW"/>
        </w:rPr>
        <w:t xml:space="preserve">F. </w:t>
      </w:r>
      <w:r w:rsidRPr="00976056">
        <w:rPr>
          <w:szCs w:val="22"/>
          <w:lang w:eastAsia="zh-TW"/>
        </w:rPr>
        <w:t xml:space="preserve">Hamlet, </w:t>
      </w:r>
      <w:r w:rsidRPr="00976056">
        <w:rPr>
          <w:rFonts w:hint="eastAsia"/>
          <w:szCs w:val="22"/>
          <w:lang w:eastAsia="zh-TW"/>
        </w:rPr>
        <w:t>M.</w:t>
      </w:r>
      <w:r w:rsidRPr="00976056">
        <w:rPr>
          <w:szCs w:val="22"/>
          <w:lang w:eastAsia="zh-TW"/>
        </w:rPr>
        <w:t xml:space="preserve"> </w:t>
      </w:r>
      <w:r w:rsidRPr="00976056">
        <w:rPr>
          <w:rFonts w:hint="eastAsia"/>
          <w:szCs w:val="22"/>
          <w:lang w:eastAsia="zh-TW"/>
        </w:rPr>
        <w:t>P.</w:t>
      </w:r>
      <w:r w:rsidRPr="00976056">
        <w:rPr>
          <w:szCs w:val="22"/>
          <w:lang w:eastAsia="zh-TW"/>
        </w:rPr>
        <w:t xml:space="preserve"> Clark, and </w:t>
      </w:r>
      <w:r w:rsidRPr="00976056">
        <w:rPr>
          <w:rFonts w:hint="eastAsia"/>
          <w:szCs w:val="22"/>
          <w:lang w:eastAsia="zh-TW"/>
        </w:rPr>
        <w:t>D.</w:t>
      </w:r>
      <w:r w:rsidRPr="00976056">
        <w:rPr>
          <w:szCs w:val="22"/>
          <w:lang w:eastAsia="zh-TW"/>
        </w:rPr>
        <w:t xml:space="preserve"> </w:t>
      </w:r>
      <w:r w:rsidRPr="00976056">
        <w:rPr>
          <w:rFonts w:hint="eastAsia"/>
          <w:szCs w:val="22"/>
          <w:lang w:eastAsia="zh-TW"/>
        </w:rPr>
        <w:t xml:space="preserve">P. </w:t>
      </w:r>
      <w:r w:rsidRPr="00976056">
        <w:rPr>
          <w:szCs w:val="22"/>
          <w:lang w:eastAsia="zh-TW"/>
        </w:rPr>
        <w:t>Lettenmaier</w:t>
      </w:r>
      <w:r w:rsidRPr="00976056">
        <w:rPr>
          <w:rFonts w:hint="eastAsia"/>
          <w:szCs w:val="22"/>
          <w:lang w:eastAsia="zh-TW"/>
        </w:rPr>
        <w:t xml:space="preserve"> (2005),</w:t>
      </w:r>
      <w:r w:rsidRPr="00976056">
        <w:rPr>
          <w:szCs w:val="22"/>
          <w:lang w:eastAsia="zh-TW"/>
        </w:rPr>
        <w:t xml:space="preserve"> Declining Mountain Snowpack in Western North America, </w:t>
      </w:r>
      <w:r w:rsidRPr="00976056">
        <w:rPr>
          <w:i/>
          <w:szCs w:val="22"/>
          <w:lang w:eastAsia="zh-TW"/>
        </w:rPr>
        <w:t>B. Am. Meteorol. Soc.</w:t>
      </w:r>
      <w:r w:rsidRPr="00976056">
        <w:rPr>
          <w:szCs w:val="22"/>
          <w:lang w:eastAsia="zh-TW"/>
        </w:rPr>
        <w:t xml:space="preserve">, </w:t>
      </w:r>
      <w:r w:rsidRPr="00976056">
        <w:rPr>
          <w:i/>
          <w:szCs w:val="22"/>
          <w:lang w:eastAsia="zh-TW"/>
        </w:rPr>
        <w:t>86</w:t>
      </w:r>
      <w:r w:rsidRPr="00976056">
        <w:rPr>
          <w:szCs w:val="22"/>
          <w:lang w:eastAsia="zh-TW"/>
        </w:rPr>
        <w:t xml:space="preserve">, 39–49, </w:t>
      </w:r>
      <w:hyperlink r:id="rId371" w:history="1">
        <w:r w:rsidR="007C01B6" w:rsidRPr="00E00258">
          <w:rPr>
            <w:rStyle w:val="Hyperlink"/>
            <w:szCs w:val="22"/>
            <w:lang w:eastAsia="zh-TW"/>
          </w:rPr>
          <w:t>https://doi.org/10.1175/BAMS-86-1-39</w:t>
        </w:r>
      </w:hyperlink>
      <w:r w:rsidRPr="00976056">
        <w:rPr>
          <w:szCs w:val="22"/>
          <w:lang w:eastAsia="zh-TW"/>
        </w:rPr>
        <w:t>.</w:t>
      </w:r>
    </w:p>
    <w:p w14:paraId="42224D54" w14:textId="5E6848EF" w:rsidR="005742FD" w:rsidRPr="00976056" w:rsidRDefault="005742FD" w:rsidP="00D7235E">
      <w:pPr>
        <w:pStyle w:val="Refs"/>
        <w:ind w:left="360" w:hanging="360"/>
        <w:rPr>
          <w:szCs w:val="22"/>
          <w:lang w:eastAsia="zh-TW"/>
        </w:rPr>
      </w:pPr>
      <w:r w:rsidRPr="00976056">
        <w:rPr>
          <w:szCs w:val="22"/>
          <w:lang w:eastAsia="zh-TW"/>
        </w:rPr>
        <w:t xml:space="preserve">Mote, P. W., S. Li, D. P. Lettenmaier, M. Xiao, and R. Engel (2018), Dramatic Declines in Snowpack in the Western US, </w:t>
      </w:r>
      <w:r w:rsidRPr="00976056">
        <w:rPr>
          <w:i/>
          <w:iCs/>
          <w:szCs w:val="22"/>
          <w:lang w:eastAsia="zh-TW"/>
        </w:rPr>
        <w:t>npj Clim Atmos Sci</w:t>
      </w:r>
      <w:r w:rsidRPr="00976056">
        <w:rPr>
          <w:szCs w:val="22"/>
          <w:lang w:eastAsia="zh-TW"/>
        </w:rPr>
        <w:t xml:space="preserve">, </w:t>
      </w:r>
      <w:r w:rsidRPr="00976056">
        <w:rPr>
          <w:i/>
          <w:iCs/>
          <w:szCs w:val="22"/>
          <w:lang w:eastAsia="zh-TW"/>
        </w:rPr>
        <w:t>1</w:t>
      </w:r>
      <w:r w:rsidRPr="00976056">
        <w:rPr>
          <w:szCs w:val="22"/>
          <w:lang w:eastAsia="zh-TW"/>
        </w:rPr>
        <w:t xml:space="preserve">, 2, </w:t>
      </w:r>
      <w:hyperlink r:id="rId372" w:history="1">
        <w:r w:rsidR="007C01B6" w:rsidRPr="00E00258">
          <w:rPr>
            <w:rStyle w:val="Hyperlink"/>
            <w:szCs w:val="22"/>
            <w:lang w:eastAsia="zh-TW"/>
          </w:rPr>
          <w:t>https://doi.org/10.1038/s41612-018-0012-1</w:t>
        </w:r>
      </w:hyperlink>
      <w:r w:rsidRPr="00976056">
        <w:rPr>
          <w:szCs w:val="22"/>
          <w:lang w:eastAsia="zh-TW"/>
        </w:rPr>
        <w:t>.</w:t>
      </w:r>
    </w:p>
    <w:p w14:paraId="38FD6396" w14:textId="377BB67D" w:rsidR="005742FD" w:rsidRPr="00976056" w:rsidRDefault="005742FD" w:rsidP="00D7235E">
      <w:pPr>
        <w:pStyle w:val="Refs"/>
        <w:ind w:left="360" w:hanging="360"/>
        <w:rPr>
          <w:szCs w:val="22"/>
          <w:lang w:eastAsia="zh-TW"/>
        </w:rPr>
      </w:pPr>
      <w:r w:rsidRPr="00976056">
        <w:rPr>
          <w:szCs w:val="22"/>
          <w:lang w:eastAsia="zh-TW"/>
        </w:rPr>
        <w:t xml:space="preserve">Najafi, M. R., H. Moradkhani, and I. W. Jung (2011), Assessing the Uncertainties of Hydrologic Model Selection in Climate Change Impact Studies, </w:t>
      </w:r>
      <w:r w:rsidRPr="00976056">
        <w:rPr>
          <w:i/>
          <w:iCs/>
          <w:szCs w:val="22"/>
          <w:lang w:eastAsia="zh-TW"/>
        </w:rPr>
        <w:t>Hydrol. Process.</w:t>
      </w:r>
      <w:r w:rsidRPr="00976056">
        <w:rPr>
          <w:szCs w:val="22"/>
          <w:lang w:eastAsia="zh-TW"/>
        </w:rPr>
        <w:t xml:space="preserve">, </w:t>
      </w:r>
      <w:r w:rsidRPr="00976056">
        <w:rPr>
          <w:i/>
          <w:iCs/>
          <w:szCs w:val="22"/>
          <w:lang w:eastAsia="zh-TW"/>
        </w:rPr>
        <w:t>25</w:t>
      </w:r>
      <w:r w:rsidRPr="00976056">
        <w:rPr>
          <w:szCs w:val="22"/>
          <w:lang w:eastAsia="zh-TW"/>
        </w:rPr>
        <w:t xml:space="preserve">, 2814–2826, </w:t>
      </w:r>
      <w:hyperlink r:id="rId373" w:history="1">
        <w:r w:rsidR="007C01B6" w:rsidRPr="00E00258">
          <w:rPr>
            <w:rStyle w:val="Hyperlink"/>
            <w:szCs w:val="22"/>
            <w:lang w:eastAsia="zh-TW"/>
          </w:rPr>
          <w:t>https://doi.org/10.1002/hyp.8043</w:t>
        </w:r>
      </w:hyperlink>
      <w:r w:rsidRPr="00976056">
        <w:rPr>
          <w:szCs w:val="22"/>
          <w:lang w:eastAsia="zh-TW"/>
        </w:rPr>
        <w:t>.</w:t>
      </w:r>
    </w:p>
    <w:p w14:paraId="6BE243B0" w14:textId="7B04D2D5" w:rsidR="005742FD" w:rsidRPr="00976056" w:rsidRDefault="005742FD" w:rsidP="00957AD2">
      <w:pPr>
        <w:pStyle w:val="Refs"/>
        <w:ind w:left="360" w:hanging="360"/>
        <w:rPr>
          <w:szCs w:val="22"/>
          <w:lang w:eastAsia="zh-TW"/>
        </w:rPr>
      </w:pPr>
      <w:r w:rsidRPr="00976056">
        <w:rPr>
          <w:szCs w:val="22"/>
          <w:lang w:eastAsia="zh-TW"/>
        </w:rPr>
        <w:t xml:space="preserve">Naz, B. S., S.-C. Kao, M. Ashfaq, D. Rastogi, R. Mei, and L. C. Bowling (2016), Regional Hydrologic Response to Climate Change in the Conterminous United States Using High-resolution Hydroclimate Simulations, </w:t>
      </w:r>
      <w:r w:rsidRPr="00976056">
        <w:rPr>
          <w:i/>
          <w:iCs/>
          <w:szCs w:val="22"/>
          <w:lang w:eastAsia="zh-TW"/>
        </w:rPr>
        <w:t>Global Planet. Change</w:t>
      </w:r>
      <w:r w:rsidRPr="00976056">
        <w:rPr>
          <w:szCs w:val="22"/>
          <w:lang w:eastAsia="zh-TW"/>
        </w:rPr>
        <w:t xml:space="preserve">, </w:t>
      </w:r>
      <w:r w:rsidRPr="00976056">
        <w:rPr>
          <w:i/>
          <w:iCs/>
          <w:szCs w:val="22"/>
          <w:lang w:eastAsia="zh-TW"/>
        </w:rPr>
        <w:t>143</w:t>
      </w:r>
      <w:r w:rsidRPr="00976056">
        <w:rPr>
          <w:szCs w:val="22"/>
          <w:lang w:eastAsia="zh-TW"/>
        </w:rPr>
        <w:t xml:space="preserve">, 100–117, </w:t>
      </w:r>
      <w:hyperlink r:id="rId374" w:history="1">
        <w:r w:rsidR="007C01B6" w:rsidRPr="00E00258">
          <w:rPr>
            <w:rStyle w:val="Hyperlink"/>
            <w:szCs w:val="22"/>
            <w:lang w:eastAsia="zh-TW"/>
          </w:rPr>
          <w:t>https://doi.org/10.1016/j.gloplacha.2016.06.003</w:t>
        </w:r>
      </w:hyperlink>
      <w:r w:rsidRPr="00976056">
        <w:rPr>
          <w:szCs w:val="22"/>
          <w:lang w:eastAsia="zh-TW"/>
        </w:rPr>
        <w:t>.</w:t>
      </w:r>
    </w:p>
    <w:p w14:paraId="624B9ABD" w14:textId="395C029B" w:rsidR="005742FD" w:rsidRDefault="005742FD" w:rsidP="00957AD2">
      <w:pPr>
        <w:pStyle w:val="Refs"/>
        <w:ind w:left="360" w:hanging="360"/>
        <w:rPr>
          <w:szCs w:val="22"/>
          <w:lang w:eastAsia="zh-TW"/>
        </w:rPr>
      </w:pPr>
      <w:r w:rsidRPr="00976056">
        <w:rPr>
          <w:szCs w:val="22"/>
          <w:lang w:eastAsia="zh-TW"/>
        </w:rPr>
        <w:t xml:space="preserve">Naz, B. S., S.-C. Kao, M. Ashfaq, H. Gao, D. Rastogi, and S. Gangrade (2018), Effects of Climate Change on Streamflow Extremes and Implications for Reservoir Inflow in the United States, </w:t>
      </w:r>
      <w:r w:rsidRPr="00976056">
        <w:rPr>
          <w:i/>
          <w:iCs/>
          <w:szCs w:val="22"/>
          <w:lang w:eastAsia="zh-TW"/>
        </w:rPr>
        <w:t>J. Hydrol.</w:t>
      </w:r>
      <w:r w:rsidRPr="00976056">
        <w:rPr>
          <w:szCs w:val="22"/>
          <w:lang w:eastAsia="zh-TW"/>
        </w:rPr>
        <w:t xml:space="preserve">, </w:t>
      </w:r>
      <w:r w:rsidRPr="00976056">
        <w:rPr>
          <w:i/>
          <w:iCs/>
          <w:szCs w:val="22"/>
          <w:lang w:eastAsia="zh-TW"/>
        </w:rPr>
        <w:t>556</w:t>
      </w:r>
      <w:r w:rsidRPr="00976056">
        <w:rPr>
          <w:szCs w:val="22"/>
          <w:lang w:eastAsia="zh-TW"/>
        </w:rPr>
        <w:t xml:space="preserve">, 359–370, </w:t>
      </w:r>
      <w:hyperlink r:id="rId375" w:history="1">
        <w:r w:rsidR="007C01B6" w:rsidRPr="00E00258">
          <w:rPr>
            <w:rStyle w:val="Hyperlink"/>
            <w:szCs w:val="22"/>
            <w:lang w:eastAsia="zh-TW"/>
          </w:rPr>
          <w:t>https://doi.org/10.1016/j.jhydrol.2017.11.027</w:t>
        </w:r>
      </w:hyperlink>
      <w:r w:rsidRPr="00976056">
        <w:rPr>
          <w:szCs w:val="22"/>
          <w:lang w:eastAsia="zh-TW"/>
        </w:rPr>
        <w:t>.</w:t>
      </w:r>
    </w:p>
    <w:p w14:paraId="3F94EF6E" w14:textId="36DBFF7B" w:rsidR="00012A89" w:rsidRPr="00976056" w:rsidRDefault="00012A89" w:rsidP="00957AD2">
      <w:pPr>
        <w:pStyle w:val="Refs"/>
        <w:ind w:left="360" w:hanging="360"/>
        <w:rPr>
          <w:szCs w:val="22"/>
          <w:lang w:eastAsia="zh-TW"/>
        </w:rPr>
      </w:pPr>
      <w:r w:rsidRPr="00012A89">
        <w:rPr>
          <w:szCs w:val="22"/>
          <w:lang w:eastAsia="zh-TW"/>
        </w:rPr>
        <w:t xml:space="preserve">Newman, A. J., </w:t>
      </w:r>
      <w:r>
        <w:rPr>
          <w:szCs w:val="22"/>
          <w:lang w:eastAsia="zh-TW"/>
        </w:rPr>
        <w:t xml:space="preserve">N. </w:t>
      </w:r>
      <w:r w:rsidRPr="00012A89">
        <w:rPr>
          <w:szCs w:val="22"/>
          <w:lang w:eastAsia="zh-TW"/>
        </w:rPr>
        <w:t xml:space="preserve">Mizukami, </w:t>
      </w:r>
      <w:r>
        <w:rPr>
          <w:szCs w:val="22"/>
          <w:lang w:eastAsia="zh-TW"/>
        </w:rPr>
        <w:t>M. P.</w:t>
      </w:r>
      <w:r w:rsidRPr="00012A89">
        <w:rPr>
          <w:szCs w:val="22"/>
          <w:lang w:eastAsia="zh-TW"/>
        </w:rPr>
        <w:t xml:space="preserve"> Clark, </w:t>
      </w:r>
      <w:r>
        <w:rPr>
          <w:szCs w:val="22"/>
          <w:lang w:eastAsia="zh-TW"/>
        </w:rPr>
        <w:t>A.</w:t>
      </w:r>
      <w:r w:rsidRPr="00012A89">
        <w:rPr>
          <w:szCs w:val="22"/>
          <w:lang w:eastAsia="zh-TW"/>
        </w:rPr>
        <w:t xml:space="preserve"> </w:t>
      </w:r>
      <w:r>
        <w:rPr>
          <w:szCs w:val="22"/>
          <w:lang w:eastAsia="zh-TW"/>
        </w:rPr>
        <w:t xml:space="preserve">W. </w:t>
      </w:r>
      <w:r w:rsidRPr="00012A89">
        <w:rPr>
          <w:szCs w:val="22"/>
          <w:lang w:eastAsia="zh-TW"/>
        </w:rPr>
        <w:t xml:space="preserve">Wood, </w:t>
      </w:r>
      <w:r>
        <w:rPr>
          <w:szCs w:val="22"/>
          <w:lang w:eastAsia="zh-TW"/>
        </w:rPr>
        <w:t>B.</w:t>
      </w:r>
      <w:r w:rsidRPr="00012A89">
        <w:rPr>
          <w:szCs w:val="22"/>
          <w:lang w:eastAsia="zh-TW"/>
        </w:rPr>
        <w:t xml:space="preserve"> Nijssen, </w:t>
      </w:r>
      <w:r>
        <w:rPr>
          <w:szCs w:val="22"/>
          <w:lang w:eastAsia="zh-TW"/>
        </w:rPr>
        <w:t>and</w:t>
      </w:r>
      <w:r w:rsidRPr="00012A89">
        <w:rPr>
          <w:szCs w:val="22"/>
          <w:lang w:eastAsia="zh-TW"/>
        </w:rPr>
        <w:t xml:space="preserve"> </w:t>
      </w:r>
      <w:r>
        <w:rPr>
          <w:szCs w:val="22"/>
          <w:lang w:eastAsia="zh-TW"/>
        </w:rPr>
        <w:t xml:space="preserve">G. </w:t>
      </w:r>
      <w:r w:rsidRPr="00012A89">
        <w:rPr>
          <w:szCs w:val="22"/>
          <w:lang w:eastAsia="zh-TW"/>
        </w:rPr>
        <w:t>Nearing (2017)</w:t>
      </w:r>
      <w:r>
        <w:rPr>
          <w:szCs w:val="22"/>
          <w:lang w:eastAsia="zh-TW"/>
        </w:rPr>
        <w:t>,</w:t>
      </w:r>
      <w:r w:rsidRPr="00012A89">
        <w:rPr>
          <w:szCs w:val="22"/>
          <w:lang w:eastAsia="zh-TW"/>
        </w:rPr>
        <w:t xml:space="preserve"> Benchmarking of </w:t>
      </w:r>
      <w:r>
        <w:rPr>
          <w:szCs w:val="22"/>
          <w:lang w:eastAsia="zh-TW"/>
        </w:rPr>
        <w:t>A</w:t>
      </w:r>
      <w:r w:rsidRPr="00012A89">
        <w:rPr>
          <w:szCs w:val="22"/>
          <w:lang w:eastAsia="zh-TW"/>
        </w:rPr>
        <w:t xml:space="preserve"> Physically Based Hydrologic Model</w:t>
      </w:r>
      <w:r>
        <w:rPr>
          <w:szCs w:val="22"/>
          <w:lang w:eastAsia="zh-TW"/>
        </w:rPr>
        <w:t>,</w:t>
      </w:r>
      <w:r w:rsidRPr="00012A89">
        <w:rPr>
          <w:szCs w:val="22"/>
          <w:lang w:eastAsia="zh-TW"/>
        </w:rPr>
        <w:t xml:space="preserve"> </w:t>
      </w:r>
      <w:r w:rsidRPr="00012A89">
        <w:rPr>
          <w:i/>
          <w:iCs/>
          <w:szCs w:val="22"/>
          <w:lang w:eastAsia="zh-TW"/>
        </w:rPr>
        <w:t>J. Hydrometeorol.</w:t>
      </w:r>
      <w:r w:rsidRPr="00012A89">
        <w:rPr>
          <w:szCs w:val="22"/>
          <w:lang w:eastAsia="zh-TW"/>
        </w:rPr>
        <w:t xml:space="preserve">, </w:t>
      </w:r>
      <w:r w:rsidRPr="00012A89">
        <w:rPr>
          <w:i/>
          <w:iCs/>
          <w:szCs w:val="22"/>
          <w:lang w:eastAsia="zh-TW"/>
        </w:rPr>
        <w:t>18</w:t>
      </w:r>
      <w:r w:rsidRPr="00012A89">
        <w:rPr>
          <w:szCs w:val="22"/>
          <w:lang w:eastAsia="zh-TW"/>
        </w:rPr>
        <w:t>(8), 2215</w:t>
      </w:r>
      <w:r>
        <w:rPr>
          <w:szCs w:val="22"/>
          <w:lang w:eastAsia="zh-TW"/>
        </w:rPr>
        <w:t>–</w:t>
      </w:r>
      <w:r w:rsidRPr="00012A89">
        <w:rPr>
          <w:szCs w:val="22"/>
          <w:lang w:eastAsia="zh-TW"/>
        </w:rPr>
        <w:t>2225</w:t>
      </w:r>
      <w:r>
        <w:rPr>
          <w:szCs w:val="22"/>
          <w:lang w:eastAsia="zh-TW"/>
        </w:rPr>
        <w:t xml:space="preserve">, </w:t>
      </w:r>
      <w:hyperlink r:id="rId376" w:history="1">
        <w:r w:rsidR="007C01B6" w:rsidRPr="00E00258">
          <w:rPr>
            <w:rStyle w:val="Hyperlink"/>
            <w:szCs w:val="22"/>
            <w:lang w:eastAsia="zh-TW"/>
          </w:rPr>
          <w:t>https://doi.org/10.1175/JHM-D-16-0284.1</w:t>
        </w:r>
      </w:hyperlink>
      <w:r>
        <w:rPr>
          <w:szCs w:val="22"/>
          <w:lang w:eastAsia="zh-TW"/>
        </w:rPr>
        <w:t>.</w:t>
      </w:r>
    </w:p>
    <w:p w14:paraId="097C42C5" w14:textId="0AD00958" w:rsidR="005742FD" w:rsidRPr="00976056" w:rsidRDefault="005742FD" w:rsidP="00957AD2">
      <w:pPr>
        <w:pStyle w:val="Refs"/>
        <w:ind w:left="360" w:hanging="360"/>
        <w:rPr>
          <w:szCs w:val="22"/>
          <w:lang w:eastAsia="zh-TW"/>
        </w:rPr>
      </w:pPr>
      <w:r w:rsidRPr="00976056">
        <w:rPr>
          <w:szCs w:val="22"/>
          <w:lang w:eastAsia="zh-TW"/>
        </w:rPr>
        <w:t xml:space="preserve">Nikulin, G., S. Asharaf, M. E. Magariño, S. Calmanti, R. M. Cardoso, J. Bhend, J. Fernández, M. D. Frías, K. Fröhlich, B. Früh, S. H. García, R. Manzanas, J. M. Gutiérrez, U. Hansson, M. Kolax, M. A. Liniger, P. M. M.Soares, C. Spirig, R. Tome, and K. Wyser (2018), Dynamical and Statistical Downscaling of a Global Seasonal Hindcast in Eastern Africa, </w:t>
      </w:r>
      <w:r w:rsidRPr="00976056">
        <w:rPr>
          <w:i/>
          <w:iCs/>
          <w:szCs w:val="22"/>
          <w:lang w:eastAsia="zh-TW"/>
        </w:rPr>
        <w:t>Climate Services</w:t>
      </w:r>
      <w:r w:rsidRPr="00976056">
        <w:rPr>
          <w:szCs w:val="22"/>
          <w:lang w:eastAsia="zh-TW"/>
        </w:rPr>
        <w:t xml:space="preserve">, </w:t>
      </w:r>
      <w:r w:rsidRPr="00976056">
        <w:rPr>
          <w:i/>
          <w:iCs/>
          <w:szCs w:val="22"/>
          <w:lang w:eastAsia="zh-TW"/>
        </w:rPr>
        <w:t>9</w:t>
      </w:r>
      <w:r w:rsidRPr="00976056">
        <w:rPr>
          <w:szCs w:val="22"/>
          <w:lang w:eastAsia="zh-TW"/>
        </w:rPr>
        <w:t xml:space="preserve">, 72–85, </w:t>
      </w:r>
      <w:hyperlink r:id="rId377" w:history="1">
        <w:r w:rsidR="007C01B6" w:rsidRPr="00E00258">
          <w:rPr>
            <w:rStyle w:val="Hyperlink"/>
            <w:szCs w:val="22"/>
            <w:lang w:eastAsia="zh-TW"/>
          </w:rPr>
          <w:t>https://doi.org/10.1016/j.cliser.2017.11.003</w:t>
        </w:r>
      </w:hyperlink>
      <w:r w:rsidRPr="00976056">
        <w:rPr>
          <w:szCs w:val="22"/>
          <w:lang w:eastAsia="zh-TW"/>
        </w:rPr>
        <w:t>.</w:t>
      </w:r>
    </w:p>
    <w:p w14:paraId="7F1A2793" w14:textId="348B0C78" w:rsidR="005742FD" w:rsidRPr="00976056" w:rsidRDefault="005742FD" w:rsidP="00957AD2">
      <w:pPr>
        <w:pStyle w:val="Refs"/>
        <w:ind w:left="360" w:hanging="360"/>
        <w:rPr>
          <w:szCs w:val="22"/>
          <w:lang w:eastAsia="zh-TW"/>
        </w:rPr>
      </w:pPr>
      <w:r w:rsidRPr="00976056">
        <w:rPr>
          <w:szCs w:val="22"/>
          <w:lang w:eastAsia="zh-TW"/>
        </w:rPr>
        <w:t>O</w:t>
      </w:r>
      <w:r w:rsidR="00805545">
        <w:rPr>
          <w:szCs w:val="22"/>
          <w:lang w:eastAsia="zh-TW"/>
        </w:rPr>
        <w:t>’</w:t>
      </w:r>
      <w:r w:rsidRPr="00976056">
        <w:rPr>
          <w:szCs w:val="22"/>
          <w:lang w:eastAsia="zh-TW"/>
        </w:rPr>
        <w:t xml:space="preserve">Neill, B. C., C. Tebaldi, D. P. van Vuuren, V. Eyring, P. Friedlingstein, G. Hurtt, R. Knutti, E. Kriegler, J.-F. Lamarque, J. Lowe, G. A. Meehl, R. Moss, K. Riahi, and B. M. Sanderson (2016), The Scenario Model Intercomparison Project (ScenarioMIP) for CMIP6, </w:t>
      </w:r>
      <w:r w:rsidRPr="00976056">
        <w:rPr>
          <w:i/>
          <w:iCs/>
          <w:szCs w:val="22"/>
          <w:lang w:eastAsia="zh-TW"/>
        </w:rPr>
        <w:t>Geosci. Model Dev.</w:t>
      </w:r>
      <w:r w:rsidRPr="00976056">
        <w:rPr>
          <w:szCs w:val="22"/>
          <w:lang w:eastAsia="zh-TW"/>
        </w:rPr>
        <w:t xml:space="preserve">, </w:t>
      </w:r>
      <w:r w:rsidRPr="00976056">
        <w:rPr>
          <w:i/>
          <w:iCs/>
          <w:szCs w:val="22"/>
          <w:lang w:eastAsia="zh-TW"/>
        </w:rPr>
        <w:t>9</w:t>
      </w:r>
      <w:r w:rsidRPr="00976056">
        <w:rPr>
          <w:szCs w:val="22"/>
          <w:lang w:eastAsia="zh-TW"/>
        </w:rPr>
        <w:t xml:space="preserve">, 3461–3482, </w:t>
      </w:r>
      <w:hyperlink r:id="rId378" w:history="1">
        <w:r w:rsidR="007C01B6" w:rsidRPr="00E00258">
          <w:rPr>
            <w:rStyle w:val="Hyperlink"/>
            <w:szCs w:val="22"/>
            <w:lang w:eastAsia="zh-TW"/>
          </w:rPr>
          <w:t>https://doi.org/10.5194/gmd-9-3461-2016</w:t>
        </w:r>
      </w:hyperlink>
      <w:r w:rsidRPr="00976056">
        <w:rPr>
          <w:szCs w:val="22"/>
          <w:lang w:eastAsia="zh-TW"/>
        </w:rPr>
        <w:t>.</w:t>
      </w:r>
    </w:p>
    <w:p w14:paraId="296D3275" w14:textId="4B062429" w:rsidR="005742FD" w:rsidRPr="00976056" w:rsidRDefault="005742FD" w:rsidP="00957AD2">
      <w:pPr>
        <w:pStyle w:val="Refs"/>
        <w:ind w:left="360" w:hanging="360"/>
        <w:rPr>
          <w:szCs w:val="22"/>
          <w:lang w:eastAsia="zh-TW"/>
        </w:rPr>
      </w:pPr>
      <w:r w:rsidRPr="00976056">
        <w:rPr>
          <w:szCs w:val="22"/>
          <w:lang w:eastAsia="zh-TW"/>
        </w:rPr>
        <w:t xml:space="preserve">Oubeidillah, A. A., S.-C. Kao, M. Ashfaq, B. S. Naz, and G. Tootle (2014), A Large-Scale, High-Resolution Hydrological Model Parameter Data Set for Climate Change Impact Assessment for the Conterminous US, </w:t>
      </w:r>
      <w:r w:rsidRPr="00976056">
        <w:rPr>
          <w:i/>
          <w:iCs/>
          <w:szCs w:val="22"/>
          <w:lang w:eastAsia="zh-TW"/>
        </w:rPr>
        <w:t>Hydrol. Earth Syst. Sci.</w:t>
      </w:r>
      <w:r w:rsidRPr="00976056">
        <w:rPr>
          <w:szCs w:val="22"/>
          <w:lang w:eastAsia="zh-TW"/>
        </w:rPr>
        <w:t xml:space="preserve">, </w:t>
      </w:r>
      <w:r w:rsidRPr="00976056">
        <w:rPr>
          <w:i/>
          <w:iCs/>
          <w:szCs w:val="22"/>
          <w:lang w:eastAsia="zh-TW"/>
        </w:rPr>
        <w:t>18</w:t>
      </w:r>
      <w:r w:rsidRPr="00976056">
        <w:rPr>
          <w:szCs w:val="22"/>
          <w:lang w:eastAsia="zh-TW"/>
        </w:rPr>
        <w:t xml:space="preserve">, 67–84, </w:t>
      </w:r>
      <w:hyperlink r:id="rId379" w:history="1">
        <w:r w:rsidR="007C01B6" w:rsidRPr="00E00258">
          <w:rPr>
            <w:rStyle w:val="Hyperlink"/>
            <w:szCs w:val="22"/>
            <w:lang w:eastAsia="zh-TW"/>
          </w:rPr>
          <w:t>https://doi.org/10.5194/hess-18-67-2014</w:t>
        </w:r>
      </w:hyperlink>
      <w:r w:rsidRPr="00976056">
        <w:rPr>
          <w:szCs w:val="22"/>
          <w:lang w:eastAsia="zh-TW"/>
        </w:rPr>
        <w:t>.</w:t>
      </w:r>
    </w:p>
    <w:p w14:paraId="5D357650" w14:textId="486D78EA" w:rsidR="005742FD" w:rsidRPr="00976056" w:rsidRDefault="005742FD" w:rsidP="00957AD2">
      <w:pPr>
        <w:pStyle w:val="Refs"/>
        <w:ind w:left="360" w:hanging="360"/>
        <w:rPr>
          <w:szCs w:val="22"/>
          <w:lang w:eastAsia="zh-TW"/>
        </w:rPr>
      </w:pPr>
      <w:r w:rsidRPr="00976056">
        <w:rPr>
          <w:szCs w:val="22"/>
          <w:lang w:eastAsia="zh-TW"/>
        </w:rPr>
        <w:t xml:space="preserve">Pal, J. S., E. E. Small, and E. A. B. Eltahir (2000), Simulation of Regional-scale Water and Energy Budgets: Representation of Subgrid Cloud and Precipitation Processes Within RegCM, </w:t>
      </w:r>
      <w:r w:rsidRPr="00976056">
        <w:rPr>
          <w:i/>
          <w:iCs/>
          <w:szCs w:val="22"/>
          <w:lang w:eastAsia="zh-TW"/>
        </w:rPr>
        <w:t>J. Geophys. Res.</w:t>
      </w:r>
      <w:r w:rsidRPr="00976056">
        <w:rPr>
          <w:szCs w:val="22"/>
          <w:lang w:eastAsia="zh-TW"/>
        </w:rPr>
        <w:t xml:space="preserve">, </w:t>
      </w:r>
      <w:r w:rsidRPr="00976056">
        <w:rPr>
          <w:i/>
          <w:iCs/>
          <w:szCs w:val="22"/>
          <w:lang w:eastAsia="zh-TW"/>
        </w:rPr>
        <w:t>105</w:t>
      </w:r>
      <w:r w:rsidRPr="00976056">
        <w:rPr>
          <w:szCs w:val="22"/>
          <w:lang w:eastAsia="zh-TW"/>
        </w:rPr>
        <w:t xml:space="preserve">, 29,579–29,594, </w:t>
      </w:r>
      <w:hyperlink r:id="rId380" w:history="1">
        <w:r w:rsidR="007C01B6" w:rsidRPr="00E00258">
          <w:rPr>
            <w:rStyle w:val="Hyperlink"/>
            <w:szCs w:val="22"/>
            <w:lang w:eastAsia="zh-TW"/>
          </w:rPr>
          <w:t>https://doi.org/10.1029/2000JD900415</w:t>
        </w:r>
      </w:hyperlink>
      <w:r w:rsidRPr="00976056">
        <w:rPr>
          <w:szCs w:val="22"/>
          <w:lang w:eastAsia="zh-TW"/>
        </w:rPr>
        <w:t>.</w:t>
      </w:r>
    </w:p>
    <w:p w14:paraId="6708C3A9" w14:textId="1257A94C" w:rsidR="005742FD" w:rsidRPr="00976056" w:rsidRDefault="005742FD" w:rsidP="00957AD2">
      <w:pPr>
        <w:pStyle w:val="Refs"/>
        <w:ind w:left="360" w:hanging="360"/>
        <w:rPr>
          <w:szCs w:val="22"/>
          <w:lang w:eastAsia="zh-TW"/>
        </w:rPr>
      </w:pPr>
      <w:r w:rsidRPr="00976056">
        <w:rPr>
          <w:szCs w:val="22"/>
          <w:lang w:eastAsia="zh-TW"/>
        </w:rPr>
        <w:lastRenderedPageBreak/>
        <w:t xml:space="preserve">Penman, H. L. (1948), Natural Evaporation from Open Water, Bare Soil and Grass, </w:t>
      </w:r>
      <w:r w:rsidRPr="00976056">
        <w:rPr>
          <w:i/>
          <w:iCs/>
          <w:szCs w:val="22"/>
          <w:lang w:eastAsia="zh-TW"/>
        </w:rPr>
        <w:t>Proceedings of the Royal Society of London. Series A. Mathematical and Physical Sciences</w:t>
      </w:r>
      <w:r w:rsidRPr="00976056">
        <w:rPr>
          <w:szCs w:val="22"/>
          <w:lang w:eastAsia="zh-TW"/>
        </w:rPr>
        <w:t xml:space="preserve">, </w:t>
      </w:r>
      <w:r w:rsidRPr="00976056">
        <w:rPr>
          <w:i/>
          <w:iCs/>
          <w:szCs w:val="22"/>
          <w:lang w:eastAsia="zh-TW"/>
        </w:rPr>
        <w:t>193</w:t>
      </w:r>
      <w:r w:rsidRPr="00976056">
        <w:rPr>
          <w:szCs w:val="22"/>
          <w:lang w:eastAsia="zh-TW"/>
        </w:rPr>
        <w:t xml:space="preserve">(1032), 120–145, </w:t>
      </w:r>
      <w:hyperlink r:id="rId381" w:history="1">
        <w:r w:rsidR="007C01B6" w:rsidRPr="00E00258">
          <w:rPr>
            <w:rStyle w:val="Hyperlink"/>
            <w:szCs w:val="22"/>
            <w:lang w:eastAsia="zh-TW"/>
          </w:rPr>
          <w:t>https://doi.org/10.1098/rspa.1948.0037</w:t>
        </w:r>
      </w:hyperlink>
      <w:r w:rsidRPr="00976056">
        <w:rPr>
          <w:szCs w:val="22"/>
          <w:lang w:eastAsia="zh-TW"/>
        </w:rPr>
        <w:t>.</w:t>
      </w:r>
    </w:p>
    <w:p w14:paraId="56471A1D" w14:textId="0D0BEEA6" w:rsidR="005742FD" w:rsidRPr="00976056" w:rsidRDefault="005742FD" w:rsidP="00957AD2">
      <w:pPr>
        <w:pStyle w:val="Refs"/>
        <w:ind w:left="360" w:hanging="360"/>
        <w:rPr>
          <w:szCs w:val="22"/>
          <w:lang w:eastAsia="zh-TW"/>
        </w:rPr>
      </w:pPr>
      <w:r w:rsidRPr="00976056">
        <w:rPr>
          <w:szCs w:val="22"/>
          <w:lang w:eastAsia="zh-TW"/>
        </w:rPr>
        <w:t xml:space="preserve">Persad, G. G., D. L. Swain, C. Kouba, and J. P. Ortiz-Partida (2020), Inter-model Agreement on Projected Shifts in California Hydroclimate Characteristics Critical to Water Management, </w:t>
      </w:r>
      <w:r w:rsidRPr="00976056">
        <w:rPr>
          <w:i/>
          <w:iCs/>
          <w:szCs w:val="22"/>
          <w:lang w:eastAsia="zh-TW"/>
        </w:rPr>
        <w:t>Climatic Change</w:t>
      </w:r>
      <w:r w:rsidRPr="00976056">
        <w:rPr>
          <w:szCs w:val="22"/>
          <w:lang w:eastAsia="zh-TW"/>
        </w:rPr>
        <w:t xml:space="preserve">, </w:t>
      </w:r>
      <w:r w:rsidRPr="00976056">
        <w:rPr>
          <w:i/>
          <w:iCs/>
          <w:szCs w:val="22"/>
          <w:lang w:eastAsia="zh-TW"/>
        </w:rPr>
        <w:t>162</w:t>
      </w:r>
      <w:r w:rsidRPr="00976056">
        <w:rPr>
          <w:szCs w:val="22"/>
          <w:lang w:eastAsia="zh-TW"/>
        </w:rPr>
        <w:t xml:space="preserve">, 1493–1513, </w:t>
      </w:r>
      <w:hyperlink r:id="rId382" w:history="1">
        <w:r w:rsidR="007C01B6" w:rsidRPr="00E00258">
          <w:rPr>
            <w:rStyle w:val="Hyperlink"/>
            <w:szCs w:val="22"/>
            <w:lang w:eastAsia="zh-TW"/>
          </w:rPr>
          <w:t>https://doi.org/10.1007/s10584-020-02882-4</w:t>
        </w:r>
      </w:hyperlink>
      <w:r w:rsidRPr="00976056">
        <w:rPr>
          <w:szCs w:val="22"/>
          <w:lang w:eastAsia="zh-TW"/>
        </w:rPr>
        <w:t>.</w:t>
      </w:r>
    </w:p>
    <w:p w14:paraId="00C19DB6" w14:textId="588AA047" w:rsidR="005742FD" w:rsidRPr="00976056" w:rsidRDefault="005742FD" w:rsidP="00957AD2">
      <w:pPr>
        <w:pStyle w:val="Refs"/>
        <w:ind w:left="360" w:hanging="360"/>
        <w:rPr>
          <w:szCs w:val="22"/>
          <w:lang w:eastAsia="zh-TW"/>
        </w:rPr>
      </w:pPr>
      <w:r w:rsidRPr="00976056">
        <w:rPr>
          <w:szCs w:val="22"/>
          <w:lang w:eastAsia="zh-TW"/>
        </w:rPr>
        <w:t xml:space="preserve">Pierce, D. W., D. R. Cayan, and B. L. Thrasher (2014), Statistical Downscaling Using Localized Constructed Analogs (LOCA), </w:t>
      </w:r>
      <w:r w:rsidRPr="00976056">
        <w:rPr>
          <w:i/>
          <w:iCs/>
          <w:szCs w:val="22"/>
          <w:lang w:eastAsia="zh-TW"/>
        </w:rPr>
        <w:t>J. Hydrometeor.</w:t>
      </w:r>
      <w:r w:rsidRPr="00976056">
        <w:rPr>
          <w:szCs w:val="22"/>
          <w:lang w:eastAsia="zh-TW"/>
        </w:rPr>
        <w:t xml:space="preserve">, </w:t>
      </w:r>
      <w:r w:rsidRPr="00976056">
        <w:rPr>
          <w:i/>
          <w:iCs/>
          <w:szCs w:val="22"/>
          <w:lang w:eastAsia="zh-TW"/>
        </w:rPr>
        <w:t>15</w:t>
      </w:r>
      <w:r w:rsidRPr="00976056">
        <w:rPr>
          <w:szCs w:val="22"/>
          <w:lang w:eastAsia="zh-TW"/>
        </w:rPr>
        <w:t xml:space="preserve">, 2558–2585, </w:t>
      </w:r>
      <w:hyperlink r:id="rId383" w:history="1">
        <w:r w:rsidR="007C01B6" w:rsidRPr="00E00258">
          <w:rPr>
            <w:rStyle w:val="Hyperlink"/>
            <w:szCs w:val="22"/>
            <w:lang w:eastAsia="zh-TW"/>
          </w:rPr>
          <w:t>https://doi.org/10.1175/JHM-D-14-0082.1</w:t>
        </w:r>
      </w:hyperlink>
      <w:r w:rsidRPr="00976056">
        <w:rPr>
          <w:szCs w:val="22"/>
          <w:lang w:eastAsia="zh-TW"/>
        </w:rPr>
        <w:t>.</w:t>
      </w:r>
    </w:p>
    <w:p w14:paraId="1ECBF40F" w14:textId="4C16DB6B" w:rsidR="005742FD" w:rsidRPr="00976056" w:rsidRDefault="005742FD" w:rsidP="00957AD2">
      <w:pPr>
        <w:pStyle w:val="Refs"/>
        <w:ind w:left="360" w:hanging="360"/>
        <w:rPr>
          <w:szCs w:val="22"/>
          <w:lang w:eastAsia="zh-TW"/>
        </w:rPr>
      </w:pPr>
      <w:r w:rsidRPr="00976056">
        <w:rPr>
          <w:szCs w:val="22"/>
          <w:lang w:eastAsia="zh-TW"/>
        </w:rPr>
        <w:t xml:space="preserve">Pierce, D. W., L. Su, D. R. Cayan, M. D. Risser, B. Livneh, and D. P. Lettenmaier (2021), An Extreme-preserving Long-term Gridded Daily Precipitation Data Set for the Conterminous United States, </w:t>
      </w:r>
      <w:r w:rsidRPr="00976056">
        <w:rPr>
          <w:i/>
          <w:iCs/>
          <w:szCs w:val="22"/>
          <w:lang w:eastAsia="zh-TW"/>
        </w:rPr>
        <w:t>J. Hydrometeor.</w:t>
      </w:r>
      <w:r w:rsidRPr="00976056">
        <w:rPr>
          <w:szCs w:val="22"/>
          <w:lang w:eastAsia="zh-TW"/>
        </w:rPr>
        <w:t xml:space="preserve">, </w:t>
      </w:r>
      <w:r w:rsidRPr="00976056">
        <w:rPr>
          <w:i/>
          <w:iCs/>
          <w:szCs w:val="22"/>
          <w:lang w:eastAsia="zh-TW"/>
        </w:rPr>
        <w:t>22</w:t>
      </w:r>
      <w:r w:rsidRPr="00976056">
        <w:rPr>
          <w:szCs w:val="22"/>
          <w:lang w:eastAsia="zh-TW"/>
        </w:rPr>
        <w:t xml:space="preserve">(7), 1883–1895, </w:t>
      </w:r>
      <w:hyperlink r:id="rId384" w:history="1">
        <w:r w:rsidR="007C01B6" w:rsidRPr="00E00258">
          <w:rPr>
            <w:rStyle w:val="Hyperlink"/>
            <w:szCs w:val="22"/>
            <w:lang w:eastAsia="zh-TW"/>
          </w:rPr>
          <w:t>https://doi.org/10.1175/JHM-D-20-0212.1</w:t>
        </w:r>
      </w:hyperlink>
      <w:r w:rsidRPr="00976056">
        <w:rPr>
          <w:szCs w:val="22"/>
          <w:lang w:eastAsia="zh-TW"/>
        </w:rPr>
        <w:t>.</w:t>
      </w:r>
    </w:p>
    <w:p w14:paraId="115EABFC" w14:textId="59814E30" w:rsidR="005742FD" w:rsidRPr="00976056" w:rsidRDefault="005742FD" w:rsidP="00723468">
      <w:pPr>
        <w:pStyle w:val="Refs"/>
        <w:ind w:left="360" w:hanging="360"/>
        <w:rPr>
          <w:szCs w:val="22"/>
          <w:lang w:eastAsia="zh-TW"/>
        </w:rPr>
      </w:pPr>
      <w:r w:rsidRPr="00976056">
        <w:rPr>
          <w:szCs w:val="22"/>
          <w:lang w:eastAsia="zh-TW"/>
        </w:rPr>
        <w:t xml:space="preserve">Pytlak, E., C. Frans, K. Duffy, J. Johnson, B. Nijssen, O. Chegwidden, and D. Rupp (2018), </w:t>
      </w:r>
      <w:r w:rsidRPr="00976056">
        <w:rPr>
          <w:i/>
          <w:iCs/>
          <w:szCs w:val="22"/>
          <w:lang w:eastAsia="zh-TW"/>
        </w:rPr>
        <w:t>Climate and Hydrology</w:t>
      </w:r>
      <w:r w:rsidR="00D64187">
        <w:rPr>
          <w:i/>
          <w:iCs/>
          <w:szCs w:val="22"/>
          <w:lang w:eastAsia="zh-TW"/>
        </w:rPr>
        <w:t xml:space="preserve"> </w:t>
      </w:r>
      <w:r w:rsidR="005606E5">
        <w:rPr>
          <w:i/>
          <w:iCs/>
          <w:szCs w:val="22"/>
          <w:lang w:eastAsia="zh-TW"/>
        </w:rPr>
        <w:t>data sets</w:t>
      </w:r>
      <w:r w:rsidR="00D64187">
        <w:rPr>
          <w:i/>
          <w:iCs/>
          <w:szCs w:val="22"/>
          <w:lang w:eastAsia="zh-TW"/>
        </w:rPr>
        <w:t xml:space="preserve"> </w:t>
      </w:r>
      <w:r w:rsidRPr="00976056">
        <w:rPr>
          <w:i/>
          <w:iCs/>
          <w:szCs w:val="22"/>
          <w:lang w:eastAsia="zh-TW"/>
        </w:rPr>
        <w:t>for RMJOC Long-Term Planning Studies: Second Edition (RMJOC-II), Part I: Hydroclimate Projections and Analyses</w:t>
      </w:r>
      <w:r w:rsidRPr="00976056">
        <w:rPr>
          <w:szCs w:val="22"/>
          <w:lang w:eastAsia="zh-TW"/>
        </w:rPr>
        <w:t>, River Management Joint Operating Committee (RMJOC): Bonneville Power Administration, US Army Corps of Engineers, and US Bureau of Reclamation.</w:t>
      </w:r>
    </w:p>
    <w:p w14:paraId="77F89AED" w14:textId="3EA00F0C" w:rsidR="005742FD" w:rsidRDefault="005742FD" w:rsidP="00705CD5">
      <w:pPr>
        <w:pStyle w:val="Refs"/>
        <w:ind w:left="360" w:hanging="360"/>
        <w:rPr>
          <w:szCs w:val="22"/>
          <w:lang w:eastAsia="zh-TW"/>
        </w:rPr>
      </w:pPr>
      <w:r w:rsidRPr="00976056">
        <w:rPr>
          <w:szCs w:val="22"/>
          <w:lang w:eastAsia="zh-TW"/>
        </w:rPr>
        <w:t xml:space="preserve">Queen, L. E., P. W. Mote, D. E. Rupp, O. Chegwidden, and B. Nijssen (2021), Ubiquitous Increases in Flood Magnitude in the Columbia River Basin under Climate Change, </w:t>
      </w:r>
      <w:r w:rsidRPr="00976056">
        <w:rPr>
          <w:i/>
          <w:iCs/>
          <w:szCs w:val="22"/>
          <w:lang w:eastAsia="zh-TW"/>
        </w:rPr>
        <w:t>Hydrol. Earth Syst. Sci</w:t>
      </w:r>
      <w:r w:rsidRPr="00976056">
        <w:rPr>
          <w:szCs w:val="22"/>
          <w:lang w:eastAsia="zh-TW"/>
        </w:rPr>
        <w:t xml:space="preserve">., </w:t>
      </w:r>
      <w:r w:rsidRPr="00976056">
        <w:rPr>
          <w:i/>
          <w:iCs/>
          <w:szCs w:val="22"/>
          <w:lang w:eastAsia="zh-TW"/>
        </w:rPr>
        <w:t>25</w:t>
      </w:r>
      <w:r w:rsidRPr="00976056">
        <w:rPr>
          <w:szCs w:val="22"/>
          <w:lang w:eastAsia="zh-TW"/>
        </w:rPr>
        <w:t xml:space="preserve">(1), 257–272, </w:t>
      </w:r>
      <w:hyperlink r:id="rId385" w:history="1">
        <w:r w:rsidR="007C01B6" w:rsidRPr="00E00258">
          <w:rPr>
            <w:rStyle w:val="Hyperlink"/>
            <w:szCs w:val="22"/>
            <w:lang w:eastAsia="zh-TW"/>
          </w:rPr>
          <w:t>https://doi.org/10.5194/hess-25-257-2021</w:t>
        </w:r>
      </w:hyperlink>
      <w:r w:rsidRPr="00976056">
        <w:rPr>
          <w:szCs w:val="22"/>
          <w:lang w:eastAsia="zh-TW"/>
        </w:rPr>
        <w:t>.</w:t>
      </w:r>
    </w:p>
    <w:p w14:paraId="26BFD4D9" w14:textId="67DBD8B8" w:rsidR="00345EDC" w:rsidRDefault="00345EDC" w:rsidP="00705CD5">
      <w:pPr>
        <w:pStyle w:val="Refs"/>
        <w:ind w:left="360" w:hanging="360"/>
        <w:rPr>
          <w:szCs w:val="22"/>
          <w:lang w:eastAsia="zh-TW"/>
        </w:rPr>
      </w:pPr>
      <w:r w:rsidRPr="00345EDC">
        <w:rPr>
          <w:szCs w:val="22"/>
          <w:lang w:eastAsia="zh-TW"/>
        </w:rPr>
        <w:t xml:space="preserve">Rastogi, D., S.-C. Kao, and M. Ashfaq (2022), How May the Choice of Downscaling Techniques and Meteorological Reference Observations Affect Future Hydroclimate Projections?, </w:t>
      </w:r>
      <w:r w:rsidRPr="005A182A">
        <w:rPr>
          <w:i/>
          <w:iCs/>
          <w:szCs w:val="22"/>
          <w:lang w:eastAsia="zh-TW"/>
        </w:rPr>
        <w:t>Earth's Future</w:t>
      </w:r>
      <w:r w:rsidRPr="00345EDC">
        <w:rPr>
          <w:szCs w:val="22"/>
          <w:lang w:eastAsia="zh-TW"/>
        </w:rPr>
        <w:t xml:space="preserve">, </w:t>
      </w:r>
      <w:r w:rsidRPr="005A182A">
        <w:rPr>
          <w:i/>
          <w:iCs/>
          <w:szCs w:val="22"/>
          <w:lang w:eastAsia="zh-TW"/>
        </w:rPr>
        <w:t>10</w:t>
      </w:r>
      <w:r w:rsidRPr="00345EDC">
        <w:rPr>
          <w:szCs w:val="22"/>
          <w:lang w:eastAsia="zh-TW"/>
        </w:rPr>
        <w:t xml:space="preserve">, e2022EF002734, </w:t>
      </w:r>
      <w:hyperlink r:id="rId386" w:history="1">
        <w:r w:rsidRPr="00E00258">
          <w:rPr>
            <w:rStyle w:val="Hyperlink"/>
            <w:szCs w:val="22"/>
            <w:lang w:eastAsia="zh-TW"/>
          </w:rPr>
          <w:t>https://doi.org/10.1029/2022EF002734</w:t>
        </w:r>
      </w:hyperlink>
      <w:r w:rsidRPr="00345EDC">
        <w:rPr>
          <w:szCs w:val="22"/>
          <w:lang w:eastAsia="zh-TW"/>
        </w:rPr>
        <w:t>.</w:t>
      </w:r>
    </w:p>
    <w:p w14:paraId="7B5B1D17" w14:textId="1F554EE1" w:rsidR="000B21CB" w:rsidRPr="00976056" w:rsidRDefault="000B21CB" w:rsidP="00705CD5">
      <w:pPr>
        <w:pStyle w:val="Refs"/>
        <w:ind w:left="360" w:hanging="360"/>
        <w:rPr>
          <w:szCs w:val="22"/>
          <w:lang w:eastAsia="zh-TW"/>
        </w:rPr>
      </w:pPr>
      <w:r w:rsidRPr="000B21CB">
        <w:rPr>
          <w:szCs w:val="22"/>
          <w:lang w:eastAsia="zh-TW"/>
        </w:rPr>
        <w:t xml:space="preserve">Reclamation (Bureau of Reclamation) </w:t>
      </w:r>
      <w:r>
        <w:rPr>
          <w:szCs w:val="22"/>
          <w:lang w:eastAsia="zh-TW"/>
        </w:rPr>
        <w:t>(</w:t>
      </w:r>
      <w:r w:rsidRPr="000B21CB">
        <w:rPr>
          <w:szCs w:val="22"/>
          <w:lang w:eastAsia="zh-TW"/>
        </w:rPr>
        <w:t>2021</w:t>
      </w:r>
      <w:r>
        <w:rPr>
          <w:szCs w:val="22"/>
          <w:lang w:eastAsia="zh-TW"/>
        </w:rPr>
        <w:t>),</w:t>
      </w:r>
      <w:r w:rsidRPr="000B21CB">
        <w:rPr>
          <w:szCs w:val="22"/>
          <w:lang w:eastAsia="zh-TW"/>
        </w:rPr>
        <w:t xml:space="preserve"> </w:t>
      </w:r>
      <w:r w:rsidRPr="000B21CB">
        <w:rPr>
          <w:i/>
          <w:iCs/>
          <w:szCs w:val="22"/>
          <w:lang w:eastAsia="zh-TW"/>
        </w:rPr>
        <w:t>Water Reliability in the West – 2021 SECURE Water Act Report. Prepared for the United States Congress</w:t>
      </w:r>
      <w:r>
        <w:rPr>
          <w:szCs w:val="22"/>
          <w:lang w:eastAsia="zh-TW"/>
        </w:rPr>
        <w:t>,</w:t>
      </w:r>
      <w:r w:rsidRPr="000B21CB">
        <w:rPr>
          <w:szCs w:val="22"/>
          <w:lang w:eastAsia="zh-TW"/>
        </w:rPr>
        <w:t xml:space="preserve"> Bureau of Reclamation, Water Resources and Planning Office</w:t>
      </w:r>
      <w:r>
        <w:rPr>
          <w:szCs w:val="22"/>
          <w:lang w:eastAsia="zh-TW"/>
        </w:rPr>
        <w:t>,</w:t>
      </w:r>
      <w:r w:rsidRPr="000B21CB">
        <w:rPr>
          <w:szCs w:val="22"/>
          <w:lang w:eastAsia="zh-TW"/>
        </w:rPr>
        <w:t xml:space="preserve"> Denver, </w:t>
      </w:r>
      <w:r>
        <w:rPr>
          <w:szCs w:val="22"/>
          <w:lang w:eastAsia="zh-TW"/>
        </w:rPr>
        <w:t>CO</w:t>
      </w:r>
      <w:r w:rsidRPr="000B21CB">
        <w:rPr>
          <w:szCs w:val="22"/>
          <w:lang w:eastAsia="zh-TW"/>
        </w:rPr>
        <w:t>.</w:t>
      </w:r>
    </w:p>
    <w:p w14:paraId="175C7D62" w14:textId="453194A7" w:rsidR="005742FD" w:rsidRDefault="005742FD" w:rsidP="00705CD5">
      <w:pPr>
        <w:pStyle w:val="Refs"/>
        <w:ind w:left="360" w:hanging="360"/>
        <w:rPr>
          <w:szCs w:val="22"/>
          <w:lang w:eastAsia="zh-TW"/>
        </w:rPr>
      </w:pPr>
      <w:r w:rsidRPr="00976056">
        <w:rPr>
          <w:szCs w:val="22"/>
          <w:lang w:eastAsia="zh-TW"/>
        </w:rPr>
        <w:t xml:space="preserve">Regan, R. S., K. E. Juracek, L. E. Hay, S. L. Markstrom, R. J. Viger, J. M. Driscoll, J. H. LaFontaine, and P. A. Norton (2019), The U. S. Geological Survey National Hydrologic Model Infrastructure: Rationale, Description, and Application of a Watershed-scale Model for the Conterminous United States, </w:t>
      </w:r>
      <w:r w:rsidRPr="00976056">
        <w:rPr>
          <w:i/>
          <w:iCs/>
          <w:szCs w:val="22"/>
          <w:lang w:eastAsia="zh-TW"/>
        </w:rPr>
        <w:t>Environ. Modell. Softw.</w:t>
      </w:r>
      <w:r w:rsidRPr="00976056">
        <w:rPr>
          <w:szCs w:val="22"/>
          <w:lang w:eastAsia="zh-TW"/>
        </w:rPr>
        <w:t xml:space="preserve">, </w:t>
      </w:r>
      <w:r w:rsidRPr="00976056">
        <w:rPr>
          <w:i/>
          <w:iCs/>
          <w:szCs w:val="22"/>
          <w:lang w:eastAsia="zh-TW"/>
        </w:rPr>
        <w:t>111</w:t>
      </w:r>
      <w:r w:rsidRPr="00976056">
        <w:rPr>
          <w:szCs w:val="22"/>
          <w:lang w:eastAsia="zh-TW"/>
        </w:rPr>
        <w:t xml:space="preserve">, 192–203, </w:t>
      </w:r>
      <w:hyperlink r:id="rId387" w:history="1">
        <w:r w:rsidR="007C01B6" w:rsidRPr="00E00258">
          <w:rPr>
            <w:rStyle w:val="Hyperlink"/>
            <w:szCs w:val="22"/>
            <w:lang w:eastAsia="zh-TW"/>
          </w:rPr>
          <w:t>https://doi.org/10.1016/j.envsoft.2018.09.023</w:t>
        </w:r>
      </w:hyperlink>
      <w:r w:rsidRPr="00976056">
        <w:rPr>
          <w:szCs w:val="22"/>
          <w:lang w:eastAsia="zh-TW"/>
        </w:rPr>
        <w:t>.</w:t>
      </w:r>
    </w:p>
    <w:p w14:paraId="5242DD76" w14:textId="44651C25" w:rsidR="005742FD" w:rsidRDefault="005742FD" w:rsidP="00705CD5">
      <w:pPr>
        <w:pStyle w:val="Refs"/>
        <w:ind w:left="360" w:hanging="360"/>
        <w:rPr>
          <w:szCs w:val="22"/>
          <w:lang w:eastAsia="zh-TW"/>
        </w:rPr>
      </w:pPr>
      <w:r w:rsidRPr="00976056">
        <w:rPr>
          <w:szCs w:val="22"/>
          <w:lang w:eastAsia="zh-TW"/>
        </w:rPr>
        <w:t>Rupp, D. E., J. T. Abatzoglou, K. C. Hegewisch, and P. W. Mote (2013), Evaluation of CMIP5 20</w:t>
      </w:r>
      <w:r w:rsidR="00FA458A" w:rsidRPr="00FA458A">
        <w:rPr>
          <w:szCs w:val="22"/>
          <w:lang w:eastAsia="zh-TW"/>
        </w:rPr>
        <w:t>th</w:t>
      </w:r>
      <w:r w:rsidR="00776855">
        <w:rPr>
          <w:szCs w:val="22"/>
          <w:lang w:eastAsia="zh-TW"/>
        </w:rPr>
        <w:t xml:space="preserve"> </w:t>
      </w:r>
      <w:r w:rsidRPr="00976056">
        <w:rPr>
          <w:szCs w:val="22"/>
          <w:lang w:eastAsia="zh-TW"/>
        </w:rPr>
        <w:t xml:space="preserve">Century Climate Simulations for the Pacific Northwest USA, </w:t>
      </w:r>
      <w:r w:rsidRPr="00976056">
        <w:rPr>
          <w:i/>
          <w:iCs/>
          <w:szCs w:val="22"/>
          <w:lang w:eastAsia="zh-TW"/>
        </w:rPr>
        <w:t>J. Geophys. Res.</w:t>
      </w:r>
      <w:r w:rsidRPr="00976056">
        <w:rPr>
          <w:szCs w:val="22"/>
          <w:lang w:eastAsia="zh-TW"/>
        </w:rPr>
        <w:t xml:space="preserve">, </w:t>
      </w:r>
      <w:r w:rsidRPr="00976056">
        <w:rPr>
          <w:i/>
          <w:iCs/>
          <w:szCs w:val="22"/>
          <w:lang w:eastAsia="zh-TW"/>
        </w:rPr>
        <w:t>118</w:t>
      </w:r>
      <w:r w:rsidRPr="00976056">
        <w:rPr>
          <w:szCs w:val="22"/>
          <w:lang w:eastAsia="zh-TW"/>
        </w:rPr>
        <w:t xml:space="preserve">, 10,884–10,906, </w:t>
      </w:r>
      <w:hyperlink r:id="rId388" w:history="1">
        <w:r w:rsidR="007C01B6" w:rsidRPr="00E00258">
          <w:rPr>
            <w:rStyle w:val="Hyperlink"/>
            <w:szCs w:val="22"/>
            <w:lang w:eastAsia="zh-TW"/>
          </w:rPr>
          <w:t>https://doi.org/10.1002/jgrd.50843</w:t>
        </w:r>
      </w:hyperlink>
      <w:r w:rsidRPr="00976056">
        <w:rPr>
          <w:szCs w:val="22"/>
          <w:lang w:eastAsia="zh-TW"/>
        </w:rPr>
        <w:t>.</w:t>
      </w:r>
    </w:p>
    <w:p w14:paraId="737483A9" w14:textId="2D607B59" w:rsidR="000E6283" w:rsidRPr="00976056" w:rsidRDefault="000E6283" w:rsidP="00705CD5">
      <w:pPr>
        <w:pStyle w:val="Refs"/>
        <w:ind w:left="360" w:hanging="360"/>
        <w:rPr>
          <w:szCs w:val="22"/>
          <w:lang w:eastAsia="zh-TW"/>
        </w:rPr>
      </w:pPr>
      <w:r w:rsidRPr="000E6283">
        <w:rPr>
          <w:szCs w:val="22"/>
          <w:lang w:eastAsia="zh-TW"/>
        </w:rPr>
        <w:t xml:space="preserve">Rupp, D. E., </w:t>
      </w:r>
      <w:r>
        <w:rPr>
          <w:szCs w:val="22"/>
          <w:lang w:eastAsia="zh-TW"/>
        </w:rPr>
        <w:t xml:space="preserve">J. T. </w:t>
      </w:r>
      <w:r w:rsidRPr="000E6283">
        <w:rPr>
          <w:szCs w:val="22"/>
          <w:lang w:eastAsia="zh-TW"/>
        </w:rPr>
        <w:t xml:space="preserve">Abatzoglou, </w:t>
      </w:r>
      <w:r>
        <w:rPr>
          <w:szCs w:val="22"/>
          <w:lang w:eastAsia="zh-TW"/>
        </w:rPr>
        <w:t>and P. W.</w:t>
      </w:r>
      <w:r w:rsidRPr="000E6283">
        <w:rPr>
          <w:szCs w:val="22"/>
          <w:lang w:eastAsia="zh-TW"/>
        </w:rPr>
        <w:t xml:space="preserve"> Mote (2017)</w:t>
      </w:r>
      <w:r>
        <w:rPr>
          <w:szCs w:val="22"/>
          <w:lang w:eastAsia="zh-TW"/>
        </w:rPr>
        <w:t>,</w:t>
      </w:r>
      <w:r w:rsidRPr="000E6283">
        <w:rPr>
          <w:szCs w:val="22"/>
          <w:lang w:eastAsia="zh-TW"/>
        </w:rPr>
        <w:t xml:space="preserve"> Projections of 21st </w:t>
      </w:r>
      <w:r>
        <w:rPr>
          <w:szCs w:val="22"/>
          <w:lang w:eastAsia="zh-TW"/>
        </w:rPr>
        <w:t>C</w:t>
      </w:r>
      <w:r w:rsidRPr="000E6283">
        <w:rPr>
          <w:szCs w:val="22"/>
          <w:lang w:eastAsia="zh-TW"/>
        </w:rPr>
        <w:t xml:space="preserve">entury </w:t>
      </w:r>
      <w:r>
        <w:rPr>
          <w:szCs w:val="22"/>
          <w:lang w:eastAsia="zh-TW"/>
        </w:rPr>
        <w:t>C</w:t>
      </w:r>
      <w:r w:rsidRPr="000E6283">
        <w:rPr>
          <w:szCs w:val="22"/>
          <w:lang w:eastAsia="zh-TW"/>
        </w:rPr>
        <w:t>limate of the Columbia River Basin</w:t>
      </w:r>
      <w:r>
        <w:rPr>
          <w:szCs w:val="22"/>
          <w:lang w:eastAsia="zh-TW"/>
        </w:rPr>
        <w:t>,</w:t>
      </w:r>
      <w:r w:rsidRPr="000E6283">
        <w:rPr>
          <w:szCs w:val="22"/>
          <w:lang w:eastAsia="zh-TW"/>
        </w:rPr>
        <w:t xml:space="preserve"> </w:t>
      </w:r>
      <w:r w:rsidRPr="000E6283">
        <w:rPr>
          <w:i/>
          <w:iCs/>
          <w:szCs w:val="22"/>
          <w:lang w:eastAsia="zh-TW"/>
        </w:rPr>
        <w:t>Clim. Dynam.</w:t>
      </w:r>
      <w:r w:rsidRPr="000E6283">
        <w:rPr>
          <w:szCs w:val="22"/>
          <w:lang w:eastAsia="zh-TW"/>
        </w:rPr>
        <w:t xml:space="preserve">, </w:t>
      </w:r>
      <w:r w:rsidRPr="000E6283">
        <w:rPr>
          <w:i/>
          <w:iCs/>
          <w:szCs w:val="22"/>
          <w:lang w:eastAsia="zh-TW"/>
        </w:rPr>
        <w:t>49</w:t>
      </w:r>
      <w:r w:rsidRPr="000E6283">
        <w:rPr>
          <w:szCs w:val="22"/>
          <w:lang w:eastAsia="zh-TW"/>
        </w:rPr>
        <w:t>(5), 1783</w:t>
      </w:r>
      <w:r>
        <w:rPr>
          <w:szCs w:val="22"/>
          <w:lang w:eastAsia="zh-TW"/>
        </w:rPr>
        <w:t>–</w:t>
      </w:r>
      <w:r w:rsidRPr="000E6283">
        <w:rPr>
          <w:szCs w:val="22"/>
          <w:lang w:eastAsia="zh-TW"/>
        </w:rPr>
        <w:t>1799</w:t>
      </w:r>
      <w:r>
        <w:rPr>
          <w:szCs w:val="22"/>
          <w:lang w:eastAsia="zh-TW"/>
        </w:rPr>
        <w:t xml:space="preserve">, </w:t>
      </w:r>
      <w:hyperlink r:id="rId389" w:history="1">
        <w:r w:rsidR="007C01B6" w:rsidRPr="00E00258">
          <w:rPr>
            <w:rStyle w:val="Hyperlink"/>
            <w:szCs w:val="22"/>
            <w:lang w:eastAsia="zh-TW"/>
          </w:rPr>
          <w:t>https://doi.org/10.1007/s00382-016-3418-7</w:t>
        </w:r>
      </w:hyperlink>
      <w:r>
        <w:rPr>
          <w:szCs w:val="22"/>
          <w:lang w:eastAsia="zh-TW"/>
        </w:rPr>
        <w:t>.</w:t>
      </w:r>
    </w:p>
    <w:p w14:paraId="6A36CEEE" w14:textId="08200EAB" w:rsidR="005742FD" w:rsidRPr="00976056" w:rsidRDefault="005742FD" w:rsidP="00957AD2">
      <w:pPr>
        <w:pStyle w:val="Refs"/>
        <w:ind w:left="360" w:hanging="360"/>
        <w:rPr>
          <w:szCs w:val="22"/>
          <w:lang w:eastAsia="zh-TW"/>
        </w:rPr>
      </w:pPr>
      <w:r w:rsidRPr="00976056">
        <w:rPr>
          <w:szCs w:val="22"/>
          <w:lang w:eastAsia="zh-TW"/>
        </w:rPr>
        <w:t xml:space="preserve">Salathé Jr., E. P., A. F. Hamlet, C. F. Mass, S. Lee, M. Stumbaugh, and R. Steed (2014), Estimates of Twenty-First-Century Flood Risk in the Pacific Northwest Based on Regional Climate Model Simulations, </w:t>
      </w:r>
      <w:r w:rsidRPr="00976056">
        <w:rPr>
          <w:i/>
          <w:iCs/>
          <w:szCs w:val="22"/>
          <w:lang w:eastAsia="zh-TW"/>
        </w:rPr>
        <w:t>J. Hydrometeor.</w:t>
      </w:r>
      <w:r w:rsidRPr="00976056">
        <w:rPr>
          <w:szCs w:val="22"/>
          <w:lang w:eastAsia="zh-TW"/>
        </w:rPr>
        <w:t xml:space="preserve">, </w:t>
      </w:r>
      <w:r w:rsidRPr="00976056">
        <w:rPr>
          <w:i/>
          <w:iCs/>
          <w:szCs w:val="22"/>
          <w:lang w:eastAsia="zh-TW"/>
        </w:rPr>
        <w:t>15</w:t>
      </w:r>
      <w:r w:rsidRPr="00976056">
        <w:rPr>
          <w:szCs w:val="22"/>
          <w:lang w:eastAsia="zh-TW"/>
        </w:rPr>
        <w:t xml:space="preserve">(5), 1881–1899, </w:t>
      </w:r>
      <w:hyperlink r:id="rId390" w:history="1">
        <w:r w:rsidR="007C01B6" w:rsidRPr="00E00258">
          <w:rPr>
            <w:rStyle w:val="Hyperlink"/>
            <w:szCs w:val="22"/>
            <w:lang w:eastAsia="zh-TW"/>
          </w:rPr>
          <w:t>https://doi.org/10.1175/JHM-D-13-0137.1</w:t>
        </w:r>
      </w:hyperlink>
      <w:r w:rsidRPr="00976056">
        <w:rPr>
          <w:szCs w:val="22"/>
          <w:lang w:eastAsia="zh-TW"/>
        </w:rPr>
        <w:t>.</w:t>
      </w:r>
    </w:p>
    <w:p w14:paraId="53AD8336" w14:textId="213BA92E" w:rsidR="005742FD" w:rsidRPr="00976056" w:rsidRDefault="005742FD" w:rsidP="00957AD2">
      <w:pPr>
        <w:pStyle w:val="Refs"/>
        <w:ind w:left="360" w:hanging="360"/>
        <w:rPr>
          <w:szCs w:val="22"/>
          <w:lang w:eastAsia="zh-TW"/>
        </w:rPr>
      </w:pPr>
      <w:r w:rsidRPr="00976056">
        <w:rPr>
          <w:szCs w:val="22"/>
          <w:lang w:eastAsia="zh-TW"/>
        </w:rPr>
        <w:lastRenderedPageBreak/>
        <w:t xml:space="preserve">Sale, M. J., S.-C. Kao, M. Ashfaq, D. P. Kaiser, R. Uría Martínez, C. Webb, and Y. Wei (2012), </w:t>
      </w:r>
      <w:r w:rsidRPr="00976056">
        <w:rPr>
          <w:i/>
          <w:iCs/>
          <w:szCs w:val="22"/>
          <w:lang w:eastAsia="zh-TW"/>
        </w:rPr>
        <w:t>Assessment of the Effects of Climate Change on Federal Hydropower</w:t>
      </w:r>
      <w:r w:rsidRPr="00976056">
        <w:rPr>
          <w:szCs w:val="22"/>
          <w:lang w:eastAsia="zh-TW"/>
        </w:rPr>
        <w:t xml:space="preserve">, ORNL/TM-2011/251, Oak Ridge National Laboratory, Oak Ridge, TN, </w:t>
      </w:r>
      <w:hyperlink r:id="rId391" w:history="1">
        <w:r w:rsidR="007C01B6" w:rsidRPr="00E00258">
          <w:rPr>
            <w:rStyle w:val="Hyperlink"/>
            <w:szCs w:val="22"/>
            <w:lang w:eastAsia="zh-TW"/>
          </w:rPr>
          <w:t>https://doi.org/10.2172/1220238</w:t>
        </w:r>
      </w:hyperlink>
      <w:r w:rsidRPr="00976056">
        <w:rPr>
          <w:szCs w:val="22"/>
          <w:lang w:eastAsia="zh-TW"/>
        </w:rPr>
        <w:t>.</w:t>
      </w:r>
    </w:p>
    <w:p w14:paraId="428F8708" w14:textId="62951122" w:rsidR="005742FD" w:rsidRPr="00976056" w:rsidRDefault="005742FD" w:rsidP="00957AD2">
      <w:pPr>
        <w:pStyle w:val="Refs"/>
        <w:ind w:left="360" w:hanging="360"/>
        <w:rPr>
          <w:szCs w:val="22"/>
          <w:lang w:eastAsia="zh-TW"/>
        </w:rPr>
      </w:pPr>
      <w:r w:rsidRPr="00976056">
        <w:rPr>
          <w:szCs w:val="22"/>
          <w:lang w:eastAsia="zh-TW"/>
        </w:rPr>
        <w:t xml:space="preserve">Sanderson, B. M., M. Wehner, and R. Knutti (2017), Skill and Independence Weighting for Multimodel Assessments, </w:t>
      </w:r>
      <w:r w:rsidRPr="00976056">
        <w:rPr>
          <w:i/>
          <w:iCs/>
          <w:szCs w:val="22"/>
          <w:lang w:eastAsia="zh-TW"/>
        </w:rPr>
        <w:t>Geosci. Model Dev.</w:t>
      </w:r>
      <w:r w:rsidRPr="00976056">
        <w:rPr>
          <w:szCs w:val="22"/>
          <w:lang w:eastAsia="zh-TW"/>
        </w:rPr>
        <w:t xml:space="preserve">, </w:t>
      </w:r>
      <w:r w:rsidRPr="00976056">
        <w:rPr>
          <w:i/>
          <w:iCs/>
          <w:szCs w:val="22"/>
          <w:lang w:eastAsia="zh-TW"/>
        </w:rPr>
        <w:t>10</w:t>
      </w:r>
      <w:r w:rsidRPr="00976056">
        <w:rPr>
          <w:szCs w:val="22"/>
          <w:lang w:eastAsia="zh-TW"/>
        </w:rPr>
        <w:t xml:space="preserve">, 2379–2395, </w:t>
      </w:r>
      <w:hyperlink r:id="rId392" w:history="1">
        <w:r w:rsidR="007C01B6" w:rsidRPr="00E00258">
          <w:rPr>
            <w:rStyle w:val="Hyperlink"/>
            <w:szCs w:val="22"/>
            <w:lang w:eastAsia="zh-TW"/>
          </w:rPr>
          <w:t>https://doi.org/10.5194/gmd-10-2379-2017</w:t>
        </w:r>
      </w:hyperlink>
      <w:r w:rsidRPr="00976056">
        <w:rPr>
          <w:szCs w:val="22"/>
          <w:lang w:eastAsia="zh-TW"/>
        </w:rPr>
        <w:t>.</w:t>
      </w:r>
    </w:p>
    <w:p w14:paraId="173C24A3" w14:textId="77777777" w:rsidR="005742FD" w:rsidRPr="00976056" w:rsidRDefault="005742FD" w:rsidP="009D687A">
      <w:pPr>
        <w:pStyle w:val="Refs"/>
        <w:ind w:left="360" w:hanging="360"/>
        <w:rPr>
          <w:szCs w:val="22"/>
          <w:lang w:eastAsia="zh-TW"/>
        </w:rPr>
      </w:pPr>
      <w:r w:rsidRPr="00976056">
        <w:rPr>
          <w:szCs w:val="22"/>
          <w:lang w:eastAsia="zh-TW"/>
        </w:rPr>
        <w:t xml:space="preserve">Schlag, N., A. Olson, E. Hart, A. Mileva, R. Jones, C. B. Martinez-Anido, B.‐M. Hodge, G. Brinkman, A. Florita, and D. Biagioni (2015), </w:t>
      </w:r>
      <w:r w:rsidRPr="00976056">
        <w:rPr>
          <w:i/>
          <w:iCs/>
          <w:szCs w:val="22"/>
          <w:lang w:eastAsia="zh-TW"/>
        </w:rPr>
        <w:t>Western Interconnection Flexibility Assessment: Final Report</w:t>
      </w:r>
      <w:r w:rsidRPr="00976056">
        <w:rPr>
          <w:szCs w:val="22"/>
          <w:lang w:eastAsia="zh-TW"/>
        </w:rPr>
        <w:t>, Energy and Environmental Economics, Inc. and National Renewable Energy Laboratory.</w:t>
      </w:r>
    </w:p>
    <w:p w14:paraId="795635D0" w14:textId="7C54CE82" w:rsidR="005742FD" w:rsidRPr="00976056" w:rsidRDefault="005742FD" w:rsidP="00957AD2">
      <w:pPr>
        <w:pStyle w:val="Refs"/>
        <w:ind w:left="360" w:hanging="360"/>
        <w:rPr>
          <w:szCs w:val="22"/>
          <w:lang w:eastAsia="zh-TW"/>
        </w:rPr>
      </w:pPr>
      <w:r w:rsidRPr="00976056">
        <w:rPr>
          <w:szCs w:val="22"/>
          <w:lang w:eastAsia="zh-TW"/>
        </w:rPr>
        <w:t xml:space="preserve">Schnorbus, M., A. Werner, and K. Bennett (2014), Impacts of Climate Change in Three Hydrologic Regimes in British Columbia, Canada, </w:t>
      </w:r>
      <w:r w:rsidRPr="00976056">
        <w:rPr>
          <w:i/>
          <w:iCs/>
          <w:szCs w:val="22"/>
          <w:lang w:eastAsia="zh-TW"/>
        </w:rPr>
        <w:t>Hydrol. Process.</w:t>
      </w:r>
      <w:r w:rsidRPr="00976056">
        <w:rPr>
          <w:szCs w:val="22"/>
          <w:lang w:eastAsia="zh-TW"/>
        </w:rPr>
        <w:t xml:space="preserve">, </w:t>
      </w:r>
      <w:r w:rsidRPr="00976056">
        <w:rPr>
          <w:i/>
          <w:iCs/>
          <w:szCs w:val="22"/>
          <w:lang w:eastAsia="zh-TW"/>
        </w:rPr>
        <w:t>28</w:t>
      </w:r>
      <w:r w:rsidRPr="00976056">
        <w:rPr>
          <w:szCs w:val="22"/>
          <w:lang w:eastAsia="zh-TW"/>
        </w:rPr>
        <w:t xml:space="preserve">, 1170–1189, </w:t>
      </w:r>
      <w:hyperlink r:id="rId393" w:history="1">
        <w:r w:rsidR="007C01B6" w:rsidRPr="00E00258">
          <w:rPr>
            <w:rStyle w:val="Hyperlink"/>
            <w:szCs w:val="22"/>
            <w:lang w:eastAsia="zh-TW"/>
          </w:rPr>
          <w:t>https://doi.org/10.1002/hyp.9661</w:t>
        </w:r>
      </w:hyperlink>
      <w:r w:rsidRPr="00976056">
        <w:rPr>
          <w:szCs w:val="22"/>
          <w:lang w:eastAsia="zh-TW"/>
        </w:rPr>
        <w:t>.</w:t>
      </w:r>
    </w:p>
    <w:p w14:paraId="7B5B5A08" w14:textId="6AC455D6" w:rsidR="005742FD" w:rsidRPr="00976056" w:rsidRDefault="005742FD" w:rsidP="00957AD2">
      <w:pPr>
        <w:pStyle w:val="Refs"/>
        <w:ind w:left="360" w:hanging="360"/>
        <w:rPr>
          <w:szCs w:val="22"/>
          <w:lang w:eastAsia="zh-TW"/>
        </w:rPr>
      </w:pPr>
      <w:r w:rsidRPr="00976056">
        <w:rPr>
          <w:szCs w:val="22"/>
          <w:lang w:eastAsia="zh-TW"/>
        </w:rPr>
        <w:t xml:space="preserve">Sexstone, G. A., J. M. Driscoll, L. E. Hay, J. C. Hammond, and T. B. Barnhart (2020), Runoff Sensitivity to Snow Depletion Curve Representation within a Continental Scale Hydrologic Model, </w:t>
      </w:r>
      <w:r w:rsidRPr="00976056">
        <w:rPr>
          <w:i/>
          <w:iCs/>
          <w:szCs w:val="22"/>
          <w:lang w:eastAsia="zh-TW"/>
        </w:rPr>
        <w:t>Hydrological Processes</w:t>
      </w:r>
      <w:r w:rsidRPr="00976056">
        <w:rPr>
          <w:szCs w:val="22"/>
          <w:lang w:eastAsia="zh-TW"/>
        </w:rPr>
        <w:t xml:space="preserve">, </w:t>
      </w:r>
      <w:r w:rsidRPr="00976056">
        <w:rPr>
          <w:i/>
          <w:iCs/>
          <w:szCs w:val="22"/>
          <w:lang w:eastAsia="zh-TW"/>
        </w:rPr>
        <w:t>34</w:t>
      </w:r>
      <w:r w:rsidRPr="00976056">
        <w:rPr>
          <w:szCs w:val="22"/>
          <w:lang w:eastAsia="zh-TW"/>
        </w:rPr>
        <w:t xml:space="preserve">, 2365–2380, </w:t>
      </w:r>
      <w:hyperlink r:id="rId394" w:history="1">
        <w:r w:rsidR="007C01B6" w:rsidRPr="00E00258">
          <w:rPr>
            <w:rStyle w:val="Hyperlink"/>
            <w:szCs w:val="22"/>
            <w:lang w:eastAsia="zh-TW"/>
          </w:rPr>
          <w:t>https://doi.org/10.1002/hyp.13735</w:t>
        </w:r>
      </w:hyperlink>
      <w:r w:rsidRPr="00976056">
        <w:rPr>
          <w:szCs w:val="22"/>
          <w:lang w:eastAsia="zh-TW"/>
        </w:rPr>
        <w:t>.</w:t>
      </w:r>
    </w:p>
    <w:p w14:paraId="4DE906F4" w14:textId="185C83DF" w:rsidR="00185444" w:rsidRPr="00976056" w:rsidRDefault="00185444" w:rsidP="00185444">
      <w:pPr>
        <w:pStyle w:val="Refs"/>
        <w:ind w:left="360" w:hanging="360"/>
        <w:rPr>
          <w:szCs w:val="22"/>
          <w:lang w:eastAsia="zh-TW"/>
        </w:rPr>
      </w:pPr>
      <w:r w:rsidRPr="008436A7">
        <w:rPr>
          <w:szCs w:val="22"/>
          <w:lang w:eastAsia="zh-TW"/>
        </w:rPr>
        <w:t>Slater, A. G. (2016)</w:t>
      </w:r>
      <w:r>
        <w:rPr>
          <w:szCs w:val="22"/>
          <w:lang w:eastAsia="zh-TW"/>
        </w:rPr>
        <w:t>,</w:t>
      </w:r>
      <w:r w:rsidRPr="008436A7">
        <w:rPr>
          <w:szCs w:val="22"/>
          <w:lang w:eastAsia="zh-TW"/>
        </w:rPr>
        <w:t xml:space="preserve"> Surface Solar Radiation in North America: A Comparison </w:t>
      </w:r>
      <w:r>
        <w:rPr>
          <w:szCs w:val="22"/>
          <w:lang w:eastAsia="zh-TW"/>
        </w:rPr>
        <w:t>o</w:t>
      </w:r>
      <w:r w:rsidRPr="008436A7">
        <w:rPr>
          <w:szCs w:val="22"/>
          <w:lang w:eastAsia="zh-TW"/>
        </w:rPr>
        <w:t xml:space="preserve">f Observations, Reanalyses, Satellite, </w:t>
      </w:r>
      <w:r>
        <w:rPr>
          <w:szCs w:val="22"/>
          <w:lang w:eastAsia="zh-TW"/>
        </w:rPr>
        <w:t>a</w:t>
      </w:r>
      <w:r w:rsidRPr="008436A7">
        <w:rPr>
          <w:szCs w:val="22"/>
          <w:lang w:eastAsia="zh-TW"/>
        </w:rPr>
        <w:t>nd Derived Products</w:t>
      </w:r>
      <w:r>
        <w:rPr>
          <w:szCs w:val="22"/>
          <w:lang w:eastAsia="zh-TW"/>
        </w:rPr>
        <w:t>,</w:t>
      </w:r>
      <w:r w:rsidRPr="008436A7">
        <w:rPr>
          <w:szCs w:val="22"/>
          <w:lang w:eastAsia="zh-TW"/>
        </w:rPr>
        <w:t xml:space="preserve"> </w:t>
      </w:r>
      <w:r w:rsidRPr="00185444">
        <w:rPr>
          <w:i/>
          <w:iCs/>
          <w:szCs w:val="22"/>
          <w:lang w:eastAsia="zh-TW"/>
        </w:rPr>
        <w:t>J. Hydrometeorol.</w:t>
      </w:r>
      <w:r w:rsidRPr="008436A7">
        <w:rPr>
          <w:szCs w:val="22"/>
          <w:lang w:eastAsia="zh-TW"/>
        </w:rPr>
        <w:t xml:space="preserve">, </w:t>
      </w:r>
      <w:r w:rsidRPr="00185444">
        <w:rPr>
          <w:i/>
          <w:iCs/>
          <w:szCs w:val="22"/>
          <w:lang w:eastAsia="zh-TW"/>
        </w:rPr>
        <w:t>17</w:t>
      </w:r>
      <w:r w:rsidRPr="008436A7">
        <w:rPr>
          <w:szCs w:val="22"/>
          <w:lang w:eastAsia="zh-TW"/>
        </w:rPr>
        <w:t>(1), 401</w:t>
      </w:r>
      <w:r>
        <w:rPr>
          <w:szCs w:val="22"/>
          <w:lang w:eastAsia="zh-TW"/>
        </w:rPr>
        <w:t>–</w:t>
      </w:r>
      <w:r w:rsidRPr="008436A7">
        <w:rPr>
          <w:szCs w:val="22"/>
          <w:lang w:eastAsia="zh-TW"/>
        </w:rPr>
        <w:t>420</w:t>
      </w:r>
      <w:r>
        <w:rPr>
          <w:szCs w:val="22"/>
          <w:lang w:eastAsia="zh-TW"/>
        </w:rPr>
        <w:t xml:space="preserve">, </w:t>
      </w:r>
      <w:hyperlink r:id="rId395" w:history="1">
        <w:r w:rsidR="007C01B6" w:rsidRPr="00E00258">
          <w:rPr>
            <w:rStyle w:val="Hyperlink"/>
            <w:szCs w:val="22"/>
            <w:lang w:eastAsia="zh-TW"/>
          </w:rPr>
          <w:t>https://doi.org/10.1175/JHM-D-15-0087.1</w:t>
        </w:r>
      </w:hyperlink>
      <w:r>
        <w:rPr>
          <w:szCs w:val="22"/>
          <w:lang w:eastAsia="zh-TW"/>
        </w:rPr>
        <w:t>.</w:t>
      </w:r>
    </w:p>
    <w:p w14:paraId="7A99CD47" w14:textId="3E514379" w:rsidR="005742FD" w:rsidRPr="00976056" w:rsidRDefault="005742FD" w:rsidP="00957AD2">
      <w:pPr>
        <w:pStyle w:val="Refs"/>
        <w:ind w:left="360" w:hanging="360"/>
        <w:rPr>
          <w:szCs w:val="22"/>
          <w:lang w:eastAsia="zh-TW"/>
        </w:rPr>
      </w:pPr>
      <w:r w:rsidRPr="00976056">
        <w:rPr>
          <w:szCs w:val="22"/>
          <w:lang w:eastAsia="zh-TW"/>
        </w:rPr>
        <w:t xml:space="preserve">Stewart, I. T., D. R. Cayan, and M. D. Dettinger (2005), Changes toward Earlier Streamflow Timing across Western North America, </w:t>
      </w:r>
      <w:r w:rsidRPr="00976056">
        <w:rPr>
          <w:i/>
          <w:iCs/>
          <w:szCs w:val="22"/>
          <w:lang w:eastAsia="zh-TW"/>
        </w:rPr>
        <w:t>J. Climate</w:t>
      </w:r>
      <w:r w:rsidRPr="00976056">
        <w:rPr>
          <w:szCs w:val="22"/>
          <w:lang w:eastAsia="zh-TW"/>
        </w:rPr>
        <w:t xml:space="preserve">, </w:t>
      </w:r>
      <w:r w:rsidRPr="00976056">
        <w:rPr>
          <w:i/>
          <w:iCs/>
          <w:szCs w:val="22"/>
          <w:lang w:eastAsia="zh-TW"/>
        </w:rPr>
        <w:t>18</w:t>
      </w:r>
      <w:r w:rsidRPr="00976056">
        <w:rPr>
          <w:szCs w:val="22"/>
          <w:lang w:eastAsia="zh-TW"/>
        </w:rPr>
        <w:t xml:space="preserve">(8), 1136–1155, </w:t>
      </w:r>
      <w:hyperlink r:id="rId396" w:history="1">
        <w:r w:rsidR="007C01B6" w:rsidRPr="00E00258">
          <w:rPr>
            <w:rStyle w:val="Hyperlink"/>
            <w:szCs w:val="22"/>
            <w:lang w:eastAsia="zh-TW"/>
          </w:rPr>
          <w:t>https://doi.org/10.1175/JCLI3321.1</w:t>
        </w:r>
      </w:hyperlink>
      <w:r w:rsidRPr="00976056">
        <w:rPr>
          <w:szCs w:val="22"/>
          <w:lang w:eastAsia="zh-TW"/>
        </w:rPr>
        <w:t>.</w:t>
      </w:r>
    </w:p>
    <w:p w14:paraId="79651E0B" w14:textId="2DCD904A" w:rsidR="005742FD" w:rsidRPr="00976056" w:rsidRDefault="005742FD" w:rsidP="00957AD2">
      <w:pPr>
        <w:pStyle w:val="Refs"/>
        <w:ind w:left="360" w:hanging="360"/>
        <w:rPr>
          <w:szCs w:val="22"/>
          <w:lang w:eastAsia="zh-TW"/>
        </w:rPr>
      </w:pPr>
      <w:r w:rsidRPr="00976056">
        <w:rPr>
          <w:szCs w:val="22"/>
          <w:lang w:eastAsia="zh-TW"/>
        </w:rPr>
        <w:t xml:space="preserve">Sun, N., H. Yan, M. S. Wigmosta, L. R. Leung, R. Skaggs, and Z. Hou (2019), Regional Snow Parameters Estimation for Large-domain Hydrological Applications in the Western United States, </w:t>
      </w:r>
      <w:r w:rsidRPr="00976056">
        <w:rPr>
          <w:i/>
          <w:iCs/>
          <w:szCs w:val="22"/>
          <w:lang w:eastAsia="zh-TW"/>
        </w:rPr>
        <w:t>J. Geophys. Res.</w:t>
      </w:r>
      <w:r w:rsidRPr="00976056">
        <w:rPr>
          <w:szCs w:val="22"/>
          <w:lang w:eastAsia="zh-TW"/>
        </w:rPr>
        <w:t xml:space="preserve">, </w:t>
      </w:r>
      <w:r w:rsidRPr="00976056">
        <w:rPr>
          <w:i/>
          <w:iCs/>
          <w:szCs w:val="22"/>
          <w:lang w:eastAsia="zh-TW"/>
        </w:rPr>
        <w:t>124</w:t>
      </w:r>
      <w:r w:rsidRPr="00976056">
        <w:rPr>
          <w:szCs w:val="22"/>
          <w:lang w:eastAsia="zh-TW"/>
        </w:rPr>
        <w:t xml:space="preserve">, 5296–5313, </w:t>
      </w:r>
      <w:hyperlink r:id="rId397" w:history="1">
        <w:r w:rsidR="007C01B6" w:rsidRPr="00E00258">
          <w:rPr>
            <w:rStyle w:val="Hyperlink"/>
            <w:szCs w:val="22"/>
            <w:lang w:eastAsia="zh-TW"/>
          </w:rPr>
          <w:t>https://doi.org/10.1029/2018JD030140</w:t>
        </w:r>
      </w:hyperlink>
      <w:r w:rsidRPr="00976056">
        <w:rPr>
          <w:szCs w:val="22"/>
          <w:lang w:eastAsia="zh-TW"/>
        </w:rPr>
        <w:t>.</w:t>
      </w:r>
    </w:p>
    <w:p w14:paraId="373E7293" w14:textId="4DBA4FBB" w:rsidR="005742FD" w:rsidRPr="00976056" w:rsidRDefault="005742FD" w:rsidP="00957AD2">
      <w:pPr>
        <w:pStyle w:val="Refs"/>
        <w:ind w:left="360" w:hanging="360"/>
        <w:rPr>
          <w:szCs w:val="22"/>
          <w:lang w:eastAsia="zh-TW"/>
        </w:rPr>
      </w:pPr>
      <w:r w:rsidRPr="00976056">
        <w:rPr>
          <w:szCs w:val="22"/>
          <w:lang w:eastAsia="zh-TW"/>
        </w:rPr>
        <w:t xml:space="preserve">Tawfik, A. B., and A. L. Steiner (2011), The Role of Soil Ice in Land-atmosphere Coupling Over the United States: A Soil Moisture-precipitation Winter Feedback Mechanism, </w:t>
      </w:r>
      <w:r w:rsidRPr="00976056">
        <w:rPr>
          <w:i/>
          <w:iCs/>
          <w:szCs w:val="22"/>
          <w:lang w:eastAsia="zh-TW"/>
        </w:rPr>
        <w:t>J. Geophys. Res.</w:t>
      </w:r>
      <w:r w:rsidRPr="00976056">
        <w:rPr>
          <w:szCs w:val="22"/>
          <w:lang w:eastAsia="zh-TW"/>
        </w:rPr>
        <w:t xml:space="preserve">, </w:t>
      </w:r>
      <w:r w:rsidRPr="00976056">
        <w:rPr>
          <w:i/>
          <w:iCs/>
          <w:szCs w:val="22"/>
          <w:lang w:eastAsia="zh-TW"/>
        </w:rPr>
        <w:t>116</w:t>
      </w:r>
      <w:r w:rsidRPr="00976056">
        <w:rPr>
          <w:szCs w:val="22"/>
          <w:lang w:eastAsia="zh-TW"/>
        </w:rPr>
        <w:t xml:space="preserve">, D02113, </w:t>
      </w:r>
      <w:hyperlink r:id="rId398" w:history="1">
        <w:r w:rsidR="007C01B6" w:rsidRPr="00E00258">
          <w:rPr>
            <w:rStyle w:val="Hyperlink"/>
            <w:szCs w:val="22"/>
            <w:lang w:eastAsia="zh-TW"/>
          </w:rPr>
          <w:t>https://doi.org/10.1029/2010JD014333</w:t>
        </w:r>
      </w:hyperlink>
      <w:r w:rsidRPr="00976056">
        <w:rPr>
          <w:szCs w:val="22"/>
          <w:lang w:eastAsia="zh-TW"/>
        </w:rPr>
        <w:t>.</w:t>
      </w:r>
    </w:p>
    <w:p w14:paraId="71BE3E80" w14:textId="47529242" w:rsidR="005742FD" w:rsidRPr="00976056" w:rsidRDefault="005742FD" w:rsidP="00957AD2">
      <w:pPr>
        <w:pStyle w:val="Refs"/>
        <w:ind w:left="360" w:hanging="360"/>
        <w:rPr>
          <w:szCs w:val="22"/>
          <w:lang w:eastAsia="zh-TW"/>
        </w:rPr>
      </w:pPr>
      <w:r w:rsidRPr="00976056">
        <w:rPr>
          <w:szCs w:val="22"/>
          <w:lang w:eastAsia="zh-TW"/>
        </w:rPr>
        <w:t xml:space="preserve">Thornton, P. E., and S. W. Running (1999), An Improved Algorithm for Estimating Incident Daily Solar Radiation from Measurements of Temperature, Humidity, and Precipitation, </w:t>
      </w:r>
      <w:r w:rsidRPr="00976056">
        <w:rPr>
          <w:i/>
          <w:iCs/>
          <w:szCs w:val="22"/>
          <w:lang w:eastAsia="zh-TW"/>
        </w:rPr>
        <w:t>Agr, Forest Meteorol.</w:t>
      </w:r>
      <w:r w:rsidRPr="00976056">
        <w:rPr>
          <w:szCs w:val="22"/>
          <w:lang w:eastAsia="zh-TW"/>
        </w:rPr>
        <w:t xml:space="preserve">, </w:t>
      </w:r>
      <w:r w:rsidRPr="00976056">
        <w:rPr>
          <w:i/>
          <w:iCs/>
          <w:szCs w:val="22"/>
          <w:lang w:eastAsia="zh-TW"/>
        </w:rPr>
        <w:t>93</w:t>
      </w:r>
      <w:r w:rsidRPr="00976056">
        <w:rPr>
          <w:szCs w:val="22"/>
          <w:lang w:eastAsia="zh-TW"/>
        </w:rPr>
        <w:t xml:space="preserve">(4), 211–228, </w:t>
      </w:r>
      <w:hyperlink r:id="rId399" w:history="1">
        <w:r w:rsidR="007C01B6" w:rsidRPr="00E00258">
          <w:rPr>
            <w:rStyle w:val="Hyperlink"/>
            <w:szCs w:val="22"/>
            <w:lang w:eastAsia="zh-TW"/>
          </w:rPr>
          <w:t>https://doi.org/10.1016/S0168-1923(98)00126-9</w:t>
        </w:r>
      </w:hyperlink>
      <w:r w:rsidRPr="00976056">
        <w:rPr>
          <w:szCs w:val="22"/>
          <w:lang w:eastAsia="zh-TW"/>
        </w:rPr>
        <w:t>.</w:t>
      </w:r>
    </w:p>
    <w:p w14:paraId="2A70B12F" w14:textId="0474A245" w:rsidR="005742FD" w:rsidRPr="00976056" w:rsidRDefault="005A182A" w:rsidP="00957AD2">
      <w:pPr>
        <w:pStyle w:val="Refs"/>
        <w:ind w:left="360" w:hanging="360"/>
        <w:rPr>
          <w:szCs w:val="22"/>
          <w:lang w:eastAsia="zh-TW"/>
        </w:rPr>
      </w:pPr>
      <w:r w:rsidRPr="005A182A">
        <w:rPr>
          <w:szCs w:val="22"/>
          <w:lang w:eastAsia="zh-TW"/>
        </w:rPr>
        <w:t xml:space="preserve">Thornton, P. E., R. Shrestha, M. M. Thornton, S.-C. Kao, Y. Wei, and B. E. Wilson (2021), Gridded Daily Weather Data for North America with Comprehensive Uncertainty Quantification: Daymet Version 4, </w:t>
      </w:r>
      <w:r w:rsidRPr="005A182A">
        <w:rPr>
          <w:i/>
          <w:iCs/>
          <w:szCs w:val="22"/>
          <w:lang w:eastAsia="zh-TW"/>
        </w:rPr>
        <w:t>Nature Sci. Data</w:t>
      </w:r>
      <w:r w:rsidRPr="005A182A">
        <w:rPr>
          <w:szCs w:val="22"/>
          <w:lang w:eastAsia="zh-TW"/>
        </w:rPr>
        <w:t xml:space="preserve">, </w:t>
      </w:r>
      <w:r w:rsidRPr="005A182A">
        <w:rPr>
          <w:i/>
          <w:iCs/>
          <w:szCs w:val="22"/>
          <w:lang w:eastAsia="zh-TW"/>
        </w:rPr>
        <w:t>8</w:t>
      </w:r>
      <w:r w:rsidRPr="005A182A">
        <w:rPr>
          <w:szCs w:val="22"/>
          <w:lang w:eastAsia="zh-TW"/>
        </w:rPr>
        <w:t xml:space="preserve">, 190, </w:t>
      </w:r>
      <w:hyperlink r:id="rId400" w:history="1">
        <w:r w:rsidRPr="00E00258">
          <w:rPr>
            <w:rStyle w:val="Hyperlink"/>
            <w:szCs w:val="22"/>
            <w:lang w:eastAsia="zh-TW"/>
          </w:rPr>
          <w:t>https://doi.org/10.1038/s41597-021-00973-0</w:t>
        </w:r>
      </w:hyperlink>
      <w:r w:rsidR="005742FD" w:rsidRPr="00976056">
        <w:rPr>
          <w:szCs w:val="22"/>
          <w:lang w:eastAsia="zh-TW"/>
        </w:rPr>
        <w:t>.</w:t>
      </w:r>
    </w:p>
    <w:p w14:paraId="404A1524" w14:textId="73A15834" w:rsidR="005742FD" w:rsidRPr="00976056" w:rsidRDefault="005742FD" w:rsidP="005F0741">
      <w:pPr>
        <w:pStyle w:val="Refs"/>
        <w:ind w:left="360" w:hanging="360"/>
        <w:rPr>
          <w:szCs w:val="22"/>
          <w:lang w:eastAsia="zh-TW"/>
        </w:rPr>
      </w:pPr>
      <w:r w:rsidRPr="00976056">
        <w:rPr>
          <w:szCs w:val="22"/>
          <w:lang w:eastAsia="zh-TW"/>
        </w:rPr>
        <w:t xml:space="preserve">Thrasher, B., E. P. Maurer, C. McKellar, and P. B. Duffy (2012), Technical Note: Bias Correcting Climate Model Simulated Daily Temperature Extremes with Quantile Mapping, </w:t>
      </w:r>
      <w:r w:rsidRPr="00976056">
        <w:rPr>
          <w:i/>
          <w:iCs/>
          <w:szCs w:val="22"/>
          <w:lang w:eastAsia="zh-TW"/>
        </w:rPr>
        <w:t>Hydrol. Earth Syst. Sci.</w:t>
      </w:r>
      <w:r w:rsidRPr="00976056">
        <w:rPr>
          <w:szCs w:val="22"/>
          <w:lang w:eastAsia="zh-TW"/>
        </w:rPr>
        <w:t xml:space="preserve">, </w:t>
      </w:r>
      <w:r w:rsidRPr="00976056">
        <w:rPr>
          <w:i/>
          <w:iCs/>
          <w:szCs w:val="22"/>
          <w:lang w:eastAsia="zh-TW"/>
        </w:rPr>
        <w:t>16</w:t>
      </w:r>
      <w:r w:rsidRPr="00976056">
        <w:rPr>
          <w:szCs w:val="22"/>
          <w:lang w:eastAsia="zh-TW"/>
        </w:rPr>
        <w:t xml:space="preserve">, 3309–3314, </w:t>
      </w:r>
      <w:hyperlink r:id="rId401" w:history="1">
        <w:r w:rsidR="005A182A" w:rsidRPr="00E00258">
          <w:rPr>
            <w:rStyle w:val="Hyperlink"/>
            <w:szCs w:val="22"/>
            <w:lang w:eastAsia="zh-TW"/>
          </w:rPr>
          <w:t>https://doi.org/10.5194/hess-16-3309-2012</w:t>
        </w:r>
      </w:hyperlink>
      <w:r w:rsidRPr="00976056">
        <w:rPr>
          <w:szCs w:val="22"/>
          <w:lang w:eastAsia="zh-TW"/>
        </w:rPr>
        <w:t>.</w:t>
      </w:r>
    </w:p>
    <w:p w14:paraId="7519E156" w14:textId="240D9B28" w:rsidR="005742FD" w:rsidRPr="00976056" w:rsidRDefault="005742FD" w:rsidP="005F0741">
      <w:pPr>
        <w:pStyle w:val="Refs"/>
        <w:ind w:left="360" w:hanging="360"/>
        <w:rPr>
          <w:szCs w:val="22"/>
          <w:lang w:eastAsia="zh-TW"/>
        </w:rPr>
      </w:pPr>
      <w:r w:rsidRPr="00976056">
        <w:rPr>
          <w:szCs w:val="22"/>
          <w:lang w:eastAsia="zh-TW"/>
        </w:rPr>
        <w:t xml:space="preserve">Tiedtke, M. (1989), A Comprehensive Mass Flux Scheme for Cumulus Parameterization in Large-scale Models, </w:t>
      </w:r>
      <w:r w:rsidRPr="00976056">
        <w:rPr>
          <w:i/>
          <w:iCs/>
          <w:szCs w:val="22"/>
          <w:lang w:eastAsia="zh-TW"/>
        </w:rPr>
        <w:t>Mon. Weather Review</w:t>
      </w:r>
      <w:r w:rsidRPr="00976056">
        <w:rPr>
          <w:szCs w:val="22"/>
          <w:lang w:eastAsia="zh-TW"/>
        </w:rPr>
        <w:t xml:space="preserve">, </w:t>
      </w:r>
      <w:r w:rsidRPr="00976056">
        <w:rPr>
          <w:i/>
          <w:iCs/>
          <w:szCs w:val="22"/>
          <w:lang w:eastAsia="zh-TW"/>
        </w:rPr>
        <w:t>117</w:t>
      </w:r>
      <w:r w:rsidRPr="00976056">
        <w:rPr>
          <w:szCs w:val="22"/>
          <w:lang w:eastAsia="zh-TW"/>
        </w:rPr>
        <w:t xml:space="preserve">(8), 1779–1800, </w:t>
      </w:r>
      <w:hyperlink r:id="rId402" w:history="1">
        <w:r w:rsidR="005A182A" w:rsidRPr="00E00258">
          <w:rPr>
            <w:rStyle w:val="Hyperlink"/>
            <w:szCs w:val="22"/>
            <w:lang w:eastAsia="zh-TW"/>
          </w:rPr>
          <w:t>https://doi.org/10.1175/1520-0493(1989)117&lt;1779:ACMFSF&gt;2.0.CO;2</w:t>
        </w:r>
      </w:hyperlink>
      <w:r w:rsidRPr="00976056">
        <w:rPr>
          <w:szCs w:val="22"/>
          <w:lang w:eastAsia="zh-TW"/>
        </w:rPr>
        <w:t>.</w:t>
      </w:r>
    </w:p>
    <w:p w14:paraId="7CE6A995" w14:textId="24BBBCFB" w:rsidR="005742FD" w:rsidRDefault="005742FD" w:rsidP="00957AD2">
      <w:pPr>
        <w:pStyle w:val="Refs"/>
        <w:ind w:left="360" w:hanging="360"/>
        <w:rPr>
          <w:szCs w:val="22"/>
          <w:lang w:eastAsia="zh-TW"/>
        </w:rPr>
      </w:pPr>
      <w:r w:rsidRPr="00976056">
        <w:rPr>
          <w:szCs w:val="22"/>
          <w:lang w:eastAsia="zh-TW"/>
        </w:rPr>
        <w:lastRenderedPageBreak/>
        <w:t xml:space="preserve">Tohver, I. M., A. F. Hamlet, and S.-Y. Lee (2014), Impacts of 21st-Century Climate Change on Hydrologic Extremes in the Pacific Northwest Region of North America, </w:t>
      </w:r>
      <w:r w:rsidRPr="00976056">
        <w:rPr>
          <w:i/>
          <w:iCs/>
          <w:szCs w:val="22"/>
          <w:lang w:eastAsia="zh-TW"/>
        </w:rPr>
        <w:t>J. Am. Water Resour. As.</w:t>
      </w:r>
      <w:r w:rsidRPr="00976056">
        <w:rPr>
          <w:szCs w:val="22"/>
          <w:lang w:eastAsia="zh-TW"/>
        </w:rPr>
        <w:t xml:space="preserve">, </w:t>
      </w:r>
      <w:r w:rsidRPr="00976056">
        <w:rPr>
          <w:i/>
          <w:iCs/>
          <w:szCs w:val="22"/>
          <w:lang w:eastAsia="zh-TW"/>
        </w:rPr>
        <w:t>50</w:t>
      </w:r>
      <w:r w:rsidRPr="00976056">
        <w:rPr>
          <w:szCs w:val="22"/>
          <w:lang w:eastAsia="zh-TW"/>
        </w:rPr>
        <w:t xml:space="preserve">(6), 1461–1476, </w:t>
      </w:r>
      <w:hyperlink r:id="rId403" w:history="1">
        <w:r w:rsidR="005A182A" w:rsidRPr="00E00258">
          <w:rPr>
            <w:rStyle w:val="Hyperlink"/>
            <w:szCs w:val="22"/>
            <w:lang w:eastAsia="zh-TW"/>
          </w:rPr>
          <w:t>https://doi.org/10.1111/jawr.12199</w:t>
        </w:r>
      </w:hyperlink>
      <w:r w:rsidRPr="00976056">
        <w:rPr>
          <w:szCs w:val="22"/>
          <w:lang w:eastAsia="zh-TW"/>
        </w:rPr>
        <w:t>.</w:t>
      </w:r>
    </w:p>
    <w:p w14:paraId="00AFFFE4" w14:textId="188727DA" w:rsidR="003E481C" w:rsidRPr="00976056" w:rsidRDefault="003E481C" w:rsidP="00957AD2">
      <w:pPr>
        <w:pStyle w:val="Refs"/>
        <w:ind w:left="360" w:hanging="360"/>
        <w:rPr>
          <w:szCs w:val="22"/>
          <w:lang w:eastAsia="zh-TW"/>
        </w:rPr>
      </w:pPr>
      <w:r w:rsidRPr="003E481C">
        <w:rPr>
          <w:szCs w:val="22"/>
          <w:lang w:eastAsia="zh-TW"/>
        </w:rPr>
        <w:t>Turner, S.</w:t>
      </w:r>
      <w:r>
        <w:rPr>
          <w:szCs w:val="22"/>
          <w:lang w:eastAsia="zh-TW"/>
        </w:rPr>
        <w:t xml:space="preserve"> </w:t>
      </w:r>
      <w:r w:rsidRPr="003E481C">
        <w:rPr>
          <w:szCs w:val="22"/>
          <w:lang w:eastAsia="zh-TW"/>
        </w:rPr>
        <w:t>W.</w:t>
      </w:r>
      <w:r>
        <w:rPr>
          <w:szCs w:val="22"/>
          <w:lang w:eastAsia="zh-TW"/>
        </w:rPr>
        <w:t xml:space="preserve"> </w:t>
      </w:r>
      <w:r w:rsidRPr="003E481C">
        <w:rPr>
          <w:szCs w:val="22"/>
          <w:lang w:eastAsia="zh-TW"/>
        </w:rPr>
        <w:t xml:space="preserve">D., </w:t>
      </w:r>
      <w:r>
        <w:rPr>
          <w:szCs w:val="22"/>
          <w:lang w:eastAsia="zh-TW"/>
        </w:rPr>
        <w:t xml:space="preserve">J. C. </w:t>
      </w:r>
      <w:r w:rsidRPr="003E481C">
        <w:rPr>
          <w:szCs w:val="22"/>
          <w:lang w:eastAsia="zh-TW"/>
        </w:rPr>
        <w:t xml:space="preserve">Steyaert, </w:t>
      </w:r>
      <w:r>
        <w:rPr>
          <w:szCs w:val="22"/>
          <w:lang w:eastAsia="zh-TW"/>
        </w:rPr>
        <w:t xml:space="preserve">L. </w:t>
      </w:r>
      <w:r w:rsidRPr="003E481C">
        <w:rPr>
          <w:szCs w:val="22"/>
          <w:lang w:eastAsia="zh-TW"/>
        </w:rPr>
        <w:t>Condon</w:t>
      </w:r>
      <w:r>
        <w:rPr>
          <w:szCs w:val="22"/>
          <w:lang w:eastAsia="zh-TW"/>
        </w:rPr>
        <w:t>,</w:t>
      </w:r>
      <w:r w:rsidRPr="003E481C">
        <w:rPr>
          <w:szCs w:val="22"/>
          <w:lang w:eastAsia="zh-TW"/>
        </w:rPr>
        <w:t xml:space="preserve"> and </w:t>
      </w:r>
      <w:r>
        <w:rPr>
          <w:szCs w:val="22"/>
          <w:lang w:eastAsia="zh-TW"/>
        </w:rPr>
        <w:t xml:space="preserve">N. </w:t>
      </w:r>
      <w:r w:rsidRPr="003E481C">
        <w:rPr>
          <w:szCs w:val="22"/>
          <w:lang w:eastAsia="zh-TW"/>
        </w:rPr>
        <w:t xml:space="preserve">Voisin </w:t>
      </w:r>
      <w:r>
        <w:rPr>
          <w:szCs w:val="22"/>
          <w:lang w:eastAsia="zh-TW"/>
        </w:rPr>
        <w:t>(</w:t>
      </w:r>
      <w:r w:rsidRPr="003E481C">
        <w:rPr>
          <w:szCs w:val="22"/>
          <w:lang w:eastAsia="zh-TW"/>
        </w:rPr>
        <w:t>2021</w:t>
      </w:r>
      <w:r>
        <w:rPr>
          <w:szCs w:val="22"/>
          <w:lang w:eastAsia="zh-TW"/>
        </w:rPr>
        <w:t>),</w:t>
      </w:r>
      <w:r w:rsidRPr="003E481C">
        <w:rPr>
          <w:szCs w:val="22"/>
          <w:lang w:eastAsia="zh-TW"/>
        </w:rPr>
        <w:t xml:space="preserve"> Water </w:t>
      </w:r>
      <w:r>
        <w:rPr>
          <w:szCs w:val="22"/>
          <w:lang w:eastAsia="zh-TW"/>
        </w:rPr>
        <w:t>S</w:t>
      </w:r>
      <w:r w:rsidRPr="003E481C">
        <w:rPr>
          <w:szCs w:val="22"/>
          <w:lang w:eastAsia="zh-TW"/>
        </w:rPr>
        <w:t xml:space="preserve">torage and </w:t>
      </w:r>
      <w:r>
        <w:rPr>
          <w:szCs w:val="22"/>
          <w:lang w:eastAsia="zh-TW"/>
        </w:rPr>
        <w:t>R</w:t>
      </w:r>
      <w:r w:rsidRPr="003E481C">
        <w:rPr>
          <w:szCs w:val="22"/>
          <w:lang w:eastAsia="zh-TW"/>
        </w:rPr>
        <w:t xml:space="preserve">elease </w:t>
      </w:r>
      <w:r>
        <w:rPr>
          <w:szCs w:val="22"/>
          <w:lang w:eastAsia="zh-TW"/>
        </w:rPr>
        <w:t>P</w:t>
      </w:r>
      <w:r w:rsidRPr="003E481C">
        <w:rPr>
          <w:szCs w:val="22"/>
          <w:lang w:eastAsia="zh-TW"/>
        </w:rPr>
        <w:t xml:space="preserve">olicies for </w:t>
      </w:r>
      <w:r>
        <w:rPr>
          <w:szCs w:val="22"/>
          <w:lang w:eastAsia="zh-TW"/>
        </w:rPr>
        <w:t>A</w:t>
      </w:r>
      <w:r w:rsidRPr="003E481C">
        <w:rPr>
          <w:szCs w:val="22"/>
          <w:lang w:eastAsia="zh-TW"/>
        </w:rPr>
        <w:t xml:space="preserve">ll </w:t>
      </w:r>
      <w:r>
        <w:rPr>
          <w:szCs w:val="22"/>
          <w:lang w:eastAsia="zh-TW"/>
        </w:rPr>
        <w:t>L</w:t>
      </w:r>
      <w:r w:rsidRPr="003E481C">
        <w:rPr>
          <w:szCs w:val="22"/>
          <w:lang w:eastAsia="zh-TW"/>
        </w:rPr>
        <w:t xml:space="preserve">arge </w:t>
      </w:r>
      <w:r>
        <w:rPr>
          <w:szCs w:val="22"/>
          <w:lang w:eastAsia="zh-TW"/>
        </w:rPr>
        <w:t>R</w:t>
      </w:r>
      <w:r w:rsidRPr="003E481C">
        <w:rPr>
          <w:szCs w:val="22"/>
          <w:lang w:eastAsia="zh-TW"/>
        </w:rPr>
        <w:t xml:space="preserve">eservoirs of </w:t>
      </w:r>
      <w:r>
        <w:rPr>
          <w:szCs w:val="22"/>
          <w:lang w:eastAsia="zh-TW"/>
        </w:rPr>
        <w:t>C</w:t>
      </w:r>
      <w:r w:rsidRPr="003E481C">
        <w:rPr>
          <w:szCs w:val="22"/>
          <w:lang w:eastAsia="zh-TW"/>
        </w:rPr>
        <w:t>onterminous United States</w:t>
      </w:r>
      <w:r>
        <w:rPr>
          <w:szCs w:val="22"/>
          <w:lang w:eastAsia="zh-TW"/>
        </w:rPr>
        <w:t>,</w:t>
      </w:r>
      <w:r w:rsidRPr="003E481C">
        <w:rPr>
          <w:szCs w:val="22"/>
          <w:lang w:eastAsia="zh-TW"/>
        </w:rPr>
        <w:t xml:space="preserve"> </w:t>
      </w:r>
      <w:r w:rsidRPr="003E481C">
        <w:rPr>
          <w:i/>
          <w:iCs/>
          <w:szCs w:val="22"/>
          <w:lang w:eastAsia="zh-TW"/>
        </w:rPr>
        <w:t>J. Hydrol.</w:t>
      </w:r>
      <w:r>
        <w:rPr>
          <w:szCs w:val="22"/>
          <w:lang w:eastAsia="zh-TW"/>
        </w:rPr>
        <w:t>,</w:t>
      </w:r>
      <w:r w:rsidRPr="003E481C">
        <w:rPr>
          <w:szCs w:val="22"/>
          <w:lang w:eastAsia="zh-TW"/>
        </w:rPr>
        <w:t xml:space="preserve"> </w:t>
      </w:r>
      <w:r w:rsidRPr="003E481C">
        <w:rPr>
          <w:i/>
          <w:iCs/>
          <w:szCs w:val="22"/>
          <w:lang w:eastAsia="zh-TW"/>
        </w:rPr>
        <w:t>603</w:t>
      </w:r>
      <w:r w:rsidRPr="003E481C">
        <w:rPr>
          <w:szCs w:val="22"/>
          <w:lang w:eastAsia="zh-TW"/>
        </w:rPr>
        <w:t>, 126843</w:t>
      </w:r>
      <w:r>
        <w:rPr>
          <w:szCs w:val="22"/>
          <w:lang w:eastAsia="zh-TW"/>
        </w:rPr>
        <w:t xml:space="preserve">, </w:t>
      </w:r>
      <w:hyperlink r:id="rId404" w:history="1">
        <w:r w:rsidR="005A182A" w:rsidRPr="00E00258">
          <w:rPr>
            <w:rStyle w:val="Hyperlink"/>
            <w:szCs w:val="22"/>
            <w:lang w:eastAsia="zh-TW"/>
          </w:rPr>
          <w:t>https://doi.org/10.1016/j.jhydrol.2021.126843</w:t>
        </w:r>
      </w:hyperlink>
      <w:r>
        <w:rPr>
          <w:szCs w:val="22"/>
          <w:lang w:eastAsia="zh-TW"/>
        </w:rPr>
        <w:t>.</w:t>
      </w:r>
    </w:p>
    <w:p w14:paraId="29104419" w14:textId="7361DB83" w:rsidR="003F484F" w:rsidRDefault="003F484F" w:rsidP="003F484F">
      <w:pPr>
        <w:pStyle w:val="Refs"/>
        <w:ind w:left="360" w:hanging="360"/>
        <w:rPr>
          <w:szCs w:val="22"/>
          <w:lang w:eastAsia="zh-TW"/>
        </w:rPr>
      </w:pPr>
      <w:r w:rsidRPr="00872B39">
        <w:rPr>
          <w:szCs w:val="22"/>
          <w:lang w:eastAsia="zh-TW"/>
        </w:rPr>
        <w:t xml:space="preserve">Udall, B., and J. Overpeck (2017), The Twenty-first Century Colorado River Hot Drought and Implications for the Future, </w:t>
      </w:r>
      <w:r w:rsidRPr="000A453C">
        <w:rPr>
          <w:i/>
          <w:iCs/>
          <w:szCs w:val="22"/>
          <w:lang w:eastAsia="zh-TW"/>
        </w:rPr>
        <w:t>Water Resour. Res.</w:t>
      </w:r>
      <w:r w:rsidRPr="00872B39">
        <w:rPr>
          <w:szCs w:val="22"/>
          <w:lang w:eastAsia="zh-TW"/>
        </w:rPr>
        <w:t xml:space="preserve">, </w:t>
      </w:r>
      <w:r w:rsidRPr="000A453C">
        <w:rPr>
          <w:i/>
          <w:iCs/>
          <w:szCs w:val="22"/>
          <w:lang w:eastAsia="zh-TW"/>
        </w:rPr>
        <w:t>53</w:t>
      </w:r>
      <w:r w:rsidRPr="00872B39">
        <w:rPr>
          <w:szCs w:val="22"/>
          <w:lang w:eastAsia="zh-TW"/>
        </w:rPr>
        <w:t xml:space="preserve">, 2404–2418, </w:t>
      </w:r>
      <w:hyperlink r:id="rId405" w:history="1">
        <w:r w:rsidR="005A182A" w:rsidRPr="00E00258">
          <w:rPr>
            <w:rStyle w:val="Hyperlink"/>
            <w:szCs w:val="22"/>
            <w:lang w:eastAsia="zh-TW"/>
          </w:rPr>
          <w:t>https://doi.org/10.1002/2016WR019638</w:t>
        </w:r>
      </w:hyperlink>
      <w:r w:rsidRPr="00872B39">
        <w:rPr>
          <w:szCs w:val="22"/>
          <w:lang w:eastAsia="zh-TW"/>
        </w:rPr>
        <w:t>.</w:t>
      </w:r>
    </w:p>
    <w:p w14:paraId="3804B762" w14:textId="52357D3A" w:rsidR="005742FD" w:rsidRPr="00976056" w:rsidRDefault="005742FD" w:rsidP="006E55F4">
      <w:pPr>
        <w:pStyle w:val="Refs"/>
        <w:ind w:left="360" w:hanging="360"/>
        <w:rPr>
          <w:szCs w:val="22"/>
          <w:lang w:eastAsia="zh-TW"/>
        </w:rPr>
      </w:pPr>
      <w:r w:rsidRPr="00976056">
        <w:rPr>
          <w:szCs w:val="22"/>
          <w:lang w:eastAsia="zh-TW"/>
        </w:rPr>
        <w:t xml:space="preserve">Uría Martínez, R., M. M. Johnson, and R. Shan (2021), </w:t>
      </w:r>
      <w:r w:rsidRPr="00976056">
        <w:rPr>
          <w:i/>
          <w:szCs w:val="22"/>
          <w:lang w:eastAsia="zh-TW"/>
        </w:rPr>
        <w:t>U.S. Hydropower Market Report (January 2021 edition)</w:t>
      </w:r>
      <w:r w:rsidRPr="00976056">
        <w:rPr>
          <w:szCs w:val="22"/>
          <w:lang w:eastAsia="zh-TW"/>
        </w:rPr>
        <w:t xml:space="preserve">, DOE/EE-2088, ORNL/SPR-2021/1782, US Department of Energy Wind and Water Power Technologies Office, Washington, DC, </w:t>
      </w:r>
      <w:hyperlink r:id="rId406" w:history="1">
        <w:r w:rsidR="005A182A" w:rsidRPr="00E00258">
          <w:rPr>
            <w:rStyle w:val="Hyperlink"/>
            <w:szCs w:val="22"/>
            <w:lang w:eastAsia="zh-TW"/>
          </w:rPr>
          <w:t>https://doi.org/10.2172/1763453</w:t>
        </w:r>
      </w:hyperlink>
      <w:r w:rsidRPr="00976056">
        <w:rPr>
          <w:szCs w:val="22"/>
          <w:lang w:eastAsia="zh-TW"/>
        </w:rPr>
        <w:t>.</w:t>
      </w:r>
    </w:p>
    <w:p w14:paraId="27FC06FD" w14:textId="5D503272" w:rsidR="005742FD" w:rsidRPr="00976056" w:rsidRDefault="005742FD" w:rsidP="002A0682">
      <w:pPr>
        <w:pStyle w:val="Refs"/>
        <w:ind w:left="360" w:hanging="360"/>
        <w:rPr>
          <w:szCs w:val="22"/>
          <w:lang w:eastAsia="zh-TW"/>
        </w:rPr>
      </w:pPr>
      <w:r w:rsidRPr="00976056">
        <w:rPr>
          <w:szCs w:val="22"/>
          <w:lang w:eastAsia="zh-TW"/>
        </w:rPr>
        <w:t>Uría Martínez, R., P. W. O</w:t>
      </w:r>
      <w:r w:rsidR="00805545">
        <w:rPr>
          <w:szCs w:val="22"/>
          <w:lang w:eastAsia="zh-TW"/>
        </w:rPr>
        <w:t>’</w:t>
      </w:r>
      <w:r w:rsidRPr="00976056">
        <w:rPr>
          <w:szCs w:val="22"/>
          <w:lang w:eastAsia="zh-TW"/>
        </w:rPr>
        <w:t xml:space="preserve">Connor, and M. M. Johnson (2015), </w:t>
      </w:r>
      <w:r w:rsidRPr="00976056">
        <w:rPr>
          <w:i/>
          <w:szCs w:val="22"/>
          <w:lang w:eastAsia="zh-TW"/>
        </w:rPr>
        <w:t>2014 Hydropower Market Report</w:t>
      </w:r>
      <w:r w:rsidRPr="00976056">
        <w:rPr>
          <w:szCs w:val="22"/>
          <w:lang w:eastAsia="zh-TW"/>
        </w:rPr>
        <w:t xml:space="preserve">, DOE/EE-1195, US Department of Energy Wind and Water Power Technologies Office, Washington, DC, </w:t>
      </w:r>
      <w:hyperlink r:id="rId407" w:history="1">
        <w:r w:rsidR="005A182A" w:rsidRPr="00E00258">
          <w:rPr>
            <w:rStyle w:val="Hyperlink"/>
            <w:szCs w:val="22"/>
            <w:lang w:eastAsia="zh-TW"/>
          </w:rPr>
          <w:t>https://doi.org/10.21951/1515038</w:t>
        </w:r>
      </w:hyperlink>
      <w:r w:rsidRPr="00976056">
        <w:rPr>
          <w:szCs w:val="22"/>
          <w:lang w:eastAsia="zh-TW"/>
        </w:rPr>
        <w:t>.</w:t>
      </w:r>
    </w:p>
    <w:p w14:paraId="0AA4F054" w14:textId="66EFB2D9" w:rsidR="005742FD" w:rsidRPr="00976056" w:rsidRDefault="005742FD" w:rsidP="008E741A">
      <w:pPr>
        <w:pStyle w:val="Refs"/>
        <w:ind w:left="360" w:hanging="360"/>
        <w:rPr>
          <w:szCs w:val="22"/>
          <w:lang w:eastAsia="zh-TW"/>
        </w:rPr>
      </w:pPr>
      <w:r w:rsidRPr="00976056">
        <w:rPr>
          <w:szCs w:val="22"/>
          <w:lang w:eastAsia="zh-TW"/>
        </w:rPr>
        <w:t xml:space="preserve">van Vliet, M. T. H., J. R. Yearsley, F. Ludwig, S. Vögele, D. P. Lettenmaier, and O. Kabat (2012), Vulnerability of US and European Electricity Supply to Climate Change, </w:t>
      </w:r>
      <w:r w:rsidRPr="00976056">
        <w:rPr>
          <w:i/>
          <w:iCs/>
          <w:szCs w:val="22"/>
          <w:lang w:eastAsia="zh-TW"/>
        </w:rPr>
        <w:t>Nature Clim. Change</w:t>
      </w:r>
      <w:r w:rsidRPr="00976056">
        <w:rPr>
          <w:szCs w:val="22"/>
          <w:lang w:eastAsia="zh-TW"/>
        </w:rPr>
        <w:t xml:space="preserve">, </w:t>
      </w:r>
      <w:r w:rsidRPr="00976056">
        <w:rPr>
          <w:i/>
          <w:iCs/>
          <w:szCs w:val="22"/>
          <w:lang w:eastAsia="zh-TW"/>
        </w:rPr>
        <w:t>2</w:t>
      </w:r>
      <w:r w:rsidRPr="00976056">
        <w:rPr>
          <w:szCs w:val="22"/>
          <w:lang w:eastAsia="zh-TW"/>
        </w:rPr>
        <w:t xml:space="preserve">, 676–681, </w:t>
      </w:r>
      <w:hyperlink r:id="rId408" w:history="1">
        <w:r w:rsidR="005A182A" w:rsidRPr="00E00258">
          <w:rPr>
            <w:rStyle w:val="Hyperlink"/>
            <w:szCs w:val="22"/>
            <w:lang w:eastAsia="zh-TW"/>
          </w:rPr>
          <w:t>https://doi.org/10.1038/nclimate1546</w:t>
        </w:r>
      </w:hyperlink>
      <w:r w:rsidRPr="00976056">
        <w:rPr>
          <w:szCs w:val="22"/>
          <w:lang w:eastAsia="zh-TW"/>
        </w:rPr>
        <w:t>.</w:t>
      </w:r>
    </w:p>
    <w:p w14:paraId="74A486E0" w14:textId="0AB290F7" w:rsidR="005742FD" w:rsidRPr="00976056" w:rsidRDefault="005742FD" w:rsidP="006E55F4">
      <w:pPr>
        <w:pStyle w:val="Refs"/>
        <w:ind w:left="360" w:hanging="360"/>
        <w:rPr>
          <w:szCs w:val="22"/>
          <w:lang w:eastAsia="zh-TW"/>
        </w:rPr>
      </w:pPr>
      <w:r w:rsidRPr="00976056">
        <w:rPr>
          <w:szCs w:val="22"/>
          <w:lang w:eastAsia="zh-TW"/>
        </w:rPr>
        <w:t xml:space="preserve">Viger, R., and A. Bock (2014), </w:t>
      </w:r>
      <w:r w:rsidRPr="00976056">
        <w:rPr>
          <w:i/>
          <w:iCs/>
          <w:szCs w:val="22"/>
          <w:lang w:eastAsia="zh-TW"/>
        </w:rPr>
        <w:t>GIS Features of the Geospatial Fabric for National Hydrologic Modeling</w:t>
      </w:r>
      <w:r w:rsidRPr="00976056">
        <w:rPr>
          <w:szCs w:val="22"/>
          <w:lang w:eastAsia="zh-TW"/>
        </w:rPr>
        <w:t xml:space="preserve">, US Geological Survey, </w:t>
      </w:r>
      <w:hyperlink r:id="rId409" w:history="1">
        <w:r w:rsidR="005A182A" w:rsidRPr="00E00258">
          <w:rPr>
            <w:rStyle w:val="Hyperlink"/>
            <w:szCs w:val="22"/>
            <w:lang w:eastAsia="zh-TW"/>
          </w:rPr>
          <w:t>https://doi.org/10.5066/F7542KMD</w:t>
        </w:r>
      </w:hyperlink>
      <w:r w:rsidRPr="00976056">
        <w:rPr>
          <w:szCs w:val="22"/>
          <w:lang w:eastAsia="zh-TW"/>
        </w:rPr>
        <w:t>.</w:t>
      </w:r>
    </w:p>
    <w:p w14:paraId="66D740B3" w14:textId="0E554148" w:rsidR="005742FD" w:rsidRPr="00976056" w:rsidRDefault="005742FD" w:rsidP="008E741A">
      <w:pPr>
        <w:pStyle w:val="Refs"/>
        <w:ind w:left="360" w:hanging="360"/>
        <w:rPr>
          <w:szCs w:val="22"/>
          <w:lang w:eastAsia="zh-TW"/>
        </w:rPr>
      </w:pPr>
      <w:r w:rsidRPr="00976056">
        <w:rPr>
          <w:szCs w:val="22"/>
          <w:lang w:eastAsia="zh-TW"/>
        </w:rPr>
        <w:t xml:space="preserve">Voisin, N., H.-Y. Li, D. Ward, M. Huang, M. Wigmosta, and L. R. Leung (2013a), On an Improved Sub-regional Water Resources Management Representation for Integration into Earth System Models, </w:t>
      </w:r>
      <w:r w:rsidRPr="00976056">
        <w:rPr>
          <w:i/>
          <w:iCs/>
          <w:szCs w:val="22"/>
          <w:lang w:eastAsia="zh-TW"/>
        </w:rPr>
        <w:t>Hydrol. Earth Syst. Sci.</w:t>
      </w:r>
      <w:r w:rsidRPr="00976056">
        <w:rPr>
          <w:szCs w:val="22"/>
          <w:lang w:eastAsia="zh-TW"/>
        </w:rPr>
        <w:t xml:space="preserve">, </w:t>
      </w:r>
      <w:r w:rsidRPr="00976056">
        <w:rPr>
          <w:i/>
          <w:iCs/>
          <w:szCs w:val="22"/>
          <w:lang w:eastAsia="zh-TW"/>
        </w:rPr>
        <w:t>17</w:t>
      </w:r>
      <w:r w:rsidRPr="00976056">
        <w:rPr>
          <w:szCs w:val="22"/>
          <w:lang w:eastAsia="zh-TW"/>
        </w:rPr>
        <w:t xml:space="preserve">, 3605–3622, </w:t>
      </w:r>
      <w:hyperlink r:id="rId410" w:history="1">
        <w:r w:rsidR="005A182A" w:rsidRPr="00E00258">
          <w:rPr>
            <w:rStyle w:val="Hyperlink"/>
            <w:szCs w:val="22"/>
            <w:lang w:eastAsia="zh-TW"/>
          </w:rPr>
          <w:t>https://doi.org/10.5194/hess-17-3605-2013</w:t>
        </w:r>
      </w:hyperlink>
      <w:r w:rsidRPr="00976056">
        <w:rPr>
          <w:szCs w:val="22"/>
          <w:lang w:eastAsia="zh-TW"/>
        </w:rPr>
        <w:t>.</w:t>
      </w:r>
    </w:p>
    <w:p w14:paraId="6ADA00A5" w14:textId="3B01BEA0" w:rsidR="005742FD" w:rsidRPr="00976056" w:rsidRDefault="005742FD" w:rsidP="008E741A">
      <w:pPr>
        <w:pStyle w:val="Refs"/>
        <w:ind w:left="360" w:hanging="360"/>
        <w:rPr>
          <w:szCs w:val="22"/>
          <w:lang w:eastAsia="zh-TW"/>
        </w:rPr>
      </w:pPr>
      <w:r w:rsidRPr="00976056">
        <w:rPr>
          <w:szCs w:val="22"/>
          <w:lang w:eastAsia="zh-TW"/>
        </w:rPr>
        <w:t xml:space="preserve">Voisin, N., L. Liu, M. Hejazi, T. Tesfa, H.-Y. Li, M. Huang, Y. Liu, and L. R. Leung (2013b), One-way Coupling of an Integrated Assessment Model and a Water Resources Model: Evaluation and Implications of Future Changes over the US Midwest, </w:t>
      </w:r>
      <w:r w:rsidRPr="00976056">
        <w:rPr>
          <w:i/>
          <w:iCs/>
          <w:szCs w:val="22"/>
          <w:lang w:eastAsia="zh-TW"/>
        </w:rPr>
        <w:t>Hydrol. Earth Syst. Sci.</w:t>
      </w:r>
      <w:r w:rsidRPr="00976056">
        <w:rPr>
          <w:szCs w:val="22"/>
          <w:lang w:eastAsia="zh-TW"/>
        </w:rPr>
        <w:t xml:space="preserve">, </w:t>
      </w:r>
      <w:r w:rsidRPr="00976056">
        <w:rPr>
          <w:i/>
          <w:iCs/>
          <w:szCs w:val="22"/>
          <w:lang w:eastAsia="zh-TW"/>
        </w:rPr>
        <w:t>17</w:t>
      </w:r>
      <w:r w:rsidRPr="00976056">
        <w:rPr>
          <w:szCs w:val="22"/>
          <w:lang w:eastAsia="zh-TW"/>
        </w:rPr>
        <w:t xml:space="preserve">, 4555–4575, </w:t>
      </w:r>
      <w:hyperlink r:id="rId411" w:history="1">
        <w:r w:rsidR="005A182A" w:rsidRPr="00E00258">
          <w:rPr>
            <w:rStyle w:val="Hyperlink"/>
            <w:szCs w:val="22"/>
            <w:lang w:eastAsia="zh-TW"/>
          </w:rPr>
          <w:t>https://doi.org/10.5194/hess-17-4555-2013</w:t>
        </w:r>
      </w:hyperlink>
      <w:r w:rsidRPr="00976056">
        <w:rPr>
          <w:szCs w:val="22"/>
          <w:lang w:eastAsia="zh-TW"/>
        </w:rPr>
        <w:t>.</w:t>
      </w:r>
    </w:p>
    <w:p w14:paraId="4857B02E" w14:textId="3317C03D" w:rsidR="005742FD" w:rsidRPr="00976056" w:rsidRDefault="005742FD" w:rsidP="00FF5C14">
      <w:pPr>
        <w:pStyle w:val="Refs"/>
        <w:ind w:left="360" w:hanging="360"/>
        <w:rPr>
          <w:szCs w:val="22"/>
          <w:lang w:eastAsia="zh-TW"/>
        </w:rPr>
      </w:pPr>
      <w:r w:rsidRPr="00976056">
        <w:rPr>
          <w:szCs w:val="22"/>
          <w:lang w:eastAsia="zh-TW"/>
        </w:rPr>
        <w:t xml:space="preserve">Voisin, N., M. I. Hejazi, L. R. Leung, L. Liu, M. Huang, H.-Y. Li, and T. Tesfa (2017), Effects of Spatially Distributed Sectoral Water Management on the Redistribution of Water Resources in an Integrated Water Model, </w:t>
      </w:r>
      <w:r w:rsidRPr="00976056">
        <w:rPr>
          <w:i/>
          <w:iCs/>
          <w:szCs w:val="22"/>
          <w:lang w:eastAsia="zh-TW"/>
        </w:rPr>
        <w:t>Water Resour. Res.</w:t>
      </w:r>
      <w:r w:rsidRPr="00976056">
        <w:rPr>
          <w:szCs w:val="22"/>
          <w:lang w:eastAsia="zh-TW"/>
        </w:rPr>
        <w:t xml:space="preserve">, </w:t>
      </w:r>
      <w:r w:rsidRPr="00976056">
        <w:rPr>
          <w:i/>
          <w:iCs/>
          <w:szCs w:val="22"/>
          <w:lang w:eastAsia="zh-TW"/>
        </w:rPr>
        <w:t>53</w:t>
      </w:r>
      <w:r w:rsidRPr="00976056">
        <w:rPr>
          <w:szCs w:val="22"/>
          <w:lang w:eastAsia="zh-TW"/>
        </w:rPr>
        <w:t xml:space="preserve">, 4253–4270, </w:t>
      </w:r>
      <w:hyperlink r:id="rId412" w:history="1">
        <w:r w:rsidR="005A182A" w:rsidRPr="00E00258">
          <w:rPr>
            <w:rStyle w:val="Hyperlink"/>
            <w:szCs w:val="22"/>
            <w:lang w:eastAsia="zh-TW"/>
          </w:rPr>
          <w:t>https://doi.org/10.1002/2016WR019767</w:t>
        </w:r>
      </w:hyperlink>
      <w:r w:rsidRPr="00976056">
        <w:rPr>
          <w:szCs w:val="22"/>
          <w:lang w:eastAsia="zh-TW"/>
        </w:rPr>
        <w:t>.</w:t>
      </w:r>
    </w:p>
    <w:p w14:paraId="670EA076" w14:textId="522F42F1" w:rsidR="005742FD" w:rsidRDefault="005742FD" w:rsidP="008E741A">
      <w:pPr>
        <w:pStyle w:val="Refs"/>
        <w:ind w:left="360" w:hanging="360"/>
        <w:rPr>
          <w:szCs w:val="22"/>
          <w:lang w:eastAsia="zh-TW"/>
        </w:rPr>
      </w:pPr>
      <w:r w:rsidRPr="00976056">
        <w:rPr>
          <w:szCs w:val="22"/>
          <w:lang w:eastAsia="zh-TW"/>
        </w:rPr>
        <w:t xml:space="preserve">Walker, M. D., and N. S. Diffenbaugh (2009), Evaluation of High-resolution Simulations of Daily-scale Temperature and Precipitation Over the United States, </w:t>
      </w:r>
      <w:r w:rsidRPr="00976056">
        <w:rPr>
          <w:i/>
          <w:iCs/>
          <w:szCs w:val="22"/>
          <w:lang w:eastAsia="zh-TW"/>
        </w:rPr>
        <w:t>Clim. Dyn.</w:t>
      </w:r>
      <w:r w:rsidRPr="00976056">
        <w:rPr>
          <w:szCs w:val="22"/>
          <w:lang w:eastAsia="zh-TW"/>
        </w:rPr>
        <w:t xml:space="preserve">, </w:t>
      </w:r>
      <w:r w:rsidRPr="00976056">
        <w:rPr>
          <w:i/>
          <w:iCs/>
          <w:szCs w:val="22"/>
          <w:lang w:eastAsia="zh-TW"/>
        </w:rPr>
        <w:t>33</w:t>
      </w:r>
      <w:r w:rsidRPr="00976056">
        <w:rPr>
          <w:szCs w:val="22"/>
          <w:lang w:eastAsia="zh-TW"/>
        </w:rPr>
        <w:t xml:space="preserve">(7–8), 1131–1147, </w:t>
      </w:r>
      <w:hyperlink r:id="rId413" w:history="1">
        <w:r w:rsidR="005A182A" w:rsidRPr="00E00258">
          <w:rPr>
            <w:rStyle w:val="Hyperlink"/>
            <w:szCs w:val="22"/>
            <w:lang w:eastAsia="zh-TW"/>
          </w:rPr>
          <w:t>https://doi.org/10.1007/s00382-009-0603-y</w:t>
        </w:r>
      </w:hyperlink>
      <w:r w:rsidRPr="00976056">
        <w:rPr>
          <w:szCs w:val="22"/>
          <w:lang w:eastAsia="zh-TW"/>
        </w:rPr>
        <w:t>.</w:t>
      </w:r>
    </w:p>
    <w:p w14:paraId="1B17461C" w14:textId="6BF45E96" w:rsidR="009C79B0" w:rsidRPr="00976056" w:rsidRDefault="009C79B0" w:rsidP="008E741A">
      <w:pPr>
        <w:pStyle w:val="Refs"/>
        <w:ind w:left="360" w:hanging="360"/>
        <w:rPr>
          <w:szCs w:val="22"/>
          <w:lang w:eastAsia="zh-TW"/>
        </w:rPr>
      </w:pPr>
      <w:r w:rsidRPr="009C79B0">
        <w:rPr>
          <w:szCs w:val="22"/>
          <w:lang w:eastAsia="zh-TW"/>
        </w:rPr>
        <w:t xml:space="preserve">Walton, D., </w:t>
      </w:r>
      <w:r>
        <w:rPr>
          <w:szCs w:val="22"/>
          <w:lang w:eastAsia="zh-TW"/>
        </w:rPr>
        <w:t>and</w:t>
      </w:r>
      <w:r w:rsidRPr="009C79B0">
        <w:rPr>
          <w:szCs w:val="22"/>
          <w:lang w:eastAsia="zh-TW"/>
        </w:rPr>
        <w:t xml:space="preserve"> </w:t>
      </w:r>
      <w:r>
        <w:rPr>
          <w:szCs w:val="22"/>
          <w:lang w:eastAsia="zh-TW"/>
        </w:rPr>
        <w:t xml:space="preserve">A. </w:t>
      </w:r>
      <w:r w:rsidRPr="009C79B0">
        <w:rPr>
          <w:szCs w:val="22"/>
          <w:lang w:eastAsia="zh-TW"/>
        </w:rPr>
        <w:t>Hall (2018)</w:t>
      </w:r>
      <w:r>
        <w:rPr>
          <w:szCs w:val="22"/>
          <w:lang w:eastAsia="zh-TW"/>
        </w:rPr>
        <w:t>,</w:t>
      </w:r>
      <w:r w:rsidRPr="009C79B0">
        <w:rPr>
          <w:szCs w:val="22"/>
          <w:lang w:eastAsia="zh-TW"/>
        </w:rPr>
        <w:t xml:space="preserve"> An </w:t>
      </w:r>
      <w:r>
        <w:rPr>
          <w:szCs w:val="22"/>
          <w:lang w:eastAsia="zh-TW"/>
        </w:rPr>
        <w:t>A</w:t>
      </w:r>
      <w:r w:rsidRPr="009C79B0">
        <w:rPr>
          <w:szCs w:val="22"/>
          <w:lang w:eastAsia="zh-TW"/>
        </w:rPr>
        <w:t xml:space="preserve">ssessment of </w:t>
      </w:r>
      <w:r>
        <w:rPr>
          <w:szCs w:val="22"/>
          <w:lang w:eastAsia="zh-TW"/>
        </w:rPr>
        <w:t>H</w:t>
      </w:r>
      <w:r w:rsidRPr="009C79B0">
        <w:rPr>
          <w:szCs w:val="22"/>
          <w:lang w:eastAsia="zh-TW"/>
        </w:rPr>
        <w:t xml:space="preserve">igh-resolution </w:t>
      </w:r>
      <w:r>
        <w:rPr>
          <w:szCs w:val="22"/>
          <w:lang w:eastAsia="zh-TW"/>
        </w:rPr>
        <w:t>G</w:t>
      </w:r>
      <w:r w:rsidRPr="009C79B0">
        <w:rPr>
          <w:szCs w:val="22"/>
          <w:lang w:eastAsia="zh-TW"/>
        </w:rPr>
        <w:t xml:space="preserve">ridded </w:t>
      </w:r>
      <w:r>
        <w:rPr>
          <w:szCs w:val="22"/>
          <w:lang w:eastAsia="zh-TW"/>
        </w:rPr>
        <w:t>T</w:t>
      </w:r>
      <w:r w:rsidRPr="009C79B0">
        <w:rPr>
          <w:szCs w:val="22"/>
          <w:lang w:eastAsia="zh-TW"/>
        </w:rPr>
        <w:t>emperature</w:t>
      </w:r>
      <w:r w:rsidR="00D64187">
        <w:rPr>
          <w:szCs w:val="22"/>
          <w:lang w:eastAsia="zh-TW"/>
        </w:rPr>
        <w:t xml:space="preserve"> </w:t>
      </w:r>
      <w:r w:rsidR="005606E5">
        <w:rPr>
          <w:szCs w:val="22"/>
          <w:lang w:eastAsia="zh-TW"/>
        </w:rPr>
        <w:t>data sets</w:t>
      </w:r>
      <w:r w:rsidR="00D64187">
        <w:rPr>
          <w:szCs w:val="22"/>
          <w:lang w:eastAsia="zh-TW"/>
        </w:rPr>
        <w:t xml:space="preserve"> </w:t>
      </w:r>
      <w:r>
        <w:rPr>
          <w:szCs w:val="22"/>
          <w:lang w:eastAsia="zh-TW"/>
        </w:rPr>
        <w:t>O</w:t>
      </w:r>
      <w:r w:rsidRPr="009C79B0">
        <w:rPr>
          <w:szCs w:val="22"/>
          <w:lang w:eastAsia="zh-TW"/>
        </w:rPr>
        <w:t>ver California</w:t>
      </w:r>
      <w:r>
        <w:rPr>
          <w:szCs w:val="22"/>
          <w:lang w:eastAsia="zh-TW"/>
        </w:rPr>
        <w:t>,</w:t>
      </w:r>
      <w:r w:rsidRPr="009C79B0">
        <w:rPr>
          <w:szCs w:val="22"/>
          <w:lang w:eastAsia="zh-TW"/>
        </w:rPr>
        <w:t xml:space="preserve"> </w:t>
      </w:r>
      <w:r w:rsidRPr="009C79B0">
        <w:rPr>
          <w:i/>
          <w:iCs/>
          <w:szCs w:val="22"/>
          <w:lang w:eastAsia="zh-TW"/>
        </w:rPr>
        <w:t>J. Clim.</w:t>
      </w:r>
      <w:r w:rsidRPr="009C79B0">
        <w:rPr>
          <w:szCs w:val="22"/>
          <w:lang w:eastAsia="zh-TW"/>
        </w:rPr>
        <w:t xml:space="preserve">, </w:t>
      </w:r>
      <w:r w:rsidRPr="009C79B0">
        <w:rPr>
          <w:i/>
          <w:iCs/>
          <w:szCs w:val="22"/>
          <w:lang w:eastAsia="zh-TW"/>
        </w:rPr>
        <w:t>31</w:t>
      </w:r>
      <w:r w:rsidRPr="009C79B0">
        <w:rPr>
          <w:szCs w:val="22"/>
          <w:lang w:eastAsia="zh-TW"/>
        </w:rPr>
        <w:t>(10), 3789</w:t>
      </w:r>
      <w:r>
        <w:rPr>
          <w:szCs w:val="22"/>
          <w:lang w:eastAsia="zh-TW"/>
        </w:rPr>
        <w:t>–</w:t>
      </w:r>
      <w:r w:rsidRPr="009C79B0">
        <w:rPr>
          <w:szCs w:val="22"/>
          <w:lang w:eastAsia="zh-TW"/>
        </w:rPr>
        <w:t>3810</w:t>
      </w:r>
      <w:r>
        <w:rPr>
          <w:szCs w:val="22"/>
          <w:lang w:eastAsia="zh-TW"/>
        </w:rPr>
        <w:t xml:space="preserve">, </w:t>
      </w:r>
      <w:hyperlink r:id="rId414" w:history="1">
        <w:r w:rsidR="005A182A" w:rsidRPr="00E00258">
          <w:rPr>
            <w:rStyle w:val="Hyperlink"/>
            <w:szCs w:val="22"/>
            <w:lang w:eastAsia="zh-TW"/>
          </w:rPr>
          <w:t>https://doi.org/10.1175/JCLI-D-17-0410.1</w:t>
        </w:r>
      </w:hyperlink>
      <w:r w:rsidR="00473366">
        <w:rPr>
          <w:szCs w:val="22"/>
          <w:lang w:eastAsia="zh-TW"/>
        </w:rPr>
        <w:t>.</w:t>
      </w:r>
    </w:p>
    <w:p w14:paraId="372EC135" w14:textId="3ACE302F" w:rsidR="005742FD" w:rsidRPr="00976056" w:rsidRDefault="005742FD" w:rsidP="008E741A">
      <w:pPr>
        <w:pStyle w:val="Refs"/>
        <w:ind w:left="360" w:hanging="360"/>
        <w:rPr>
          <w:szCs w:val="22"/>
          <w:lang w:eastAsia="zh-TW"/>
        </w:rPr>
      </w:pPr>
      <w:r w:rsidRPr="00976056">
        <w:rPr>
          <w:szCs w:val="22"/>
          <w:lang w:eastAsia="zh-TW"/>
        </w:rPr>
        <w:t xml:space="preserve">Wang, W., W. Xiao, S. Liu, N. Schultz, Y. Wang, M. Zhang, and L. Zhao (2018), Global Lake Evaporation Accelerated by Changes in Surface Energy Allocation in a Warmer Climate, </w:t>
      </w:r>
      <w:r w:rsidRPr="00976056">
        <w:rPr>
          <w:i/>
          <w:iCs/>
          <w:szCs w:val="22"/>
          <w:lang w:eastAsia="zh-TW"/>
        </w:rPr>
        <w:t>Nature Geosci.</w:t>
      </w:r>
      <w:r w:rsidRPr="00976056">
        <w:rPr>
          <w:szCs w:val="22"/>
          <w:lang w:eastAsia="zh-TW"/>
        </w:rPr>
        <w:t xml:space="preserve">, </w:t>
      </w:r>
      <w:r w:rsidRPr="00976056">
        <w:rPr>
          <w:i/>
          <w:iCs/>
          <w:szCs w:val="22"/>
          <w:lang w:eastAsia="zh-TW"/>
        </w:rPr>
        <w:t>11</w:t>
      </w:r>
      <w:r w:rsidRPr="00976056">
        <w:rPr>
          <w:szCs w:val="22"/>
          <w:lang w:eastAsia="zh-TW"/>
        </w:rPr>
        <w:t xml:space="preserve">, 410–414, </w:t>
      </w:r>
      <w:hyperlink r:id="rId415" w:history="1">
        <w:r w:rsidR="005A182A" w:rsidRPr="00E00258">
          <w:rPr>
            <w:rStyle w:val="Hyperlink"/>
            <w:szCs w:val="22"/>
            <w:lang w:eastAsia="zh-TW"/>
          </w:rPr>
          <w:t>https://doi.org/10.1038/s41561-018-0114-8</w:t>
        </w:r>
      </w:hyperlink>
      <w:r w:rsidRPr="00976056">
        <w:rPr>
          <w:szCs w:val="22"/>
          <w:lang w:eastAsia="zh-TW"/>
        </w:rPr>
        <w:t>.</w:t>
      </w:r>
    </w:p>
    <w:p w14:paraId="17B6EF24" w14:textId="6BEA0C8F" w:rsidR="005742FD" w:rsidRDefault="005742FD" w:rsidP="00C62F44">
      <w:pPr>
        <w:pStyle w:val="Refs"/>
        <w:ind w:left="360" w:hanging="360"/>
        <w:rPr>
          <w:szCs w:val="22"/>
          <w:lang w:eastAsia="zh-TW"/>
        </w:rPr>
      </w:pPr>
      <w:r w:rsidRPr="00976056">
        <w:rPr>
          <w:szCs w:val="22"/>
          <w:lang w:eastAsia="zh-TW"/>
        </w:rPr>
        <w:lastRenderedPageBreak/>
        <w:t xml:space="preserve">Werner, A. T., and A. J. Cannon (2016), Hydrologic Extremes – An Intercomparison of Multiple Gridded Statistical Downscaling Methods, </w:t>
      </w:r>
      <w:r w:rsidRPr="00976056">
        <w:rPr>
          <w:i/>
          <w:iCs/>
          <w:szCs w:val="22"/>
          <w:lang w:eastAsia="zh-TW"/>
        </w:rPr>
        <w:t>Hydrol. Earth Syst. Sci.</w:t>
      </w:r>
      <w:r w:rsidRPr="00976056">
        <w:rPr>
          <w:szCs w:val="22"/>
          <w:lang w:eastAsia="zh-TW"/>
        </w:rPr>
        <w:t xml:space="preserve">, </w:t>
      </w:r>
      <w:r w:rsidRPr="00976056">
        <w:rPr>
          <w:i/>
          <w:iCs/>
          <w:szCs w:val="22"/>
          <w:lang w:eastAsia="zh-TW"/>
        </w:rPr>
        <w:t>20</w:t>
      </w:r>
      <w:r w:rsidRPr="00976056">
        <w:rPr>
          <w:szCs w:val="22"/>
          <w:lang w:eastAsia="zh-TW"/>
        </w:rPr>
        <w:t xml:space="preserve">, 1483–1508, </w:t>
      </w:r>
      <w:hyperlink r:id="rId416" w:history="1">
        <w:r w:rsidR="005A182A" w:rsidRPr="00E00258">
          <w:rPr>
            <w:rStyle w:val="Hyperlink"/>
            <w:szCs w:val="22"/>
            <w:lang w:eastAsia="zh-TW"/>
          </w:rPr>
          <w:t>https://doi.org/10.5194/hess-20-1483-2016</w:t>
        </w:r>
      </w:hyperlink>
      <w:r w:rsidRPr="00976056">
        <w:rPr>
          <w:szCs w:val="22"/>
          <w:lang w:eastAsia="zh-TW"/>
        </w:rPr>
        <w:t>.</w:t>
      </w:r>
    </w:p>
    <w:p w14:paraId="1C759C1A" w14:textId="560D46B3" w:rsidR="006D2A2E" w:rsidRPr="00976056" w:rsidRDefault="006D2A2E" w:rsidP="00C62F44">
      <w:pPr>
        <w:pStyle w:val="Refs"/>
        <w:ind w:left="360" w:hanging="360"/>
        <w:rPr>
          <w:szCs w:val="22"/>
          <w:lang w:eastAsia="zh-TW"/>
        </w:rPr>
      </w:pPr>
      <w:r w:rsidRPr="006D2A2E">
        <w:rPr>
          <w:szCs w:val="22"/>
          <w:lang w:eastAsia="zh-TW"/>
        </w:rPr>
        <w:t>Whisnant, R.</w:t>
      </w:r>
      <w:r>
        <w:rPr>
          <w:szCs w:val="22"/>
          <w:lang w:eastAsia="zh-TW"/>
        </w:rPr>
        <w:t xml:space="preserve"> </w:t>
      </w:r>
      <w:r w:rsidRPr="006D2A2E">
        <w:rPr>
          <w:szCs w:val="22"/>
          <w:lang w:eastAsia="zh-TW"/>
        </w:rPr>
        <w:t>B., G.</w:t>
      </w:r>
      <w:r>
        <w:rPr>
          <w:szCs w:val="22"/>
          <w:lang w:eastAsia="zh-TW"/>
        </w:rPr>
        <w:t xml:space="preserve"> </w:t>
      </w:r>
      <w:r w:rsidRPr="006D2A2E">
        <w:rPr>
          <w:szCs w:val="22"/>
          <w:lang w:eastAsia="zh-TW"/>
        </w:rPr>
        <w:t>W. Characklis, M.</w:t>
      </w:r>
      <w:r>
        <w:rPr>
          <w:szCs w:val="22"/>
          <w:lang w:eastAsia="zh-TW"/>
        </w:rPr>
        <w:t xml:space="preserve"> </w:t>
      </w:r>
      <w:r w:rsidRPr="006D2A2E">
        <w:rPr>
          <w:szCs w:val="22"/>
          <w:lang w:eastAsia="zh-TW"/>
        </w:rPr>
        <w:t>W. Doyle, V.</w:t>
      </w:r>
      <w:r>
        <w:rPr>
          <w:szCs w:val="22"/>
          <w:lang w:eastAsia="zh-TW"/>
        </w:rPr>
        <w:t xml:space="preserve"> </w:t>
      </w:r>
      <w:r w:rsidRPr="006D2A2E">
        <w:rPr>
          <w:szCs w:val="22"/>
          <w:lang w:eastAsia="zh-TW"/>
        </w:rPr>
        <w:t>B. Flatt, and J.</w:t>
      </w:r>
      <w:r>
        <w:rPr>
          <w:szCs w:val="22"/>
          <w:lang w:eastAsia="zh-TW"/>
        </w:rPr>
        <w:t xml:space="preserve"> </w:t>
      </w:r>
      <w:r w:rsidRPr="006D2A2E">
        <w:rPr>
          <w:szCs w:val="22"/>
          <w:lang w:eastAsia="zh-TW"/>
        </w:rPr>
        <w:t xml:space="preserve">D. Kern </w:t>
      </w:r>
      <w:r>
        <w:rPr>
          <w:szCs w:val="22"/>
          <w:lang w:eastAsia="zh-TW"/>
        </w:rPr>
        <w:t>(</w:t>
      </w:r>
      <w:r w:rsidRPr="006D2A2E">
        <w:rPr>
          <w:szCs w:val="22"/>
          <w:lang w:eastAsia="zh-TW"/>
        </w:rPr>
        <w:t>2009</w:t>
      </w:r>
      <w:r>
        <w:rPr>
          <w:szCs w:val="22"/>
          <w:lang w:eastAsia="zh-TW"/>
        </w:rPr>
        <w:t>),</w:t>
      </w:r>
      <w:r w:rsidRPr="006D2A2E">
        <w:rPr>
          <w:szCs w:val="22"/>
          <w:lang w:eastAsia="zh-TW"/>
        </w:rPr>
        <w:t xml:space="preserve"> </w:t>
      </w:r>
      <w:r w:rsidRPr="006D2A2E">
        <w:rPr>
          <w:i/>
          <w:iCs/>
          <w:szCs w:val="22"/>
          <w:lang w:eastAsia="zh-TW"/>
        </w:rPr>
        <w:t>Operating Policies and Administrative Discretion at the John H. Kerr Project</w:t>
      </w:r>
      <w:r>
        <w:rPr>
          <w:szCs w:val="22"/>
          <w:lang w:eastAsia="zh-TW"/>
        </w:rPr>
        <w:t>,</w:t>
      </w:r>
      <w:r w:rsidRPr="006D2A2E">
        <w:rPr>
          <w:szCs w:val="22"/>
          <w:lang w:eastAsia="zh-TW"/>
        </w:rPr>
        <w:t xml:space="preserve"> Component study report pursuant to Section 216 of P.L. 91-611</w:t>
      </w:r>
      <w:r>
        <w:rPr>
          <w:szCs w:val="22"/>
          <w:lang w:eastAsia="zh-TW"/>
        </w:rPr>
        <w:t>.</w:t>
      </w:r>
    </w:p>
    <w:p w14:paraId="4D819B01" w14:textId="47784B12" w:rsidR="00872B39" w:rsidRPr="00872B39" w:rsidRDefault="00872B39" w:rsidP="00872B39">
      <w:pPr>
        <w:pStyle w:val="Refs"/>
        <w:ind w:left="360" w:hanging="360"/>
        <w:rPr>
          <w:szCs w:val="22"/>
          <w:lang w:eastAsia="zh-TW"/>
        </w:rPr>
      </w:pPr>
      <w:r w:rsidRPr="00872B39">
        <w:rPr>
          <w:szCs w:val="22"/>
          <w:lang w:eastAsia="zh-TW"/>
        </w:rPr>
        <w:t xml:space="preserve">Williams, A. P., B. I. Cook, and J. E. Smerdon (2022), Rapid Intensification of the Emerging Southwestern North American Megadrought in 2020–2021, </w:t>
      </w:r>
      <w:r w:rsidRPr="00872B39">
        <w:rPr>
          <w:i/>
          <w:iCs/>
          <w:szCs w:val="22"/>
          <w:lang w:eastAsia="zh-TW"/>
        </w:rPr>
        <w:t>Nat. Clim. Chang.</w:t>
      </w:r>
      <w:r w:rsidRPr="00872B39">
        <w:rPr>
          <w:szCs w:val="22"/>
          <w:lang w:eastAsia="zh-TW"/>
        </w:rPr>
        <w:t xml:space="preserve">, </w:t>
      </w:r>
      <w:r w:rsidR="005A182A" w:rsidRPr="005A182A">
        <w:rPr>
          <w:i/>
          <w:iCs/>
          <w:szCs w:val="22"/>
          <w:lang w:eastAsia="zh-TW"/>
        </w:rPr>
        <w:t>12</w:t>
      </w:r>
      <w:r w:rsidR="005A182A">
        <w:rPr>
          <w:szCs w:val="22"/>
          <w:lang w:eastAsia="zh-TW"/>
        </w:rPr>
        <w:t xml:space="preserve">, 232–234, </w:t>
      </w:r>
      <w:hyperlink r:id="rId417" w:history="1">
        <w:r w:rsidR="00DA3A2E" w:rsidRPr="00E00258">
          <w:rPr>
            <w:rStyle w:val="Hyperlink"/>
            <w:szCs w:val="22"/>
            <w:lang w:eastAsia="zh-TW"/>
          </w:rPr>
          <w:t>https://doi.org/10.1038/s41558-022-01290-z</w:t>
        </w:r>
      </w:hyperlink>
      <w:r w:rsidRPr="00872B39">
        <w:rPr>
          <w:szCs w:val="22"/>
          <w:lang w:eastAsia="zh-TW"/>
        </w:rPr>
        <w:t>.</w:t>
      </w:r>
    </w:p>
    <w:p w14:paraId="6000E63B" w14:textId="18D0ADCD" w:rsidR="005742FD" w:rsidRPr="00976056" w:rsidRDefault="005742FD" w:rsidP="00C62F44">
      <w:pPr>
        <w:pStyle w:val="Refs"/>
        <w:ind w:left="360" w:hanging="360"/>
        <w:rPr>
          <w:szCs w:val="22"/>
          <w:lang w:eastAsia="zh-TW"/>
        </w:rPr>
      </w:pPr>
      <w:r w:rsidRPr="00976056">
        <w:rPr>
          <w:szCs w:val="22"/>
          <w:lang w:eastAsia="zh-TW"/>
        </w:rPr>
        <w:t xml:space="preserve">Wood, A. W., L. R. Leung, V. Sridhar, and D. P. Lettenmaier (2004), Hydrologic Implications of Dynamical and Statistical Approaches to Downscaling Climate Model Outputs, </w:t>
      </w:r>
      <w:r w:rsidRPr="00976056">
        <w:rPr>
          <w:i/>
          <w:iCs/>
          <w:szCs w:val="22"/>
          <w:lang w:eastAsia="zh-TW"/>
        </w:rPr>
        <w:t>Climatic Change</w:t>
      </w:r>
      <w:r w:rsidRPr="00976056">
        <w:rPr>
          <w:szCs w:val="22"/>
          <w:lang w:eastAsia="zh-TW"/>
        </w:rPr>
        <w:t xml:space="preserve">, </w:t>
      </w:r>
      <w:r w:rsidRPr="00976056">
        <w:rPr>
          <w:i/>
          <w:iCs/>
          <w:szCs w:val="22"/>
          <w:lang w:eastAsia="zh-TW"/>
        </w:rPr>
        <w:t>62</w:t>
      </w:r>
      <w:r w:rsidRPr="00976056">
        <w:rPr>
          <w:szCs w:val="22"/>
          <w:lang w:eastAsia="zh-TW"/>
        </w:rPr>
        <w:t xml:space="preserve">(1–3), 189–216, </w:t>
      </w:r>
      <w:hyperlink r:id="rId418" w:history="1">
        <w:r w:rsidR="00DA3A2E" w:rsidRPr="00E00258">
          <w:rPr>
            <w:rStyle w:val="Hyperlink"/>
            <w:szCs w:val="22"/>
            <w:lang w:eastAsia="zh-TW"/>
          </w:rPr>
          <w:t>https://doi.org/10.1023/B:CLIM.0000013685.99609.9e</w:t>
        </w:r>
      </w:hyperlink>
      <w:r w:rsidRPr="00976056">
        <w:rPr>
          <w:szCs w:val="22"/>
          <w:lang w:eastAsia="zh-TW"/>
        </w:rPr>
        <w:t>.</w:t>
      </w:r>
    </w:p>
    <w:p w14:paraId="1D8D6171" w14:textId="2A2CC780" w:rsidR="005742FD" w:rsidRPr="00976056" w:rsidRDefault="005742FD" w:rsidP="00DE4A10">
      <w:pPr>
        <w:pStyle w:val="Refs"/>
        <w:ind w:left="360" w:hanging="360"/>
        <w:rPr>
          <w:szCs w:val="22"/>
        </w:rPr>
      </w:pPr>
      <w:r w:rsidRPr="00976056">
        <w:rPr>
          <w:szCs w:val="22"/>
        </w:rPr>
        <w:t xml:space="preserve">Wrzesien, M. L., and T. M. Pavelsky (2020), Projected Changes to Extreme Runoff and Precipitation Events From a Downscaled Simulation Over the Western United States, </w:t>
      </w:r>
      <w:r w:rsidRPr="00976056">
        <w:rPr>
          <w:i/>
          <w:iCs/>
          <w:szCs w:val="22"/>
        </w:rPr>
        <w:t>Front. Earth Sci.</w:t>
      </w:r>
      <w:r w:rsidRPr="00976056">
        <w:rPr>
          <w:szCs w:val="22"/>
        </w:rPr>
        <w:t xml:space="preserve">, </w:t>
      </w:r>
      <w:r w:rsidRPr="00976056">
        <w:rPr>
          <w:i/>
          <w:iCs/>
          <w:szCs w:val="22"/>
        </w:rPr>
        <w:t>7</w:t>
      </w:r>
      <w:r w:rsidRPr="00976056">
        <w:rPr>
          <w:szCs w:val="22"/>
        </w:rPr>
        <w:t xml:space="preserve">, 355, </w:t>
      </w:r>
      <w:hyperlink r:id="rId419" w:history="1">
        <w:r w:rsidR="00DA3A2E" w:rsidRPr="00E00258">
          <w:rPr>
            <w:rStyle w:val="Hyperlink"/>
            <w:szCs w:val="22"/>
          </w:rPr>
          <w:t>https://doi.org/10.3389/feart.2019.00355</w:t>
        </w:r>
      </w:hyperlink>
      <w:r w:rsidRPr="00976056">
        <w:rPr>
          <w:szCs w:val="22"/>
        </w:rPr>
        <w:t>.</w:t>
      </w:r>
    </w:p>
    <w:p w14:paraId="53DFF721" w14:textId="34C692E1" w:rsidR="005742FD" w:rsidRPr="00976056" w:rsidRDefault="005742FD" w:rsidP="00957AD2">
      <w:pPr>
        <w:pStyle w:val="Refs"/>
        <w:ind w:left="360" w:hanging="360"/>
        <w:rPr>
          <w:szCs w:val="22"/>
        </w:rPr>
      </w:pPr>
      <w:r w:rsidRPr="00976056">
        <w:rPr>
          <w:szCs w:val="22"/>
        </w:rPr>
        <w:t xml:space="preserve">Xiao, M., B. Udall, and D. P. Lettenmaier (2018), On the Causes of Declining Colorado River Streamflows, </w:t>
      </w:r>
      <w:r w:rsidRPr="00976056">
        <w:rPr>
          <w:i/>
          <w:iCs/>
          <w:szCs w:val="22"/>
        </w:rPr>
        <w:t>Water Resour. Res.</w:t>
      </w:r>
      <w:r w:rsidRPr="00976056">
        <w:rPr>
          <w:szCs w:val="22"/>
        </w:rPr>
        <w:t xml:space="preserve">, </w:t>
      </w:r>
      <w:r w:rsidRPr="00976056">
        <w:rPr>
          <w:i/>
          <w:iCs/>
          <w:szCs w:val="22"/>
        </w:rPr>
        <w:t>54</w:t>
      </w:r>
      <w:r w:rsidRPr="00976056">
        <w:rPr>
          <w:szCs w:val="22"/>
        </w:rPr>
        <w:t xml:space="preserve">, 6739–6756, </w:t>
      </w:r>
      <w:hyperlink r:id="rId420" w:history="1">
        <w:r w:rsidR="00DA3A2E" w:rsidRPr="00E00258">
          <w:rPr>
            <w:rStyle w:val="Hyperlink"/>
            <w:szCs w:val="22"/>
          </w:rPr>
          <w:t>https://doi.org/10.1029/2018WR023153</w:t>
        </w:r>
      </w:hyperlink>
      <w:r w:rsidRPr="00976056">
        <w:rPr>
          <w:szCs w:val="22"/>
        </w:rPr>
        <w:t>.</w:t>
      </w:r>
    </w:p>
    <w:p w14:paraId="521886FA" w14:textId="5F40151F" w:rsidR="005742FD" w:rsidRPr="00976056" w:rsidRDefault="005742FD" w:rsidP="00320E76">
      <w:pPr>
        <w:pStyle w:val="Refs"/>
        <w:ind w:left="360" w:hanging="360"/>
        <w:rPr>
          <w:szCs w:val="22"/>
        </w:rPr>
      </w:pPr>
      <w:r w:rsidRPr="00976056">
        <w:rPr>
          <w:szCs w:val="22"/>
        </w:rPr>
        <w:t xml:space="preserve">Yan, D., S. E. Werners, F. Ludwig, and H. Q. Huang (2015), Hydrological Response to Climate Change: The Pearl River, China under Different RCP Scenarios, </w:t>
      </w:r>
      <w:r w:rsidRPr="00976056">
        <w:rPr>
          <w:i/>
          <w:iCs/>
          <w:szCs w:val="22"/>
        </w:rPr>
        <w:t>J. Hydrol. Regional Studies</w:t>
      </w:r>
      <w:r w:rsidRPr="00976056">
        <w:rPr>
          <w:szCs w:val="22"/>
        </w:rPr>
        <w:t xml:space="preserve">, </w:t>
      </w:r>
      <w:r w:rsidRPr="00976056">
        <w:rPr>
          <w:i/>
          <w:iCs/>
          <w:szCs w:val="22"/>
        </w:rPr>
        <w:t>4</w:t>
      </w:r>
      <w:r w:rsidRPr="00976056">
        <w:rPr>
          <w:szCs w:val="22"/>
        </w:rPr>
        <w:t xml:space="preserve">, 228–245, </w:t>
      </w:r>
      <w:hyperlink r:id="rId421" w:history="1">
        <w:r w:rsidR="00DA3A2E" w:rsidRPr="00E00258">
          <w:rPr>
            <w:rStyle w:val="Hyperlink"/>
            <w:szCs w:val="22"/>
          </w:rPr>
          <w:t>https://doi.org/10.1016/j.ejrh.2015.06.006</w:t>
        </w:r>
      </w:hyperlink>
      <w:r w:rsidRPr="00976056">
        <w:rPr>
          <w:szCs w:val="22"/>
        </w:rPr>
        <w:t>.</w:t>
      </w:r>
    </w:p>
    <w:p w14:paraId="11FF046F" w14:textId="0F09B56D" w:rsidR="005742FD" w:rsidRPr="00976056" w:rsidRDefault="005742FD" w:rsidP="00320E76">
      <w:pPr>
        <w:pStyle w:val="Refs"/>
        <w:ind w:left="360" w:hanging="360"/>
        <w:rPr>
          <w:szCs w:val="22"/>
        </w:rPr>
      </w:pPr>
      <w:r w:rsidRPr="00976056">
        <w:rPr>
          <w:szCs w:val="22"/>
        </w:rPr>
        <w:t xml:space="preserve">Yan, H., N. Sun, M. Wigmosta, R. Skaggs, Z. Hou, and R. Leung (2018), Next-generation Intensity-duration-frequency Curves for Hydrologic Design in Snow-dominated Environments, </w:t>
      </w:r>
      <w:r w:rsidRPr="00976056">
        <w:rPr>
          <w:i/>
          <w:iCs/>
          <w:szCs w:val="22"/>
        </w:rPr>
        <w:t>Water Resour. Res.</w:t>
      </w:r>
      <w:r w:rsidRPr="00976056">
        <w:rPr>
          <w:szCs w:val="22"/>
        </w:rPr>
        <w:t xml:space="preserve">, </w:t>
      </w:r>
      <w:r w:rsidRPr="00976056">
        <w:rPr>
          <w:i/>
          <w:iCs/>
          <w:szCs w:val="22"/>
        </w:rPr>
        <w:t>54</w:t>
      </w:r>
      <w:r w:rsidRPr="00976056">
        <w:rPr>
          <w:szCs w:val="22"/>
        </w:rPr>
        <w:t xml:space="preserve">, 1093–1108, </w:t>
      </w:r>
      <w:hyperlink r:id="rId422" w:history="1">
        <w:r w:rsidR="00AB2892" w:rsidRPr="00E00258">
          <w:rPr>
            <w:rStyle w:val="Hyperlink"/>
            <w:szCs w:val="22"/>
          </w:rPr>
          <w:t>https://doi.org/10.1002/2017WR021290</w:t>
        </w:r>
      </w:hyperlink>
      <w:r w:rsidRPr="00976056">
        <w:rPr>
          <w:szCs w:val="22"/>
        </w:rPr>
        <w:t>.</w:t>
      </w:r>
    </w:p>
    <w:p w14:paraId="7F59C11B" w14:textId="78561B20" w:rsidR="005742FD" w:rsidRPr="00976056" w:rsidRDefault="005742FD" w:rsidP="00957AD2">
      <w:pPr>
        <w:pStyle w:val="Refs"/>
        <w:ind w:left="360" w:hanging="360"/>
        <w:rPr>
          <w:szCs w:val="22"/>
        </w:rPr>
      </w:pPr>
      <w:r w:rsidRPr="00976056">
        <w:rPr>
          <w:szCs w:val="22"/>
        </w:rPr>
        <w:t xml:space="preserve">Yao, H., and A. Georgakakos (2001), Assessment of Folsom Lake Response to Historical and Potential Future Climate Scenarios, </w:t>
      </w:r>
      <w:r w:rsidRPr="00976056">
        <w:rPr>
          <w:i/>
          <w:iCs/>
          <w:szCs w:val="22"/>
        </w:rPr>
        <w:t>J. Hydrol.</w:t>
      </w:r>
      <w:r w:rsidRPr="00976056">
        <w:rPr>
          <w:szCs w:val="22"/>
        </w:rPr>
        <w:t xml:space="preserve">, </w:t>
      </w:r>
      <w:r w:rsidRPr="00976056">
        <w:rPr>
          <w:i/>
          <w:iCs/>
          <w:szCs w:val="22"/>
        </w:rPr>
        <w:t>249</w:t>
      </w:r>
      <w:r w:rsidRPr="00976056">
        <w:rPr>
          <w:szCs w:val="22"/>
        </w:rPr>
        <w:t xml:space="preserve">(1–4), 176–196, </w:t>
      </w:r>
      <w:hyperlink r:id="rId423" w:history="1">
        <w:r w:rsidR="00AB2892" w:rsidRPr="00E00258">
          <w:rPr>
            <w:rStyle w:val="Hyperlink"/>
            <w:szCs w:val="22"/>
          </w:rPr>
          <w:t>https://doi.org/10.1016/S0022-1694(01)00418-8</w:t>
        </w:r>
      </w:hyperlink>
      <w:r w:rsidRPr="00976056">
        <w:rPr>
          <w:szCs w:val="22"/>
        </w:rPr>
        <w:t>.</w:t>
      </w:r>
    </w:p>
    <w:p w14:paraId="31521E26" w14:textId="48A59240" w:rsidR="005742FD" w:rsidRPr="00976056" w:rsidRDefault="005742FD" w:rsidP="00957AD2">
      <w:pPr>
        <w:pStyle w:val="Refs"/>
        <w:ind w:left="360" w:hanging="360"/>
        <w:rPr>
          <w:szCs w:val="22"/>
        </w:rPr>
      </w:pPr>
      <w:r w:rsidRPr="00976056">
        <w:rPr>
          <w:szCs w:val="22"/>
        </w:rPr>
        <w:t xml:space="preserve">Yoon, J. H., L. R. Leung, and J. Correia Jr (2012), Comparison of Dynamically and Statistically Downscaled Seasonal Climate Forecasts for the Cold Season Over the United States, </w:t>
      </w:r>
      <w:r w:rsidRPr="00976056">
        <w:rPr>
          <w:i/>
          <w:iCs/>
          <w:szCs w:val="22"/>
        </w:rPr>
        <w:t>J. Geophy. Res.</w:t>
      </w:r>
      <w:r w:rsidRPr="00976056">
        <w:rPr>
          <w:szCs w:val="22"/>
        </w:rPr>
        <w:t xml:space="preserve">, </w:t>
      </w:r>
      <w:r w:rsidRPr="00976056">
        <w:rPr>
          <w:i/>
          <w:iCs/>
          <w:szCs w:val="22"/>
        </w:rPr>
        <w:t>117</w:t>
      </w:r>
      <w:r w:rsidRPr="00976056">
        <w:rPr>
          <w:szCs w:val="22"/>
        </w:rPr>
        <w:t xml:space="preserve">(D21), </w:t>
      </w:r>
      <w:hyperlink r:id="rId424" w:history="1">
        <w:r w:rsidR="00AB2892" w:rsidRPr="00E00258">
          <w:rPr>
            <w:rStyle w:val="Hyperlink"/>
            <w:szCs w:val="22"/>
          </w:rPr>
          <w:t>https://doi.org/10.1029/2012JD017650</w:t>
        </w:r>
      </w:hyperlink>
      <w:r w:rsidRPr="00976056">
        <w:rPr>
          <w:szCs w:val="22"/>
        </w:rPr>
        <w:t>.</w:t>
      </w:r>
    </w:p>
    <w:p w14:paraId="365B5CAA" w14:textId="05EC50A8" w:rsidR="005742FD" w:rsidRPr="00976056" w:rsidRDefault="005742FD" w:rsidP="00957AD2">
      <w:pPr>
        <w:pStyle w:val="Refs"/>
        <w:ind w:left="360" w:hanging="360"/>
        <w:rPr>
          <w:szCs w:val="22"/>
        </w:rPr>
      </w:pPr>
      <w:r w:rsidRPr="00976056">
        <w:rPr>
          <w:szCs w:val="22"/>
        </w:rPr>
        <w:t xml:space="preserve">Zelinka, M. D., T. A. Myers, D. T. McCoy, S. Po-Chedley, P. M. Caldwell, P. Ceppi, S. A. Klein, and K. E. Taylor (2020), Causes of Higher Climate Sensitivity in CMIP6 Models, </w:t>
      </w:r>
      <w:r w:rsidRPr="00976056">
        <w:rPr>
          <w:i/>
          <w:iCs/>
          <w:szCs w:val="22"/>
        </w:rPr>
        <w:t>Geophy. Res. Lett.</w:t>
      </w:r>
      <w:r w:rsidRPr="00976056">
        <w:rPr>
          <w:szCs w:val="22"/>
        </w:rPr>
        <w:t xml:space="preserve">, </w:t>
      </w:r>
      <w:r w:rsidRPr="00976056">
        <w:rPr>
          <w:i/>
          <w:iCs/>
          <w:szCs w:val="22"/>
        </w:rPr>
        <w:t>47</w:t>
      </w:r>
      <w:r w:rsidRPr="00976056">
        <w:rPr>
          <w:szCs w:val="22"/>
        </w:rPr>
        <w:t xml:space="preserve">, e2019GL085782, </w:t>
      </w:r>
      <w:hyperlink r:id="rId425" w:history="1">
        <w:r w:rsidR="00AB2892" w:rsidRPr="00E00258">
          <w:rPr>
            <w:rStyle w:val="Hyperlink"/>
            <w:szCs w:val="22"/>
          </w:rPr>
          <w:t>https://doi.org/10.1029/2019GL085782</w:t>
        </w:r>
      </w:hyperlink>
      <w:r w:rsidRPr="00976056">
        <w:rPr>
          <w:szCs w:val="22"/>
        </w:rPr>
        <w:t>.</w:t>
      </w:r>
    </w:p>
    <w:p w14:paraId="69FEBCD2" w14:textId="16A35F49" w:rsidR="005742FD" w:rsidRPr="00976056" w:rsidRDefault="005742FD" w:rsidP="00E06188">
      <w:pPr>
        <w:pStyle w:val="Refs"/>
        <w:ind w:left="360" w:hanging="360"/>
        <w:rPr>
          <w:szCs w:val="22"/>
        </w:rPr>
      </w:pPr>
      <w:r w:rsidRPr="00976056">
        <w:rPr>
          <w:szCs w:val="22"/>
        </w:rPr>
        <w:t xml:space="preserve">Zhao, G., and H. Gao (2018), Automatic Correction of Contaminated Images for Assessment of Reservoir Surface Area Dynamics, </w:t>
      </w:r>
      <w:r w:rsidRPr="00976056">
        <w:rPr>
          <w:i/>
          <w:iCs/>
          <w:szCs w:val="22"/>
        </w:rPr>
        <w:t>Geophys. Res. Lett.</w:t>
      </w:r>
      <w:r w:rsidRPr="00976056">
        <w:rPr>
          <w:szCs w:val="22"/>
        </w:rPr>
        <w:t xml:space="preserve">, </w:t>
      </w:r>
      <w:r w:rsidRPr="00976056">
        <w:rPr>
          <w:i/>
          <w:iCs/>
          <w:szCs w:val="22"/>
        </w:rPr>
        <w:t>45</w:t>
      </w:r>
      <w:r w:rsidRPr="00976056">
        <w:rPr>
          <w:szCs w:val="22"/>
        </w:rPr>
        <w:t xml:space="preserve">, 6092–6099, </w:t>
      </w:r>
      <w:hyperlink r:id="rId426" w:history="1">
        <w:r w:rsidR="00AB2892" w:rsidRPr="00E00258">
          <w:rPr>
            <w:rStyle w:val="Hyperlink"/>
            <w:szCs w:val="22"/>
          </w:rPr>
          <w:t>https://doi.org/10.1029/2018GL078343</w:t>
        </w:r>
      </w:hyperlink>
      <w:r w:rsidRPr="00976056">
        <w:rPr>
          <w:szCs w:val="22"/>
        </w:rPr>
        <w:t>.</w:t>
      </w:r>
    </w:p>
    <w:p w14:paraId="6C9EC709" w14:textId="7EE18840" w:rsidR="005742FD" w:rsidRPr="00976056" w:rsidRDefault="005742FD" w:rsidP="00E06188">
      <w:pPr>
        <w:pStyle w:val="Refs"/>
        <w:ind w:left="360" w:hanging="360"/>
        <w:rPr>
          <w:szCs w:val="22"/>
        </w:rPr>
      </w:pPr>
      <w:r w:rsidRPr="00976056">
        <w:rPr>
          <w:szCs w:val="22"/>
        </w:rPr>
        <w:t xml:space="preserve">Zhao, G., and H. Gao (2019), Estimating Reservoir Evaporation Losses for the United States: Fusing Remote Sensing and Modeling Approaches, </w:t>
      </w:r>
      <w:r w:rsidRPr="00976056">
        <w:rPr>
          <w:i/>
          <w:iCs/>
          <w:szCs w:val="22"/>
        </w:rPr>
        <w:t>Remote Sens. Environ.</w:t>
      </w:r>
      <w:r w:rsidRPr="00976056">
        <w:rPr>
          <w:szCs w:val="22"/>
        </w:rPr>
        <w:t xml:space="preserve">, </w:t>
      </w:r>
      <w:r w:rsidRPr="00976056">
        <w:rPr>
          <w:i/>
          <w:iCs/>
          <w:szCs w:val="22"/>
        </w:rPr>
        <w:t>226</w:t>
      </w:r>
      <w:r w:rsidRPr="00976056">
        <w:rPr>
          <w:szCs w:val="22"/>
        </w:rPr>
        <w:t xml:space="preserve">, 109–124, </w:t>
      </w:r>
      <w:hyperlink r:id="rId427" w:history="1">
        <w:r w:rsidR="00AB2892" w:rsidRPr="00E00258">
          <w:rPr>
            <w:rStyle w:val="Hyperlink"/>
            <w:szCs w:val="22"/>
          </w:rPr>
          <w:t>https://doi.org/10.1016/j.rse.2019.03.015</w:t>
        </w:r>
      </w:hyperlink>
      <w:r w:rsidRPr="00976056">
        <w:rPr>
          <w:szCs w:val="22"/>
        </w:rPr>
        <w:t>.</w:t>
      </w:r>
    </w:p>
    <w:p w14:paraId="2246A30D" w14:textId="41EEBD94" w:rsidR="005742FD" w:rsidRDefault="005742FD" w:rsidP="00E06188">
      <w:pPr>
        <w:pStyle w:val="Refs"/>
        <w:ind w:left="360" w:hanging="360"/>
        <w:rPr>
          <w:szCs w:val="22"/>
        </w:rPr>
      </w:pPr>
      <w:r w:rsidRPr="00976056">
        <w:rPr>
          <w:szCs w:val="22"/>
        </w:rPr>
        <w:lastRenderedPageBreak/>
        <w:t xml:space="preserve">Zhao, G., H. Gao, and S.-C. Kao (2021), The Implication of Future Climate Change on the Blue Water Footprint of Hydropower in the Contiguous US, </w:t>
      </w:r>
      <w:r w:rsidRPr="00976056">
        <w:rPr>
          <w:i/>
          <w:iCs/>
          <w:szCs w:val="22"/>
        </w:rPr>
        <w:t>Environ. Res. Lett.</w:t>
      </w:r>
      <w:r w:rsidRPr="00976056">
        <w:rPr>
          <w:szCs w:val="22"/>
        </w:rPr>
        <w:t xml:space="preserve">, </w:t>
      </w:r>
      <w:r w:rsidRPr="00976056">
        <w:rPr>
          <w:i/>
          <w:iCs/>
          <w:szCs w:val="22"/>
        </w:rPr>
        <w:t>16</w:t>
      </w:r>
      <w:r w:rsidRPr="00976056">
        <w:rPr>
          <w:szCs w:val="22"/>
        </w:rPr>
        <w:t xml:space="preserve">(3), 034003, </w:t>
      </w:r>
      <w:hyperlink r:id="rId428" w:history="1">
        <w:r w:rsidR="00AB2892" w:rsidRPr="00E00258">
          <w:rPr>
            <w:rStyle w:val="Hyperlink"/>
            <w:szCs w:val="22"/>
          </w:rPr>
          <w:t>https://doi.org/10.1088/1748-9326/abd78d</w:t>
        </w:r>
      </w:hyperlink>
      <w:r w:rsidRPr="00976056">
        <w:rPr>
          <w:szCs w:val="22"/>
        </w:rPr>
        <w:t>.</w:t>
      </w:r>
    </w:p>
    <w:p w14:paraId="1A55E836" w14:textId="4EAA5F8E" w:rsidR="00486EEE" w:rsidRPr="00976056" w:rsidRDefault="00486EEE" w:rsidP="00E06188">
      <w:pPr>
        <w:pStyle w:val="Refs"/>
        <w:ind w:left="360" w:hanging="360"/>
        <w:rPr>
          <w:szCs w:val="22"/>
        </w:rPr>
      </w:pPr>
      <w:bookmarkStart w:id="604" w:name="_Hlk113699034"/>
      <w:r w:rsidRPr="00486EEE">
        <w:rPr>
          <w:szCs w:val="22"/>
        </w:rPr>
        <w:t>Zhou, T</w:t>
      </w:r>
      <w:r>
        <w:rPr>
          <w:szCs w:val="22"/>
        </w:rPr>
        <w:t>.,</w:t>
      </w:r>
      <w:r w:rsidRPr="00486EEE">
        <w:rPr>
          <w:szCs w:val="22"/>
        </w:rPr>
        <w:t xml:space="preserve"> S</w:t>
      </w:r>
      <w:r>
        <w:rPr>
          <w:szCs w:val="22"/>
        </w:rPr>
        <w:t>.</w:t>
      </w:r>
      <w:r w:rsidRPr="00486EEE">
        <w:rPr>
          <w:szCs w:val="22"/>
        </w:rPr>
        <w:t>-C. Kao</w:t>
      </w:r>
      <w:r>
        <w:rPr>
          <w:szCs w:val="22"/>
        </w:rPr>
        <w:t>,</w:t>
      </w:r>
      <w:r w:rsidRPr="00486EEE">
        <w:rPr>
          <w:szCs w:val="22"/>
        </w:rPr>
        <w:t xml:space="preserve"> W. Xu</w:t>
      </w:r>
      <w:r>
        <w:rPr>
          <w:szCs w:val="22"/>
        </w:rPr>
        <w:t>,</w:t>
      </w:r>
      <w:r w:rsidRPr="00486EEE">
        <w:rPr>
          <w:szCs w:val="22"/>
        </w:rPr>
        <w:t xml:space="preserve"> S. Gangrade</w:t>
      </w:r>
      <w:r>
        <w:rPr>
          <w:szCs w:val="22"/>
        </w:rPr>
        <w:t>,</w:t>
      </w:r>
      <w:r w:rsidRPr="00486EEE">
        <w:rPr>
          <w:szCs w:val="22"/>
        </w:rPr>
        <w:t xml:space="preserve"> and N. Voisin (2022)</w:t>
      </w:r>
      <w:r>
        <w:rPr>
          <w:szCs w:val="22"/>
        </w:rPr>
        <w:t>,</w:t>
      </w:r>
      <w:r w:rsidRPr="00486EEE">
        <w:rPr>
          <w:szCs w:val="22"/>
        </w:rPr>
        <w:t xml:space="preserve"> Impacts of Climate Change on Subannual Hydropower Generation: A Multi-model Assessment of the United States Federal Hydropower Plants</w:t>
      </w:r>
      <w:r>
        <w:rPr>
          <w:szCs w:val="22"/>
        </w:rPr>
        <w:t>,</w:t>
      </w:r>
      <w:r w:rsidRPr="00486EEE">
        <w:rPr>
          <w:szCs w:val="22"/>
        </w:rPr>
        <w:t xml:space="preserve"> </w:t>
      </w:r>
      <w:r w:rsidRPr="00486EEE">
        <w:rPr>
          <w:i/>
          <w:iCs/>
          <w:szCs w:val="22"/>
        </w:rPr>
        <w:t>ESSOAr</w:t>
      </w:r>
      <w:r w:rsidRPr="00486EEE">
        <w:rPr>
          <w:szCs w:val="22"/>
        </w:rPr>
        <w:t xml:space="preserve">. Preprint, </w:t>
      </w:r>
      <w:hyperlink r:id="rId429" w:history="1">
        <w:r w:rsidRPr="00E00258">
          <w:rPr>
            <w:rStyle w:val="Hyperlink"/>
            <w:szCs w:val="22"/>
          </w:rPr>
          <w:t>https://doi.org/10.1002/essoar.10512358.1</w:t>
        </w:r>
      </w:hyperlink>
      <w:bookmarkEnd w:id="604"/>
      <w:r w:rsidR="00C37264">
        <w:rPr>
          <w:szCs w:val="22"/>
        </w:rPr>
        <w:t>.</w:t>
      </w:r>
    </w:p>
    <w:p w14:paraId="0AE9EA17" w14:textId="63E2E63E" w:rsidR="005742FD" w:rsidRPr="00976056" w:rsidRDefault="005742FD" w:rsidP="00A2306A">
      <w:pPr>
        <w:pStyle w:val="Refs"/>
        <w:ind w:left="360" w:hanging="360"/>
        <w:rPr>
          <w:szCs w:val="22"/>
        </w:rPr>
      </w:pPr>
      <w:r w:rsidRPr="00976056">
        <w:rPr>
          <w:szCs w:val="22"/>
        </w:rPr>
        <w:t xml:space="preserve">Zhou, T., B. Nijssen, H. Gao, and D. P. Lettenmaier (2016), The Contribution of Reservoirs to Global Land Surface Water Storage Variations, </w:t>
      </w:r>
      <w:r w:rsidRPr="00976056">
        <w:rPr>
          <w:i/>
          <w:iCs/>
          <w:szCs w:val="22"/>
        </w:rPr>
        <w:t>J. Hydrometeor.</w:t>
      </w:r>
      <w:r w:rsidRPr="00976056">
        <w:rPr>
          <w:szCs w:val="22"/>
        </w:rPr>
        <w:t xml:space="preserve">, </w:t>
      </w:r>
      <w:r w:rsidRPr="00976056">
        <w:rPr>
          <w:i/>
          <w:iCs/>
          <w:szCs w:val="22"/>
        </w:rPr>
        <w:t>17</w:t>
      </w:r>
      <w:r w:rsidRPr="00976056">
        <w:rPr>
          <w:szCs w:val="22"/>
        </w:rPr>
        <w:t xml:space="preserve">, 309–325, </w:t>
      </w:r>
      <w:hyperlink r:id="rId430" w:history="1">
        <w:r w:rsidR="00AB2892" w:rsidRPr="00E00258">
          <w:rPr>
            <w:rStyle w:val="Hyperlink"/>
            <w:szCs w:val="22"/>
          </w:rPr>
          <w:t>https://doi.org/10.1175/JHM-D-15-0002.1</w:t>
        </w:r>
      </w:hyperlink>
      <w:r w:rsidRPr="00976056">
        <w:rPr>
          <w:szCs w:val="22"/>
        </w:rPr>
        <w:t>.</w:t>
      </w:r>
    </w:p>
    <w:p w14:paraId="4AC628F4" w14:textId="59319446" w:rsidR="005742FD" w:rsidRPr="00976056" w:rsidRDefault="005742FD" w:rsidP="00A2306A">
      <w:pPr>
        <w:pStyle w:val="Refs"/>
        <w:ind w:left="360" w:hanging="360"/>
        <w:rPr>
          <w:szCs w:val="22"/>
        </w:rPr>
      </w:pPr>
      <w:r w:rsidRPr="00976056">
        <w:rPr>
          <w:szCs w:val="22"/>
        </w:rPr>
        <w:t xml:space="preserve">Zhou, T., N. Voisin, and T. Fu (2018), Non-stationary Hydropower Generation Projections Constrained by Environmental and Electricity Grid Operations Over the Western United States, </w:t>
      </w:r>
      <w:r w:rsidRPr="00976056">
        <w:rPr>
          <w:i/>
          <w:iCs/>
          <w:szCs w:val="22"/>
        </w:rPr>
        <w:t>Environ. Res. Lett.</w:t>
      </w:r>
      <w:r w:rsidRPr="00976056">
        <w:rPr>
          <w:szCs w:val="22"/>
        </w:rPr>
        <w:t xml:space="preserve">, </w:t>
      </w:r>
      <w:r w:rsidRPr="00976056">
        <w:rPr>
          <w:i/>
          <w:iCs/>
          <w:szCs w:val="22"/>
        </w:rPr>
        <w:t>13</w:t>
      </w:r>
      <w:r w:rsidRPr="00976056">
        <w:rPr>
          <w:szCs w:val="22"/>
        </w:rPr>
        <w:t xml:space="preserve">, 074035, </w:t>
      </w:r>
      <w:hyperlink r:id="rId431" w:history="1">
        <w:r w:rsidR="00AB2892" w:rsidRPr="00E00258">
          <w:rPr>
            <w:rStyle w:val="Hyperlink"/>
            <w:szCs w:val="22"/>
          </w:rPr>
          <w:t>https://doi.org/10.1088/1748-9326/aad19f</w:t>
        </w:r>
      </w:hyperlink>
      <w:r w:rsidRPr="00976056">
        <w:rPr>
          <w:szCs w:val="22"/>
        </w:rPr>
        <w:t>.</w:t>
      </w:r>
    </w:p>
    <w:p w14:paraId="0FA8F954" w14:textId="19F14CA9" w:rsidR="00604FD3" w:rsidRPr="00976056" w:rsidRDefault="00FE697A" w:rsidP="00A2306A">
      <w:pPr>
        <w:pStyle w:val="Refs"/>
        <w:ind w:left="360" w:hanging="360"/>
        <w:rPr>
          <w:szCs w:val="22"/>
        </w:rPr>
      </w:pPr>
      <w:r>
        <w:rPr>
          <w:szCs w:val="22"/>
        </w:rPr>
        <w:t>Zoraghein, H., and B. C. O</w:t>
      </w:r>
      <w:r w:rsidR="00805545">
        <w:rPr>
          <w:szCs w:val="22"/>
        </w:rPr>
        <w:t>’</w:t>
      </w:r>
      <w:r>
        <w:rPr>
          <w:szCs w:val="22"/>
        </w:rPr>
        <w:t xml:space="preserve">Neill (2020), U.S. State-level Projections of the Spatial Distribution of Population Consistent with Shared Socioeconomic Pathways, </w:t>
      </w:r>
      <w:r w:rsidRPr="00E76EDC">
        <w:rPr>
          <w:i/>
          <w:iCs/>
          <w:szCs w:val="22"/>
        </w:rPr>
        <w:t>Sustainability, 12</w:t>
      </w:r>
      <w:r>
        <w:rPr>
          <w:szCs w:val="22"/>
        </w:rPr>
        <w:t xml:space="preserve">(8), 3374, </w:t>
      </w:r>
      <w:hyperlink r:id="rId432" w:history="1">
        <w:r w:rsidR="00AB2892" w:rsidRPr="00E00258">
          <w:rPr>
            <w:rStyle w:val="Hyperlink"/>
            <w:szCs w:val="22"/>
          </w:rPr>
          <w:t>https://doi.org/10.3390/su12083374</w:t>
        </w:r>
      </w:hyperlink>
      <w:r>
        <w:rPr>
          <w:szCs w:val="22"/>
        </w:rPr>
        <w:t>.</w:t>
      </w:r>
    </w:p>
    <w:p w14:paraId="5B2A583E" w14:textId="77777777" w:rsidR="00851936" w:rsidRDefault="00851936" w:rsidP="00851936">
      <w:pPr>
        <w:pStyle w:val="BodyText"/>
      </w:pPr>
    </w:p>
    <w:p w14:paraId="0288353E" w14:textId="77777777" w:rsidR="00851936" w:rsidRDefault="00851936" w:rsidP="00851936">
      <w:pPr>
        <w:pStyle w:val="BodyText"/>
        <w:sectPr w:rsidR="00851936" w:rsidSect="00CC3514">
          <w:footerReference w:type="default" r:id="rId433"/>
          <w:pgSz w:w="12240" w:h="15840" w:code="1"/>
          <w:pgMar w:top="1440" w:right="1440" w:bottom="1440" w:left="1440" w:header="720" w:footer="720" w:gutter="0"/>
          <w:cols w:space="720"/>
          <w:docGrid w:linePitch="360"/>
        </w:sectPr>
      </w:pPr>
    </w:p>
    <w:p w14:paraId="0306A86E" w14:textId="77777777" w:rsidR="0093392B" w:rsidRPr="00737A01" w:rsidRDefault="003436D6" w:rsidP="006941DB">
      <w:pPr>
        <w:pStyle w:val="Heading9"/>
      </w:pPr>
      <w:bookmarkStart w:id="605" w:name="_Ref71181654"/>
      <w:bookmarkStart w:id="606" w:name="_Toc113380854"/>
      <w:r w:rsidRPr="00C12DAF">
        <w:lastRenderedPageBreak/>
        <w:t>SECTION 9505 OF THE SECURE WATER ACT OF 2009 (PUB L. 111-11)</w:t>
      </w:r>
      <w:bookmarkEnd w:id="605"/>
      <w:bookmarkEnd w:id="606"/>
    </w:p>
    <w:p w14:paraId="3178447A" w14:textId="77777777" w:rsidR="00A9239C"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Duty of Secretary of Energy—The Secretary of Energy, in consultation with the Administrator of each Federal Power Marketing Administration, shall assess each effect of, and risk resulting from, global climate change with respect to water supplies that are required for the generation of hydroelectric power at each Federal water project that is applicable to a Federal Power Marketing Administration.</w:t>
      </w:r>
    </w:p>
    <w:p w14:paraId="6DE7BEDB" w14:textId="77777777" w:rsidR="00A9239C" w:rsidRPr="008A0B26"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Access to Appropriate Data—</w:t>
      </w:r>
    </w:p>
    <w:p w14:paraId="6E91D3CA" w14:textId="77777777" w:rsidR="00A9239C" w:rsidRPr="008A0B26" w:rsidRDefault="00A9239C" w:rsidP="00746728">
      <w:pPr>
        <w:pStyle w:val="ListParagraph"/>
        <w:numPr>
          <w:ilvl w:val="0"/>
          <w:numId w:val="3"/>
        </w:numPr>
        <w:spacing w:before="0" w:line="240" w:lineRule="auto"/>
        <w:contextualSpacing w:val="0"/>
        <w:rPr>
          <w:rFonts w:eastAsia="Times New Roman"/>
        </w:rPr>
      </w:pPr>
      <w:r w:rsidRPr="008A0B26">
        <w:rPr>
          <w:rFonts w:eastAsia="Times New Roman"/>
        </w:rPr>
        <w:t>IN GENERAL—In carrying out each assessment under subsection (a), the Secretary of Energy shall consult with the United States Geological Survey, the National Oceanic and Atmospheric Administration, the program, and each appropriate State water resource agency, to ensure that the Secretary of Energy has access to the best available scientific information with respect to presently observed impacts and projected future impacts of global climate change on water supplies that are used to produce hydroelectric power.</w:t>
      </w:r>
    </w:p>
    <w:p w14:paraId="6B76CC83" w14:textId="127D3221" w:rsidR="00A9239C" w:rsidRDefault="00A9239C" w:rsidP="00746728">
      <w:pPr>
        <w:pStyle w:val="ListParagraph"/>
        <w:numPr>
          <w:ilvl w:val="0"/>
          <w:numId w:val="3"/>
        </w:numPr>
        <w:spacing w:before="0" w:line="240" w:lineRule="auto"/>
        <w:contextualSpacing w:val="0"/>
        <w:rPr>
          <w:rFonts w:eastAsia="Times New Roman"/>
        </w:rPr>
      </w:pPr>
      <w:r w:rsidRPr="00C12DAF">
        <w:rPr>
          <w:rFonts w:eastAsia="Times New Roman"/>
        </w:rPr>
        <w:t>ACCESS TO DATA FOR CERTAIN ASSESSMENTS</w:t>
      </w:r>
      <w:r>
        <w:rPr>
          <w:rFonts w:eastAsia="Times New Roman"/>
        </w:rPr>
        <w:t>—</w:t>
      </w:r>
      <w:r w:rsidRPr="00C12DAF">
        <w:rPr>
          <w:rFonts w:eastAsia="Times New Roman"/>
        </w:rPr>
        <w:t>In carrying out each assessment under subsection (a), with respect to the Bonneville Power Administration and the Western Area Power Administration, the Secretary of Energy shall consult with the Commissioner to access data and other information that</w:t>
      </w:r>
      <w:r>
        <w:rPr>
          <w:rFonts w:eastAsia="Times New Roman"/>
        </w:rPr>
        <w:t>—</w:t>
      </w:r>
    </w:p>
    <w:p w14:paraId="4790BF97" w14:textId="77777777" w:rsidR="00A9239C" w:rsidRPr="008A0B26" w:rsidRDefault="00A9239C" w:rsidP="00746728">
      <w:pPr>
        <w:pStyle w:val="ListParagraph"/>
        <w:numPr>
          <w:ilvl w:val="0"/>
          <w:numId w:val="4"/>
        </w:numPr>
        <w:spacing w:before="0" w:line="240" w:lineRule="auto"/>
        <w:ind w:left="1123" w:hanging="403"/>
        <w:contextualSpacing w:val="0"/>
        <w:rPr>
          <w:rFonts w:eastAsia="Times New Roman"/>
        </w:rPr>
      </w:pPr>
      <w:r w:rsidRPr="008A0B26">
        <w:rPr>
          <w:rFonts w:eastAsia="Times New Roman"/>
        </w:rPr>
        <w:t>is collected by the Commissioner; and</w:t>
      </w:r>
    </w:p>
    <w:p w14:paraId="1712E364" w14:textId="77777777" w:rsidR="00A9239C" w:rsidRDefault="00A9239C" w:rsidP="00746728">
      <w:pPr>
        <w:pStyle w:val="ListParagraph"/>
        <w:numPr>
          <w:ilvl w:val="0"/>
          <w:numId w:val="4"/>
        </w:numPr>
        <w:spacing w:before="0" w:line="240" w:lineRule="auto"/>
        <w:ind w:left="1123" w:hanging="403"/>
        <w:contextualSpacing w:val="0"/>
        <w:rPr>
          <w:rFonts w:eastAsia="Times New Roman"/>
        </w:rPr>
      </w:pPr>
      <w:r w:rsidRPr="00C12DAF">
        <w:rPr>
          <w:rFonts w:eastAsia="Times New Roman"/>
        </w:rPr>
        <w:t>the Secretary of Energy determines to be necessary for the conduct of the assessment.</w:t>
      </w:r>
    </w:p>
    <w:p w14:paraId="4AAA3D82" w14:textId="77777777" w:rsidR="00A9239C" w:rsidRPr="008A0B26"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Report—Not later than 2 years after the date of enactment of this Act, and every 5 years thereafter, the Secretary of Energy shall submit to the appropriate committees of Congress a report that describes—</w:t>
      </w:r>
    </w:p>
    <w:p w14:paraId="00067754" w14:textId="77777777" w:rsidR="00A9239C" w:rsidRDefault="00A9239C" w:rsidP="00746728">
      <w:pPr>
        <w:pStyle w:val="ListParagraph"/>
        <w:numPr>
          <w:ilvl w:val="0"/>
          <w:numId w:val="5"/>
        </w:numPr>
        <w:spacing w:before="0" w:line="240" w:lineRule="auto"/>
        <w:contextualSpacing w:val="0"/>
        <w:rPr>
          <w:rFonts w:eastAsia="Times New Roman"/>
        </w:rPr>
      </w:pPr>
      <w:r w:rsidRPr="00C12DAF">
        <w:rPr>
          <w:rFonts w:eastAsia="Times New Roman"/>
        </w:rPr>
        <w:t>each effect of, and risk resulting from, global climate change with respect to</w:t>
      </w:r>
      <w:r>
        <w:rPr>
          <w:rFonts w:eastAsia="Times New Roman"/>
        </w:rPr>
        <w:t>—</w:t>
      </w:r>
    </w:p>
    <w:p w14:paraId="131C6F7D" w14:textId="77777777" w:rsidR="00A9239C" w:rsidRDefault="00A9239C" w:rsidP="00746728">
      <w:pPr>
        <w:pStyle w:val="ListParagraph"/>
        <w:numPr>
          <w:ilvl w:val="0"/>
          <w:numId w:val="6"/>
        </w:numPr>
        <w:spacing w:before="0" w:line="240" w:lineRule="auto"/>
        <w:contextualSpacing w:val="0"/>
        <w:rPr>
          <w:rFonts w:eastAsia="Times New Roman"/>
        </w:rPr>
      </w:pPr>
      <w:r w:rsidRPr="00C12DAF">
        <w:rPr>
          <w:rFonts w:eastAsia="Times New Roman"/>
        </w:rPr>
        <w:t>water supplies used for hydroelectric power generation; and</w:t>
      </w:r>
    </w:p>
    <w:p w14:paraId="44EDDB10" w14:textId="77777777" w:rsidR="00A9239C" w:rsidRDefault="00A9239C" w:rsidP="00746728">
      <w:pPr>
        <w:pStyle w:val="ListParagraph"/>
        <w:numPr>
          <w:ilvl w:val="0"/>
          <w:numId w:val="6"/>
        </w:numPr>
        <w:spacing w:before="0" w:line="240" w:lineRule="auto"/>
        <w:contextualSpacing w:val="0"/>
        <w:rPr>
          <w:rFonts w:eastAsia="Times New Roman"/>
        </w:rPr>
      </w:pPr>
      <w:r w:rsidRPr="00C12DAF">
        <w:rPr>
          <w:rFonts w:eastAsia="Times New Roman"/>
        </w:rPr>
        <w:t>power supplies marketed by each Federal Power Marketing Administration, pursuant to</w:t>
      </w:r>
      <w:r>
        <w:rPr>
          <w:rFonts w:eastAsia="Times New Roman"/>
        </w:rPr>
        <w:t>—</w:t>
      </w:r>
    </w:p>
    <w:p w14:paraId="73F9D556" w14:textId="77777777" w:rsidR="00A9239C" w:rsidRPr="008A0B26" w:rsidRDefault="00A9239C" w:rsidP="00746728">
      <w:pPr>
        <w:pStyle w:val="ListParagraph"/>
        <w:numPr>
          <w:ilvl w:val="0"/>
          <w:numId w:val="7"/>
        </w:numPr>
        <w:spacing w:before="0" w:line="240" w:lineRule="auto"/>
        <w:ind w:left="1440" w:hanging="360"/>
        <w:contextualSpacing w:val="0"/>
        <w:rPr>
          <w:rFonts w:eastAsia="Times New Roman"/>
        </w:rPr>
      </w:pPr>
      <w:r w:rsidRPr="008A0B26">
        <w:rPr>
          <w:rFonts w:eastAsia="Times New Roman"/>
        </w:rPr>
        <w:t>long-term power contracts;</w:t>
      </w:r>
    </w:p>
    <w:p w14:paraId="527A3AC7" w14:textId="77777777" w:rsidR="00A9239C" w:rsidRDefault="00A9239C" w:rsidP="00746728">
      <w:pPr>
        <w:pStyle w:val="ListParagraph"/>
        <w:numPr>
          <w:ilvl w:val="0"/>
          <w:numId w:val="7"/>
        </w:numPr>
        <w:spacing w:before="0" w:line="240" w:lineRule="auto"/>
        <w:ind w:left="1440" w:hanging="360"/>
        <w:contextualSpacing w:val="0"/>
        <w:rPr>
          <w:rFonts w:eastAsia="Times New Roman"/>
        </w:rPr>
      </w:pPr>
      <w:r w:rsidRPr="00C12DAF">
        <w:rPr>
          <w:rFonts w:eastAsia="Times New Roman"/>
        </w:rPr>
        <w:t>contingent capacity contracts; and</w:t>
      </w:r>
    </w:p>
    <w:p w14:paraId="362DCBEB" w14:textId="77777777" w:rsidR="00A9239C" w:rsidRDefault="00A9239C" w:rsidP="00746728">
      <w:pPr>
        <w:pStyle w:val="ListParagraph"/>
        <w:numPr>
          <w:ilvl w:val="0"/>
          <w:numId w:val="7"/>
        </w:numPr>
        <w:spacing w:before="0" w:line="240" w:lineRule="auto"/>
        <w:ind w:left="1440" w:hanging="360"/>
        <w:contextualSpacing w:val="0"/>
        <w:rPr>
          <w:rFonts w:eastAsia="Times New Roman"/>
        </w:rPr>
      </w:pPr>
      <w:r w:rsidRPr="00C12DAF">
        <w:rPr>
          <w:rFonts w:eastAsia="Times New Roman"/>
        </w:rPr>
        <w:t>short-term sales; and</w:t>
      </w:r>
    </w:p>
    <w:p w14:paraId="15F4D83B" w14:textId="77777777" w:rsidR="00A9239C" w:rsidRDefault="00A9239C" w:rsidP="00746728">
      <w:pPr>
        <w:pStyle w:val="ListParagraph"/>
        <w:numPr>
          <w:ilvl w:val="0"/>
          <w:numId w:val="5"/>
        </w:numPr>
        <w:spacing w:before="0" w:line="240" w:lineRule="auto"/>
        <w:contextualSpacing w:val="0"/>
        <w:rPr>
          <w:rFonts w:eastAsia="Times New Roman"/>
        </w:rPr>
      </w:pPr>
      <w:r w:rsidRPr="00C12DAF">
        <w:rPr>
          <w:rFonts w:eastAsia="Times New Roman"/>
        </w:rPr>
        <w:t>each recommendation of the Administrator of each Federal Power Marketing Administration relating to any change in any operation or contracting practice of each Federal Power Marketing Administration to address each effect and risk described in paragraph (1), including the use of purchased power to meet long-term commitments of each Federal Power Marketing Administration.</w:t>
      </w:r>
    </w:p>
    <w:p w14:paraId="6D180B73" w14:textId="77777777" w:rsidR="00A9239C" w:rsidRPr="008A0B26"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Authority—The Secretary of Energy may enter into contracts, grants, or other agreements with appropriate entities to carry out this section.</w:t>
      </w:r>
    </w:p>
    <w:p w14:paraId="4E7C2793" w14:textId="77777777" w:rsidR="00A9239C" w:rsidRPr="008A0B26"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Costs—</w:t>
      </w:r>
    </w:p>
    <w:p w14:paraId="0C07025B" w14:textId="77777777" w:rsidR="00A9239C" w:rsidRDefault="00A9239C" w:rsidP="00746728">
      <w:pPr>
        <w:pStyle w:val="ListParagraph"/>
        <w:numPr>
          <w:ilvl w:val="0"/>
          <w:numId w:val="8"/>
        </w:numPr>
        <w:spacing w:before="0" w:line="240" w:lineRule="auto"/>
        <w:contextualSpacing w:val="0"/>
        <w:rPr>
          <w:rFonts w:eastAsia="Times New Roman"/>
        </w:rPr>
      </w:pPr>
      <w:r w:rsidRPr="00C12DAF">
        <w:rPr>
          <w:rFonts w:eastAsia="Times New Roman"/>
        </w:rPr>
        <w:lastRenderedPageBreak/>
        <w:t>NONREIMBURSABLE</w:t>
      </w:r>
      <w:r>
        <w:rPr>
          <w:rFonts w:eastAsia="Times New Roman"/>
        </w:rPr>
        <w:t>—</w:t>
      </w:r>
      <w:r w:rsidRPr="00C12DAF">
        <w:rPr>
          <w:rFonts w:eastAsia="Times New Roman"/>
        </w:rPr>
        <w:t>Any costs incurred by the Secretary of Energy in carrying out this section shall be nonreimbursable.</w:t>
      </w:r>
    </w:p>
    <w:p w14:paraId="03F20945" w14:textId="77777777" w:rsidR="00A9239C" w:rsidRDefault="00A9239C" w:rsidP="00746728">
      <w:pPr>
        <w:pStyle w:val="ListParagraph"/>
        <w:numPr>
          <w:ilvl w:val="0"/>
          <w:numId w:val="8"/>
        </w:numPr>
        <w:spacing w:before="0" w:line="240" w:lineRule="auto"/>
        <w:contextualSpacing w:val="0"/>
        <w:rPr>
          <w:rFonts w:eastAsia="Times New Roman"/>
        </w:rPr>
      </w:pPr>
      <w:r w:rsidRPr="00C12DAF">
        <w:rPr>
          <w:rFonts w:eastAsia="Times New Roman"/>
        </w:rPr>
        <w:t>PMA COSTS</w:t>
      </w:r>
      <w:r>
        <w:rPr>
          <w:rFonts w:eastAsia="Times New Roman"/>
        </w:rPr>
        <w:t>—</w:t>
      </w:r>
      <w:r w:rsidRPr="00C12DAF">
        <w:rPr>
          <w:rFonts w:eastAsia="Times New Roman"/>
        </w:rPr>
        <w:t>Each Federal Power Marketing Administration shall incur costs in carrying out this section only to the extent that appropriated funds are provided by the Secretary of Energy for that purpose.</w:t>
      </w:r>
    </w:p>
    <w:p w14:paraId="775A55FC" w14:textId="77777777" w:rsidR="00A9239C" w:rsidRPr="008A0B26" w:rsidRDefault="00A9239C" w:rsidP="00746728">
      <w:pPr>
        <w:pStyle w:val="ListParagraph"/>
        <w:numPr>
          <w:ilvl w:val="0"/>
          <w:numId w:val="2"/>
        </w:numPr>
        <w:spacing w:before="0" w:line="240" w:lineRule="auto"/>
        <w:ind w:left="360" w:hanging="356"/>
        <w:contextualSpacing w:val="0"/>
        <w:rPr>
          <w:lang w:eastAsia="zh-TW"/>
        </w:rPr>
      </w:pPr>
      <w:r w:rsidRPr="008A0B26">
        <w:rPr>
          <w:lang w:eastAsia="zh-TW"/>
        </w:rPr>
        <w:t>Authorization of Appropriations—There are authorized to be appropriated such sums as are necessary to carry out this section for each of fiscal years 2009 through 2023, to remain available until expended.</w:t>
      </w:r>
    </w:p>
    <w:p w14:paraId="72B5F3F9" w14:textId="77777777" w:rsidR="00A9239C" w:rsidRDefault="00A9239C" w:rsidP="00A9239C">
      <w:pPr>
        <w:pStyle w:val="BodyText"/>
        <w:rPr>
          <w:snapToGrid/>
        </w:rPr>
      </w:pPr>
    </w:p>
    <w:p w14:paraId="2487B7A0" w14:textId="77777777" w:rsidR="00AD5A06" w:rsidRDefault="00AD5A06" w:rsidP="00A9239C">
      <w:pPr>
        <w:pStyle w:val="BodyText"/>
        <w:rPr>
          <w:snapToGrid/>
        </w:rPr>
      </w:pPr>
    </w:p>
    <w:p w14:paraId="5FA18E0B" w14:textId="495D8A19" w:rsidR="00AD5A06" w:rsidRDefault="00AD5A06" w:rsidP="00A9239C">
      <w:pPr>
        <w:pStyle w:val="BodyText"/>
        <w:rPr>
          <w:snapToGrid/>
        </w:rPr>
        <w:sectPr w:rsidR="00AD5A06" w:rsidSect="00CC3514">
          <w:footerReference w:type="default" r:id="rId434"/>
          <w:pgSz w:w="12240" w:h="15840" w:code="1"/>
          <w:pgMar w:top="1440" w:right="1440" w:bottom="1440" w:left="1440" w:header="720" w:footer="720" w:gutter="0"/>
          <w:pgNumType w:start="1" w:chapStyle="9"/>
          <w:cols w:space="720"/>
          <w:docGrid w:linePitch="360"/>
        </w:sectPr>
      </w:pPr>
    </w:p>
    <w:p w14:paraId="1B7F2152" w14:textId="53AB64D5" w:rsidR="007E4A31" w:rsidRPr="00737A01" w:rsidRDefault="007E4A31" w:rsidP="007E4A31">
      <w:pPr>
        <w:pStyle w:val="Heading9"/>
      </w:pPr>
      <w:bookmarkStart w:id="607" w:name="_Ref75948519"/>
      <w:bookmarkStart w:id="608" w:name="_Toc113380855"/>
      <w:bookmarkStart w:id="609" w:name="_Ref71788045"/>
      <w:bookmarkStart w:id="610" w:name="_Ref74240172"/>
      <w:bookmarkStart w:id="611" w:name="_Ref74241446"/>
      <w:bookmarkStart w:id="612" w:name="_Ref74241775"/>
      <w:bookmarkStart w:id="613" w:name="_Ref74242302"/>
      <w:bookmarkStart w:id="614" w:name="_Ref74242718"/>
      <w:r w:rsidRPr="009647DE">
        <w:lastRenderedPageBreak/>
        <w:t xml:space="preserve">LIST OF FEDERAL HYDROPOWER PLANTS MARKETED THROUGH </w:t>
      </w:r>
      <w:r w:rsidR="008C3834">
        <w:t>PMA</w:t>
      </w:r>
      <w:r w:rsidRPr="009647DE">
        <w:t>S</w:t>
      </w:r>
      <w:bookmarkEnd w:id="607"/>
      <w:bookmarkEnd w:id="608"/>
    </w:p>
    <w:tbl>
      <w:tblPr>
        <w:tblW w:w="9576"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484"/>
        <w:gridCol w:w="1964"/>
        <w:gridCol w:w="1620"/>
        <w:gridCol w:w="1170"/>
        <w:gridCol w:w="1710"/>
        <w:gridCol w:w="914"/>
        <w:gridCol w:w="1714"/>
      </w:tblGrid>
      <w:tr w:rsidR="007E4A31" w:rsidRPr="00B07320" w14:paraId="0716C93A" w14:textId="77777777" w:rsidTr="009647DE">
        <w:trPr>
          <w:tblHeader/>
        </w:trPr>
        <w:tc>
          <w:tcPr>
            <w:tcW w:w="484" w:type="dxa"/>
            <w:tcBorders>
              <w:bottom w:val="single" w:sz="12" w:space="0" w:color="000000"/>
            </w:tcBorders>
            <w:vAlign w:val="center"/>
          </w:tcPr>
          <w:p w14:paraId="526EDB62" w14:textId="77777777" w:rsidR="007E4A31" w:rsidRPr="00B07320" w:rsidRDefault="007E4A31" w:rsidP="005E6DC1">
            <w:pPr>
              <w:spacing w:before="40" w:after="40" w:line="240" w:lineRule="auto"/>
              <w:ind w:firstLine="0"/>
              <w:rPr>
                <w:b/>
                <w:bCs/>
                <w:sz w:val="16"/>
                <w:szCs w:val="16"/>
              </w:rPr>
            </w:pPr>
            <w:r w:rsidRPr="00B07320">
              <w:rPr>
                <w:b/>
                <w:bCs/>
                <w:sz w:val="16"/>
                <w:szCs w:val="16"/>
              </w:rPr>
              <w:t>N</w:t>
            </w:r>
          </w:p>
        </w:tc>
        <w:tc>
          <w:tcPr>
            <w:tcW w:w="1964" w:type="dxa"/>
            <w:tcBorders>
              <w:bottom w:val="single" w:sz="12" w:space="0" w:color="000000"/>
            </w:tcBorders>
            <w:vAlign w:val="center"/>
          </w:tcPr>
          <w:p w14:paraId="01E3245C" w14:textId="77777777" w:rsidR="007E4A31" w:rsidRPr="00B07320" w:rsidRDefault="007E4A31" w:rsidP="005E6DC1">
            <w:pPr>
              <w:spacing w:before="40" w:after="40" w:line="240" w:lineRule="auto"/>
              <w:ind w:firstLine="0"/>
              <w:rPr>
                <w:sz w:val="16"/>
                <w:szCs w:val="16"/>
              </w:rPr>
            </w:pPr>
            <w:r w:rsidRPr="00B07320">
              <w:rPr>
                <w:b/>
                <w:bCs/>
                <w:sz w:val="16"/>
                <w:szCs w:val="16"/>
              </w:rPr>
              <w:t>Power plant name</w:t>
            </w:r>
          </w:p>
        </w:tc>
        <w:tc>
          <w:tcPr>
            <w:tcW w:w="1620" w:type="dxa"/>
            <w:tcBorders>
              <w:bottom w:val="single" w:sz="12" w:space="0" w:color="000000"/>
            </w:tcBorders>
            <w:vAlign w:val="center"/>
          </w:tcPr>
          <w:p w14:paraId="01F6842A" w14:textId="77777777" w:rsidR="007E4A31" w:rsidRPr="00B07320" w:rsidRDefault="007E4A31" w:rsidP="005E6DC1">
            <w:pPr>
              <w:spacing w:before="40" w:after="40" w:line="240" w:lineRule="auto"/>
              <w:ind w:firstLine="0"/>
              <w:rPr>
                <w:sz w:val="16"/>
                <w:szCs w:val="16"/>
              </w:rPr>
            </w:pPr>
            <w:r w:rsidRPr="00B07320">
              <w:rPr>
                <w:b/>
                <w:bCs/>
                <w:sz w:val="16"/>
                <w:szCs w:val="16"/>
              </w:rPr>
              <w:t>Power system</w:t>
            </w:r>
          </w:p>
        </w:tc>
        <w:tc>
          <w:tcPr>
            <w:tcW w:w="1170" w:type="dxa"/>
            <w:tcBorders>
              <w:bottom w:val="single" w:sz="12" w:space="0" w:color="000000"/>
            </w:tcBorders>
            <w:vAlign w:val="center"/>
          </w:tcPr>
          <w:p w14:paraId="6938EF36" w14:textId="77777777" w:rsidR="007E4A31" w:rsidRPr="00B07320" w:rsidRDefault="007E4A31" w:rsidP="005E6DC1">
            <w:pPr>
              <w:spacing w:before="40" w:after="40" w:line="240" w:lineRule="auto"/>
              <w:ind w:firstLine="0"/>
              <w:rPr>
                <w:sz w:val="16"/>
                <w:szCs w:val="16"/>
              </w:rPr>
            </w:pPr>
            <w:r w:rsidRPr="00B07320">
              <w:rPr>
                <w:b/>
                <w:bCs/>
                <w:sz w:val="16"/>
                <w:szCs w:val="16"/>
              </w:rPr>
              <w:t>Owner</w:t>
            </w:r>
          </w:p>
        </w:tc>
        <w:tc>
          <w:tcPr>
            <w:tcW w:w="1710" w:type="dxa"/>
            <w:tcBorders>
              <w:bottom w:val="single" w:sz="12" w:space="0" w:color="000000"/>
            </w:tcBorders>
            <w:vAlign w:val="center"/>
          </w:tcPr>
          <w:p w14:paraId="483DE50C" w14:textId="77777777" w:rsidR="007E4A31" w:rsidRPr="00B07320" w:rsidRDefault="007E4A31" w:rsidP="005E6DC1">
            <w:pPr>
              <w:spacing w:before="40" w:after="40" w:line="240" w:lineRule="auto"/>
              <w:ind w:firstLine="0"/>
              <w:rPr>
                <w:sz w:val="16"/>
                <w:szCs w:val="16"/>
              </w:rPr>
            </w:pPr>
            <w:r w:rsidRPr="00B07320">
              <w:rPr>
                <w:b/>
                <w:bCs/>
                <w:sz w:val="16"/>
                <w:szCs w:val="16"/>
              </w:rPr>
              <w:t>Generation type</w:t>
            </w:r>
          </w:p>
        </w:tc>
        <w:tc>
          <w:tcPr>
            <w:tcW w:w="914" w:type="dxa"/>
            <w:tcBorders>
              <w:bottom w:val="single" w:sz="12" w:space="0" w:color="000000"/>
            </w:tcBorders>
            <w:vAlign w:val="center"/>
          </w:tcPr>
          <w:p w14:paraId="0988C7EB" w14:textId="77777777" w:rsidR="007E4A31" w:rsidRPr="00B07320" w:rsidRDefault="007E4A31" w:rsidP="005E6DC1">
            <w:pPr>
              <w:spacing w:before="40" w:after="40" w:line="240" w:lineRule="auto"/>
              <w:ind w:firstLine="0"/>
              <w:rPr>
                <w:sz w:val="16"/>
                <w:szCs w:val="16"/>
              </w:rPr>
            </w:pPr>
            <w:r w:rsidRPr="00B07320">
              <w:rPr>
                <w:b/>
                <w:bCs/>
                <w:sz w:val="16"/>
                <w:szCs w:val="16"/>
              </w:rPr>
              <w:t>Capacity (MW)</w:t>
            </w:r>
          </w:p>
        </w:tc>
        <w:tc>
          <w:tcPr>
            <w:tcW w:w="1714" w:type="dxa"/>
            <w:tcBorders>
              <w:bottom w:val="single" w:sz="12" w:space="0" w:color="000000"/>
            </w:tcBorders>
            <w:vAlign w:val="center"/>
          </w:tcPr>
          <w:p w14:paraId="5F6A2B94" w14:textId="77777777" w:rsidR="007E4A31" w:rsidRPr="00B07320" w:rsidRDefault="007E4A31" w:rsidP="005E6DC1">
            <w:pPr>
              <w:spacing w:before="40" w:after="40" w:line="240" w:lineRule="auto"/>
              <w:ind w:firstLine="0"/>
              <w:rPr>
                <w:sz w:val="16"/>
                <w:szCs w:val="16"/>
              </w:rPr>
            </w:pPr>
            <w:r>
              <w:rPr>
                <w:b/>
                <w:bCs/>
                <w:sz w:val="16"/>
                <w:szCs w:val="16"/>
              </w:rPr>
              <w:t>198</w:t>
            </w:r>
            <w:r>
              <w:rPr>
                <w:rFonts w:hint="eastAsia"/>
                <w:b/>
                <w:bCs/>
                <w:sz w:val="16"/>
                <w:szCs w:val="16"/>
                <w:lang w:eastAsia="zh-TW"/>
              </w:rPr>
              <w:t>0</w:t>
            </w:r>
            <w:r>
              <w:rPr>
                <w:b/>
                <w:bCs/>
                <w:sz w:val="16"/>
                <w:szCs w:val="16"/>
              </w:rPr>
              <w:t>–20</w:t>
            </w:r>
            <w:r>
              <w:rPr>
                <w:rFonts w:hint="eastAsia"/>
                <w:b/>
                <w:bCs/>
                <w:sz w:val="16"/>
                <w:szCs w:val="16"/>
                <w:lang w:eastAsia="zh-TW"/>
              </w:rPr>
              <w:t>1</w:t>
            </w:r>
            <w:r>
              <w:rPr>
                <w:b/>
                <w:bCs/>
                <w:sz w:val="16"/>
                <w:szCs w:val="16"/>
                <w:lang w:eastAsia="zh-TW"/>
              </w:rPr>
              <w:t>9</w:t>
            </w:r>
            <w:r w:rsidRPr="00B07320">
              <w:rPr>
                <w:b/>
                <w:bCs/>
                <w:sz w:val="16"/>
                <w:szCs w:val="16"/>
              </w:rPr>
              <w:t xml:space="preserve"> average annual generation (</w:t>
            </w:r>
            <w:r>
              <w:rPr>
                <w:rFonts w:hint="eastAsia"/>
                <w:b/>
                <w:bCs/>
                <w:sz w:val="16"/>
                <w:szCs w:val="16"/>
                <w:lang w:eastAsia="zh-TW"/>
              </w:rPr>
              <w:t>G</w:t>
            </w:r>
            <w:r w:rsidRPr="00B07320">
              <w:rPr>
                <w:b/>
                <w:bCs/>
                <w:sz w:val="16"/>
                <w:szCs w:val="16"/>
              </w:rPr>
              <w:t>Wh/year)</w:t>
            </w:r>
          </w:p>
        </w:tc>
      </w:tr>
      <w:tr w:rsidR="007E4A31" w:rsidRPr="00B07320" w14:paraId="7755E50E" w14:textId="77777777" w:rsidTr="009647DE">
        <w:tc>
          <w:tcPr>
            <w:tcW w:w="9576" w:type="dxa"/>
            <w:gridSpan w:val="7"/>
            <w:tcBorders>
              <w:top w:val="single" w:sz="12" w:space="0" w:color="000000"/>
              <w:bottom w:val="single" w:sz="4" w:space="0" w:color="000000"/>
            </w:tcBorders>
            <w:vAlign w:val="center"/>
          </w:tcPr>
          <w:p w14:paraId="10325E3C" w14:textId="77777777" w:rsidR="007E4A31" w:rsidRPr="00B07320" w:rsidRDefault="007E4A31" w:rsidP="005E6DC1">
            <w:pPr>
              <w:spacing w:before="40" w:after="40" w:line="240" w:lineRule="auto"/>
              <w:ind w:firstLine="0"/>
              <w:rPr>
                <w:sz w:val="16"/>
                <w:szCs w:val="16"/>
              </w:rPr>
            </w:pPr>
            <w:r w:rsidRPr="00B07320">
              <w:rPr>
                <w:b/>
                <w:i/>
                <w:sz w:val="16"/>
                <w:szCs w:val="16"/>
              </w:rPr>
              <w:t>BPA-1 Upper Columbia</w:t>
            </w:r>
          </w:p>
        </w:tc>
      </w:tr>
      <w:tr w:rsidR="007E4A31" w:rsidRPr="00B07320" w14:paraId="32EEE28F" w14:textId="77777777" w:rsidTr="009647DE">
        <w:tc>
          <w:tcPr>
            <w:tcW w:w="484" w:type="dxa"/>
            <w:vMerge w:val="restart"/>
            <w:tcBorders>
              <w:top w:val="single" w:sz="4" w:space="0" w:color="000000"/>
              <w:bottom w:val="single" w:sz="4" w:space="0" w:color="000000"/>
            </w:tcBorders>
            <w:vAlign w:val="center"/>
          </w:tcPr>
          <w:p w14:paraId="3541524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w:t>
            </w:r>
          </w:p>
        </w:tc>
        <w:tc>
          <w:tcPr>
            <w:tcW w:w="1964" w:type="dxa"/>
            <w:vMerge w:val="restart"/>
            <w:tcBorders>
              <w:top w:val="single" w:sz="4" w:space="0" w:color="000000"/>
              <w:bottom w:val="single" w:sz="4" w:space="0" w:color="000000"/>
            </w:tcBorders>
            <w:vAlign w:val="center"/>
          </w:tcPr>
          <w:p w14:paraId="25FF5CD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Grand Coulee</w:t>
            </w:r>
          </w:p>
        </w:tc>
        <w:tc>
          <w:tcPr>
            <w:tcW w:w="1620" w:type="dxa"/>
            <w:vMerge w:val="restart"/>
            <w:tcBorders>
              <w:top w:val="single" w:sz="4" w:space="0" w:color="000000"/>
              <w:bottom w:val="single" w:sz="4" w:space="0" w:color="000000"/>
            </w:tcBorders>
            <w:vAlign w:val="center"/>
          </w:tcPr>
          <w:p w14:paraId="509A8504" w14:textId="265A1DB5" w:rsidR="007E4A31" w:rsidRPr="00B07320" w:rsidRDefault="007E4A31" w:rsidP="005E6DC1">
            <w:pPr>
              <w:spacing w:before="40" w:after="40" w:line="240" w:lineRule="auto"/>
              <w:ind w:firstLine="0"/>
              <w:rPr>
                <w:rFonts w:eastAsia="Times New Roman"/>
                <w:b/>
                <w:sz w:val="16"/>
                <w:szCs w:val="16"/>
              </w:rPr>
            </w:pPr>
            <w:r w:rsidRPr="00B07320">
              <w:rPr>
                <w:sz w:val="16"/>
                <w:szCs w:val="16"/>
              </w:rPr>
              <w:t>Federal Columbia River Power System (FCRPS)</w:t>
            </w:r>
          </w:p>
        </w:tc>
        <w:tc>
          <w:tcPr>
            <w:tcW w:w="1170" w:type="dxa"/>
            <w:vMerge w:val="restart"/>
            <w:tcBorders>
              <w:top w:val="single" w:sz="4" w:space="0" w:color="000000"/>
              <w:bottom w:val="single" w:sz="4" w:space="0" w:color="000000"/>
            </w:tcBorders>
            <w:vAlign w:val="center"/>
          </w:tcPr>
          <w:p w14:paraId="52EDD8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0998600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35A7B93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6,495</w:t>
            </w:r>
          </w:p>
        </w:tc>
        <w:tc>
          <w:tcPr>
            <w:tcW w:w="1714" w:type="dxa"/>
            <w:tcBorders>
              <w:top w:val="single" w:sz="4" w:space="0" w:color="000000"/>
              <w:bottom w:val="single" w:sz="4" w:space="0" w:color="000000"/>
            </w:tcBorders>
            <w:vAlign w:val="center"/>
          </w:tcPr>
          <w:p w14:paraId="7E7A3FC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20,160.6</w:t>
            </w:r>
          </w:p>
        </w:tc>
      </w:tr>
      <w:tr w:rsidR="007E4A31" w:rsidRPr="00B07320" w14:paraId="2DF27DE5" w14:textId="77777777" w:rsidTr="009647DE">
        <w:tc>
          <w:tcPr>
            <w:tcW w:w="484" w:type="dxa"/>
            <w:vMerge/>
            <w:tcBorders>
              <w:top w:val="single" w:sz="4" w:space="0" w:color="000000"/>
              <w:bottom w:val="single" w:sz="4" w:space="0" w:color="000000"/>
            </w:tcBorders>
            <w:vAlign w:val="center"/>
          </w:tcPr>
          <w:p w14:paraId="11765341" w14:textId="77777777" w:rsidR="007E4A31" w:rsidRPr="00B07320" w:rsidRDefault="007E4A31" w:rsidP="005E6DC1">
            <w:pPr>
              <w:spacing w:before="40" w:after="40" w:line="240" w:lineRule="auto"/>
              <w:ind w:firstLine="0"/>
              <w:rPr>
                <w:sz w:val="16"/>
                <w:szCs w:val="16"/>
              </w:rPr>
            </w:pPr>
          </w:p>
        </w:tc>
        <w:tc>
          <w:tcPr>
            <w:tcW w:w="1964" w:type="dxa"/>
            <w:vMerge/>
            <w:tcBorders>
              <w:top w:val="single" w:sz="4" w:space="0" w:color="000000"/>
              <w:bottom w:val="single" w:sz="4" w:space="0" w:color="000000"/>
            </w:tcBorders>
            <w:vAlign w:val="center"/>
          </w:tcPr>
          <w:p w14:paraId="0364AD26" w14:textId="77777777" w:rsidR="007E4A31" w:rsidRPr="00B07320" w:rsidRDefault="007E4A31" w:rsidP="005E6DC1">
            <w:pPr>
              <w:spacing w:before="40" w:after="40" w:line="240" w:lineRule="auto"/>
              <w:ind w:firstLine="0"/>
              <w:rPr>
                <w:sz w:val="16"/>
                <w:szCs w:val="16"/>
              </w:rPr>
            </w:pPr>
          </w:p>
        </w:tc>
        <w:tc>
          <w:tcPr>
            <w:tcW w:w="1620" w:type="dxa"/>
            <w:vMerge/>
            <w:tcBorders>
              <w:top w:val="single" w:sz="4" w:space="0" w:color="000000"/>
              <w:bottom w:val="single" w:sz="4" w:space="0" w:color="000000"/>
            </w:tcBorders>
            <w:vAlign w:val="center"/>
          </w:tcPr>
          <w:p w14:paraId="485337B0" w14:textId="77777777" w:rsidR="007E4A31" w:rsidRPr="00B07320" w:rsidRDefault="007E4A31" w:rsidP="005E6DC1">
            <w:pPr>
              <w:spacing w:before="40" w:after="40" w:line="240" w:lineRule="auto"/>
              <w:ind w:firstLine="0"/>
              <w:rPr>
                <w:sz w:val="16"/>
                <w:szCs w:val="16"/>
              </w:rPr>
            </w:pPr>
          </w:p>
        </w:tc>
        <w:tc>
          <w:tcPr>
            <w:tcW w:w="1170" w:type="dxa"/>
            <w:vMerge/>
            <w:tcBorders>
              <w:top w:val="single" w:sz="4" w:space="0" w:color="000000"/>
              <w:bottom w:val="single" w:sz="4" w:space="0" w:color="000000"/>
            </w:tcBorders>
            <w:vAlign w:val="center"/>
          </w:tcPr>
          <w:p w14:paraId="3B8C2D36" w14:textId="77777777" w:rsidR="007E4A31" w:rsidRPr="00B07320" w:rsidRDefault="007E4A31" w:rsidP="005E6DC1">
            <w:pPr>
              <w:spacing w:before="40" w:after="40" w:line="240" w:lineRule="auto"/>
              <w:ind w:firstLine="0"/>
              <w:rPr>
                <w:sz w:val="16"/>
                <w:szCs w:val="16"/>
              </w:rPr>
            </w:pPr>
          </w:p>
        </w:tc>
        <w:tc>
          <w:tcPr>
            <w:tcW w:w="1710" w:type="dxa"/>
            <w:tcBorders>
              <w:top w:val="single" w:sz="4" w:space="0" w:color="000000"/>
              <w:bottom w:val="single" w:sz="4" w:space="0" w:color="000000"/>
            </w:tcBorders>
            <w:vAlign w:val="center"/>
          </w:tcPr>
          <w:p w14:paraId="0BAF350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tcBorders>
              <w:top w:val="single" w:sz="4" w:space="0" w:color="000000"/>
              <w:bottom w:val="single" w:sz="4" w:space="0" w:color="000000"/>
            </w:tcBorders>
            <w:vAlign w:val="center"/>
          </w:tcPr>
          <w:p w14:paraId="5B92212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314</w:t>
            </w:r>
          </w:p>
        </w:tc>
        <w:tc>
          <w:tcPr>
            <w:tcW w:w="1714" w:type="dxa"/>
            <w:tcBorders>
              <w:top w:val="single" w:sz="4" w:space="0" w:color="000000"/>
              <w:bottom w:val="single" w:sz="4" w:space="0" w:color="000000"/>
            </w:tcBorders>
            <w:vAlign w:val="center"/>
          </w:tcPr>
          <w:p w14:paraId="100F1703" w14:textId="77777777" w:rsidR="007E4A31" w:rsidRPr="00036189" w:rsidRDefault="007E4A31" w:rsidP="005E6DC1">
            <w:pPr>
              <w:spacing w:before="40" w:after="40" w:line="240" w:lineRule="auto"/>
              <w:ind w:firstLine="0"/>
              <w:rPr>
                <w:sz w:val="16"/>
                <w:szCs w:val="16"/>
                <w:highlight w:val="yellow"/>
                <w:lang w:eastAsia="zh-TW"/>
              </w:rPr>
            </w:pPr>
            <w:r>
              <w:rPr>
                <w:color w:val="000000"/>
                <w:sz w:val="16"/>
                <w:szCs w:val="16"/>
              </w:rPr>
              <w:t> </w:t>
            </w:r>
          </w:p>
        </w:tc>
      </w:tr>
      <w:tr w:rsidR="007E4A31" w:rsidRPr="00B07320" w14:paraId="64F3B8F4" w14:textId="77777777" w:rsidTr="009647DE">
        <w:tc>
          <w:tcPr>
            <w:tcW w:w="484" w:type="dxa"/>
            <w:tcBorders>
              <w:top w:val="single" w:sz="4" w:space="0" w:color="000000"/>
              <w:bottom w:val="single" w:sz="4" w:space="0" w:color="000000"/>
            </w:tcBorders>
            <w:vAlign w:val="center"/>
          </w:tcPr>
          <w:p w14:paraId="4AD48FA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w:t>
            </w:r>
          </w:p>
        </w:tc>
        <w:tc>
          <w:tcPr>
            <w:tcW w:w="1964" w:type="dxa"/>
            <w:tcBorders>
              <w:top w:val="single" w:sz="4" w:space="0" w:color="000000"/>
              <w:bottom w:val="single" w:sz="4" w:space="0" w:color="000000"/>
            </w:tcBorders>
            <w:vAlign w:val="center"/>
          </w:tcPr>
          <w:p w14:paraId="5799101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Hungry Horse</w:t>
            </w:r>
          </w:p>
        </w:tc>
        <w:tc>
          <w:tcPr>
            <w:tcW w:w="1620" w:type="dxa"/>
            <w:vMerge/>
            <w:tcBorders>
              <w:top w:val="single" w:sz="4" w:space="0" w:color="000000"/>
              <w:bottom w:val="single" w:sz="4" w:space="0" w:color="000000"/>
            </w:tcBorders>
            <w:vAlign w:val="center"/>
          </w:tcPr>
          <w:p w14:paraId="260AB180"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0348340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03FF95D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F23B7D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428</w:t>
            </w:r>
          </w:p>
        </w:tc>
        <w:tc>
          <w:tcPr>
            <w:tcW w:w="1714" w:type="dxa"/>
            <w:tcBorders>
              <w:top w:val="single" w:sz="4" w:space="0" w:color="000000"/>
              <w:bottom w:val="single" w:sz="4" w:space="0" w:color="000000"/>
            </w:tcBorders>
            <w:vAlign w:val="center"/>
          </w:tcPr>
          <w:p w14:paraId="18508B1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920.6</w:t>
            </w:r>
          </w:p>
        </w:tc>
      </w:tr>
      <w:tr w:rsidR="007E4A31" w:rsidRPr="00B07320" w14:paraId="105A079E" w14:textId="77777777" w:rsidTr="009647DE">
        <w:tc>
          <w:tcPr>
            <w:tcW w:w="484" w:type="dxa"/>
            <w:tcBorders>
              <w:top w:val="single" w:sz="4" w:space="0" w:color="000000"/>
              <w:bottom w:val="single" w:sz="4" w:space="0" w:color="000000"/>
            </w:tcBorders>
            <w:vAlign w:val="center"/>
          </w:tcPr>
          <w:p w14:paraId="750B682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w:t>
            </w:r>
          </w:p>
        </w:tc>
        <w:tc>
          <w:tcPr>
            <w:tcW w:w="1964" w:type="dxa"/>
            <w:tcBorders>
              <w:top w:val="single" w:sz="4" w:space="0" w:color="000000"/>
              <w:bottom w:val="single" w:sz="4" w:space="0" w:color="000000"/>
            </w:tcBorders>
            <w:vAlign w:val="center"/>
          </w:tcPr>
          <w:p w14:paraId="51A8194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Albeni Falls</w:t>
            </w:r>
          </w:p>
        </w:tc>
        <w:tc>
          <w:tcPr>
            <w:tcW w:w="1620" w:type="dxa"/>
            <w:vMerge/>
            <w:tcBorders>
              <w:top w:val="single" w:sz="4" w:space="0" w:color="000000"/>
              <w:bottom w:val="single" w:sz="4" w:space="0" w:color="000000"/>
            </w:tcBorders>
            <w:vAlign w:val="center"/>
          </w:tcPr>
          <w:p w14:paraId="38DF9D87"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5AB15D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3F72A69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C6E9B1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42</w:t>
            </w:r>
          </w:p>
        </w:tc>
        <w:tc>
          <w:tcPr>
            <w:tcW w:w="1714" w:type="dxa"/>
            <w:tcBorders>
              <w:top w:val="single" w:sz="4" w:space="0" w:color="000000"/>
              <w:bottom w:val="single" w:sz="4" w:space="0" w:color="000000"/>
            </w:tcBorders>
            <w:vAlign w:val="center"/>
          </w:tcPr>
          <w:p w14:paraId="2A40BB3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210.8</w:t>
            </w:r>
          </w:p>
        </w:tc>
      </w:tr>
      <w:tr w:rsidR="007E4A31" w:rsidRPr="00B07320" w14:paraId="2E13DB17" w14:textId="77777777" w:rsidTr="009647DE">
        <w:tc>
          <w:tcPr>
            <w:tcW w:w="484" w:type="dxa"/>
            <w:tcBorders>
              <w:top w:val="single" w:sz="4" w:space="0" w:color="000000"/>
              <w:bottom w:val="single" w:sz="12" w:space="0" w:color="000000"/>
            </w:tcBorders>
            <w:vAlign w:val="center"/>
          </w:tcPr>
          <w:p w14:paraId="68E2F07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w:t>
            </w:r>
          </w:p>
        </w:tc>
        <w:tc>
          <w:tcPr>
            <w:tcW w:w="1964" w:type="dxa"/>
            <w:tcBorders>
              <w:top w:val="single" w:sz="4" w:space="0" w:color="000000"/>
              <w:bottom w:val="single" w:sz="12" w:space="0" w:color="000000"/>
            </w:tcBorders>
            <w:vAlign w:val="center"/>
          </w:tcPr>
          <w:p w14:paraId="652F1A2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Libby</w:t>
            </w:r>
          </w:p>
        </w:tc>
        <w:tc>
          <w:tcPr>
            <w:tcW w:w="1620" w:type="dxa"/>
            <w:vMerge/>
            <w:tcBorders>
              <w:top w:val="single" w:sz="4" w:space="0" w:color="000000"/>
              <w:bottom w:val="single" w:sz="12" w:space="0" w:color="000000"/>
            </w:tcBorders>
            <w:vAlign w:val="center"/>
          </w:tcPr>
          <w:p w14:paraId="5B0B5B14"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5DB1F35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0ED1521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0F46C4A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525</w:t>
            </w:r>
          </w:p>
        </w:tc>
        <w:tc>
          <w:tcPr>
            <w:tcW w:w="1714" w:type="dxa"/>
            <w:tcBorders>
              <w:top w:val="single" w:sz="4" w:space="0" w:color="000000"/>
              <w:bottom w:val="single" w:sz="12" w:space="0" w:color="000000"/>
            </w:tcBorders>
            <w:vAlign w:val="center"/>
          </w:tcPr>
          <w:p w14:paraId="28F3DA8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2,075.3</w:t>
            </w:r>
          </w:p>
        </w:tc>
      </w:tr>
      <w:tr w:rsidR="007E4A31" w:rsidRPr="00B07320" w14:paraId="16F83A0E" w14:textId="77777777" w:rsidTr="009647DE">
        <w:tc>
          <w:tcPr>
            <w:tcW w:w="9576" w:type="dxa"/>
            <w:gridSpan w:val="7"/>
            <w:tcBorders>
              <w:top w:val="single" w:sz="12" w:space="0" w:color="000000"/>
            </w:tcBorders>
            <w:vAlign w:val="center"/>
          </w:tcPr>
          <w:p w14:paraId="4AC8DDF7"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BPA-2 Snake River</w:t>
            </w:r>
          </w:p>
        </w:tc>
      </w:tr>
      <w:tr w:rsidR="007E4A31" w:rsidRPr="00B07320" w14:paraId="15C199AF" w14:textId="77777777" w:rsidTr="009647DE">
        <w:tc>
          <w:tcPr>
            <w:tcW w:w="484" w:type="dxa"/>
            <w:vAlign w:val="center"/>
          </w:tcPr>
          <w:p w14:paraId="4BD7DF1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w:t>
            </w:r>
          </w:p>
        </w:tc>
        <w:tc>
          <w:tcPr>
            <w:tcW w:w="1964" w:type="dxa"/>
            <w:vAlign w:val="center"/>
          </w:tcPr>
          <w:p w14:paraId="33962B1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Anderson Ranch</w:t>
            </w:r>
          </w:p>
        </w:tc>
        <w:tc>
          <w:tcPr>
            <w:tcW w:w="1620" w:type="dxa"/>
            <w:vMerge w:val="restart"/>
            <w:vAlign w:val="center"/>
          </w:tcPr>
          <w:p w14:paraId="22FF812C" w14:textId="6A326166" w:rsidR="007E4A31" w:rsidRPr="00B07320" w:rsidRDefault="007E4A31" w:rsidP="005E6DC1">
            <w:pPr>
              <w:spacing w:before="40" w:after="40" w:line="240" w:lineRule="auto"/>
              <w:ind w:firstLine="0"/>
              <w:rPr>
                <w:rFonts w:eastAsia="Times New Roman"/>
                <w:b/>
                <w:sz w:val="16"/>
                <w:szCs w:val="16"/>
              </w:rPr>
            </w:pPr>
            <w:r w:rsidRPr="00B07320">
              <w:rPr>
                <w:sz w:val="16"/>
                <w:szCs w:val="16"/>
              </w:rPr>
              <w:t>Federal Columbia River Power System (FCRPS)</w:t>
            </w:r>
          </w:p>
        </w:tc>
        <w:tc>
          <w:tcPr>
            <w:tcW w:w="1170" w:type="dxa"/>
            <w:vAlign w:val="center"/>
          </w:tcPr>
          <w:p w14:paraId="3F0B45D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2E82D5D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C5294A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40</w:t>
            </w:r>
          </w:p>
        </w:tc>
        <w:tc>
          <w:tcPr>
            <w:tcW w:w="1714" w:type="dxa"/>
            <w:vAlign w:val="center"/>
          </w:tcPr>
          <w:p w14:paraId="371E056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129.4</w:t>
            </w:r>
          </w:p>
        </w:tc>
      </w:tr>
      <w:tr w:rsidR="007E4A31" w:rsidRPr="00B07320" w14:paraId="33829ADC" w14:textId="77777777" w:rsidTr="009647DE">
        <w:tc>
          <w:tcPr>
            <w:tcW w:w="484" w:type="dxa"/>
            <w:vAlign w:val="center"/>
          </w:tcPr>
          <w:p w14:paraId="3F31859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p>
        </w:tc>
        <w:tc>
          <w:tcPr>
            <w:tcW w:w="1964" w:type="dxa"/>
            <w:vAlign w:val="center"/>
          </w:tcPr>
          <w:p w14:paraId="69DE185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Black Canyon</w:t>
            </w:r>
          </w:p>
        </w:tc>
        <w:tc>
          <w:tcPr>
            <w:tcW w:w="1620" w:type="dxa"/>
            <w:vMerge/>
            <w:vAlign w:val="center"/>
          </w:tcPr>
          <w:p w14:paraId="0857B2F2" w14:textId="77777777" w:rsidR="007E4A31" w:rsidRPr="00B07320" w:rsidRDefault="007E4A31" w:rsidP="005E6DC1">
            <w:pPr>
              <w:spacing w:before="40" w:after="40" w:line="240" w:lineRule="auto"/>
              <w:ind w:firstLine="0"/>
              <w:rPr>
                <w:sz w:val="16"/>
                <w:szCs w:val="16"/>
              </w:rPr>
            </w:pPr>
          </w:p>
        </w:tc>
        <w:tc>
          <w:tcPr>
            <w:tcW w:w="1170" w:type="dxa"/>
            <w:vAlign w:val="center"/>
          </w:tcPr>
          <w:p w14:paraId="2778A76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5ABA40A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64F2FA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10.2</w:t>
            </w:r>
          </w:p>
        </w:tc>
        <w:tc>
          <w:tcPr>
            <w:tcW w:w="1714" w:type="dxa"/>
            <w:vAlign w:val="center"/>
          </w:tcPr>
          <w:p w14:paraId="16E392C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60.2</w:t>
            </w:r>
          </w:p>
        </w:tc>
      </w:tr>
      <w:tr w:rsidR="007E4A31" w:rsidRPr="00B07320" w14:paraId="6BF39199" w14:textId="77777777" w:rsidTr="009647DE">
        <w:tc>
          <w:tcPr>
            <w:tcW w:w="484" w:type="dxa"/>
            <w:vAlign w:val="center"/>
          </w:tcPr>
          <w:p w14:paraId="347BB71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p>
        </w:tc>
        <w:tc>
          <w:tcPr>
            <w:tcW w:w="1964" w:type="dxa"/>
            <w:vAlign w:val="center"/>
          </w:tcPr>
          <w:p w14:paraId="092C175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Boise R Diversion</w:t>
            </w:r>
          </w:p>
        </w:tc>
        <w:tc>
          <w:tcPr>
            <w:tcW w:w="1620" w:type="dxa"/>
            <w:vMerge/>
            <w:vAlign w:val="center"/>
          </w:tcPr>
          <w:p w14:paraId="7B895074" w14:textId="77777777" w:rsidR="007E4A31" w:rsidRPr="00B07320" w:rsidRDefault="007E4A31" w:rsidP="005E6DC1">
            <w:pPr>
              <w:spacing w:before="40" w:after="40" w:line="240" w:lineRule="auto"/>
              <w:ind w:firstLine="0"/>
              <w:rPr>
                <w:sz w:val="16"/>
                <w:szCs w:val="16"/>
              </w:rPr>
            </w:pPr>
          </w:p>
        </w:tc>
        <w:tc>
          <w:tcPr>
            <w:tcW w:w="1170" w:type="dxa"/>
            <w:vAlign w:val="center"/>
          </w:tcPr>
          <w:p w14:paraId="5DE0742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06D4689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DBE193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3.3</w:t>
            </w:r>
          </w:p>
        </w:tc>
        <w:tc>
          <w:tcPr>
            <w:tcW w:w="1714" w:type="dxa"/>
            <w:vAlign w:val="center"/>
          </w:tcPr>
          <w:p w14:paraId="20DA261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4.3</w:t>
            </w:r>
          </w:p>
        </w:tc>
      </w:tr>
      <w:tr w:rsidR="007E4A31" w:rsidRPr="00B07320" w14:paraId="37FE077D" w14:textId="77777777" w:rsidTr="009647DE">
        <w:tc>
          <w:tcPr>
            <w:tcW w:w="484" w:type="dxa"/>
            <w:vAlign w:val="center"/>
          </w:tcPr>
          <w:p w14:paraId="7A258D9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p>
        </w:tc>
        <w:tc>
          <w:tcPr>
            <w:tcW w:w="1964" w:type="dxa"/>
            <w:vAlign w:val="center"/>
          </w:tcPr>
          <w:p w14:paraId="0DB5F98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Minidoka</w:t>
            </w:r>
          </w:p>
        </w:tc>
        <w:tc>
          <w:tcPr>
            <w:tcW w:w="1620" w:type="dxa"/>
            <w:vMerge/>
            <w:vAlign w:val="center"/>
          </w:tcPr>
          <w:p w14:paraId="19328CE2" w14:textId="77777777" w:rsidR="007E4A31" w:rsidRPr="00B07320" w:rsidRDefault="007E4A31" w:rsidP="005E6DC1">
            <w:pPr>
              <w:spacing w:before="40" w:after="40" w:line="240" w:lineRule="auto"/>
              <w:ind w:firstLine="0"/>
              <w:rPr>
                <w:sz w:val="16"/>
                <w:szCs w:val="16"/>
              </w:rPr>
            </w:pPr>
          </w:p>
        </w:tc>
        <w:tc>
          <w:tcPr>
            <w:tcW w:w="1170" w:type="dxa"/>
            <w:vAlign w:val="center"/>
          </w:tcPr>
          <w:p w14:paraId="43536F9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72ED34F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115052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27.7</w:t>
            </w:r>
          </w:p>
        </w:tc>
        <w:tc>
          <w:tcPr>
            <w:tcW w:w="1714" w:type="dxa"/>
            <w:vAlign w:val="center"/>
          </w:tcPr>
          <w:p w14:paraId="6E7274F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94.4</w:t>
            </w:r>
          </w:p>
        </w:tc>
      </w:tr>
      <w:tr w:rsidR="007E4A31" w:rsidRPr="00B07320" w14:paraId="4AA9351E" w14:textId="77777777" w:rsidTr="009647DE">
        <w:tc>
          <w:tcPr>
            <w:tcW w:w="484" w:type="dxa"/>
            <w:vAlign w:val="center"/>
          </w:tcPr>
          <w:p w14:paraId="277225A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w:t>
            </w:r>
          </w:p>
        </w:tc>
        <w:tc>
          <w:tcPr>
            <w:tcW w:w="1964" w:type="dxa"/>
            <w:vAlign w:val="center"/>
          </w:tcPr>
          <w:p w14:paraId="611AFF9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Palisades</w:t>
            </w:r>
          </w:p>
        </w:tc>
        <w:tc>
          <w:tcPr>
            <w:tcW w:w="1620" w:type="dxa"/>
            <w:vMerge/>
            <w:vAlign w:val="center"/>
          </w:tcPr>
          <w:p w14:paraId="63CCE740" w14:textId="77777777" w:rsidR="007E4A31" w:rsidRPr="00B07320" w:rsidRDefault="007E4A31" w:rsidP="005E6DC1">
            <w:pPr>
              <w:spacing w:before="40" w:after="40" w:line="240" w:lineRule="auto"/>
              <w:ind w:firstLine="0"/>
              <w:rPr>
                <w:sz w:val="16"/>
                <w:szCs w:val="16"/>
              </w:rPr>
            </w:pPr>
          </w:p>
        </w:tc>
        <w:tc>
          <w:tcPr>
            <w:tcW w:w="1170" w:type="dxa"/>
            <w:vAlign w:val="center"/>
          </w:tcPr>
          <w:p w14:paraId="46D06B7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44B6F5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9F5A18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176.4</w:t>
            </w:r>
          </w:p>
        </w:tc>
        <w:tc>
          <w:tcPr>
            <w:tcW w:w="1714" w:type="dxa"/>
            <w:vAlign w:val="center"/>
          </w:tcPr>
          <w:p w14:paraId="1F42399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623.8</w:t>
            </w:r>
          </w:p>
        </w:tc>
      </w:tr>
      <w:tr w:rsidR="007E4A31" w:rsidRPr="00B07320" w14:paraId="7708D7FE" w14:textId="77777777" w:rsidTr="009647DE">
        <w:tc>
          <w:tcPr>
            <w:tcW w:w="484" w:type="dxa"/>
            <w:vAlign w:val="center"/>
          </w:tcPr>
          <w:p w14:paraId="5867AE1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w:t>
            </w:r>
          </w:p>
        </w:tc>
        <w:tc>
          <w:tcPr>
            <w:tcW w:w="1964" w:type="dxa"/>
            <w:vAlign w:val="center"/>
          </w:tcPr>
          <w:p w14:paraId="1C8F962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Dworshak</w:t>
            </w:r>
          </w:p>
        </w:tc>
        <w:tc>
          <w:tcPr>
            <w:tcW w:w="1620" w:type="dxa"/>
            <w:vMerge/>
            <w:vAlign w:val="center"/>
          </w:tcPr>
          <w:p w14:paraId="4B804D87" w14:textId="77777777" w:rsidR="007E4A31" w:rsidRPr="00B07320" w:rsidRDefault="007E4A31" w:rsidP="005E6DC1">
            <w:pPr>
              <w:spacing w:before="40" w:after="40" w:line="240" w:lineRule="auto"/>
              <w:ind w:firstLine="0"/>
              <w:rPr>
                <w:sz w:val="16"/>
                <w:szCs w:val="16"/>
              </w:rPr>
            </w:pPr>
          </w:p>
        </w:tc>
        <w:tc>
          <w:tcPr>
            <w:tcW w:w="1170" w:type="dxa"/>
            <w:vAlign w:val="center"/>
          </w:tcPr>
          <w:p w14:paraId="142B1B7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54C8B15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2492B8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465</w:t>
            </w:r>
          </w:p>
        </w:tc>
        <w:tc>
          <w:tcPr>
            <w:tcW w:w="1714" w:type="dxa"/>
            <w:vAlign w:val="center"/>
          </w:tcPr>
          <w:p w14:paraId="3C17C5B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1,744.2</w:t>
            </w:r>
          </w:p>
        </w:tc>
      </w:tr>
      <w:tr w:rsidR="007E4A31" w:rsidRPr="00B07320" w14:paraId="70B03245" w14:textId="77777777" w:rsidTr="009647DE">
        <w:tc>
          <w:tcPr>
            <w:tcW w:w="484" w:type="dxa"/>
            <w:vAlign w:val="center"/>
          </w:tcPr>
          <w:p w14:paraId="2953154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w:t>
            </w:r>
          </w:p>
        </w:tc>
        <w:tc>
          <w:tcPr>
            <w:tcW w:w="1964" w:type="dxa"/>
            <w:vAlign w:val="center"/>
          </w:tcPr>
          <w:p w14:paraId="7364DF5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Ice Harbor</w:t>
            </w:r>
          </w:p>
        </w:tc>
        <w:tc>
          <w:tcPr>
            <w:tcW w:w="1620" w:type="dxa"/>
            <w:vMerge/>
            <w:vAlign w:val="center"/>
          </w:tcPr>
          <w:p w14:paraId="7FD931E5" w14:textId="77777777" w:rsidR="007E4A31" w:rsidRPr="00B07320" w:rsidRDefault="007E4A31" w:rsidP="005E6DC1">
            <w:pPr>
              <w:spacing w:before="40" w:after="40" w:line="240" w:lineRule="auto"/>
              <w:ind w:firstLine="0"/>
              <w:rPr>
                <w:sz w:val="16"/>
                <w:szCs w:val="16"/>
              </w:rPr>
            </w:pPr>
          </w:p>
        </w:tc>
        <w:tc>
          <w:tcPr>
            <w:tcW w:w="1170" w:type="dxa"/>
            <w:vAlign w:val="center"/>
          </w:tcPr>
          <w:p w14:paraId="4A5C130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951EE1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727FBA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603</w:t>
            </w:r>
          </w:p>
        </w:tc>
        <w:tc>
          <w:tcPr>
            <w:tcW w:w="1714" w:type="dxa"/>
            <w:vAlign w:val="center"/>
          </w:tcPr>
          <w:p w14:paraId="03EE86A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1,995.9</w:t>
            </w:r>
          </w:p>
        </w:tc>
      </w:tr>
      <w:tr w:rsidR="007E4A31" w:rsidRPr="00B07320" w14:paraId="62E3D35C" w14:textId="77777777" w:rsidTr="009647DE">
        <w:tc>
          <w:tcPr>
            <w:tcW w:w="484" w:type="dxa"/>
            <w:vAlign w:val="center"/>
          </w:tcPr>
          <w:p w14:paraId="3285621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w:t>
            </w:r>
          </w:p>
        </w:tc>
        <w:tc>
          <w:tcPr>
            <w:tcW w:w="1964" w:type="dxa"/>
            <w:vAlign w:val="center"/>
          </w:tcPr>
          <w:p w14:paraId="42113B9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Little Goose</w:t>
            </w:r>
          </w:p>
        </w:tc>
        <w:tc>
          <w:tcPr>
            <w:tcW w:w="1620" w:type="dxa"/>
            <w:vMerge/>
            <w:vAlign w:val="center"/>
          </w:tcPr>
          <w:p w14:paraId="2A28CA68" w14:textId="77777777" w:rsidR="007E4A31" w:rsidRPr="00B07320" w:rsidRDefault="007E4A31" w:rsidP="005E6DC1">
            <w:pPr>
              <w:spacing w:before="40" w:after="40" w:line="240" w:lineRule="auto"/>
              <w:ind w:firstLine="0"/>
              <w:rPr>
                <w:sz w:val="16"/>
                <w:szCs w:val="16"/>
              </w:rPr>
            </w:pPr>
          </w:p>
        </w:tc>
        <w:tc>
          <w:tcPr>
            <w:tcW w:w="1170" w:type="dxa"/>
            <w:vAlign w:val="center"/>
          </w:tcPr>
          <w:p w14:paraId="79E9BF7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1763F1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03D6C2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810</w:t>
            </w:r>
          </w:p>
        </w:tc>
        <w:tc>
          <w:tcPr>
            <w:tcW w:w="1714" w:type="dxa"/>
            <w:vAlign w:val="center"/>
          </w:tcPr>
          <w:p w14:paraId="7F6BBAA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2,452.1</w:t>
            </w:r>
          </w:p>
        </w:tc>
      </w:tr>
      <w:tr w:rsidR="007E4A31" w:rsidRPr="00B07320" w14:paraId="15D38A85" w14:textId="77777777" w:rsidTr="009647DE">
        <w:tc>
          <w:tcPr>
            <w:tcW w:w="484" w:type="dxa"/>
            <w:vAlign w:val="center"/>
          </w:tcPr>
          <w:p w14:paraId="593049A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13</w:t>
            </w:r>
          </w:p>
        </w:tc>
        <w:tc>
          <w:tcPr>
            <w:tcW w:w="1964" w:type="dxa"/>
            <w:vAlign w:val="center"/>
          </w:tcPr>
          <w:p w14:paraId="2C86BF0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Lower Granite</w:t>
            </w:r>
          </w:p>
        </w:tc>
        <w:tc>
          <w:tcPr>
            <w:tcW w:w="1620" w:type="dxa"/>
            <w:vMerge/>
            <w:vAlign w:val="center"/>
          </w:tcPr>
          <w:p w14:paraId="485C035B" w14:textId="77777777" w:rsidR="007E4A31" w:rsidRPr="00B07320" w:rsidRDefault="007E4A31" w:rsidP="005E6DC1">
            <w:pPr>
              <w:spacing w:before="40" w:after="40" w:line="240" w:lineRule="auto"/>
              <w:ind w:firstLine="0"/>
              <w:rPr>
                <w:sz w:val="16"/>
                <w:szCs w:val="16"/>
              </w:rPr>
            </w:pPr>
          </w:p>
        </w:tc>
        <w:tc>
          <w:tcPr>
            <w:tcW w:w="1170" w:type="dxa"/>
            <w:vAlign w:val="center"/>
          </w:tcPr>
          <w:p w14:paraId="0CF9854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5B7B297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EF1D1C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810</w:t>
            </w:r>
          </w:p>
        </w:tc>
        <w:tc>
          <w:tcPr>
            <w:tcW w:w="1714" w:type="dxa"/>
            <w:vAlign w:val="center"/>
          </w:tcPr>
          <w:p w14:paraId="3E09B78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2,492.2</w:t>
            </w:r>
          </w:p>
        </w:tc>
      </w:tr>
      <w:tr w:rsidR="007E4A31" w:rsidRPr="00B07320" w14:paraId="1B13192F" w14:textId="77777777" w:rsidTr="009647DE">
        <w:tc>
          <w:tcPr>
            <w:tcW w:w="484" w:type="dxa"/>
            <w:tcBorders>
              <w:bottom w:val="single" w:sz="12" w:space="0" w:color="000000"/>
            </w:tcBorders>
            <w:vAlign w:val="center"/>
          </w:tcPr>
          <w:p w14:paraId="6F75D22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14</w:t>
            </w:r>
          </w:p>
        </w:tc>
        <w:tc>
          <w:tcPr>
            <w:tcW w:w="1964" w:type="dxa"/>
            <w:tcBorders>
              <w:bottom w:val="single" w:sz="12" w:space="0" w:color="000000"/>
            </w:tcBorders>
            <w:vAlign w:val="center"/>
          </w:tcPr>
          <w:p w14:paraId="160CFB9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Lower Monumental</w:t>
            </w:r>
          </w:p>
        </w:tc>
        <w:tc>
          <w:tcPr>
            <w:tcW w:w="1620" w:type="dxa"/>
            <w:vMerge/>
            <w:tcBorders>
              <w:bottom w:val="single" w:sz="12" w:space="0" w:color="000000"/>
            </w:tcBorders>
            <w:vAlign w:val="center"/>
          </w:tcPr>
          <w:p w14:paraId="0B1C916C"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62038D3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bottom w:val="single" w:sz="12" w:space="0" w:color="000000"/>
            </w:tcBorders>
            <w:vAlign w:val="center"/>
          </w:tcPr>
          <w:p w14:paraId="3D4E2F0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7B701A6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810</w:t>
            </w:r>
          </w:p>
        </w:tc>
        <w:tc>
          <w:tcPr>
            <w:tcW w:w="1714" w:type="dxa"/>
            <w:tcBorders>
              <w:bottom w:val="single" w:sz="12" w:space="0" w:color="000000"/>
            </w:tcBorders>
            <w:vAlign w:val="center"/>
          </w:tcPr>
          <w:p w14:paraId="16B0E37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2,438.7</w:t>
            </w:r>
          </w:p>
        </w:tc>
      </w:tr>
      <w:tr w:rsidR="007E4A31" w:rsidRPr="00B07320" w14:paraId="651795D0" w14:textId="77777777" w:rsidTr="009647DE">
        <w:tc>
          <w:tcPr>
            <w:tcW w:w="9576" w:type="dxa"/>
            <w:gridSpan w:val="7"/>
            <w:tcBorders>
              <w:top w:val="single" w:sz="12" w:space="0" w:color="000000"/>
              <w:bottom w:val="single" w:sz="4" w:space="0" w:color="000000"/>
            </w:tcBorders>
            <w:vAlign w:val="center"/>
          </w:tcPr>
          <w:p w14:paraId="46B9E874"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BPA-3 Mid-Lower Columbia</w:t>
            </w:r>
          </w:p>
        </w:tc>
      </w:tr>
      <w:tr w:rsidR="007E4A31" w:rsidRPr="00B07320" w14:paraId="5415BFC5" w14:textId="77777777" w:rsidTr="009647DE">
        <w:tc>
          <w:tcPr>
            <w:tcW w:w="484" w:type="dxa"/>
            <w:tcBorders>
              <w:top w:val="single" w:sz="4" w:space="0" w:color="000000"/>
              <w:bottom w:val="single" w:sz="4" w:space="0" w:color="000000"/>
            </w:tcBorders>
            <w:vAlign w:val="center"/>
          </w:tcPr>
          <w:p w14:paraId="54DB271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15</w:t>
            </w:r>
          </w:p>
        </w:tc>
        <w:tc>
          <w:tcPr>
            <w:tcW w:w="1964" w:type="dxa"/>
            <w:tcBorders>
              <w:top w:val="single" w:sz="4" w:space="0" w:color="000000"/>
              <w:bottom w:val="single" w:sz="4" w:space="0" w:color="000000"/>
            </w:tcBorders>
            <w:vAlign w:val="center"/>
          </w:tcPr>
          <w:p w14:paraId="7676EDE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Chandler</w:t>
            </w:r>
          </w:p>
        </w:tc>
        <w:tc>
          <w:tcPr>
            <w:tcW w:w="1620" w:type="dxa"/>
            <w:vMerge w:val="restart"/>
            <w:tcBorders>
              <w:top w:val="single" w:sz="4" w:space="0" w:color="000000"/>
              <w:bottom w:val="single" w:sz="4" w:space="0" w:color="000000"/>
            </w:tcBorders>
            <w:vAlign w:val="center"/>
          </w:tcPr>
          <w:p w14:paraId="4B9277C3" w14:textId="157610A8" w:rsidR="007E4A31" w:rsidRPr="00B07320" w:rsidRDefault="007E4A31" w:rsidP="005E6DC1">
            <w:pPr>
              <w:spacing w:before="40" w:after="40" w:line="240" w:lineRule="auto"/>
              <w:ind w:firstLine="0"/>
              <w:rPr>
                <w:rFonts w:eastAsia="Times New Roman"/>
                <w:b/>
                <w:sz w:val="16"/>
                <w:szCs w:val="16"/>
              </w:rPr>
            </w:pPr>
            <w:r w:rsidRPr="00B07320">
              <w:rPr>
                <w:sz w:val="16"/>
                <w:szCs w:val="16"/>
              </w:rPr>
              <w:t>Federal Columbia River Power System (FCRPS)</w:t>
            </w:r>
          </w:p>
        </w:tc>
        <w:tc>
          <w:tcPr>
            <w:tcW w:w="1170" w:type="dxa"/>
            <w:tcBorders>
              <w:top w:val="single" w:sz="4" w:space="0" w:color="000000"/>
              <w:bottom w:val="single" w:sz="4" w:space="0" w:color="000000"/>
            </w:tcBorders>
            <w:vAlign w:val="center"/>
          </w:tcPr>
          <w:p w14:paraId="4D09459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77BF6B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599544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12</w:t>
            </w:r>
          </w:p>
        </w:tc>
        <w:tc>
          <w:tcPr>
            <w:tcW w:w="1714" w:type="dxa"/>
            <w:tcBorders>
              <w:top w:val="single" w:sz="4" w:space="0" w:color="000000"/>
              <w:bottom w:val="single" w:sz="4" w:space="0" w:color="000000"/>
            </w:tcBorders>
            <w:vAlign w:val="center"/>
          </w:tcPr>
          <w:p w14:paraId="6643DA2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47.7</w:t>
            </w:r>
          </w:p>
        </w:tc>
      </w:tr>
      <w:tr w:rsidR="007E4A31" w:rsidRPr="00B07320" w14:paraId="1296BDB6" w14:textId="77777777" w:rsidTr="009647DE">
        <w:tc>
          <w:tcPr>
            <w:tcW w:w="484" w:type="dxa"/>
            <w:tcBorders>
              <w:top w:val="single" w:sz="4" w:space="0" w:color="000000"/>
              <w:bottom w:val="single" w:sz="4" w:space="0" w:color="000000"/>
            </w:tcBorders>
            <w:vAlign w:val="center"/>
          </w:tcPr>
          <w:p w14:paraId="616AD71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16</w:t>
            </w:r>
          </w:p>
        </w:tc>
        <w:tc>
          <w:tcPr>
            <w:tcW w:w="1964" w:type="dxa"/>
            <w:tcBorders>
              <w:top w:val="single" w:sz="4" w:space="0" w:color="000000"/>
              <w:bottom w:val="single" w:sz="4" w:space="0" w:color="000000"/>
            </w:tcBorders>
            <w:vAlign w:val="center"/>
          </w:tcPr>
          <w:p w14:paraId="5ACA3DC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Roza</w:t>
            </w:r>
          </w:p>
        </w:tc>
        <w:tc>
          <w:tcPr>
            <w:tcW w:w="1620" w:type="dxa"/>
            <w:vMerge/>
            <w:tcBorders>
              <w:top w:val="single" w:sz="4" w:space="0" w:color="000000"/>
              <w:bottom w:val="single" w:sz="4" w:space="0" w:color="000000"/>
            </w:tcBorders>
            <w:vAlign w:val="center"/>
          </w:tcPr>
          <w:p w14:paraId="1BB0225B"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4F22BF9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031D0F7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CE6717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12.9</w:t>
            </w:r>
          </w:p>
        </w:tc>
        <w:tc>
          <w:tcPr>
            <w:tcW w:w="1714" w:type="dxa"/>
            <w:tcBorders>
              <w:top w:val="single" w:sz="4" w:space="0" w:color="000000"/>
              <w:bottom w:val="single" w:sz="4" w:space="0" w:color="000000"/>
            </w:tcBorders>
            <w:vAlign w:val="center"/>
          </w:tcPr>
          <w:p w14:paraId="7F9BAF0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50.2</w:t>
            </w:r>
          </w:p>
        </w:tc>
      </w:tr>
      <w:tr w:rsidR="007E4A31" w:rsidRPr="00B07320" w14:paraId="2CFAA208" w14:textId="77777777" w:rsidTr="009647DE">
        <w:tc>
          <w:tcPr>
            <w:tcW w:w="484" w:type="dxa"/>
            <w:tcBorders>
              <w:top w:val="single" w:sz="4" w:space="0" w:color="000000"/>
              <w:bottom w:val="single" w:sz="4" w:space="0" w:color="000000"/>
            </w:tcBorders>
            <w:vAlign w:val="center"/>
          </w:tcPr>
          <w:p w14:paraId="3BF8A46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17</w:t>
            </w:r>
          </w:p>
        </w:tc>
        <w:tc>
          <w:tcPr>
            <w:tcW w:w="1964" w:type="dxa"/>
            <w:tcBorders>
              <w:top w:val="single" w:sz="4" w:space="0" w:color="000000"/>
              <w:bottom w:val="single" w:sz="4" w:space="0" w:color="000000"/>
            </w:tcBorders>
            <w:vAlign w:val="center"/>
          </w:tcPr>
          <w:p w14:paraId="4CC76FC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Bonneville</w:t>
            </w:r>
          </w:p>
        </w:tc>
        <w:tc>
          <w:tcPr>
            <w:tcW w:w="1620" w:type="dxa"/>
            <w:vMerge/>
            <w:tcBorders>
              <w:top w:val="single" w:sz="4" w:space="0" w:color="000000"/>
              <w:bottom w:val="single" w:sz="4" w:space="0" w:color="000000"/>
            </w:tcBorders>
            <w:vAlign w:val="center"/>
          </w:tcPr>
          <w:p w14:paraId="1A185B99"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337EAD7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DD065A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ED8617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1,162</w:t>
            </w:r>
          </w:p>
        </w:tc>
        <w:tc>
          <w:tcPr>
            <w:tcW w:w="1714" w:type="dxa"/>
            <w:tcBorders>
              <w:top w:val="single" w:sz="4" w:space="0" w:color="000000"/>
              <w:bottom w:val="single" w:sz="4" w:space="0" w:color="000000"/>
            </w:tcBorders>
            <w:vAlign w:val="center"/>
          </w:tcPr>
          <w:p w14:paraId="2E206CC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4,933.0</w:t>
            </w:r>
          </w:p>
        </w:tc>
      </w:tr>
      <w:tr w:rsidR="007E4A31" w:rsidRPr="00B07320" w14:paraId="01338239" w14:textId="77777777" w:rsidTr="009647DE">
        <w:tc>
          <w:tcPr>
            <w:tcW w:w="484" w:type="dxa"/>
            <w:tcBorders>
              <w:top w:val="single" w:sz="4" w:space="0" w:color="000000"/>
              <w:bottom w:val="single" w:sz="4" w:space="0" w:color="000000"/>
            </w:tcBorders>
            <w:vAlign w:val="center"/>
          </w:tcPr>
          <w:p w14:paraId="2626D12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18</w:t>
            </w:r>
          </w:p>
        </w:tc>
        <w:tc>
          <w:tcPr>
            <w:tcW w:w="1964" w:type="dxa"/>
            <w:tcBorders>
              <w:top w:val="single" w:sz="4" w:space="0" w:color="000000"/>
              <w:bottom w:val="single" w:sz="4" w:space="0" w:color="000000"/>
            </w:tcBorders>
            <w:vAlign w:val="center"/>
          </w:tcPr>
          <w:p w14:paraId="3A33244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Chief Joseph</w:t>
            </w:r>
          </w:p>
        </w:tc>
        <w:tc>
          <w:tcPr>
            <w:tcW w:w="1620" w:type="dxa"/>
            <w:vMerge/>
            <w:tcBorders>
              <w:top w:val="single" w:sz="4" w:space="0" w:color="000000"/>
              <w:bottom w:val="single" w:sz="4" w:space="0" w:color="000000"/>
            </w:tcBorders>
            <w:vAlign w:val="center"/>
          </w:tcPr>
          <w:p w14:paraId="57049B54"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6C7BAE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75B3F5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29A92C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2,456.2</w:t>
            </w:r>
          </w:p>
        </w:tc>
        <w:tc>
          <w:tcPr>
            <w:tcW w:w="1714" w:type="dxa"/>
            <w:tcBorders>
              <w:top w:val="single" w:sz="4" w:space="0" w:color="000000"/>
              <w:bottom w:val="single" w:sz="4" w:space="0" w:color="000000"/>
            </w:tcBorders>
            <w:vAlign w:val="center"/>
          </w:tcPr>
          <w:p w14:paraId="1EFD946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11,242.9</w:t>
            </w:r>
          </w:p>
        </w:tc>
      </w:tr>
      <w:tr w:rsidR="007E4A31" w:rsidRPr="00B07320" w14:paraId="1267FB88" w14:textId="77777777" w:rsidTr="009647DE">
        <w:tc>
          <w:tcPr>
            <w:tcW w:w="484" w:type="dxa"/>
            <w:tcBorders>
              <w:top w:val="single" w:sz="4" w:space="0" w:color="000000"/>
              <w:bottom w:val="single" w:sz="4" w:space="0" w:color="000000"/>
            </w:tcBorders>
            <w:vAlign w:val="center"/>
          </w:tcPr>
          <w:p w14:paraId="301784C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19</w:t>
            </w:r>
          </w:p>
        </w:tc>
        <w:tc>
          <w:tcPr>
            <w:tcW w:w="1964" w:type="dxa"/>
            <w:tcBorders>
              <w:top w:val="single" w:sz="4" w:space="0" w:color="000000"/>
              <w:bottom w:val="single" w:sz="4" w:space="0" w:color="000000"/>
            </w:tcBorders>
            <w:vAlign w:val="center"/>
          </w:tcPr>
          <w:p w14:paraId="114D5F0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John Day</w:t>
            </w:r>
          </w:p>
        </w:tc>
        <w:tc>
          <w:tcPr>
            <w:tcW w:w="1620" w:type="dxa"/>
            <w:vMerge/>
            <w:tcBorders>
              <w:top w:val="single" w:sz="4" w:space="0" w:color="000000"/>
              <w:bottom w:val="single" w:sz="4" w:space="0" w:color="000000"/>
            </w:tcBorders>
            <w:vAlign w:val="center"/>
          </w:tcPr>
          <w:p w14:paraId="604325E8"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0B122A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52FE2A3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BA74BF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2,160</w:t>
            </w:r>
          </w:p>
        </w:tc>
        <w:tc>
          <w:tcPr>
            <w:tcW w:w="1714" w:type="dxa"/>
            <w:tcBorders>
              <w:top w:val="single" w:sz="4" w:space="0" w:color="000000"/>
              <w:bottom w:val="single" w:sz="4" w:space="0" w:color="000000"/>
            </w:tcBorders>
            <w:vAlign w:val="center"/>
          </w:tcPr>
          <w:p w14:paraId="5C1AFCF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9,801.4</w:t>
            </w:r>
          </w:p>
        </w:tc>
      </w:tr>
      <w:tr w:rsidR="007E4A31" w:rsidRPr="00B07320" w14:paraId="0A1A479F" w14:textId="77777777" w:rsidTr="009647DE">
        <w:tc>
          <w:tcPr>
            <w:tcW w:w="484" w:type="dxa"/>
            <w:tcBorders>
              <w:top w:val="single" w:sz="4" w:space="0" w:color="000000"/>
              <w:bottom w:val="single" w:sz="4" w:space="0" w:color="000000"/>
            </w:tcBorders>
            <w:vAlign w:val="center"/>
          </w:tcPr>
          <w:p w14:paraId="3A295BC9" w14:textId="77777777" w:rsidR="007E4A31" w:rsidRPr="00B07320" w:rsidRDefault="007E4A31" w:rsidP="005E6DC1">
            <w:pPr>
              <w:spacing w:before="40" w:after="40" w:line="240" w:lineRule="auto"/>
              <w:ind w:firstLine="0"/>
              <w:rPr>
                <w:rFonts w:eastAsia="Times New Roman"/>
                <w:b/>
                <w:i/>
                <w:sz w:val="16"/>
                <w:szCs w:val="16"/>
              </w:rPr>
            </w:pPr>
            <w:r w:rsidRPr="00B07320">
              <w:rPr>
                <w:sz w:val="16"/>
                <w:szCs w:val="16"/>
              </w:rPr>
              <w:t>20</w:t>
            </w:r>
          </w:p>
        </w:tc>
        <w:tc>
          <w:tcPr>
            <w:tcW w:w="1964" w:type="dxa"/>
            <w:tcBorders>
              <w:top w:val="single" w:sz="4" w:space="0" w:color="000000"/>
              <w:bottom w:val="single" w:sz="4" w:space="0" w:color="000000"/>
            </w:tcBorders>
            <w:vAlign w:val="center"/>
          </w:tcPr>
          <w:p w14:paraId="5FB2FD84" w14:textId="77777777" w:rsidR="007E4A31" w:rsidRPr="00B07320" w:rsidRDefault="007E4A31" w:rsidP="005E6DC1">
            <w:pPr>
              <w:spacing w:before="40" w:after="40" w:line="240" w:lineRule="auto"/>
              <w:ind w:firstLine="0"/>
              <w:rPr>
                <w:rFonts w:eastAsia="Times New Roman"/>
                <w:b/>
                <w:i/>
                <w:sz w:val="16"/>
                <w:szCs w:val="16"/>
              </w:rPr>
            </w:pPr>
            <w:r w:rsidRPr="00B07320">
              <w:rPr>
                <w:sz w:val="16"/>
                <w:szCs w:val="16"/>
              </w:rPr>
              <w:t>McNary</w:t>
            </w:r>
          </w:p>
        </w:tc>
        <w:tc>
          <w:tcPr>
            <w:tcW w:w="1620" w:type="dxa"/>
            <w:vMerge/>
            <w:tcBorders>
              <w:top w:val="single" w:sz="4" w:space="0" w:color="000000"/>
              <w:bottom w:val="single" w:sz="4" w:space="0" w:color="000000"/>
            </w:tcBorders>
            <w:vAlign w:val="center"/>
          </w:tcPr>
          <w:p w14:paraId="70B4A670"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5D620FB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60106F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4076044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990.5</w:t>
            </w:r>
          </w:p>
        </w:tc>
        <w:tc>
          <w:tcPr>
            <w:tcW w:w="1714" w:type="dxa"/>
            <w:tcBorders>
              <w:top w:val="single" w:sz="4" w:space="0" w:color="000000"/>
              <w:bottom w:val="single" w:sz="4" w:space="0" w:color="000000"/>
            </w:tcBorders>
            <w:vAlign w:val="center"/>
          </w:tcPr>
          <w:p w14:paraId="0A8E247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5,937.4</w:t>
            </w:r>
          </w:p>
        </w:tc>
      </w:tr>
      <w:tr w:rsidR="007E4A31" w:rsidRPr="00B07320" w14:paraId="5E07931A" w14:textId="77777777" w:rsidTr="009647DE">
        <w:tc>
          <w:tcPr>
            <w:tcW w:w="484" w:type="dxa"/>
            <w:tcBorders>
              <w:top w:val="single" w:sz="4" w:space="0" w:color="000000"/>
              <w:bottom w:val="single" w:sz="12" w:space="0" w:color="000000"/>
            </w:tcBorders>
            <w:vAlign w:val="center"/>
          </w:tcPr>
          <w:p w14:paraId="2D3A566F" w14:textId="77777777" w:rsidR="007E4A31" w:rsidRPr="00B07320" w:rsidRDefault="007E4A31" w:rsidP="005E6DC1">
            <w:pPr>
              <w:spacing w:before="40" w:after="40" w:line="240" w:lineRule="auto"/>
              <w:ind w:firstLine="0"/>
              <w:rPr>
                <w:rFonts w:eastAsia="Times New Roman"/>
                <w:b/>
                <w:i/>
                <w:sz w:val="16"/>
                <w:szCs w:val="16"/>
              </w:rPr>
            </w:pPr>
            <w:r w:rsidRPr="00B07320">
              <w:rPr>
                <w:sz w:val="16"/>
                <w:szCs w:val="16"/>
              </w:rPr>
              <w:t>21</w:t>
            </w:r>
          </w:p>
        </w:tc>
        <w:tc>
          <w:tcPr>
            <w:tcW w:w="1964" w:type="dxa"/>
            <w:tcBorders>
              <w:top w:val="single" w:sz="4" w:space="0" w:color="000000"/>
              <w:bottom w:val="single" w:sz="12" w:space="0" w:color="000000"/>
            </w:tcBorders>
            <w:vAlign w:val="center"/>
          </w:tcPr>
          <w:p w14:paraId="3212B897" w14:textId="77777777" w:rsidR="007E4A31" w:rsidRPr="00B07320" w:rsidRDefault="007E4A31" w:rsidP="005E6DC1">
            <w:pPr>
              <w:spacing w:before="40" w:after="40" w:line="240" w:lineRule="auto"/>
              <w:ind w:firstLine="0"/>
              <w:rPr>
                <w:rFonts w:eastAsia="Times New Roman"/>
                <w:b/>
                <w:i/>
                <w:sz w:val="16"/>
                <w:szCs w:val="16"/>
              </w:rPr>
            </w:pPr>
            <w:r w:rsidRPr="00B07320">
              <w:rPr>
                <w:sz w:val="16"/>
                <w:szCs w:val="16"/>
              </w:rPr>
              <w:t>The Dalles</w:t>
            </w:r>
          </w:p>
        </w:tc>
        <w:tc>
          <w:tcPr>
            <w:tcW w:w="1620" w:type="dxa"/>
            <w:vMerge/>
            <w:tcBorders>
              <w:top w:val="single" w:sz="4" w:space="0" w:color="000000"/>
              <w:bottom w:val="single" w:sz="12" w:space="0" w:color="000000"/>
            </w:tcBorders>
            <w:vAlign w:val="center"/>
          </w:tcPr>
          <w:p w14:paraId="134051A6"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25890A2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15571A2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4993863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1,819.7</w:t>
            </w:r>
          </w:p>
        </w:tc>
        <w:tc>
          <w:tcPr>
            <w:tcW w:w="1714" w:type="dxa"/>
            <w:tcBorders>
              <w:top w:val="single" w:sz="4" w:space="0" w:color="000000"/>
              <w:bottom w:val="single" w:sz="12" w:space="0" w:color="000000"/>
            </w:tcBorders>
            <w:vAlign w:val="center"/>
          </w:tcPr>
          <w:p w14:paraId="3B91A8D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7,222.5</w:t>
            </w:r>
          </w:p>
        </w:tc>
      </w:tr>
      <w:tr w:rsidR="007E4A31" w:rsidRPr="00B07320" w14:paraId="07E06F16" w14:textId="77777777" w:rsidTr="009647DE">
        <w:tc>
          <w:tcPr>
            <w:tcW w:w="9576" w:type="dxa"/>
            <w:gridSpan w:val="7"/>
            <w:tcBorders>
              <w:top w:val="single" w:sz="12" w:space="0" w:color="000000"/>
            </w:tcBorders>
            <w:vAlign w:val="center"/>
          </w:tcPr>
          <w:p w14:paraId="63A33977"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BPA-4 Cascade Mountains</w:t>
            </w:r>
          </w:p>
        </w:tc>
      </w:tr>
      <w:tr w:rsidR="007E4A31" w:rsidRPr="00B07320" w14:paraId="2C32D807" w14:textId="77777777" w:rsidTr="009647DE">
        <w:tc>
          <w:tcPr>
            <w:tcW w:w="484" w:type="dxa"/>
            <w:vAlign w:val="center"/>
          </w:tcPr>
          <w:p w14:paraId="4812653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22</w:t>
            </w:r>
          </w:p>
        </w:tc>
        <w:tc>
          <w:tcPr>
            <w:tcW w:w="1964" w:type="dxa"/>
            <w:vAlign w:val="center"/>
          </w:tcPr>
          <w:p w14:paraId="04C136F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Green Springs</w:t>
            </w:r>
          </w:p>
        </w:tc>
        <w:tc>
          <w:tcPr>
            <w:tcW w:w="1620" w:type="dxa"/>
            <w:vMerge w:val="restart"/>
            <w:vAlign w:val="center"/>
          </w:tcPr>
          <w:p w14:paraId="03654DC3" w14:textId="0CC76454" w:rsidR="007E4A31" w:rsidRPr="00B07320" w:rsidRDefault="007E4A31" w:rsidP="005E6DC1">
            <w:pPr>
              <w:spacing w:before="40" w:after="40" w:line="240" w:lineRule="auto"/>
              <w:ind w:firstLine="0"/>
              <w:rPr>
                <w:rFonts w:eastAsia="Times New Roman"/>
                <w:b/>
                <w:sz w:val="16"/>
                <w:szCs w:val="16"/>
              </w:rPr>
            </w:pPr>
            <w:r w:rsidRPr="00B07320">
              <w:rPr>
                <w:sz w:val="16"/>
                <w:szCs w:val="16"/>
              </w:rPr>
              <w:t>Federal Columbia River Power System (FCRPS)</w:t>
            </w:r>
          </w:p>
        </w:tc>
        <w:tc>
          <w:tcPr>
            <w:tcW w:w="1170" w:type="dxa"/>
            <w:vAlign w:val="center"/>
          </w:tcPr>
          <w:p w14:paraId="6064EAA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A8A3CE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44FC4B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17.2</w:t>
            </w:r>
          </w:p>
        </w:tc>
        <w:tc>
          <w:tcPr>
            <w:tcW w:w="1714" w:type="dxa"/>
            <w:vAlign w:val="center"/>
          </w:tcPr>
          <w:p w14:paraId="433A3C94" w14:textId="77777777" w:rsidR="007E4A31" w:rsidRPr="00036189" w:rsidRDefault="007E4A31" w:rsidP="005E6DC1">
            <w:pPr>
              <w:spacing w:before="40" w:after="40" w:line="240" w:lineRule="auto"/>
              <w:ind w:firstLine="0"/>
              <w:rPr>
                <w:rFonts w:eastAsia="Times New Roman"/>
                <w:b/>
                <w:sz w:val="16"/>
                <w:szCs w:val="16"/>
                <w:highlight w:val="yellow"/>
              </w:rPr>
            </w:pPr>
            <w:r>
              <w:rPr>
                <w:color w:val="000000"/>
                <w:sz w:val="16"/>
                <w:szCs w:val="16"/>
              </w:rPr>
              <w:t>62.7</w:t>
            </w:r>
          </w:p>
        </w:tc>
      </w:tr>
      <w:tr w:rsidR="007E4A31" w:rsidRPr="00B07320" w14:paraId="7E21E0BC" w14:textId="77777777" w:rsidTr="009647DE">
        <w:tc>
          <w:tcPr>
            <w:tcW w:w="484" w:type="dxa"/>
            <w:vAlign w:val="center"/>
          </w:tcPr>
          <w:p w14:paraId="35964B5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23</w:t>
            </w:r>
          </w:p>
        </w:tc>
        <w:tc>
          <w:tcPr>
            <w:tcW w:w="1964" w:type="dxa"/>
            <w:vAlign w:val="center"/>
          </w:tcPr>
          <w:p w14:paraId="61D5881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Big Cliff</w:t>
            </w:r>
          </w:p>
        </w:tc>
        <w:tc>
          <w:tcPr>
            <w:tcW w:w="1620" w:type="dxa"/>
            <w:vMerge/>
            <w:vAlign w:val="center"/>
          </w:tcPr>
          <w:p w14:paraId="57D3F197" w14:textId="77777777" w:rsidR="007E4A31" w:rsidRPr="00B07320" w:rsidRDefault="007E4A31" w:rsidP="005E6DC1">
            <w:pPr>
              <w:spacing w:before="40" w:after="40" w:line="240" w:lineRule="auto"/>
              <w:ind w:firstLine="0"/>
              <w:rPr>
                <w:sz w:val="16"/>
                <w:szCs w:val="16"/>
              </w:rPr>
            </w:pPr>
          </w:p>
        </w:tc>
        <w:tc>
          <w:tcPr>
            <w:tcW w:w="1170" w:type="dxa"/>
            <w:vAlign w:val="center"/>
          </w:tcPr>
          <w:p w14:paraId="78E8100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9BB1AF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A06EB9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18</w:t>
            </w:r>
          </w:p>
        </w:tc>
        <w:tc>
          <w:tcPr>
            <w:tcW w:w="1714" w:type="dxa"/>
            <w:vAlign w:val="center"/>
          </w:tcPr>
          <w:p w14:paraId="1688188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87.4</w:t>
            </w:r>
          </w:p>
        </w:tc>
      </w:tr>
      <w:tr w:rsidR="007E4A31" w:rsidRPr="00B07320" w14:paraId="5A62321E" w14:textId="77777777" w:rsidTr="009647DE">
        <w:tc>
          <w:tcPr>
            <w:tcW w:w="484" w:type="dxa"/>
            <w:vAlign w:val="center"/>
          </w:tcPr>
          <w:p w14:paraId="74B7898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24</w:t>
            </w:r>
          </w:p>
        </w:tc>
        <w:tc>
          <w:tcPr>
            <w:tcW w:w="1964" w:type="dxa"/>
            <w:vAlign w:val="center"/>
          </w:tcPr>
          <w:p w14:paraId="4022E16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Cougar</w:t>
            </w:r>
          </w:p>
        </w:tc>
        <w:tc>
          <w:tcPr>
            <w:tcW w:w="1620" w:type="dxa"/>
            <w:vMerge/>
            <w:vAlign w:val="center"/>
          </w:tcPr>
          <w:p w14:paraId="152EB1B2" w14:textId="77777777" w:rsidR="007E4A31" w:rsidRPr="00B07320" w:rsidRDefault="007E4A31" w:rsidP="005E6DC1">
            <w:pPr>
              <w:spacing w:before="40" w:after="40" w:line="240" w:lineRule="auto"/>
              <w:ind w:firstLine="0"/>
              <w:rPr>
                <w:sz w:val="16"/>
                <w:szCs w:val="16"/>
              </w:rPr>
            </w:pPr>
          </w:p>
        </w:tc>
        <w:tc>
          <w:tcPr>
            <w:tcW w:w="1170" w:type="dxa"/>
            <w:vAlign w:val="center"/>
          </w:tcPr>
          <w:p w14:paraId="3B63BBC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C26968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F69BAD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26</w:t>
            </w:r>
          </w:p>
        </w:tc>
        <w:tc>
          <w:tcPr>
            <w:tcW w:w="1714" w:type="dxa"/>
            <w:vAlign w:val="center"/>
          </w:tcPr>
          <w:p w14:paraId="4630D4D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124.1</w:t>
            </w:r>
          </w:p>
        </w:tc>
      </w:tr>
      <w:tr w:rsidR="007E4A31" w:rsidRPr="00B07320" w14:paraId="707960D9" w14:textId="77777777" w:rsidTr="009647DE">
        <w:tc>
          <w:tcPr>
            <w:tcW w:w="484" w:type="dxa"/>
            <w:vAlign w:val="center"/>
          </w:tcPr>
          <w:p w14:paraId="042985F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25</w:t>
            </w:r>
          </w:p>
        </w:tc>
        <w:tc>
          <w:tcPr>
            <w:tcW w:w="1964" w:type="dxa"/>
            <w:vAlign w:val="center"/>
          </w:tcPr>
          <w:p w14:paraId="4804F8C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Detroit</w:t>
            </w:r>
          </w:p>
        </w:tc>
        <w:tc>
          <w:tcPr>
            <w:tcW w:w="1620" w:type="dxa"/>
            <w:vMerge/>
            <w:vAlign w:val="center"/>
          </w:tcPr>
          <w:p w14:paraId="01C88592" w14:textId="77777777" w:rsidR="007E4A31" w:rsidRPr="00B07320" w:rsidRDefault="007E4A31" w:rsidP="005E6DC1">
            <w:pPr>
              <w:spacing w:before="40" w:after="40" w:line="240" w:lineRule="auto"/>
              <w:ind w:firstLine="0"/>
              <w:rPr>
                <w:sz w:val="16"/>
                <w:szCs w:val="16"/>
              </w:rPr>
            </w:pPr>
          </w:p>
        </w:tc>
        <w:tc>
          <w:tcPr>
            <w:tcW w:w="1170" w:type="dxa"/>
            <w:vAlign w:val="center"/>
          </w:tcPr>
          <w:p w14:paraId="04B8EA0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4F642D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6701DF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100</w:t>
            </w:r>
          </w:p>
        </w:tc>
        <w:tc>
          <w:tcPr>
            <w:tcW w:w="1714" w:type="dxa"/>
            <w:vAlign w:val="center"/>
          </w:tcPr>
          <w:p w14:paraId="0639BFA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353.1</w:t>
            </w:r>
          </w:p>
        </w:tc>
      </w:tr>
      <w:tr w:rsidR="007E4A31" w:rsidRPr="00B07320" w14:paraId="6BDA89CF" w14:textId="77777777" w:rsidTr="009647DE">
        <w:tc>
          <w:tcPr>
            <w:tcW w:w="484" w:type="dxa"/>
            <w:vAlign w:val="center"/>
          </w:tcPr>
          <w:p w14:paraId="7B854B1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26</w:t>
            </w:r>
          </w:p>
        </w:tc>
        <w:tc>
          <w:tcPr>
            <w:tcW w:w="1964" w:type="dxa"/>
            <w:vAlign w:val="center"/>
          </w:tcPr>
          <w:p w14:paraId="439F48C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Dexter</w:t>
            </w:r>
          </w:p>
        </w:tc>
        <w:tc>
          <w:tcPr>
            <w:tcW w:w="1620" w:type="dxa"/>
            <w:vMerge/>
            <w:vAlign w:val="center"/>
          </w:tcPr>
          <w:p w14:paraId="50B747B7" w14:textId="77777777" w:rsidR="007E4A31" w:rsidRPr="00B07320" w:rsidRDefault="007E4A31" w:rsidP="005E6DC1">
            <w:pPr>
              <w:spacing w:before="40" w:after="40" w:line="240" w:lineRule="auto"/>
              <w:ind w:firstLine="0"/>
              <w:rPr>
                <w:sz w:val="16"/>
                <w:szCs w:val="16"/>
              </w:rPr>
            </w:pPr>
          </w:p>
        </w:tc>
        <w:tc>
          <w:tcPr>
            <w:tcW w:w="1170" w:type="dxa"/>
            <w:vAlign w:val="center"/>
          </w:tcPr>
          <w:p w14:paraId="2247206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1DB20E7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52E1D44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15</w:t>
            </w:r>
          </w:p>
        </w:tc>
        <w:tc>
          <w:tcPr>
            <w:tcW w:w="1714" w:type="dxa"/>
            <w:vAlign w:val="center"/>
          </w:tcPr>
          <w:p w14:paraId="3C999AF5" w14:textId="77777777" w:rsidR="007E4A31" w:rsidRPr="00036189" w:rsidRDefault="007E4A31" w:rsidP="005E6DC1">
            <w:pPr>
              <w:spacing w:before="40" w:after="40" w:line="240" w:lineRule="auto"/>
              <w:ind w:firstLine="0"/>
              <w:rPr>
                <w:rFonts w:eastAsia="Times New Roman"/>
                <w:b/>
                <w:sz w:val="16"/>
                <w:szCs w:val="16"/>
                <w:highlight w:val="yellow"/>
              </w:rPr>
            </w:pPr>
            <w:r>
              <w:rPr>
                <w:color w:val="000000"/>
                <w:sz w:val="16"/>
                <w:szCs w:val="16"/>
              </w:rPr>
              <w:t>70.1</w:t>
            </w:r>
          </w:p>
        </w:tc>
      </w:tr>
      <w:tr w:rsidR="007E4A31" w:rsidRPr="00B07320" w14:paraId="1AC989A0" w14:textId="77777777" w:rsidTr="009647DE">
        <w:tc>
          <w:tcPr>
            <w:tcW w:w="484" w:type="dxa"/>
            <w:vAlign w:val="center"/>
          </w:tcPr>
          <w:p w14:paraId="39E5BE1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27</w:t>
            </w:r>
          </w:p>
        </w:tc>
        <w:tc>
          <w:tcPr>
            <w:tcW w:w="1964" w:type="dxa"/>
            <w:vAlign w:val="center"/>
          </w:tcPr>
          <w:p w14:paraId="3DBB386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Foster</w:t>
            </w:r>
          </w:p>
        </w:tc>
        <w:tc>
          <w:tcPr>
            <w:tcW w:w="1620" w:type="dxa"/>
            <w:vMerge/>
            <w:vAlign w:val="center"/>
          </w:tcPr>
          <w:p w14:paraId="526E8C8C" w14:textId="77777777" w:rsidR="007E4A31" w:rsidRPr="00B07320" w:rsidRDefault="007E4A31" w:rsidP="005E6DC1">
            <w:pPr>
              <w:spacing w:before="40" w:after="40" w:line="240" w:lineRule="auto"/>
              <w:ind w:firstLine="0"/>
              <w:rPr>
                <w:sz w:val="16"/>
                <w:szCs w:val="16"/>
              </w:rPr>
            </w:pPr>
          </w:p>
        </w:tc>
        <w:tc>
          <w:tcPr>
            <w:tcW w:w="1170" w:type="dxa"/>
            <w:vAlign w:val="center"/>
          </w:tcPr>
          <w:p w14:paraId="7612B03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600557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5DBF51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20</w:t>
            </w:r>
          </w:p>
        </w:tc>
        <w:tc>
          <w:tcPr>
            <w:tcW w:w="1714" w:type="dxa"/>
            <w:vAlign w:val="center"/>
          </w:tcPr>
          <w:p w14:paraId="3255A5E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90.5</w:t>
            </w:r>
          </w:p>
        </w:tc>
      </w:tr>
      <w:tr w:rsidR="007E4A31" w:rsidRPr="00B07320" w14:paraId="7A51A704" w14:textId="77777777" w:rsidTr="009647DE">
        <w:tc>
          <w:tcPr>
            <w:tcW w:w="484" w:type="dxa"/>
            <w:vAlign w:val="center"/>
          </w:tcPr>
          <w:p w14:paraId="40B16D4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28</w:t>
            </w:r>
          </w:p>
        </w:tc>
        <w:tc>
          <w:tcPr>
            <w:tcW w:w="1964" w:type="dxa"/>
            <w:vAlign w:val="center"/>
          </w:tcPr>
          <w:p w14:paraId="71BA38C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Green Peter</w:t>
            </w:r>
          </w:p>
        </w:tc>
        <w:tc>
          <w:tcPr>
            <w:tcW w:w="1620" w:type="dxa"/>
            <w:vMerge/>
            <w:vAlign w:val="center"/>
          </w:tcPr>
          <w:p w14:paraId="1021DB8E" w14:textId="77777777" w:rsidR="007E4A31" w:rsidRPr="00B07320" w:rsidRDefault="007E4A31" w:rsidP="005E6DC1">
            <w:pPr>
              <w:spacing w:before="40" w:after="40" w:line="240" w:lineRule="auto"/>
              <w:ind w:firstLine="0"/>
              <w:rPr>
                <w:sz w:val="16"/>
                <w:szCs w:val="16"/>
              </w:rPr>
            </w:pPr>
          </w:p>
        </w:tc>
        <w:tc>
          <w:tcPr>
            <w:tcW w:w="1170" w:type="dxa"/>
            <w:vAlign w:val="center"/>
          </w:tcPr>
          <w:p w14:paraId="7DF08A5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0FF8D8F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58A86B2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80</w:t>
            </w:r>
          </w:p>
        </w:tc>
        <w:tc>
          <w:tcPr>
            <w:tcW w:w="1714" w:type="dxa"/>
            <w:vAlign w:val="center"/>
          </w:tcPr>
          <w:p w14:paraId="50236E7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234.4</w:t>
            </w:r>
          </w:p>
        </w:tc>
      </w:tr>
      <w:tr w:rsidR="007E4A31" w:rsidRPr="00B07320" w14:paraId="495C1B7D" w14:textId="77777777" w:rsidTr="009647DE">
        <w:tc>
          <w:tcPr>
            <w:tcW w:w="484" w:type="dxa"/>
            <w:vAlign w:val="center"/>
          </w:tcPr>
          <w:p w14:paraId="298131D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29</w:t>
            </w:r>
          </w:p>
        </w:tc>
        <w:tc>
          <w:tcPr>
            <w:tcW w:w="1964" w:type="dxa"/>
            <w:vAlign w:val="center"/>
          </w:tcPr>
          <w:p w14:paraId="5C62332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Hills Creek</w:t>
            </w:r>
          </w:p>
        </w:tc>
        <w:tc>
          <w:tcPr>
            <w:tcW w:w="1620" w:type="dxa"/>
            <w:vMerge/>
            <w:vAlign w:val="center"/>
          </w:tcPr>
          <w:p w14:paraId="3E51AA39" w14:textId="77777777" w:rsidR="007E4A31" w:rsidRPr="00B07320" w:rsidRDefault="007E4A31" w:rsidP="005E6DC1">
            <w:pPr>
              <w:spacing w:before="40" w:after="40" w:line="240" w:lineRule="auto"/>
              <w:ind w:firstLine="0"/>
              <w:rPr>
                <w:sz w:val="16"/>
                <w:szCs w:val="16"/>
              </w:rPr>
            </w:pPr>
          </w:p>
        </w:tc>
        <w:tc>
          <w:tcPr>
            <w:tcW w:w="1170" w:type="dxa"/>
            <w:vAlign w:val="center"/>
          </w:tcPr>
          <w:p w14:paraId="5DFC2FF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2EC9CA3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0E604B0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30</w:t>
            </w:r>
          </w:p>
        </w:tc>
        <w:tc>
          <w:tcPr>
            <w:tcW w:w="1714" w:type="dxa"/>
            <w:vAlign w:val="center"/>
          </w:tcPr>
          <w:p w14:paraId="1F2AD5E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148.1</w:t>
            </w:r>
          </w:p>
        </w:tc>
      </w:tr>
      <w:tr w:rsidR="007E4A31" w:rsidRPr="00B07320" w14:paraId="63F89074" w14:textId="77777777" w:rsidTr="009647DE">
        <w:tc>
          <w:tcPr>
            <w:tcW w:w="484" w:type="dxa"/>
            <w:vAlign w:val="center"/>
          </w:tcPr>
          <w:p w14:paraId="6D9762D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30</w:t>
            </w:r>
          </w:p>
        </w:tc>
        <w:tc>
          <w:tcPr>
            <w:tcW w:w="1964" w:type="dxa"/>
            <w:vAlign w:val="center"/>
          </w:tcPr>
          <w:p w14:paraId="63B71F6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Lookout Point</w:t>
            </w:r>
          </w:p>
        </w:tc>
        <w:tc>
          <w:tcPr>
            <w:tcW w:w="1620" w:type="dxa"/>
            <w:vMerge/>
            <w:vAlign w:val="center"/>
          </w:tcPr>
          <w:p w14:paraId="033BA748" w14:textId="77777777" w:rsidR="007E4A31" w:rsidRPr="00B07320" w:rsidRDefault="007E4A31" w:rsidP="005E6DC1">
            <w:pPr>
              <w:spacing w:before="40" w:after="40" w:line="240" w:lineRule="auto"/>
              <w:ind w:firstLine="0"/>
              <w:rPr>
                <w:sz w:val="16"/>
                <w:szCs w:val="16"/>
              </w:rPr>
            </w:pPr>
          </w:p>
        </w:tc>
        <w:tc>
          <w:tcPr>
            <w:tcW w:w="1170" w:type="dxa"/>
            <w:vAlign w:val="center"/>
          </w:tcPr>
          <w:p w14:paraId="228D1CD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1A9954D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0758343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120</w:t>
            </w:r>
          </w:p>
        </w:tc>
        <w:tc>
          <w:tcPr>
            <w:tcW w:w="1714" w:type="dxa"/>
            <w:vAlign w:val="center"/>
          </w:tcPr>
          <w:p w14:paraId="5DD8DF3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313.6</w:t>
            </w:r>
          </w:p>
        </w:tc>
      </w:tr>
      <w:tr w:rsidR="007E4A31" w:rsidRPr="00B07320" w14:paraId="4E702116" w14:textId="77777777" w:rsidTr="009647DE">
        <w:tc>
          <w:tcPr>
            <w:tcW w:w="484" w:type="dxa"/>
            <w:tcBorders>
              <w:bottom w:val="single" w:sz="12" w:space="0" w:color="000000"/>
            </w:tcBorders>
            <w:vAlign w:val="center"/>
          </w:tcPr>
          <w:p w14:paraId="51CAB0E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31</w:t>
            </w:r>
          </w:p>
        </w:tc>
        <w:tc>
          <w:tcPr>
            <w:tcW w:w="1964" w:type="dxa"/>
            <w:tcBorders>
              <w:bottom w:val="single" w:sz="12" w:space="0" w:color="000000"/>
            </w:tcBorders>
            <w:vAlign w:val="center"/>
          </w:tcPr>
          <w:p w14:paraId="67F20E1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Lost Creek</w:t>
            </w:r>
          </w:p>
        </w:tc>
        <w:tc>
          <w:tcPr>
            <w:tcW w:w="1620" w:type="dxa"/>
            <w:vMerge/>
            <w:tcBorders>
              <w:bottom w:val="single" w:sz="12" w:space="0" w:color="000000"/>
            </w:tcBorders>
            <w:vAlign w:val="center"/>
          </w:tcPr>
          <w:p w14:paraId="4C13B00B"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2A55837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bottom w:val="single" w:sz="12" w:space="0" w:color="000000"/>
            </w:tcBorders>
            <w:vAlign w:val="center"/>
          </w:tcPr>
          <w:p w14:paraId="2DA1548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2134B94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49</w:t>
            </w:r>
          </w:p>
        </w:tc>
        <w:tc>
          <w:tcPr>
            <w:tcW w:w="1714" w:type="dxa"/>
            <w:tcBorders>
              <w:bottom w:val="single" w:sz="12" w:space="0" w:color="000000"/>
            </w:tcBorders>
            <w:vAlign w:val="center"/>
          </w:tcPr>
          <w:p w14:paraId="7EB3AFE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266.1</w:t>
            </w:r>
          </w:p>
        </w:tc>
      </w:tr>
      <w:tr w:rsidR="007E4A31" w:rsidRPr="00B07320" w14:paraId="52765C7B" w14:textId="77777777" w:rsidTr="009647DE">
        <w:tc>
          <w:tcPr>
            <w:tcW w:w="9576" w:type="dxa"/>
            <w:gridSpan w:val="7"/>
            <w:tcBorders>
              <w:top w:val="single" w:sz="12" w:space="0" w:color="000000"/>
              <w:bottom w:val="single" w:sz="4" w:space="0" w:color="000000"/>
            </w:tcBorders>
            <w:vAlign w:val="center"/>
          </w:tcPr>
          <w:p w14:paraId="3EB21FAF"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WAPA-1</w:t>
            </w:r>
            <w:r w:rsidRPr="00B07320">
              <w:rPr>
                <w:sz w:val="16"/>
                <w:szCs w:val="16"/>
              </w:rPr>
              <w:t xml:space="preserve"> </w:t>
            </w:r>
            <w:r w:rsidRPr="00C17D1E">
              <w:rPr>
                <w:b/>
                <w:i/>
                <w:sz w:val="16"/>
                <w:szCs w:val="16"/>
              </w:rPr>
              <w:t>Upper Missouri</w:t>
            </w:r>
          </w:p>
        </w:tc>
      </w:tr>
      <w:tr w:rsidR="007E4A31" w:rsidRPr="00B07320" w14:paraId="399F42B7" w14:textId="77777777" w:rsidTr="009647DE">
        <w:tc>
          <w:tcPr>
            <w:tcW w:w="484" w:type="dxa"/>
            <w:tcBorders>
              <w:top w:val="single" w:sz="4" w:space="0" w:color="000000"/>
              <w:bottom w:val="single" w:sz="4" w:space="0" w:color="000000"/>
            </w:tcBorders>
            <w:vAlign w:val="center"/>
          </w:tcPr>
          <w:p w14:paraId="21C6C7B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32</w:t>
            </w:r>
          </w:p>
        </w:tc>
        <w:tc>
          <w:tcPr>
            <w:tcW w:w="1964" w:type="dxa"/>
            <w:tcBorders>
              <w:top w:val="single" w:sz="4" w:space="0" w:color="000000"/>
              <w:bottom w:val="single" w:sz="4" w:space="0" w:color="000000"/>
            </w:tcBorders>
            <w:vAlign w:val="center"/>
          </w:tcPr>
          <w:p w14:paraId="61E8293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Canyon Ferry</w:t>
            </w:r>
          </w:p>
        </w:tc>
        <w:tc>
          <w:tcPr>
            <w:tcW w:w="1620" w:type="dxa"/>
            <w:vMerge w:val="restart"/>
            <w:tcBorders>
              <w:top w:val="single" w:sz="4" w:space="0" w:color="000000"/>
              <w:bottom w:val="single" w:sz="4" w:space="0" w:color="000000"/>
            </w:tcBorders>
            <w:vAlign w:val="center"/>
          </w:tcPr>
          <w:p w14:paraId="22831C19" w14:textId="27C2D423" w:rsidR="007E4A31" w:rsidRPr="00B07320" w:rsidRDefault="007E4A31" w:rsidP="005E6DC1">
            <w:pPr>
              <w:spacing w:before="40" w:after="40" w:line="240" w:lineRule="auto"/>
              <w:ind w:firstLine="0"/>
              <w:rPr>
                <w:rFonts w:eastAsia="Times New Roman"/>
                <w:b/>
                <w:sz w:val="16"/>
                <w:szCs w:val="16"/>
              </w:rPr>
            </w:pPr>
            <w:r w:rsidRPr="00B07320">
              <w:rPr>
                <w:sz w:val="16"/>
                <w:szCs w:val="16"/>
              </w:rPr>
              <w:t>Pick-Sloan</w:t>
            </w:r>
            <w:r w:rsidR="006C6778">
              <w:rPr>
                <w:sz w:val="16"/>
                <w:szCs w:val="16"/>
              </w:rPr>
              <w:t xml:space="preserve"> </w:t>
            </w:r>
            <w:r w:rsidRPr="00B07320">
              <w:rPr>
                <w:sz w:val="16"/>
                <w:szCs w:val="16"/>
              </w:rPr>
              <w:t>Eastern Division</w:t>
            </w:r>
          </w:p>
        </w:tc>
        <w:tc>
          <w:tcPr>
            <w:tcW w:w="1170" w:type="dxa"/>
            <w:tcBorders>
              <w:top w:val="single" w:sz="4" w:space="0" w:color="000000"/>
              <w:bottom w:val="single" w:sz="4" w:space="0" w:color="000000"/>
            </w:tcBorders>
            <w:vAlign w:val="center"/>
          </w:tcPr>
          <w:p w14:paraId="1AD9A62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2AC6F89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E3A651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49.8</w:t>
            </w:r>
          </w:p>
        </w:tc>
        <w:tc>
          <w:tcPr>
            <w:tcW w:w="1714" w:type="dxa"/>
            <w:tcBorders>
              <w:top w:val="single" w:sz="4" w:space="0" w:color="000000"/>
              <w:bottom w:val="single" w:sz="4" w:space="0" w:color="000000"/>
            </w:tcBorders>
            <w:vAlign w:val="center"/>
          </w:tcPr>
          <w:p w14:paraId="1145B0E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353.4</w:t>
            </w:r>
          </w:p>
        </w:tc>
      </w:tr>
      <w:tr w:rsidR="007E4A31" w:rsidRPr="00B07320" w14:paraId="3DAB8CA8" w14:textId="77777777" w:rsidTr="009647DE">
        <w:tc>
          <w:tcPr>
            <w:tcW w:w="484" w:type="dxa"/>
            <w:tcBorders>
              <w:top w:val="single" w:sz="4" w:space="0" w:color="000000"/>
              <w:bottom w:val="single" w:sz="4" w:space="0" w:color="000000"/>
            </w:tcBorders>
            <w:vAlign w:val="center"/>
          </w:tcPr>
          <w:p w14:paraId="2DCF28F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33</w:t>
            </w:r>
          </w:p>
        </w:tc>
        <w:tc>
          <w:tcPr>
            <w:tcW w:w="1964" w:type="dxa"/>
            <w:tcBorders>
              <w:top w:val="single" w:sz="4" w:space="0" w:color="000000"/>
              <w:bottom w:val="single" w:sz="4" w:space="0" w:color="000000"/>
            </w:tcBorders>
            <w:vAlign w:val="center"/>
          </w:tcPr>
          <w:p w14:paraId="7F6283C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Big Bend</w:t>
            </w:r>
          </w:p>
        </w:tc>
        <w:tc>
          <w:tcPr>
            <w:tcW w:w="1620" w:type="dxa"/>
            <w:vMerge/>
            <w:tcBorders>
              <w:top w:val="single" w:sz="4" w:space="0" w:color="000000"/>
              <w:bottom w:val="single" w:sz="4" w:space="0" w:color="000000"/>
            </w:tcBorders>
            <w:vAlign w:val="center"/>
          </w:tcPr>
          <w:p w14:paraId="01678960"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C0DCE0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38A5346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34D7A38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538.3</w:t>
            </w:r>
          </w:p>
        </w:tc>
        <w:tc>
          <w:tcPr>
            <w:tcW w:w="1714" w:type="dxa"/>
            <w:tcBorders>
              <w:top w:val="single" w:sz="4" w:space="0" w:color="000000"/>
              <w:bottom w:val="single" w:sz="4" w:space="0" w:color="000000"/>
            </w:tcBorders>
            <w:vAlign w:val="center"/>
          </w:tcPr>
          <w:p w14:paraId="4FA9BC5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923.1</w:t>
            </w:r>
          </w:p>
        </w:tc>
      </w:tr>
      <w:tr w:rsidR="007E4A31" w:rsidRPr="00B07320" w14:paraId="1F30BA87" w14:textId="77777777" w:rsidTr="009647DE">
        <w:tc>
          <w:tcPr>
            <w:tcW w:w="484" w:type="dxa"/>
            <w:tcBorders>
              <w:top w:val="single" w:sz="4" w:space="0" w:color="000000"/>
              <w:bottom w:val="single" w:sz="4" w:space="0" w:color="000000"/>
            </w:tcBorders>
            <w:vAlign w:val="center"/>
          </w:tcPr>
          <w:p w14:paraId="793FD93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34</w:t>
            </w:r>
          </w:p>
        </w:tc>
        <w:tc>
          <w:tcPr>
            <w:tcW w:w="1964" w:type="dxa"/>
            <w:tcBorders>
              <w:top w:val="single" w:sz="4" w:space="0" w:color="000000"/>
              <w:bottom w:val="single" w:sz="4" w:space="0" w:color="000000"/>
            </w:tcBorders>
            <w:vAlign w:val="center"/>
          </w:tcPr>
          <w:p w14:paraId="217C875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Fort Peck</w:t>
            </w:r>
          </w:p>
        </w:tc>
        <w:tc>
          <w:tcPr>
            <w:tcW w:w="1620" w:type="dxa"/>
            <w:vMerge/>
            <w:tcBorders>
              <w:top w:val="single" w:sz="4" w:space="0" w:color="000000"/>
              <w:bottom w:val="single" w:sz="4" w:space="0" w:color="000000"/>
            </w:tcBorders>
            <w:vAlign w:val="center"/>
          </w:tcPr>
          <w:p w14:paraId="4161F525"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60657A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C5E230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62735AB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179.7</w:t>
            </w:r>
          </w:p>
        </w:tc>
        <w:tc>
          <w:tcPr>
            <w:tcW w:w="1714" w:type="dxa"/>
            <w:tcBorders>
              <w:top w:val="single" w:sz="4" w:space="0" w:color="000000"/>
              <w:bottom w:val="single" w:sz="4" w:space="0" w:color="000000"/>
            </w:tcBorders>
            <w:vAlign w:val="center"/>
          </w:tcPr>
          <w:p w14:paraId="7E6C637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922.9</w:t>
            </w:r>
          </w:p>
        </w:tc>
      </w:tr>
      <w:tr w:rsidR="007E4A31" w:rsidRPr="00B07320" w14:paraId="7D15748C" w14:textId="77777777" w:rsidTr="009647DE">
        <w:tc>
          <w:tcPr>
            <w:tcW w:w="484" w:type="dxa"/>
            <w:tcBorders>
              <w:top w:val="single" w:sz="4" w:space="0" w:color="000000"/>
              <w:bottom w:val="single" w:sz="4" w:space="0" w:color="000000"/>
            </w:tcBorders>
            <w:vAlign w:val="center"/>
          </w:tcPr>
          <w:p w14:paraId="2B708EE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35</w:t>
            </w:r>
          </w:p>
        </w:tc>
        <w:tc>
          <w:tcPr>
            <w:tcW w:w="1964" w:type="dxa"/>
            <w:tcBorders>
              <w:top w:val="single" w:sz="4" w:space="0" w:color="000000"/>
              <w:bottom w:val="single" w:sz="4" w:space="0" w:color="000000"/>
            </w:tcBorders>
            <w:vAlign w:val="center"/>
          </w:tcPr>
          <w:p w14:paraId="1827272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Fort Randall</w:t>
            </w:r>
          </w:p>
        </w:tc>
        <w:tc>
          <w:tcPr>
            <w:tcW w:w="1620" w:type="dxa"/>
            <w:vMerge/>
            <w:tcBorders>
              <w:top w:val="single" w:sz="4" w:space="0" w:color="000000"/>
              <w:bottom w:val="single" w:sz="4" w:space="0" w:color="000000"/>
            </w:tcBorders>
            <w:vAlign w:val="center"/>
          </w:tcPr>
          <w:p w14:paraId="3116114F"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36A2CD2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EA4452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EFCCA2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320</w:t>
            </w:r>
          </w:p>
        </w:tc>
        <w:tc>
          <w:tcPr>
            <w:tcW w:w="1714" w:type="dxa"/>
            <w:tcBorders>
              <w:top w:val="single" w:sz="4" w:space="0" w:color="000000"/>
              <w:bottom w:val="single" w:sz="4" w:space="0" w:color="000000"/>
            </w:tcBorders>
            <w:vAlign w:val="center"/>
          </w:tcPr>
          <w:p w14:paraId="62E4C2E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1,636.4</w:t>
            </w:r>
          </w:p>
        </w:tc>
      </w:tr>
      <w:tr w:rsidR="007E4A31" w:rsidRPr="00B07320" w14:paraId="1BFA476B" w14:textId="77777777" w:rsidTr="009647DE">
        <w:tc>
          <w:tcPr>
            <w:tcW w:w="484" w:type="dxa"/>
            <w:tcBorders>
              <w:top w:val="single" w:sz="4" w:space="0" w:color="000000"/>
              <w:bottom w:val="single" w:sz="4" w:space="0" w:color="000000"/>
            </w:tcBorders>
            <w:vAlign w:val="center"/>
          </w:tcPr>
          <w:p w14:paraId="3B25294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lastRenderedPageBreak/>
              <w:t>36</w:t>
            </w:r>
          </w:p>
        </w:tc>
        <w:tc>
          <w:tcPr>
            <w:tcW w:w="1964" w:type="dxa"/>
            <w:tcBorders>
              <w:top w:val="single" w:sz="4" w:space="0" w:color="000000"/>
              <w:bottom w:val="single" w:sz="4" w:space="0" w:color="000000"/>
            </w:tcBorders>
            <w:vAlign w:val="center"/>
          </w:tcPr>
          <w:p w14:paraId="1BAC68F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Garrison</w:t>
            </w:r>
          </w:p>
        </w:tc>
        <w:tc>
          <w:tcPr>
            <w:tcW w:w="1620" w:type="dxa"/>
            <w:vMerge/>
            <w:tcBorders>
              <w:top w:val="single" w:sz="4" w:space="0" w:color="000000"/>
              <w:bottom w:val="single" w:sz="4" w:space="0" w:color="000000"/>
            </w:tcBorders>
            <w:vAlign w:val="center"/>
          </w:tcPr>
          <w:p w14:paraId="4043E170"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072C5C6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4BE0D52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B5DD97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583.4</w:t>
            </w:r>
          </w:p>
        </w:tc>
        <w:tc>
          <w:tcPr>
            <w:tcW w:w="1714" w:type="dxa"/>
            <w:tcBorders>
              <w:top w:val="single" w:sz="4" w:space="0" w:color="000000"/>
              <w:bottom w:val="single" w:sz="4" w:space="0" w:color="000000"/>
            </w:tcBorders>
            <w:vAlign w:val="center"/>
          </w:tcPr>
          <w:p w14:paraId="2A6C68B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2,105.7</w:t>
            </w:r>
          </w:p>
        </w:tc>
      </w:tr>
      <w:tr w:rsidR="007E4A31" w:rsidRPr="00B07320" w14:paraId="1AFCE600" w14:textId="77777777" w:rsidTr="009647DE">
        <w:tc>
          <w:tcPr>
            <w:tcW w:w="484" w:type="dxa"/>
            <w:tcBorders>
              <w:top w:val="single" w:sz="4" w:space="0" w:color="000000"/>
              <w:bottom w:val="single" w:sz="4" w:space="0" w:color="000000"/>
            </w:tcBorders>
            <w:vAlign w:val="center"/>
          </w:tcPr>
          <w:p w14:paraId="6B928EE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37</w:t>
            </w:r>
          </w:p>
        </w:tc>
        <w:tc>
          <w:tcPr>
            <w:tcW w:w="1964" w:type="dxa"/>
            <w:tcBorders>
              <w:top w:val="single" w:sz="4" w:space="0" w:color="000000"/>
              <w:bottom w:val="single" w:sz="4" w:space="0" w:color="000000"/>
            </w:tcBorders>
            <w:vAlign w:val="center"/>
          </w:tcPr>
          <w:p w14:paraId="708185F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Gavins Point</w:t>
            </w:r>
          </w:p>
        </w:tc>
        <w:tc>
          <w:tcPr>
            <w:tcW w:w="1620" w:type="dxa"/>
            <w:vMerge/>
            <w:tcBorders>
              <w:top w:val="single" w:sz="4" w:space="0" w:color="000000"/>
              <w:bottom w:val="single" w:sz="4" w:space="0" w:color="000000"/>
            </w:tcBorders>
            <w:vAlign w:val="center"/>
          </w:tcPr>
          <w:p w14:paraId="33FC4DC9"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140ECC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62C7DF6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8D1BE3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132.3</w:t>
            </w:r>
          </w:p>
        </w:tc>
        <w:tc>
          <w:tcPr>
            <w:tcW w:w="1714" w:type="dxa"/>
            <w:tcBorders>
              <w:top w:val="single" w:sz="4" w:space="0" w:color="000000"/>
              <w:bottom w:val="single" w:sz="4" w:space="0" w:color="000000"/>
            </w:tcBorders>
            <w:vAlign w:val="center"/>
          </w:tcPr>
          <w:p w14:paraId="117A46D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699.8</w:t>
            </w:r>
          </w:p>
        </w:tc>
      </w:tr>
      <w:tr w:rsidR="007E4A31" w:rsidRPr="00B07320" w14:paraId="292AE793" w14:textId="77777777" w:rsidTr="009647DE">
        <w:tc>
          <w:tcPr>
            <w:tcW w:w="484" w:type="dxa"/>
            <w:tcBorders>
              <w:top w:val="single" w:sz="4" w:space="0" w:color="000000"/>
              <w:bottom w:val="single" w:sz="4" w:space="0" w:color="000000"/>
            </w:tcBorders>
            <w:vAlign w:val="center"/>
          </w:tcPr>
          <w:p w14:paraId="7310487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38</w:t>
            </w:r>
          </w:p>
        </w:tc>
        <w:tc>
          <w:tcPr>
            <w:tcW w:w="1964" w:type="dxa"/>
            <w:tcBorders>
              <w:top w:val="single" w:sz="4" w:space="0" w:color="000000"/>
              <w:bottom w:val="single" w:sz="4" w:space="0" w:color="000000"/>
            </w:tcBorders>
            <w:vAlign w:val="center"/>
          </w:tcPr>
          <w:p w14:paraId="52B80AF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Oahe</w:t>
            </w:r>
          </w:p>
        </w:tc>
        <w:tc>
          <w:tcPr>
            <w:tcW w:w="1620" w:type="dxa"/>
            <w:vMerge/>
            <w:tcBorders>
              <w:top w:val="single" w:sz="4" w:space="0" w:color="000000"/>
              <w:bottom w:val="single" w:sz="4" w:space="0" w:color="000000"/>
            </w:tcBorders>
            <w:vAlign w:val="center"/>
          </w:tcPr>
          <w:p w14:paraId="79897F91"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2AEFD5B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4DE680A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EE2893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786.1</w:t>
            </w:r>
          </w:p>
        </w:tc>
        <w:tc>
          <w:tcPr>
            <w:tcW w:w="1714" w:type="dxa"/>
            <w:tcBorders>
              <w:top w:val="single" w:sz="4" w:space="0" w:color="000000"/>
              <w:bottom w:val="single" w:sz="4" w:space="0" w:color="000000"/>
            </w:tcBorders>
            <w:vAlign w:val="center"/>
          </w:tcPr>
          <w:p w14:paraId="73B606A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2,460.3</w:t>
            </w:r>
          </w:p>
        </w:tc>
      </w:tr>
      <w:tr w:rsidR="007E4A31" w:rsidRPr="00B07320" w14:paraId="3E2C4175" w14:textId="77777777" w:rsidTr="009647DE">
        <w:tc>
          <w:tcPr>
            <w:tcW w:w="484" w:type="dxa"/>
            <w:tcBorders>
              <w:top w:val="single" w:sz="4" w:space="0" w:color="000000"/>
              <w:bottom w:val="single" w:sz="12" w:space="0" w:color="000000"/>
            </w:tcBorders>
            <w:vAlign w:val="center"/>
          </w:tcPr>
          <w:p w14:paraId="6E02CC3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39</w:t>
            </w:r>
          </w:p>
        </w:tc>
        <w:tc>
          <w:tcPr>
            <w:tcW w:w="1964" w:type="dxa"/>
            <w:tcBorders>
              <w:top w:val="single" w:sz="4" w:space="0" w:color="000000"/>
              <w:bottom w:val="single" w:sz="12" w:space="0" w:color="000000"/>
            </w:tcBorders>
            <w:vAlign w:val="center"/>
          </w:tcPr>
          <w:p w14:paraId="7C62383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Yellowtail</w:t>
            </w:r>
            <w:r w:rsidRPr="00B07320">
              <w:rPr>
                <w:i/>
                <w:sz w:val="16"/>
                <w:szCs w:val="16"/>
                <w:vertAlign w:val="superscript"/>
              </w:rPr>
              <w:t>a</w:t>
            </w:r>
          </w:p>
        </w:tc>
        <w:tc>
          <w:tcPr>
            <w:tcW w:w="1620" w:type="dxa"/>
            <w:tcBorders>
              <w:top w:val="single" w:sz="4" w:space="0" w:color="000000"/>
              <w:bottom w:val="single" w:sz="12" w:space="0" w:color="000000"/>
            </w:tcBorders>
            <w:vAlign w:val="center"/>
          </w:tcPr>
          <w:p w14:paraId="5F12AFB4" w14:textId="00A2DDB5" w:rsidR="007E4A31" w:rsidRPr="00B07320" w:rsidRDefault="007E4A31" w:rsidP="005E6DC1">
            <w:pPr>
              <w:spacing w:before="40" w:after="40" w:line="240" w:lineRule="auto"/>
              <w:ind w:firstLine="0"/>
              <w:rPr>
                <w:rFonts w:eastAsia="Times New Roman"/>
                <w:b/>
                <w:sz w:val="16"/>
                <w:szCs w:val="16"/>
              </w:rPr>
            </w:pPr>
            <w:r w:rsidRPr="00B07320">
              <w:rPr>
                <w:sz w:val="16"/>
                <w:szCs w:val="16"/>
              </w:rPr>
              <w:t>Pick-Sloan</w:t>
            </w:r>
            <w:r w:rsidR="006C6778">
              <w:rPr>
                <w:sz w:val="16"/>
                <w:szCs w:val="16"/>
              </w:rPr>
              <w:t xml:space="preserve"> </w:t>
            </w:r>
            <w:r w:rsidRPr="00B07320">
              <w:rPr>
                <w:sz w:val="16"/>
                <w:szCs w:val="16"/>
              </w:rPr>
              <w:t>Eastern Division/Loveland</w:t>
            </w:r>
          </w:p>
        </w:tc>
        <w:tc>
          <w:tcPr>
            <w:tcW w:w="1170" w:type="dxa"/>
            <w:tcBorders>
              <w:top w:val="single" w:sz="4" w:space="0" w:color="000000"/>
              <w:bottom w:val="single" w:sz="12" w:space="0" w:color="000000"/>
            </w:tcBorders>
            <w:vAlign w:val="center"/>
          </w:tcPr>
          <w:p w14:paraId="6AEB68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12" w:space="0" w:color="000000"/>
            </w:tcBorders>
            <w:vAlign w:val="center"/>
          </w:tcPr>
          <w:p w14:paraId="6419B2F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48F39CD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268.8</w:t>
            </w:r>
          </w:p>
        </w:tc>
        <w:tc>
          <w:tcPr>
            <w:tcW w:w="1714" w:type="dxa"/>
            <w:tcBorders>
              <w:top w:val="single" w:sz="4" w:space="0" w:color="000000"/>
              <w:bottom w:val="single" w:sz="12" w:space="0" w:color="000000"/>
            </w:tcBorders>
            <w:vAlign w:val="center"/>
          </w:tcPr>
          <w:p w14:paraId="44D518F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805.3</w:t>
            </w:r>
          </w:p>
        </w:tc>
      </w:tr>
      <w:tr w:rsidR="007E4A31" w:rsidRPr="00B07320" w14:paraId="7060A7AF" w14:textId="77777777" w:rsidTr="009647DE">
        <w:tc>
          <w:tcPr>
            <w:tcW w:w="9576" w:type="dxa"/>
            <w:gridSpan w:val="7"/>
            <w:tcBorders>
              <w:top w:val="single" w:sz="12" w:space="0" w:color="000000"/>
            </w:tcBorders>
            <w:vAlign w:val="center"/>
          </w:tcPr>
          <w:p w14:paraId="42D7EB0A"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 xml:space="preserve">WAPA-2 </w:t>
            </w:r>
            <w:r w:rsidRPr="00C17D1E">
              <w:rPr>
                <w:b/>
                <w:i/>
                <w:sz w:val="16"/>
                <w:szCs w:val="16"/>
              </w:rPr>
              <w:t>Loveland Projects</w:t>
            </w:r>
          </w:p>
        </w:tc>
      </w:tr>
      <w:tr w:rsidR="007E4A31" w:rsidRPr="00B07320" w14:paraId="234AB6F3" w14:textId="77777777" w:rsidTr="009647DE">
        <w:tc>
          <w:tcPr>
            <w:tcW w:w="484" w:type="dxa"/>
            <w:vAlign w:val="center"/>
          </w:tcPr>
          <w:p w14:paraId="470DE89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40</w:t>
            </w:r>
          </w:p>
        </w:tc>
        <w:tc>
          <w:tcPr>
            <w:tcW w:w="1964" w:type="dxa"/>
            <w:vAlign w:val="center"/>
          </w:tcPr>
          <w:p w14:paraId="7BA111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Alcova</w:t>
            </w:r>
          </w:p>
        </w:tc>
        <w:tc>
          <w:tcPr>
            <w:tcW w:w="1620" w:type="dxa"/>
            <w:vMerge w:val="restart"/>
            <w:vAlign w:val="center"/>
          </w:tcPr>
          <w:p w14:paraId="6D29F048" w14:textId="3AEE5BF9" w:rsidR="007E4A31" w:rsidRPr="00B07320" w:rsidRDefault="007E4A31" w:rsidP="005E6DC1">
            <w:pPr>
              <w:spacing w:before="40" w:after="40" w:line="240" w:lineRule="auto"/>
              <w:ind w:firstLine="0"/>
              <w:rPr>
                <w:rFonts w:eastAsia="Times New Roman"/>
                <w:b/>
                <w:sz w:val="16"/>
                <w:szCs w:val="16"/>
              </w:rPr>
            </w:pPr>
            <w:r w:rsidRPr="00B07320">
              <w:rPr>
                <w:sz w:val="16"/>
                <w:szCs w:val="16"/>
              </w:rPr>
              <w:t>Loveland Area Projects</w:t>
            </w:r>
          </w:p>
        </w:tc>
        <w:tc>
          <w:tcPr>
            <w:tcW w:w="1170" w:type="dxa"/>
            <w:vAlign w:val="center"/>
          </w:tcPr>
          <w:p w14:paraId="7CF3F9C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36C16E3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5AD9BE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41.4</w:t>
            </w:r>
          </w:p>
        </w:tc>
        <w:tc>
          <w:tcPr>
            <w:tcW w:w="1714" w:type="dxa"/>
            <w:vAlign w:val="center"/>
          </w:tcPr>
          <w:p w14:paraId="6043C78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111.6</w:t>
            </w:r>
          </w:p>
        </w:tc>
      </w:tr>
      <w:tr w:rsidR="007E4A31" w:rsidRPr="00B07320" w14:paraId="3736815F" w14:textId="77777777" w:rsidTr="009647DE">
        <w:tc>
          <w:tcPr>
            <w:tcW w:w="484" w:type="dxa"/>
            <w:vAlign w:val="center"/>
          </w:tcPr>
          <w:p w14:paraId="04595C8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41</w:t>
            </w:r>
          </w:p>
        </w:tc>
        <w:tc>
          <w:tcPr>
            <w:tcW w:w="1964" w:type="dxa"/>
            <w:vAlign w:val="center"/>
          </w:tcPr>
          <w:p w14:paraId="733E544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Boysen</w:t>
            </w:r>
          </w:p>
        </w:tc>
        <w:tc>
          <w:tcPr>
            <w:tcW w:w="1620" w:type="dxa"/>
            <w:vMerge/>
            <w:vAlign w:val="center"/>
          </w:tcPr>
          <w:p w14:paraId="3933B6A1" w14:textId="77777777" w:rsidR="007E4A31" w:rsidRPr="00B07320" w:rsidRDefault="007E4A31" w:rsidP="005E6DC1">
            <w:pPr>
              <w:spacing w:before="40" w:after="40" w:line="240" w:lineRule="auto"/>
              <w:ind w:firstLine="0"/>
              <w:rPr>
                <w:sz w:val="16"/>
                <w:szCs w:val="16"/>
              </w:rPr>
            </w:pPr>
          </w:p>
        </w:tc>
        <w:tc>
          <w:tcPr>
            <w:tcW w:w="1170" w:type="dxa"/>
            <w:vAlign w:val="center"/>
          </w:tcPr>
          <w:p w14:paraId="0FF2172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556E224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D250C9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15</w:t>
            </w:r>
          </w:p>
        </w:tc>
        <w:tc>
          <w:tcPr>
            <w:tcW w:w="1714" w:type="dxa"/>
            <w:vAlign w:val="center"/>
          </w:tcPr>
          <w:p w14:paraId="1160520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64.4</w:t>
            </w:r>
          </w:p>
        </w:tc>
      </w:tr>
      <w:tr w:rsidR="007E4A31" w:rsidRPr="00B07320" w14:paraId="797A2B81" w14:textId="77777777" w:rsidTr="009647DE">
        <w:tc>
          <w:tcPr>
            <w:tcW w:w="484" w:type="dxa"/>
            <w:vAlign w:val="center"/>
          </w:tcPr>
          <w:p w14:paraId="410DFC4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42</w:t>
            </w:r>
          </w:p>
        </w:tc>
        <w:tc>
          <w:tcPr>
            <w:tcW w:w="1964" w:type="dxa"/>
            <w:vAlign w:val="center"/>
          </w:tcPr>
          <w:p w14:paraId="5093A5F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Buffalo Bill</w:t>
            </w:r>
          </w:p>
        </w:tc>
        <w:tc>
          <w:tcPr>
            <w:tcW w:w="1620" w:type="dxa"/>
            <w:vMerge/>
            <w:vAlign w:val="center"/>
          </w:tcPr>
          <w:p w14:paraId="4B534987" w14:textId="77777777" w:rsidR="007E4A31" w:rsidRPr="00B07320" w:rsidRDefault="007E4A31" w:rsidP="005E6DC1">
            <w:pPr>
              <w:spacing w:before="40" w:after="40" w:line="240" w:lineRule="auto"/>
              <w:ind w:firstLine="0"/>
              <w:rPr>
                <w:sz w:val="16"/>
                <w:szCs w:val="16"/>
              </w:rPr>
            </w:pPr>
          </w:p>
        </w:tc>
        <w:tc>
          <w:tcPr>
            <w:tcW w:w="1170" w:type="dxa"/>
            <w:vAlign w:val="center"/>
          </w:tcPr>
          <w:p w14:paraId="5538947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76A54E1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EB1713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18</w:t>
            </w:r>
          </w:p>
        </w:tc>
        <w:tc>
          <w:tcPr>
            <w:tcW w:w="1714" w:type="dxa"/>
            <w:vAlign w:val="center"/>
          </w:tcPr>
          <w:p w14:paraId="38503E7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70.0</w:t>
            </w:r>
          </w:p>
        </w:tc>
      </w:tr>
      <w:tr w:rsidR="007E4A31" w:rsidRPr="00B07320" w14:paraId="469B98FE" w14:textId="77777777" w:rsidTr="009647DE">
        <w:tc>
          <w:tcPr>
            <w:tcW w:w="484" w:type="dxa"/>
            <w:vAlign w:val="center"/>
          </w:tcPr>
          <w:p w14:paraId="5EE3FBD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43</w:t>
            </w:r>
          </w:p>
        </w:tc>
        <w:tc>
          <w:tcPr>
            <w:tcW w:w="1964" w:type="dxa"/>
            <w:vAlign w:val="center"/>
          </w:tcPr>
          <w:p w14:paraId="6B41F47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Shoshone</w:t>
            </w:r>
          </w:p>
        </w:tc>
        <w:tc>
          <w:tcPr>
            <w:tcW w:w="1620" w:type="dxa"/>
            <w:vMerge/>
            <w:vAlign w:val="center"/>
          </w:tcPr>
          <w:p w14:paraId="5C4C9FB8" w14:textId="77777777" w:rsidR="007E4A31" w:rsidRPr="00B07320" w:rsidRDefault="007E4A31" w:rsidP="005E6DC1">
            <w:pPr>
              <w:spacing w:before="40" w:after="40" w:line="240" w:lineRule="auto"/>
              <w:ind w:firstLine="0"/>
              <w:rPr>
                <w:sz w:val="16"/>
                <w:szCs w:val="16"/>
              </w:rPr>
            </w:pPr>
          </w:p>
        </w:tc>
        <w:tc>
          <w:tcPr>
            <w:tcW w:w="1170" w:type="dxa"/>
            <w:vAlign w:val="center"/>
          </w:tcPr>
          <w:p w14:paraId="0298471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26EAF5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EE83E2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w:t>
            </w:r>
          </w:p>
        </w:tc>
        <w:tc>
          <w:tcPr>
            <w:tcW w:w="1714" w:type="dxa"/>
            <w:vAlign w:val="center"/>
          </w:tcPr>
          <w:p w14:paraId="4EA5B84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16.0</w:t>
            </w:r>
          </w:p>
        </w:tc>
      </w:tr>
      <w:tr w:rsidR="007E4A31" w:rsidRPr="00B07320" w14:paraId="57894B8E" w14:textId="77777777" w:rsidTr="009647DE">
        <w:tc>
          <w:tcPr>
            <w:tcW w:w="484" w:type="dxa"/>
            <w:vAlign w:val="center"/>
          </w:tcPr>
          <w:p w14:paraId="5A49254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44</w:t>
            </w:r>
          </w:p>
        </w:tc>
        <w:tc>
          <w:tcPr>
            <w:tcW w:w="1964" w:type="dxa"/>
            <w:vAlign w:val="center"/>
          </w:tcPr>
          <w:p w14:paraId="43273EC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Heart Mountain</w:t>
            </w:r>
          </w:p>
        </w:tc>
        <w:tc>
          <w:tcPr>
            <w:tcW w:w="1620" w:type="dxa"/>
            <w:vMerge/>
            <w:vAlign w:val="center"/>
          </w:tcPr>
          <w:p w14:paraId="53A01E0D" w14:textId="77777777" w:rsidR="007E4A31" w:rsidRPr="00B07320" w:rsidRDefault="007E4A31" w:rsidP="005E6DC1">
            <w:pPr>
              <w:spacing w:before="40" w:after="40" w:line="240" w:lineRule="auto"/>
              <w:ind w:firstLine="0"/>
              <w:rPr>
                <w:sz w:val="16"/>
                <w:szCs w:val="16"/>
              </w:rPr>
            </w:pPr>
          </w:p>
        </w:tc>
        <w:tc>
          <w:tcPr>
            <w:tcW w:w="1170" w:type="dxa"/>
            <w:vAlign w:val="center"/>
          </w:tcPr>
          <w:p w14:paraId="40ADB6A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634628D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59ACFE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w:t>
            </w:r>
          </w:p>
        </w:tc>
        <w:tc>
          <w:tcPr>
            <w:tcW w:w="1714" w:type="dxa"/>
            <w:vAlign w:val="center"/>
          </w:tcPr>
          <w:p w14:paraId="6F27739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19.8</w:t>
            </w:r>
          </w:p>
        </w:tc>
      </w:tr>
      <w:tr w:rsidR="007E4A31" w:rsidRPr="00B07320" w14:paraId="6CA3433D" w14:textId="77777777" w:rsidTr="009647DE">
        <w:tc>
          <w:tcPr>
            <w:tcW w:w="484" w:type="dxa"/>
            <w:vAlign w:val="center"/>
          </w:tcPr>
          <w:p w14:paraId="4924645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45</w:t>
            </w:r>
          </w:p>
        </w:tc>
        <w:tc>
          <w:tcPr>
            <w:tcW w:w="1964" w:type="dxa"/>
            <w:vAlign w:val="center"/>
          </w:tcPr>
          <w:p w14:paraId="1429808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Spirit Mountain</w:t>
            </w:r>
          </w:p>
        </w:tc>
        <w:tc>
          <w:tcPr>
            <w:tcW w:w="1620" w:type="dxa"/>
            <w:vMerge/>
            <w:vAlign w:val="center"/>
          </w:tcPr>
          <w:p w14:paraId="17353DC6" w14:textId="77777777" w:rsidR="007E4A31" w:rsidRPr="00B07320" w:rsidRDefault="007E4A31" w:rsidP="005E6DC1">
            <w:pPr>
              <w:spacing w:before="40" w:after="40" w:line="240" w:lineRule="auto"/>
              <w:ind w:firstLine="0"/>
              <w:rPr>
                <w:sz w:val="16"/>
                <w:szCs w:val="16"/>
              </w:rPr>
            </w:pPr>
          </w:p>
        </w:tc>
        <w:tc>
          <w:tcPr>
            <w:tcW w:w="1170" w:type="dxa"/>
            <w:vAlign w:val="center"/>
          </w:tcPr>
          <w:p w14:paraId="708F904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4E9EA1E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6B4DD20"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4.5</w:t>
            </w:r>
          </w:p>
        </w:tc>
        <w:tc>
          <w:tcPr>
            <w:tcW w:w="1714" w:type="dxa"/>
            <w:vAlign w:val="center"/>
          </w:tcPr>
          <w:p w14:paraId="5393EAC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15.0</w:t>
            </w:r>
          </w:p>
        </w:tc>
      </w:tr>
      <w:tr w:rsidR="007E4A31" w:rsidRPr="00B07320" w14:paraId="0D3B497D" w14:textId="77777777" w:rsidTr="009647DE">
        <w:tc>
          <w:tcPr>
            <w:tcW w:w="484" w:type="dxa"/>
            <w:vMerge w:val="restart"/>
            <w:vAlign w:val="center"/>
          </w:tcPr>
          <w:p w14:paraId="4E575EA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46</w:t>
            </w:r>
          </w:p>
        </w:tc>
        <w:tc>
          <w:tcPr>
            <w:tcW w:w="1964" w:type="dxa"/>
            <w:vMerge w:val="restart"/>
            <w:vAlign w:val="center"/>
          </w:tcPr>
          <w:p w14:paraId="08D781F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Flatiron</w:t>
            </w:r>
          </w:p>
        </w:tc>
        <w:tc>
          <w:tcPr>
            <w:tcW w:w="1620" w:type="dxa"/>
            <w:vMerge/>
            <w:vAlign w:val="center"/>
          </w:tcPr>
          <w:p w14:paraId="4EA2A5C5" w14:textId="77777777" w:rsidR="007E4A31" w:rsidRPr="00B07320" w:rsidRDefault="007E4A31" w:rsidP="005E6DC1">
            <w:pPr>
              <w:spacing w:before="40" w:after="40" w:line="240" w:lineRule="auto"/>
              <w:ind w:firstLine="0"/>
              <w:rPr>
                <w:sz w:val="16"/>
                <w:szCs w:val="16"/>
              </w:rPr>
            </w:pPr>
          </w:p>
        </w:tc>
        <w:tc>
          <w:tcPr>
            <w:tcW w:w="1170" w:type="dxa"/>
            <w:vMerge w:val="restart"/>
            <w:vAlign w:val="center"/>
          </w:tcPr>
          <w:p w14:paraId="50BE4EC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2FE03A4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8295CEF"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86</w:t>
            </w:r>
          </w:p>
        </w:tc>
        <w:tc>
          <w:tcPr>
            <w:tcW w:w="1714" w:type="dxa"/>
            <w:vAlign w:val="center"/>
          </w:tcPr>
          <w:p w14:paraId="75DF292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214.8</w:t>
            </w:r>
          </w:p>
        </w:tc>
      </w:tr>
      <w:tr w:rsidR="007E4A31" w:rsidRPr="00B07320" w14:paraId="68714C08" w14:textId="77777777" w:rsidTr="009647DE">
        <w:tc>
          <w:tcPr>
            <w:tcW w:w="484" w:type="dxa"/>
            <w:vMerge/>
            <w:vAlign w:val="center"/>
          </w:tcPr>
          <w:p w14:paraId="367F056C" w14:textId="77777777" w:rsidR="007E4A31" w:rsidRPr="00B07320" w:rsidRDefault="007E4A31" w:rsidP="005E6DC1">
            <w:pPr>
              <w:spacing w:before="40" w:after="40" w:line="240" w:lineRule="auto"/>
              <w:ind w:firstLine="0"/>
              <w:rPr>
                <w:sz w:val="16"/>
                <w:szCs w:val="16"/>
              </w:rPr>
            </w:pPr>
          </w:p>
        </w:tc>
        <w:tc>
          <w:tcPr>
            <w:tcW w:w="1964" w:type="dxa"/>
            <w:vMerge/>
            <w:vAlign w:val="center"/>
          </w:tcPr>
          <w:p w14:paraId="41FFBEE0" w14:textId="77777777" w:rsidR="007E4A31" w:rsidRPr="00B07320" w:rsidRDefault="007E4A31" w:rsidP="005E6DC1">
            <w:pPr>
              <w:spacing w:before="40" w:after="40" w:line="240" w:lineRule="auto"/>
              <w:ind w:firstLine="0"/>
              <w:rPr>
                <w:sz w:val="16"/>
                <w:szCs w:val="16"/>
              </w:rPr>
            </w:pPr>
          </w:p>
        </w:tc>
        <w:tc>
          <w:tcPr>
            <w:tcW w:w="1620" w:type="dxa"/>
            <w:vMerge/>
            <w:vAlign w:val="center"/>
          </w:tcPr>
          <w:p w14:paraId="0B4A6B86" w14:textId="77777777" w:rsidR="007E4A31" w:rsidRPr="00B07320" w:rsidRDefault="007E4A31" w:rsidP="005E6DC1">
            <w:pPr>
              <w:spacing w:before="40" w:after="40" w:line="240" w:lineRule="auto"/>
              <w:ind w:firstLine="0"/>
              <w:rPr>
                <w:sz w:val="16"/>
                <w:szCs w:val="16"/>
              </w:rPr>
            </w:pPr>
          </w:p>
        </w:tc>
        <w:tc>
          <w:tcPr>
            <w:tcW w:w="1170" w:type="dxa"/>
            <w:vMerge/>
            <w:vAlign w:val="center"/>
          </w:tcPr>
          <w:p w14:paraId="410BA67B" w14:textId="77777777" w:rsidR="007E4A31" w:rsidRPr="00B07320" w:rsidRDefault="007E4A31" w:rsidP="005E6DC1">
            <w:pPr>
              <w:spacing w:before="40" w:after="40" w:line="240" w:lineRule="auto"/>
              <w:ind w:firstLine="0"/>
              <w:rPr>
                <w:sz w:val="16"/>
                <w:szCs w:val="16"/>
              </w:rPr>
            </w:pPr>
          </w:p>
        </w:tc>
        <w:tc>
          <w:tcPr>
            <w:tcW w:w="1710" w:type="dxa"/>
            <w:vAlign w:val="center"/>
          </w:tcPr>
          <w:p w14:paraId="76FE9C5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vAlign w:val="center"/>
          </w:tcPr>
          <w:p w14:paraId="20C19A4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8.5</w:t>
            </w:r>
          </w:p>
        </w:tc>
        <w:tc>
          <w:tcPr>
            <w:tcW w:w="1714" w:type="dxa"/>
            <w:vAlign w:val="center"/>
          </w:tcPr>
          <w:p w14:paraId="3E47ED8F" w14:textId="77777777" w:rsidR="007E4A31" w:rsidRPr="00355AE6" w:rsidRDefault="007E4A31" w:rsidP="005E6DC1">
            <w:pPr>
              <w:spacing w:before="40" w:after="40" w:line="240" w:lineRule="auto"/>
              <w:ind w:firstLine="0"/>
              <w:rPr>
                <w:b/>
                <w:sz w:val="16"/>
                <w:szCs w:val="16"/>
                <w:highlight w:val="yellow"/>
                <w:lang w:eastAsia="zh-TW"/>
              </w:rPr>
            </w:pPr>
          </w:p>
        </w:tc>
      </w:tr>
      <w:tr w:rsidR="007E4A31" w:rsidRPr="00B07320" w14:paraId="06B86D78" w14:textId="77777777" w:rsidTr="009647DE">
        <w:tc>
          <w:tcPr>
            <w:tcW w:w="484" w:type="dxa"/>
            <w:vAlign w:val="center"/>
          </w:tcPr>
          <w:p w14:paraId="5D7EBAE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47</w:t>
            </w:r>
          </w:p>
        </w:tc>
        <w:tc>
          <w:tcPr>
            <w:tcW w:w="1964" w:type="dxa"/>
            <w:vAlign w:val="center"/>
          </w:tcPr>
          <w:p w14:paraId="61D419C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Big Thompson</w:t>
            </w:r>
          </w:p>
        </w:tc>
        <w:tc>
          <w:tcPr>
            <w:tcW w:w="1620" w:type="dxa"/>
            <w:vMerge/>
            <w:vAlign w:val="center"/>
          </w:tcPr>
          <w:p w14:paraId="20ED2762" w14:textId="77777777" w:rsidR="007E4A31" w:rsidRPr="00B07320" w:rsidRDefault="007E4A31" w:rsidP="005E6DC1">
            <w:pPr>
              <w:spacing w:before="40" w:after="40" w:line="240" w:lineRule="auto"/>
              <w:ind w:firstLine="0"/>
              <w:rPr>
                <w:sz w:val="16"/>
                <w:szCs w:val="16"/>
              </w:rPr>
            </w:pPr>
          </w:p>
        </w:tc>
        <w:tc>
          <w:tcPr>
            <w:tcW w:w="1170" w:type="dxa"/>
            <w:vAlign w:val="center"/>
          </w:tcPr>
          <w:p w14:paraId="450C906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0E0C82E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107B13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4.5</w:t>
            </w:r>
          </w:p>
        </w:tc>
        <w:tc>
          <w:tcPr>
            <w:tcW w:w="1714" w:type="dxa"/>
            <w:vAlign w:val="center"/>
          </w:tcPr>
          <w:p w14:paraId="6F25584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9.0</w:t>
            </w:r>
          </w:p>
        </w:tc>
      </w:tr>
      <w:tr w:rsidR="007E4A31" w:rsidRPr="00B07320" w14:paraId="15FD7701" w14:textId="77777777" w:rsidTr="009647DE">
        <w:tc>
          <w:tcPr>
            <w:tcW w:w="484" w:type="dxa"/>
            <w:vAlign w:val="center"/>
          </w:tcPr>
          <w:p w14:paraId="6C4C47C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48</w:t>
            </w:r>
          </w:p>
        </w:tc>
        <w:tc>
          <w:tcPr>
            <w:tcW w:w="1964" w:type="dxa"/>
            <w:vAlign w:val="center"/>
          </w:tcPr>
          <w:p w14:paraId="456A2CB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Fremont Canyon</w:t>
            </w:r>
          </w:p>
        </w:tc>
        <w:tc>
          <w:tcPr>
            <w:tcW w:w="1620" w:type="dxa"/>
            <w:vMerge/>
            <w:vAlign w:val="center"/>
          </w:tcPr>
          <w:p w14:paraId="1542C599" w14:textId="77777777" w:rsidR="007E4A31" w:rsidRPr="00B07320" w:rsidRDefault="007E4A31" w:rsidP="005E6DC1">
            <w:pPr>
              <w:spacing w:before="40" w:after="40" w:line="240" w:lineRule="auto"/>
              <w:ind w:firstLine="0"/>
              <w:rPr>
                <w:sz w:val="16"/>
                <w:szCs w:val="16"/>
              </w:rPr>
            </w:pPr>
          </w:p>
        </w:tc>
        <w:tc>
          <w:tcPr>
            <w:tcW w:w="1170" w:type="dxa"/>
            <w:vAlign w:val="center"/>
          </w:tcPr>
          <w:p w14:paraId="3DA332E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38E3D9B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8237A7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66.8</w:t>
            </w:r>
          </w:p>
        </w:tc>
        <w:tc>
          <w:tcPr>
            <w:tcW w:w="1714" w:type="dxa"/>
            <w:vAlign w:val="center"/>
          </w:tcPr>
          <w:p w14:paraId="241D602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223.2</w:t>
            </w:r>
          </w:p>
        </w:tc>
      </w:tr>
      <w:tr w:rsidR="007E4A31" w:rsidRPr="00B07320" w14:paraId="23067DB1" w14:textId="77777777" w:rsidTr="009647DE">
        <w:tc>
          <w:tcPr>
            <w:tcW w:w="484" w:type="dxa"/>
            <w:vAlign w:val="center"/>
          </w:tcPr>
          <w:p w14:paraId="37CB30D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49</w:t>
            </w:r>
          </w:p>
        </w:tc>
        <w:tc>
          <w:tcPr>
            <w:tcW w:w="1964" w:type="dxa"/>
            <w:vAlign w:val="center"/>
          </w:tcPr>
          <w:p w14:paraId="091E5D6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Glendo</w:t>
            </w:r>
          </w:p>
        </w:tc>
        <w:tc>
          <w:tcPr>
            <w:tcW w:w="1620" w:type="dxa"/>
            <w:vMerge/>
            <w:vAlign w:val="center"/>
          </w:tcPr>
          <w:p w14:paraId="6CF257CA" w14:textId="77777777" w:rsidR="007E4A31" w:rsidRPr="00B07320" w:rsidRDefault="007E4A31" w:rsidP="005E6DC1">
            <w:pPr>
              <w:spacing w:before="40" w:after="40" w:line="240" w:lineRule="auto"/>
              <w:ind w:firstLine="0"/>
              <w:rPr>
                <w:sz w:val="16"/>
                <w:szCs w:val="16"/>
              </w:rPr>
            </w:pPr>
          </w:p>
        </w:tc>
        <w:tc>
          <w:tcPr>
            <w:tcW w:w="1170" w:type="dxa"/>
            <w:vAlign w:val="center"/>
          </w:tcPr>
          <w:p w14:paraId="281EC7A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3FDD776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E39A2C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38</w:t>
            </w:r>
          </w:p>
        </w:tc>
        <w:tc>
          <w:tcPr>
            <w:tcW w:w="1714" w:type="dxa"/>
            <w:vAlign w:val="center"/>
          </w:tcPr>
          <w:p w14:paraId="74274EC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81.3</w:t>
            </w:r>
          </w:p>
        </w:tc>
      </w:tr>
      <w:tr w:rsidR="007E4A31" w:rsidRPr="00B07320" w14:paraId="50D50480" w14:textId="77777777" w:rsidTr="009647DE">
        <w:tc>
          <w:tcPr>
            <w:tcW w:w="484" w:type="dxa"/>
            <w:vAlign w:val="center"/>
          </w:tcPr>
          <w:p w14:paraId="4B10AEC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50</w:t>
            </w:r>
          </w:p>
        </w:tc>
        <w:tc>
          <w:tcPr>
            <w:tcW w:w="1964" w:type="dxa"/>
            <w:vAlign w:val="center"/>
          </w:tcPr>
          <w:p w14:paraId="5A0D694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Green Mountain</w:t>
            </w:r>
          </w:p>
        </w:tc>
        <w:tc>
          <w:tcPr>
            <w:tcW w:w="1620" w:type="dxa"/>
            <w:vMerge/>
            <w:vAlign w:val="center"/>
          </w:tcPr>
          <w:p w14:paraId="4F8C74A0" w14:textId="77777777" w:rsidR="007E4A31" w:rsidRPr="00B07320" w:rsidRDefault="007E4A31" w:rsidP="005E6DC1">
            <w:pPr>
              <w:spacing w:before="40" w:after="40" w:line="240" w:lineRule="auto"/>
              <w:ind w:firstLine="0"/>
              <w:rPr>
                <w:sz w:val="16"/>
                <w:szCs w:val="16"/>
              </w:rPr>
            </w:pPr>
          </w:p>
        </w:tc>
        <w:tc>
          <w:tcPr>
            <w:tcW w:w="1170" w:type="dxa"/>
            <w:vAlign w:val="center"/>
          </w:tcPr>
          <w:p w14:paraId="5A6301E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234DDF3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D789C4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26</w:t>
            </w:r>
          </w:p>
        </w:tc>
        <w:tc>
          <w:tcPr>
            <w:tcW w:w="1714" w:type="dxa"/>
            <w:vAlign w:val="center"/>
          </w:tcPr>
          <w:p w14:paraId="170FB66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54.1</w:t>
            </w:r>
          </w:p>
        </w:tc>
      </w:tr>
      <w:tr w:rsidR="007E4A31" w:rsidRPr="00B07320" w14:paraId="564CFA22" w14:textId="77777777" w:rsidTr="009647DE">
        <w:tc>
          <w:tcPr>
            <w:tcW w:w="484" w:type="dxa"/>
            <w:vAlign w:val="center"/>
          </w:tcPr>
          <w:p w14:paraId="171A8B1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51</w:t>
            </w:r>
          </w:p>
        </w:tc>
        <w:tc>
          <w:tcPr>
            <w:tcW w:w="1964" w:type="dxa"/>
            <w:vAlign w:val="center"/>
          </w:tcPr>
          <w:p w14:paraId="70572DC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Guernsey</w:t>
            </w:r>
          </w:p>
        </w:tc>
        <w:tc>
          <w:tcPr>
            <w:tcW w:w="1620" w:type="dxa"/>
            <w:vMerge/>
            <w:vAlign w:val="center"/>
          </w:tcPr>
          <w:p w14:paraId="5B84E4A4" w14:textId="77777777" w:rsidR="007E4A31" w:rsidRPr="00B07320" w:rsidRDefault="007E4A31" w:rsidP="005E6DC1">
            <w:pPr>
              <w:spacing w:before="40" w:after="40" w:line="240" w:lineRule="auto"/>
              <w:ind w:firstLine="0"/>
              <w:rPr>
                <w:sz w:val="16"/>
                <w:szCs w:val="16"/>
              </w:rPr>
            </w:pPr>
          </w:p>
        </w:tc>
        <w:tc>
          <w:tcPr>
            <w:tcW w:w="1170" w:type="dxa"/>
            <w:vAlign w:val="center"/>
          </w:tcPr>
          <w:p w14:paraId="1444596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D264E2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19145E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6.4</w:t>
            </w:r>
          </w:p>
        </w:tc>
        <w:tc>
          <w:tcPr>
            <w:tcW w:w="1714" w:type="dxa"/>
            <w:vAlign w:val="center"/>
          </w:tcPr>
          <w:p w14:paraId="1D335B9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17.8</w:t>
            </w:r>
          </w:p>
        </w:tc>
      </w:tr>
      <w:tr w:rsidR="007E4A31" w:rsidRPr="00B07320" w14:paraId="13237C84" w14:textId="77777777" w:rsidTr="009647DE">
        <w:tc>
          <w:tcPr>
            <w:tcW w:w="484" w:type="dxa"/>
            <w:vAlign w:val="center"/>
          </w:tcPr>
          <w:p w14:paraId="6224BB1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52</w:t>
            </w:r>
          </w:p>
        </w:tc>
        <w:tc>
          <w:tcPr>
            <w:tcW w:w="1964" w:type="dxa"/>
            <w:vAlign w:val="center"/>
          </w:tcPr>
          <w:p w14:paraId="362B8D1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Kortes</w:t>
            </w:r>
          </w:p>
        </w:tc>
        <w:tc>
          <w:tcPr>
            <w:tcW w:w="1620" w:type="dxa"/>
            <w:vMerge/>
            <w:vAlign w:val="center"/>
          </w:tcPr>
          <w:p w14:paraId="3FD1B794" w14:textId="77777777" w:rsidR="007E4A31" w:rsidRPr="00B07320" w:rsidRDefault="007E4A31" w:rsidP="005E6DC1">
            <w:pPr>
              <w:spacing w:before="40" w:after="40" w:line="240" w:lineRule="auto"/>
              <w:ind w:firstLine="0"/>
              <w:rPr>
                <w:sz w:val="16"/>
                <w:szCs w:val="16"/>
              </w:rPr>
            </w:pPr>
          </w:p>
        </w:tc>
        <w:tc>
          <w:tcPr>
            <w:tcW w:w="1170" w:type="dxa"/>
            <w:vAlign w:val="center"/>
          </w:tcPr>
          <w:p w14:paraId="6B7C700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FE2660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B71F2D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36</w:t>
            </w:r>
          </w:p>
        </w:tc>
        <w:tc>
          <w:tcPr>
            <w:tcW w:w="1714" w:type="dxa"/>
            <w:vAlign w:val="center"/>
          </w:tcPr>
          <w:p w14:paraId="6D7DEE1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135.5</w:t>
            </w:r>
          </w:p>
        </w:tc>
      </w:tr>
      <w:tr w:rsidR="007E4A31" w:rsidRPr="00B07320" w14:paraId="04F1934C" w14:textId="77777777" w:rsidTr="009647DE">
        <w:tc>
          <w:tcPr>
            <w:tcW w:w="484" w:type="dxa"/>
            <w:vAlign w:val="center"/>
          </w:tcPr>
          <w:p w14:paraId="536C822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53</w:t>
            </w:r>
          </w:p>
        </w:tc>
        <w:tc>
          <w:tcPr>
            <w:tcW w:w="1964" w:type="dxa"/>
            <w:vAlign w:val="center"/>
          </w:tcPr>
          <w:p w14:paraId="04CB21B1" w14:textId="1713649A" w:rsidR="007E4A31" w:rsidRPr="00B07320" w:rsidRDefault="007E4A31" w:rsidP="005E6DC1">
            <w:pPr>
              <w:spacing w:before="40" w:after="40" w:line="240" w:lineRule="auto"/>
              <w:ind w:firstLine="0"/>
              <w:rPr>
                <w:rFonts w:eastAsia="Times New Roman"/>
                <w:b/>
                <w:sz w:val="16"/>
                <w:szCs w:val="16"/>
              </w:rPr>
            </w:pPr>
            <w:r w:rsidRPr="00B07320">
              <w:rPr>
                <w:sz w:val="16"/>
                <w:szCs w:val="16"/>
              </w:rPr>
              <w:t>Mary</w:t>
            </w:r>
            <w:r w:rsidR="00805545">
              <w:rPr>
                <w:sz w:val="16"/>
                <w:szCs w:val="16"/>
              </w:rPr>
              <w:t>’</w:t>
            </w:r>
            <w:r w:rsidRPr="00B07320">
              <w:rPr>
                <w:sz w:val="16"/>
                <w:szCs w:val="16"/>
              </w:rPr>
              <w:t>s Lake</w:t>
            </w:r>
          </w:p>
        </w:tc>
        <w:tc>
          <w:tcPr>
            <w:tcW w:w="1620" w:type="dxa"/>
            <w:vMerge/>
            <w:vAlign w:val="center"/>
          </w:tcPr>
          <w:p w14:paraId="7FD823E4" w14:textId="77777777" w:rsidR="007E4A31" w:rsidRPr="00B07320" w:rsidRDefault="007E4A31" w:rsidP="005E6DC1">
            <w:pPr>
              <w:spacing w:before="40" w:after="40" w:line="240" w:lineRule="auto"/>
              <w:ind w:firstLine="0"/>
              <w:rPr>
                <w:sz w:val="16"/>
                <w:szCs w:val="16"/>
              </w:rPr>
            </w:pPr>
          </w:p>
        </w:tc>
        <w:tc>
          <w:tcPr>
            <w:tcW w:w="1170" w:type="dxa"/>
            <w:vAlign w:val="center"/>
          </w:tcPr>
          <w:p w14:paraId="21E5E28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0B313DD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B1D922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8.1</w:t>
            </w:r>
          </w:p>
        </w:tc>
        <w:tc>
          <w:tcPr>
            <w:tcW w:w="1714" w:type="dxa"/>
            <w:vAlign w:val="center"/>
          </w:tcPr>
          <w:p w14:paraId="387BEAF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37.2</w:t>
            </w:r>
          </w:p>
        </w:tc>
      </w:tr>
      <w:tr w:rsidR="007E4A31" w:rsidRPr="00B07320" w14:paraId="32656FCB" w14:textId="77777777" w:rsidTr="009647DE">
        <w:tc>
          <w:tcPr>
            <w:tcW w:w="484" w:type="dxa"/>
            <w:vAlign w:val="center"/>
          </w:tcPr>
          <w:p w14:paraId="42AC795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54</w:t>
            </w:r>
          </w:p>
        </w:tc>
        <w:tc>
          <w:tcPr>
            <w:tcW w:w="1964" w:type="dxa"/>
            <w:vAlign w:val="center"/>
          </w:tcPr>
          <w:p w14:paraId="6DB8CBC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Estes</w:t>
            </w:r>
          </w:p>
        </w:tc>
        <w:tc>
          <w:tcPr>
            <w:tcW w:w="1620" w:type="dxa"/>
            <w:vMerge/>
            <w:vAlign w:val="center"/>
          </w:tcPr>
          <w:p w14:paraId="656FBB09" w14:textId="77777777" w:rsidR="007E4A31" w:rsidRPr="00B07320" w:rsidRDefault="007E4A31" w:rsidP="005E6DC1">
            <w:pPr>
              <w:spacing w:before="40" w:after="40" w:line="240" w:lineRule="auto"/>
              <w:ind w:firstLine="0"/>
              <w:rPr>
                <w:sz w:val="16"/>
                <w:szCs w:val="16"/>
              </w:rPr>
            </w:pPr>
          </w:p>
        </w:tc>
        <w:tc>
          <w:tcPr>
            <w:tcW w:w="1170" w:type="dxa"/>
            <w:vAlign w:val="center"/>
          </w:tcPr>
          <w:p w14:paraId="0A67256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3212D82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7FB340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45</w:t>
            </w:r>
          </w:p>
        </w:tc>
        <w:tc>
          <w:tcPr>
            <w:tcW w:w="1714" w:type="dxa"/>
            <w:vAlign w:val="center"/>
          </w:tcPr>
          <w:p w14:paraId="1B088F1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100.4</w:t>
            </w:r>
          </w:p>
        </w:tc>
      </w:tr>
      <w:tr w:rsidR="007E4A31" w:rsidRPr="00B07320" w14:paraId="3644AF47" w14:textId="77777777" w:rsidTr="009647DE">
        <w:tc>
          <w:tcPr>
            <w:tcW w:w="484" w:type="dxa"/>
            <w:vAlign w:val="center"/>
          </w:tcPr>
          <w:p w14:paraId="787E98C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55</w:t>
            </w:r>
          </w:p>
        </w:tc>
        <w:tc>
          <w:tcPr>
            <w:tcW w:w="1964" w:type="dxa"/>
            <w:vAlign w:val="center"/>
          </w:tcPr>
          <w:p w14:paraId="2BB923C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Mount Elbert</w:t>
            </w:r>
          </w:p>
        </w:tc>
        <w:tc>
          <w:tcPr>
            <w:tcW w:w="1620" w:type="dxa"/>
            <w:vMerge/>
            <w:vAlign w:val="center"/>
          </w:tcPr>
          <w:p w14:paraId="789E5664" w14:textId="77777777" w:rsidR="007E4A31" w:rsidRPr="00B07320" w:rsidRDefault="007E4A31" w:rsidP="005E6DC1">
            <w:pPr>
              <w:spacing w:before="40" w:after="40" w:line="240" w:lineRule="auto"/>
              <w:ind w:firstLine="0"/>
              <w:rPr>
                <w:sz w:val="16"/>
                <w:szCs w:val="16"/>
              </w:rPr>
            </w:pPr>
          </w:p>
        </w:tc>
        <w:tc>
          <w:tcPr>
            <w:tcW w:w="1170" w:type="dxa"/>
            <w:vAlign w:val="center"/>
          </w:tcPr>
          <w:p w14:paraId="6D65370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5EFC2B2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vAlign w:val="center"/>
          </w:tcPr>
          <w:p w14:paraId="0B1078DF"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200</w:t>
            </w:r>
          </w:p>
        </w:tc>
        <w:tc>
          <w:tcPr>
            <w:tcW w:w="1714" w:type="dxa"/>
            <w:vAlign w:val="center"/>
          </w:tcPr>
          <w:p w14:paraId="11F9C69A" w14:textId="77777777" w:rsidR="007E4A31" w:rsidRPr="00036189" w:rsidRDefault="007E4A31" w:rsidP="005E6DC1">
            <w:pPr>
              <w:spacing w:before="40" w:after="40" w:line="240" w:lineRule="auto"/>
              <w:ind w:firstLine="0"/>
              <w:rPr>
                <w:sz w:val="16"/>
                <w:szCs w:val="16"/>
                <w:highlight w:val="yellow"/>
                <w:lang w:eastAsia="zh-TW"/>
              </w:rPr>
            </w:pPr>
          </w:p>
        </w:tc>
      </w:tr>
      <w:tr w:rsidR="007E4A31" w:rsidRPr="00B07320" w14:paraId="611E61EC" w14:textId="77777777" w:rsidTr="009647DE">
        <w:tc>
          <w:tcPr>
            <w:tcW w:w="484" w:type="dxa"/>
            <w:vAlign w:val="center"/>
          </w:tcPr>
          <w:p w14:paraId="04050C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w:t>
            </w:r>
            <w:r>
              <w:rPr>
                <w:sz w:val="16"/>
                <w:szCs w:val="16"/>
              </w:rPr>
              <w:t>6</w:t>
            </w:r>
          </w:p>
        </w:tc>
        <w:tc>
          <w:tcPr>
            <w:tcW w:w="1964" w:type="dxa"/>
            <w:vAlign w:val="center"/>
          </w:tcPr>
          <w:p w14:paraId="50BDCFA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Pole Hill</w:t>
            </w:r>
          </w:p>
        </w:tc>
        <w:tc>
          <w:tcPr>
            <w:tcW w:w="1620" w:type="dxa"/>
            <w:vMerge/>
            <w:vAlign w:val="center"/>
          </w:tcPr>
          <w:p w14:paraId="1CD37616" w14:textId="77777777" w:rsidR="007E4A31" w:rsidRPr="00B07320" w:rsidRDefault="007E4A31" w:rsidP="005E6DC1">
            <w:pPr>
              <w:spacing w:before="40" w:after="40" w:line="240" w:lineRule="auto"/>
              <w:ind w:firstLine="0"/>
              <w:rPr>
                <w:sz w:val="16"/>
                <w:szCs w:val="16"/>
              </w:rPr>
            </w:pPr>
          </w:p>
        </w:tc>
        <w:tc>
          <w:tcPr>
            <w:tcW w:w="1170" w:type="dxa"/>
            <w:vAlign w:val="center"/>
          </w:tcPr>
          <w:p w14:paraId="7765E39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AD9CBA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066F32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38.2</w:t>
            </w:r>
          </w:p>
        </w:tc>
        <w:tc>
          <w:tcPr>
            <w:tcW w:w="1714" w:type="dxa"/>
            <w:vAlign w:val="center"/>
          </w:tcPr>
          <w:p w14:paraId="7889FF9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169.3</w:t>
            </w:r>
          </w:p>
        </w:tc>
      </w:tr>
      <w:tr w:rsidR="007E4A31" w:rsidRPr="00B07320" w14:paraId="30ABC95E" w14:textId="77777777" w:rsidTr="009647DE">
        <w:tc>
          <w:tcPr>
            <w:tcW w:w="484" w:type="dxa"/>
            <w:tcBorders>
              <w:bottom w:val="single" w:sz="12" w:space="0" w:color="000000"/>
            </w:tcBorders>
            <w:vAlign w:val="center"/>
          </w:tcPr>
          <w:p w14:paraId="659F8B8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w:t>
            </w:r>
            <w:r>
              <w:rPr>
                <w:sz w:val="16"/>
                <w:szCs w:val="16"/>
              </w:rPr>
              <w:t>7</w:t>
            </w:r>
          </w:p>
        </w:tc>
        <w:tc>
          <w:tcPr>
            <w:tcW w:w="1964" w:type="dxa"/>
            <w:tcBorders>
              <w:bottom w:val="single" w:sz="12" w:space="0" w:color="000000"/>
            </w:tcBorders>
            <w:vAlign w:val="center"/>
          </w:tcPr>
          <w:p w14:paraId="34B7958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Seminoe</w:t>
            </w:r>
          </w:p>
        </w:tc>
        <w:tc>
          <w:tcPr>
            <w:tcW w:w="1620" w:type="dxa"/>
            <w:vMerge/>
            <w:tcBorders>
              <w:bottom w:val="single" w:sz="12" w:space="0" w:color="000000"/>
            </w:tcBorders>
            <w:vAlign w:val="center"/>
          </w:tcPr>
          <w:p w14:paraId="01EF2DD7"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4FBE38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bottom w:val="single" w:sz="12" w:space="0" w:color="000000"/>
            </w:tcBorders>
            <w:vAlign w:val="center"/>
          </w:tcPr>
          <w:p w14:paraId="4F8B0E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24BCE57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51.6</w:t>
            </w:r>
          </w:p>
        </w:tc>
        <w:tc>
          <w:tcPr>
            <w:tcW w:w="1714" w:type="dxa"/>
            <w:tcBorders>
              <w:bottom w:val="single" w:sz="12" w:space="0" w:color="000000"/>
            </w:tcBorders>
            <w:vAlign w:val="center"/>
          </w:tcPr>
          <w:p w14:paraId="7DBC022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130.5</w:t>
            </w:r>
          </w:p>
        </w:tc>
      </w:tr>
      <w:tr w:rsidR="007E4A31" w:rsidRPr="00B07320" w14:paraId="75621814" w14:textId="77777777" w:rsidTr="009647DE">
        <w:tc>
          <w:tcPr>
            <w:tcW w:w="9576" w:type="dxa"/>
            <w:gridSpan w:val="7"/>
            <w:tcBorders>
              <w:top w:val="single" w:sz="12" w:space="0" w:color="000000"/>
              <w:bottom w:val="single" w:sz="4" w:space="0" w:color="000000"/>
            </w:tcBorders>
            <w:vAlign w:val="center"/>
          </w:tcPr>
          <w:p w14:paraId="4958F955"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 xml:space="preserve">WAPA-3 </w:t>
            </w:r>
            <w:r w:rsidRPr="00C17D1E">
              <w:rPr>
                <w:b/>
                <w:i/>
                <w:sz w:val="16"/>
                <w:szCs w:val="16"/>
              </w:rPr>
              <w:t>Upper Colorado</w:t>
            </w:r>
          </w:p>
        </w:tc>
      </w:tr>
      <w:tr w:rsidR="007E4A31" w:rsidRPr="00B07320" w14:paraId="04843FF1" w14:textId="77777777" w:rsidTr="009647DE">
        <w:tc>
          <w:tcPr>
            <w:tcW w:w="484" w:type="dxa"/>
            <w:tcBorders>
              <w:top w:val="single" w:sz="4" w:space="0" w:color="000000"/>
              <w:bottom w:val="single" w:sz="4" w:space="0" w:color="000000"/>
            </w:tcBorders>
            <w:vAlign w:val="center"/>
          </w:tcPr>
          <w:p w14:paraId="4F42AE2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5</w:t>
            </w:r>
            <w:r>
              <w:rPr>
                <w:sz w:val="16"/>
                <w:szCs w:val="16"/>
              </w:rPr>
              <w:t>8</w:t>
            </w:r>
          </w:p>
        </w:tc>
        <w:tc>
          <w:tcPr>
            <w:tcW w:w="1964" w:type="dxa"/>
            <w:tcBorders>
              <w:top w:val="single" w:sz="4" w:space="0" w:color="000000"/>
              <w:bottom w:val="single" w:sz="4" w:space="0" w:color="000000"/>
            </w:tcBorders>
            <w:vAlign w:val="center"/>
          </w:tcPr>
          <w:p w14:paraId="4C20D86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Blue Mesa</w:t>
            </w:r>
          </w:p>
        </w:tc>
        <w:tc>
          <w:tcPr>
            <w:tcW w:w="1620" w:type="dxa"/>
            <w:vMerge w:val="restart"/>
            <w:tcBorders>
              <w:top w:val="single" w:sz="4" w:space="0" w:color="000000"/>
              <w:bottom w:val="single" w:sz="4" w:space="0" w:color="000000"/>
            </w:tcBorders>
            <w:vAlign w:val="center"/>
          </w:tcPr>
          <w:p w14:paraId="2319C7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Salt Lake City</w:t>
            </w:r>
          </w:p>
        </w:tc>
        <w:tc>
          <w:tcPr>
            <w:tcW w:w="1170" w:type="dxa"/>
            <w:tcBorders>
              <w:top w:val="single" w:sz="4" w:space="0" w:color="000000"/>
              <w:bottom w:val="single" w:sz="4" w:space="0" w:color="000000"/>
            </w:tcBorders>
            <w:vAlign w:val="center"/>
          </w:tcPr>
          <w:p w14:paraId="2F0821B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66015E1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D845E1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86.4</w:t>
            </w:r>
          </w:p>
        </w:tc>
        <w:tc>
          <w:tcPr>
            <w:tcW w:w="1714" w:type="dxa"/>
            <w:tcBorders>
              <w:top w:val="single" w:sz="4" w:space="0" w:color="000000"/>
              <w:bottom w:val="single" w:sz="4" w:space="0" w:color="000000"/>
            </w:tcBorders>
            <w:vAlign w:val="center"/>
          </w:tcPr>
          <w:p w14:paraId="3A19A2B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259.2</w:t>
            </w:r>
          </w:p>
        </w:tc>
      </w:tr>
      <w:tr w:rsidR="007E4A31" w:rsidRPr="00B07320" w14:paraId="214EC56B" w14:textId="77777777" w:rsidTr="009647DE">
        <w:tc>
          <w:tcPr>
            <w:tcW w:w="484" w:type="dxa"/>
            <w:tcBorders>
              <w:top w:val="single" w:sz="4" w:space="0" w:color="000000"/>
              <w:bottom w:val="single" w:sz="4" w:space="0" w:color="000000"/>
            </w:tcBorders>
            <w:vAlign w:val="center"/>
          </w:tcPr>
          <w:p w14:paraId="6095C4E2" w14:textId="77777777" w:rsidR="007E4A31" w:rsidRPr="00B07320" w:rsidRDefault="007E4A31" w:rsidP="005E6DC1">
            <w:pPr>
              <w:spacing w:before="40" w:after="40" w:line="240" w:lineRule="auto"/>
              <w:ind w:firstLine="0"/>
              <w:rPr>
                <w:rFonts w:eastAsia="Times New Roman"/>
                <w:b/>
                <w:sz w:val="16"/>
                <w:szCs w:val="16"/>
              </w:rPr>
            </w:pPr>
            <w:r>
              <w:rPr>
                <w:sz w:val="16"/>
                <w:szCs w:val="16"/>
              </w:rPr>
              <w:t>59</w:t>
            </w:r>
          </w:p>
        </w:tc>
        <w:tc>
          <w:tcPr>
            <w:tcW w:w="1964" w:type="dxa"/>
            <w:tcBorders>
              <w:top w:val="single" w:sz="4" w:space="0" w:color="000000"/>
              <w:bottom w:val="single" w:sz="4" w:space="0" w:color="000000"/>
            </w:tcBorders>
            <w:vAlign w:val="center"/>
          </w:tcPr>
          <w:p w14:paraId="6CAF051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Crystal</w:t>
            </w:r>
          </w:p>
        </w:tc>
        <w:tc>
          <w:tcPr>
            <w:tcW w:w="1620" w:type="dxa"/>
            <w:vMerge/>
            <w:tcBorders>
              <w:top w:val="single" w:sz="4" w:space="0" w:color="000000"/>
              <w:bottom w:val="single" w:sz="4" w:space="0" w:color="000000"/>
            </w:tcBorders>
            <w:vAlign w:val="center"/>
          </w:tcPr>
          <w:p w14:paraId="116422C6"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4996B58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35BE232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A58653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28</w:t>
            </w:r>
          </w:p>
        </w:tc>
        <w:tc>
          <w:tcPr>
            <w:tcW w:w="1714" w:type="dxa"/>
            <w:tcBorders>
              <w:top w:val="single" w:sz="4" w:space="0" w:color="000000"/>
              <w:bottom w:val="single" w:sz="4" w:space="0" w:color="000000"/>
            </w:tcBorders>
            <w:vAlign w:val="center"/>
          </w:tcPr>
          <w:p w14:paraId="0C2FD01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164.9</w:t>
            </w:r>
          </w:p>
        </w:tc>
      </w:tr>
      <w:tr w:rsidR="007E4A31" w:rsidRPr="00B07320" w14:paraId="4438D386" w14:textId="77777777" w:rsidTr="009647DE">
        <w:tc>
          <w:tcPr>
            <w:tcW w:w="484" w:type="dxa"/>
            <w:tcBorders>
              <w:top w:val="single" w:sz="4" w:space="0" w:color="000000"/>
              <w:bottom w:val="single" w:sz="4" w:space="0" w:color="000000"/>
            </w:tcBorders>
            <w:vAlign w:val="center"/>
          </w:tcPr>
          <w:p w14:paraId="65F8632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0</w:t>
            </w:r>
          </w:p>
        </w:tc>
        <w:tc>
          <w:tcPr>
            <w:tcW w:w="1964" w:type="dxa"/>
            <w:tcBorders>
              <w:top w:val="single" w:sz="4" w:space="0" w:color="000000"/>
              <w:bottom w:val="single" w:sz="4" w:space="0" w:color="000000"/>
            </w:tcBorders>
            <w:vAlign w:val="center"/>
          </w:tcPr>
          <w:p w14:paraId="05009B6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Elephant Butte</w:t>
            </w:r>
          </w:p>
        </w:tc>
        <w:tc>
          <w:tcPr>
            <w:tcW w:w="1620" w:type="dxa"/>
            <w:vMerge/>
            <w:tcBorders>
              <w:top w:val="single" w:sz="4" w:space="0" w:color="000000"/>
              <w:bottom w:val="single" w:sz="4" w:space="0" w:color="000000"/>
            </w:tcBorders>
            <w:vAlign w:val="center"/>
          </w:tcPr>
          <w:p w14:paraId="03555AF1"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C8E715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7F9F13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4C5114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27.9</w:t>
            </w:r>
          </w:p>
        </w:tc>
        <w:tc>
          <w:tcPr>
            <w:tcW w:w="1714" w:type="dxa"/>
            <w:tcBorders>
              <w:top w:val="single" w:sz="4" w:space="0" w:color="000000"/>
              <w:bottom w:val="single" w:sz="4" w:space="0" w:color="000000"/>
            </w:tcBorders>
            <w:vAlign w:val="center"/>
          </w:tcPr>
          <w:p w14:paraId="6733AB2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78.8</w:t>
            </w:r>
          </w:p>
        </w:tc>
      </w:tr>
      <w:tr w:rsidR="007E4A31" w:rsidRPr="00B07320" w14:paraId="12D228B5" w14:textId="77777777" w:rsidTr="009647DE">
        <w:tc>
          <w:tcPr>
            <w:tcW w:w="484" w:type="dxa"/>
            <w:tcBorders>
              <w:top w:val="single" w:sz="4" w:space="0" w:color="000000"/>
              <w:bottom w:val="single" w:sz="4" w:space="0" w:color="000000"/>
            </w:tcBorders>
            <w:vAlign w:val="center"/>
          </w:tcPr>
          <w:p w14:paraId="5317A0E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1</w:t>
            </w:r>
          </w:p>
        </w:tc>
        <w:tc>
          <w:tcPr>
            <w:tcW w:w="1964" w:type="dxa"/>
            <w:tcBorders>
              <w:top w:val="single" w:sz="4" w:space="0" w:color="000000"/>
              <w:bottom w:val="single" w:sz="4" w:space="0" w:color="000000"/>
            </w:tcBorders>
            <w:vAlign w:val="center"/>
          </w:tcPr>
          <w:p w14:paraId="4C84CD5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Flaming Gorge</w:t>
            </w:r>
          </w:p>
        </w:tc>
        <w:tc>
          <w:tcPr>
            <w:tcW w:w="1620" w:type="dxa"/>
            <w:vMerge/>
            <w:tcBorders>
              <w:top w:val="single" w:sz="4" w:space="0" w:color="000000"/>
              <w:bottom w:val="single" w:sz="4" w:space="0" w:color="000000"/>
            </w:tcBorders>
            <w:vAlign w:val="center"/>
          </w:tcPr>
          <w:p w14:paraId="1DC602AF"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5061AE0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4E5DC35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E1CC6E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151.8</w:t>
            </w:r>
          </w:p>
        </w:tc>
        <w:tc>
          <w:tcPr>
            <w:tcW w:w="1714" w:type="dxa"/>
            <w:tcBorders>
              <w:top w:val="single" w:sz="4" w:space="0" w:color="000000"/>
              <w:bottom w:val="single" w:sz="4" w:space="0" w:color="000000"/>
            </w:tcBorders>
            <w:vAlign w:val="center"/>
          </w:tcPr>
          <w:p w14:paraId="3107C9B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481.2</w:t>
            </w:r>
          </w:p>
        </w:tc>
      </w:tr>
      <w:tr w:rsidR="007E4A31" w:rsidRPr="00B07320" w14:paraId="5D00EC99" w14:textId="77777777" w:rsidTr="009647DE">
        <w:tc>
          <w:tcPr>
            <w:tcW w:w="484" w:type="dxa"/>
            <w:tcBorders>
              <w:top w:val="single" w:sz="4" w:space="0" w:color="000000"/>
              <w:bottom w:val="single" w:sz="4" w:space="0" w:color="000000"/>
            </w:tcBorders>
            <w:vAlign w:val="center"/>
          </w:tcPr>
          <w:p w14:paraId="2370563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2</w:t>
            </w:r>
          </w:p>
        </w:tc>
        <w:tc>
          <w:tcPr>
            <w:tcW w:w="1964" w:type="dxa"/>
            <w:tcBorders>
              <w:top w:val="single" w:sz="4" w:space="0" w:color="000000"/>
              <w:bottom w:val="single" w:sz="4" w:space="0" w:color="000000"/>
            </w:tcBorders>
            <w:vAlign w:val="center"/>
          </w:tcPr>
          <w:p w14:paraId="27A820C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Fontenelle</w:t>
            </w:r>
          </w:p>
        </w:tc>
        <w:tc>
          <w:tcPr>
            <w:tcW w:w="1620" w:type="dxa"/>
            <w:vMerge/>
            <w:tcBorders>
              <w:top w:val="single" w:sz="4" w:space="0" w:color="000000"/>
              <w:bottom w:val="single" w:sz="4" w:space="0" w:color="000000"/>
            </w:tcBorders>
            <w:vAlign w:val="center"/>
          </w:tcPr>
          <w:p w14:paraId="77FE0685"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74D1E2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148B293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39B91BC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w:t>
            </w:r>
          </w:p>
        </w:tc>
        <w:tc>
          <w:tcPr>
            <w:tcW w:w="1714" w:type="dxa"/>
            <w:tcBorders>
              <w:top w:val="single" w:sz="4" w:space="0" w:color="000000"/>
              <w:bottom w:val="single" w:sz="4" w:space="0" w:color="000000"/>
            </w:tcBorders>
            <w:vAlign w:val="center"/>
          </w:tcPr>
          <w:p w14:paraId="0D6B008D"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49.5</w:t>
            </w:r>
          </w:p>
        </w:tc>
      </w:tr>
      <w:tr w:rsidR="007E4A31" w:rsidRPr="00B07320" w14:paraId="1A04EA95" w14:textId="77777777" w:rsidTr="009647DE">
        <w:tc>
          <w:tcPr>
            <w:tcW w:w="484" w:type="dxa"/>
            <w:tcBorders>
              <w:top w:val="single" w:sz="4" w:space="0" w:color="000000"/>
              <w:bottom w:val="single" w:sz="4" w:space="0" w:color="000000"/>
            </w:tcBorders>
            <w:vAlign w:val="center"/>
          </w:tcPr>
          <w:p w14:paraId="07819F7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3</w:t>
            </w:r>
          </w:p>
        </w:tc>
        <w:tc>
          <w:tcPr>
            <w:tcW w:w="1964" w:type="dxa"/>
            <w:tcBorders>
              <w:top w:val="single" w:sz="4" w:space="0" w:color="000000"/>
              <w:bottom w:val="single" w:sz="4" w:space="0" w:color="000000"/>
            </w:tcBorders>
            <w:vAlign w:val="center"/>
          </w:tcPr>
          <w:p w14:paraId="12CEA78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Glen Canyon Dam</w:t>
            </w:r>
          </w:p>
        </w:tc>
        <w:tc>
          <w:tcPr>
            <w:tcW w:w="1620" w:type="dxa"/>
            <w:vMerge/>
            <w:tcBorders>
              <w:top w:val="single" w:sz="4" w:space="0" w:color="000000"/>
              <w:bottom w:val="single" w:sz="4" w:space="0" w:color="000000"/>
            </w:tcBorders>
            <w:vAlign w:val="center"/>
          </w:tcPr>
          <w:p w14:paraId="1CFE2BC8"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5DE2588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4F6BB1E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193AEFF"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1,312</w:t>
            </w:r>
          </w:p>
        </w:tc>
        <w:tc>
          <w:tcPr>
            <w:tcW w:w="1714" w:type="dxa"/>
            <w:tcBorders>
              <w:top w:val="single" w:sz="4" w:space="0" w:color="000000"/>
              <w:bottom w:val="single" w:sz="4" w:space="0" w:color="000000"/>
            </w:tcBorders>
            <w:vAlign w:val="center"/>
          </w:tcPr>
          <w:p w14:paraId="49AD578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4,587.3</w:t>
            </w:r>
          </w:p>
        </w:tc>
      </w:tr>
      <w:tr w:rsidR="007E4A31" w:rsidRPr="00B07320" w14:paraId="1E6F3071" w14:textId="77777777" w:rsidTr="009647DE">
        <w:tc>
          <w:tcPr>
            <w:tcW w:w="484" w:type="dxa"/>
            <w:tcBorders>
              <w:top w:val="single" w:sz="4" w:space="0" w:color="000000"/>
              <w:bottom w:val="single" w:sz="4" w:space="0" w:color="000000"/>
            </w:tcBorders>
            <w:vAlign w:val="center"/>
          </w:tcPr>
          <w:p w14:paraId="49A8239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4</w:t>
            </w:r>
          </w:p>
        </w:tc>
        <w:tc>
          <w:tcPr>
            <w:tcW w:w="1964" w:type="dxa"/>
            <w:tcBorders>
              <w:top w:val="single" w:sz="4" w:space="0" w:color="000000"/>
              <w:bottom w:val="single" w:sz="4" w:space="0" w:color="000000"/>
            </w:tcBorders>
            <w:vAlign w:val="center"/>
          </w:tcPr>
          <w:p w14:paraId="526AC41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Upper Molina</w:t>
            </w:r>
          </w:p>
        </w:tc>
        <w:tc>
          <w:tcPr>
            <w:tcW w:w="1620" w:type="dxa"/>
            <w:vMerge/>
            <w:tcBorders>
              <w:top w:val="single" w:sz="4" w:space="0" w:color="000000"/>
              <w:bottom w:val="single" w:sz="4" w:space="0" w:color="000000"/>
            </w:tcBorders>
            <w:vAlign w:val="center"/>
          </w:tcPr>
          <w:p w14:paraId="64F20EA2"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352839F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6345704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9F15E08"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9.9</w:t>
            </w:r>
          </w:p>
        </w:tc>
        <w:tc>
          <w:tcPr>
            <w:tcW w:w="1714" w:type="dxa"/>
            <w:tcBorders>
              <w:top w:val="single" w:sz="4" w:space="0" w:color="000000"/>
              <w:bottom w:val="single" w:sz="4" w:space="0" w:color="000000"/>
            </w:tcBorders>
            <w:vAlign w:val="center"/>
          </w:tcPr>
          <w:p w14:paraId="3BB15DF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28.9</w:t>
            </w:r>
          </w:p>
        </w:tc>
      </w:tr>
      <w:tr w:rsidR="007E4A31" w:rsidRPr="00B07320" w14:paraId="7D3215E6" w14:textId="77777777" w:rsidTr="009647DE">
        <w:tc>
          <w:tcPr>
            <w:tcW w:w="484" w:type="dxa"/>
            <w:tcBorders>
              <w:top w:val="single" w:sz="4" w:space="0" w:color="000000"/>
              <w:bottom w:val="single" w:sz="4" w:space="0" w:color="000000"/>
            </w:tcBorders>
            <w:vAlign w:val="center"/>
          </w:tcPr>
          <w:p w14:paraId="2AA212C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5</w:t>
            </w:r>
          </w:p>
        </w:tc>
        <w:tc>
          <w:tcPr>
            <w:tcW w:w="1964" w:type="dxa"/>
            <w:tcBorders>
              <w:top w:val="single" w:sz="4" w:space="0" w:color="000000"/>
              <w:bottom w:val="single" w:sz="4" w:space="0" w:color="000000"/>
            </w:tcBorders>
            <w:vAlign w:val="center"/>
          </w:tcPr>
          <w:p w14:paraId="26B6365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Lower Molina</w:t>
            </w:r>
          </w:p>
        </w:tc>
        <w:tc>
          <w:tcPr>
            <w:tcW w:w="1620" w:type="dxa"/>
            <w:vMerge/>
            <w:tcBorders>
              <w:top w:val="single" w:sz="4" w:space="0" w:color="000000"/>
              <w:bottom w:val="single" w:sz="4" w:space="0" w:color="000000"/>
            </w:tcBorders>
            <w:vAlign w:val="center"/>
          </w:tcPr>
          <w:p w14:paraId="374F018B"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CFB00D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745C460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2F708D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5.6</w:t>
            </w:r>
          </w:p>
        </w:tc>
        <w:tc>
          <w:tcPr>
            <w:tcW w:w="1714" w:type="dxa"/>
            <w:tcBorders>
              <w:top w:val="single" w:sz="4" w:space="0" w:color="000000"/>
              <w:bottom w:val="single" w:sz="4" w:space="0" w:color="000000"/>
            </w:tcBorders>
            <w:vAlign w:val="center"/>
          </w:tcPr>
          <w:p w14:paraId="2A1B87B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16.7</w:t>
            </w:r>
          </w:p>
        </w:tc>
      </w:tr>
      <w:tr w:rsidR="007E4A31" w:rsidRPr="00B07320" w14:paraId="32ACD741" w14:textId="77777777" w:rsidTr="009647DE">
        <w:tc>
          <w:tcPr>
            <w:tcW w:w="484" w:type="dxa"/>
            <w:tcBorders>
              <w:top w:val="single" w:sz="4" w:space="0" w:color="000000"/>
              <w:bottom w:val="single" w:sz="4" w:space="0" w:color="000000"/>
            </w:tcBorders>
            <w:vAlign w:val="center"/>
          </w:tcPr>
          <w:p w14:paraId="057F0F0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6</w:t>
            </w:r>
          </w:p>
        </w:tc>
        <w:tc>
          <w:tcPr>
            <w:tcW w:w="1964" w:type="dxa"/>
            <w:tcBorders>
              <w:top w:val="single" w:sz="4" w:space="0" w:color="000000"/>
              <w:bottom w:val="single" w:sz="4" w:space="0" w:color="000000"/>
            </w:tcBorders>
            <w:vAlign w:val="center"/>
          </w:tcPr>
          <w:p w14:paraId="766FED0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McPhee</w:t>
            </w:r>
          </w:p>
        </w:tc>
        <w:tc>
          <w:tcPr>
            <w:tcW w:w="1620" w:type="dxa"/>
            <w:vMerge/>
            <w:tcBorders>
              <w:top w:val="single" w:sz="4" w:space="0" w:color="000000"/>
              <w:bottom w:val="single" w:sz="4" w:space="0" w:color="000000"/>
            </w:tcBorders>
            <w:vAlign w:val="center"/>
          </w:tcPr>
          <w:p w14:paraId="3EE55147"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E6BF6E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0EEC855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2C3364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1.2</w:t>
            </w:r>
          </w:p>
        </w:tc>
        <w:tc>
          <w:tcPr>
            <w:tcW w:w="1714" w:type="dxa"/>
            <w:tcBorders>
              <w:top w:val="single" w:sz="4" w:space="0" w:color="000000"/>
              <w:bottom w:val="single" w:sz="4" w:space="0" w:color="000000"/>
            </w:tcBorders>
            <w:vAlign w:val="center"/>
          </w:tcPr>
          <w:p w14:paraId="360681C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3.7</w:t>
            </w:r>
          </w:p>
        </w:tc>
      </w:tr>
      <w:tr w:rsidR="007E4A31" w:rsidRPr="00B07320" w14:paraId="1985FEF8" w14:textId="77777777" w:rsidTr="009647DE">
        <w:tc>
          <w:tcPr>
            <w:tcW w:w="484" w:type="dxa"/>
            <w:tcBorders>
              <w:top w:val="single" w:sz="4" w:space="0" w:color="000000"/>
              <w:bottom w:val="single" w:sz="4" w:space="0" w:color="000000"/>
            </w:tcBorders>
            <w:vAlign w:val="center"/>
          </w:tcPr>
          <w:p w14:paraId="2BCAA20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7</w:t>
            </w:r>
          </w:p>
        </w:tc>
        <w:tc>
          <w:tcPr>
            <w:tcW w:w="1964" w:type="dxa"/>
            <w:tcBorders>
              <w:top w:val="single" w:sz="4" w:space="0" w:color="000000"/>
              <w:bottom w:val="single" w:sz="4" w:space="0" w:color="000000"/>
            </w:tcBorders>
            <w:vAlign w:val="center"/>
          </w:tcPr>
          <w:p w14:paraId="17B75A2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Towaoc</w:t>
            </w:r>
          </w:p>
        </w:tc>
        <w:tc>
          <w:tcPr>
            <w:tcW w:w="1620" w:type="dxa"/>
            <w:vMerge/>
            <w:tcBorders>
              <w:top w:val="single" w:sz="4" w:space="0" w:color="000000"/>
              <w:bottom w:val="single" w:sz="4" w:space="0" w:color="000000"/>
            </w:tcBorders>
            <w:vAlign w:val="center"/>
          </w:tcPr>
          <w:p w14:paraId="7009B7E5"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3FE0BB7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2B846DA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26FFDC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11.4</w:t>
            </w:r>
          </w:p>
        </w:tc>
        <w:tc>
          <w:tcPr>
            <w:tcW w:w="1714" w:type="dxa"/>
            <w:tcBorders>
              <w:top w:val="single" w:sz="4" w:space="0" w:color="000000"/>
              <w:bottom w:val="single" w:sz="4" w:space="0" w:color="000000"/>
            </w:tcBorders>
            <w:vAlign w:val="center"/>
          </w:tcPr>
          <w:p w14:paraId="6D66BDA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14.4</w:t>
            </w:r>
          </w:p>
        </w:tc>
      </w:tr>
      <w:tr w:rsidR="007E4A31" w:rsidRPr="00B07320" w14:paraId="2B0688D8" w14:textId="77777777" w:rsidTr="009647DE">
        <w:tc>
          <w:tcPr>
            <w:tcW w:w="484" w:type="dxa"/>
            <w:tcBorders>
              <w:top w:val="single" w:sz="4" w:space="0" w:color="000000"/>
              <w:bottom w:val="single" w:sz="4" w:space="0" w:color="000000"/>
            </w:tcBorders>
            <w:vAlign w:val="center"/>
          </w:tcPr>
          <w:p w14:paraId="4493212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6</w:t>
            </w:r>
            <w:r>
              <w:rPr>
                <w:sz w:val="16"/>
                <w:szCs w:val="16"/>
              </w:rPr>
              <w:t>8</w:t>
            </w:r>
          </w:p>
        </w:tc>
        <w:tc>
          <w:tcPr>
            <w:tcW w:w="1964" w:type="dxa"/>
            <w:tcBorders>
              <w:top w:val="single" w:sz="4" w:space="0" w:color="000000"/>
              <w:bottom w:val="single" w:sz="4" w:space="0" w:color="000000"/>
            </w:tcBorders>
            <w:vAlign w:val="center"/>
          </w:tcPr>
          <w:p w14:paraId="5B6C6D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Morrow Point</w:t>
            </w:r>
          </w:p>
        </w:tc>
        <w:tc>
          <w:tcPr>
            <w:tcW w:w="1620" w:type="dxa"/>
            <w:vMerge/>
            <w:tcBorders>
              <w:top w:val="single" w:sz="4" w:space="0" w:color="000000"/>
              <w:bottom w:val="single" w:sz="4" w:space="0" w:color="000000"/>
            </w:tcBorders>
            <w:vAlign w:val="center"/>
          </w:tcPr>
          <w:p w14:paraId="69BF0801"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0A2F6F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4" w:space="0" w:color="000000"/>
            </w:tcBorders>
            <w:vAlign w:val="center"/>
          </w:tcPr>
          <w:p w14:paraId="66E92B1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A26BE2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173.2</w:t>
            </w:r>
          </w:p>
        </w:tc>
        <w:tc>
          <w:tcPr>
            <w:tcW w:w="1714" w:type="dxa"/>
            <w:tcBorders>
              <w:top w:val="single" w:sz="4" w:space="0" w:color="000000"/>
              <w:bottom w:val="single" w:sz="4" w:space="0" w:color="000000"/>
            </w:tcBorders>
            <w:vAlign w:val="center"/>
          </w:tcPr>
          <w:p w14:paraId="5B5A1C8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341.7</w:t>
            </w:r>
          </w:p>
        </w:tc>
      </w:tr>
      <w:tr w:rsidR="007E4A31" w:rsidRPr="00B07320" w14:paraId="5244AD8B" w14:textId="77777777" w:rsidTr="009647DE">
        <w:tc>
          <w:tcPr>
            <w:tcW w:w="484" w:type="dxa"/>
            <w:tcBorders>
              <w:top w:val="single" w:sz="4" w:space="0" w:color="000000"/>
              <w:bottom w:val="single" w:sz="12" w:space="0" w:color="000000"/>
            </w:tcBorders>
            <w:vAlign w:val="center"/>
          </w:tcPr>
          <w:p w14:paraId="34BC99B7" w14:textId="77777777" w:rsidR="007E4A31" w:rsidRPr="00B07320" w:rsidRDefault="007E4A31" w:rsidP="005E6DC1">
            <w:pPr>
              <w:spacing w:before="40" w:after="40" w:line="240" w:lineRule="auto"/>
              <w:ind w:firstLine="0"/>
              <w:rPr>
                <w:rFonts w:eastAsia="Times New Roman"/>
                <w:b/>
                <w:sz w:val="16"/>
                <w:szCs w:val="16"/>
              </w:rPr>
            </w:pPr>
            <w:r>
              <w:rPr>
                <w:sz w:val="16"/>
                <w:szCs w:val="16"/>
              </w:rPr>
              <w:t>69</w:t>
            </w:r>
          </w:p>
        </w:tc>
        <w:tc>
          <w:tcPr>
            <w:tcW w:w="1964" w:type="dxa"/>
            <w:tcBorders>
              <w:top w:val="single" w:sz="4" w:space="0" w:color="000000"/>
              <w:bottom w:val="single" w:sz="12" w:space="0" w:color="000000"/>
            </w:tcBorders>
            <w:vAlign w:val="center"/>
          </w:tcPr>
          <w:p w14:paraId="4261D3C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Deer Creek</w:t>
            </w:r>
          </w:p>
        </w:tc>
        <w:tc>
          <w:tcPr>
            <w:tcW w:w="1620" w:type="dxa"/>
            <w:tcBorders>
              <w:top w:val="single" w:sz="4" w:space="0" w:color="000000"/>
              <w:bottom w:val="single" w:sz="12" w:space="0" w:color="000000"/>
            </w:tcBorders>
            <w:vAlign w:val="center"/>
          </w:tcPr>
          <w:p w14:paraId="3E0557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Provo River</w:t>
            </w:r>
          </w:p>
        </w:tc>
        <w:tc>
          <w:tcPr>
            <w:tcW w:w="1170" w:type="dxa"/>
            <w:tcBorders>
              <w:top w:val="single" w:sz="4" w:space="0" w:color="000000"/>
              <w:bottom w:val="single" w:sz="12" w:space="0" w:color="000000"/>
            </w:tcBorders>
            <w:vAlign w:val="center"/>
          </w:tcPr>
          <w:p w14:paraId="6DFB834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top w:val="single" w:sz="4" w:space="0" w:color="000000"/>
              <w:bottom w:val="single" w:sz="12" w:space="0" w:color="000000"/>
            </w:tcBorders>
            <w:vAlign w:val="center"/>
          </w:tcPr>
          <w:p w14:paraId="64E8EFB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5741627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4.8</w:t>
            </w:r>
          </w:p>
        </w:tc>
        <w:tc>
          <w:tcPr>
            <w:tcW w:w="1714" w:type="dxa"/>
            <w:tcBorders>
              <w:top w:val="single" w:sz="4" w:space="0" w:color="000000"/>
              <w:bottom w:val="single" w:sz="12" w:space="0" w:color="000000"/>
            </w:tcBorders>
            <w:vAlign w:val="center"/>
          </w:tcPr>
          <w:p w14:paraId="026AB23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24.3</w:t>
            </w:r>
          </w:p>
        </w:tc>
      </w:tr>
      <w:tr w:rsidR="007E4A31" w:rsidRPr="00B07320" w14:paraId="561F27C9" w14:textId="77777777" w:rsidTr="009647DE">
        <w:tc>
          <w:tcPr>
            <w:tcW w:w="9576" w:type="dxa"/>
            <w:gridSpan w:val="7"/>
            <w:tcBorders>
              <w:top w:val="single" w:sz="12" w:space="0" w:color="000000"/>
            </w:tcBorders>
            <w:vAlign w:val="center"/>
          </w:tcPr>
          <w:p w14:paraId="2FC2901B"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 xml:space="preserve">WAPA-4 </w:t>
            </w:r>
            <w:r w:rsidRPr="00C17D1E">
              <w:rPr>
                <w:b/>
                <w:i/>
                <w:sz w:val="16"/>
                <w:szCs w:val="16"/>
              </w:rPr>
              <w:t>Lower Colorado</w:t>
            </w:r>
          </w:p>
        </w:tc>
      </w:tr>
      <w:tr w:rsidR="007E4A31" w:rsidRPr="00B07320" w14:paraId="1283813A" w14:textId="77777777" w:rsidTr="009647DE">
        <w:tc>
          <w:tcPr>
            <w:tcW w:w="484" w:type="dxa"/>
            <w:vAlign w:val="center"/>
          </w:tcPr>
          <w:p w14:paraId="04462AE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0</w:t>
            </w:r>
          </w:p>
        </w:tc>
        <w:tc>
          <w:tcPr>
            <w:tcW w:w="1964" w:type="dxa"/>
            <w:vAlign w:val="center"/>
          </w:tcPr>
          <w:p w14:paraId="12E8B47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Hoover Dam</w:t>
            </w:r>
          </w:p>
        </w:tc>
        <w:tc>
          <w:tcPr>
            <w:tcW w:w="1620" w:type="dxa"/>
            <w:vAlign w:val="center"/>
          </w:tcPr>
          <w:p w14:paraId="045F025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Boulder Canyon</w:t>
            </w:r>
          </w:p>
        </w:tc>
        <w:tc>
          <w:tcPr>
            <w:tcW w:w="1170" w:type="dxa"/>
            <w:vAlign w:val="center"/>
          </w:tcPr>
          <w:p w14:paraId="4BE941F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4E942DF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5B548E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2,078.8</w:t>
            </w:r>
          </w:p>
        </w:tc>
        <w:tc>
          <w:tcPr>
            <w:tcW w:w="1714" w:type="dxa"/>
            <w:vAlign w:val="center"/>
          </w:tcPr>
          <w:p w14:paraId="36B9D74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4,590.8</w:t>
            </w:r>
          </w:p>
        </w:tc>
      </w:tr>
      <w:tr w:rsidR="007E4A31" w:rsidRPr="00B07320" w14:paraId="47FAF593" w14:textId="77777777" w:rsidTr="009647DE">
        <w:tc>
          <w:tcPr>
            <w:tcW w:w="484" w:type="dxa"/>
            <w:vAlign w:val="center"/>
          </w:tcPr>
          <w:p w14:paraId="5A0152C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1</w:t>
            </w:r>
          </w:p>
        </w:tc>
        <w:tc>
          <w:tcPr>
            <w:tcW w:w="1964" w:type="dxa"/>
            <w:vAlign w:val="center"/>
          </w:tcPr>
          <w:p w14:paraId="7FD18BC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Davis Dam</w:t>
            </w:r>
          </w:p>
        </w:tc>
        <w:tc>
          <w:tcPr>
            <w:tcW w:w="1620" w:type="dxa"/>
            <w:vMerge w:val="restart"/>
            <w:vAlign w:val="center"/>
          </w:tcPr>
          <w:p w14:paraId="24EC82A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Parker-Davis</w:t>
            </w:r>
          </w:p>
        </w:tc>
        <w:tc>
          <w:tcPr>
            <w:tcW w:w="1170" w:type="dxa"/>
            <w:vAlign w:val="center"/>
          </w:tcPr>
          <w:p w14:paraId="205CF20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28BE84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FF6F9F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254.8</w:t>
            </w:r>
          </w:p>
        </w:tc>
        <w:tc>
          <w:tcPr>
            <w:tcW w:w="1714" w:type="dxa"/>
            <w:vAlign w:val="center"/>
          </w:tcPr>
          <w:p w14:paraId="30E122A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1,212.6</w:t>
            </w:r>
          </w:p>
        </w:tc>
      </w:tr>
      <w:tr w:rsidR="007E4A31" w:rsidRPr="00B07320" w14:paraId="2D3B50DE" w14:textId="77777777" w:rsidTr="009647DE">
        <w:tc>
          <w:tcPr>
            <w:tcW w:w="484" w:type="dxa"/>
            <w:tcBorders>
              <w:bottom w:val="single" w:sz="12" w:space="0" w:color="000000"/>
            </w:tcBorders>
            <w:vAlign w:val="center"/>
          </w:tcPr>
          <w:p w14:paraId="01ABD5E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2</w:t>
            </w:r>
          </w:p>
        </w:tc>
        <w:tc>
          <w:tcPr>
            <w:tcW w:w="1964" w:type="dxa"/>
            <w:tcBorders>
              <w:bottom w:val="single" w:sz="12" w:space="0" w:color="000000"/>
            </w:tcBorders>
            <w:vAlign w:val="center"/>
          </w:tcPr>
          <w:p w14:paraId="3838EB8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Parker Dam</w:t>
            </w:r>
          </w:p>
        </w:tc>
        <w:tc>
          <w:tcPr>
            <w:tcW w:w="1620" w:type="dxa"/>
            <w:vMerge/>
            <w:tcBorders>
              <w:bottom w:val="single" w:sz="12" w:space="0" w:color="000000"/>
            </w:tcBorders>
            <w:vAlign w:val="center"/>
          </w:tcPr>
          <w:p w14:paraId="7AB0B598"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68337C5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bottom w:val="single" w:sz="12" w:space="0" w:color="000000"/>
            </w:tcBorders>
            <w:vAlign w:val="center"/>
          </w:tcPr>
          <w:p w14:paraId="1A369DE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3C538D0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120</w:t>
            </w:r>
          </w:p>
        </w:tc>
        <w:tc>
          <w:tcPr>
            <w:tcW w:w="1714" w:type="dxa"/>
            <w:tcBorders>
              <w:bottom w:val="single" w:sz="12" w:space="0" w:color="000000"/>
            </w:tcBorders>
            <w:vAlign w:val="center"/>
          </w:tcPr>
          <w:p w14:paraId="6C55A8D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512.3</w:t>
            </w:r>
          </w:p>
        </w:tc>
      </w:tr>
      <w:tr w:rsidR="007E4A31" w:rsidRPr="00B07320" w14:paraId="508EC7BD" w14:textId="77777777" w:rsidTr="009647DE">
        <w:tc>
          <w:tcPr>
            <w:tcW w:w="9576" w:type="dxa"/>
            <w:gridSpan w:val="7"/>
            <w:tcBorders>
              <w:top w:val="single" w:sz="12" w:space="0" w:color="000000"/>
              <w:bottom w:val="single" w:sz="4" w:space="0" w:color="000000"/>
            </w:tcBorders>
            <w:vAlign w:val="center"/>
          </w:tcPr>
          <w:p w14:paraId="579A2BCA" w14:textId="77777777" w:rsidR="007E4A31" w:rsidRPr="00B07320" w:rsidRDefault="007E4A31" w:rsidP="005E6DC1">
            <w:pPr>
              <w:keepNext/>
              <w:spacing w:before="40" w:after="40" w:line="240" w:lineRule="auto"/>
              <w:ind w:firstLine="0"/>
              <w:rPr>
                <w:rFonts w:eastAsia="Times New Roman"/>
                <w:b/>
                <w:sz w:val="16"/>
                <w:szCs w:val="16"/>
              </w:rPr>
            </w:pPr>
            <w:r w:rsidRPr="00B07320">
              <w:rPr>
                <w:b/>
                <w:i/>
                <w:sz w:val="16"/>
                <w:szCs w:val="16"/>
              </w:rPr>
              <w:lastRenderedPageBreak/>
              <w:t xml:space="preserve">WAPA-5 </w:t>
            </w:r>
            <w:r w:rsidRPr="00C17D1E">
              <w:rPr>
                <w:b/>
                <w:i/>
                <w:sz w:val="16"/>
                <w:szCs w:val="16"/>
              </w:rPr>
              <w:t>Rio Grande</w:t>
            </w:r>
          </w:p>
        </w:tc>
      </w:tr>
      <w:tr w:rsidR="007E4A31" w:rsidRPr="00B07320" w14:paraId="27377E99" w14:textId="77777777" w:rsidTr="009647DE">
        <w:tc>
          <w:tcPr>
            <w:tcW w:w="484" w:type="dxa"/>
            <w:tcBorders>
              <w:top w:val="single" w:sz="4" w:space="0" w:color="000000"/>
              <w:bottom w:val="single" w:sz="4" w:space="0" w:color="000000"/>
            </w:tcBorders>
            <w:vAlign w:val="center"/>
          </w:tcPr>
          <w:p w14:paraId="109171F5" w14:textId="77777777" w:rsidR="007E4A31" w:rsidRPr="00B07320" w:rsidRDefault="007E4A31" w:rsidP="005E6DC1">
            <w:pPr>
              <w:keepNext/>
              <w:spacing w:before="40" w:after="40" w:line="240" w:lineRule="auto"/>
              <w:ind w:firstLine="0"/>
              <w:rPr>
                <w:rFonts w:eastAsia="Times New Roman"/>
                <w:b/>
                <w:sz w:val="16"/>
                <w:szCs w:val="16"/>
              </w:rPr>
            </w:pPr>
            <w:r w:rsidRPr="00B07320">
              <w:rPr>
                <w:sz w:val="16"/>
                <w:szCs w:val="16"/>
              </w:rPr>
              <w:t>7</w:t>
            </w:r>
            <w:r>
              <w:rPr>
                <w:sz w:val="16"/>
                <w:szCs w:val="16"/>
              </w:rPr>
              <w:t>3</w:t>
            </w:r>
          </w:p>
        </w:tc>
        <w:tc>
          <w:tcPr>
            <w:tcW w:w="1964" w:type="dxa"/>
            <w:tcBorders>
              <w:top w:val="single" w:sz="4" w:space="0" w:color="000000"/>
              <w:bottom w:val="single" w:sz="4" w:space="0" w:color="000000"/>
            </w:tcBorders>
            <w:vAlign w:val="center"/>
          </w:tcPr>
          <w:p w14:paraId="36CD84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Amistad Dam &amp; Power</w:t>
            </w:r>
          </w:p>
        </w:tc>
        <w:tc>
          <w:tcPr>
            <w:tcW w:w="1620" w:type="dxa"/>
            <w:vMerge w:val="restart"/>
            <w:tcBorders>
              <w:top w:val="single" w:sz="4" w:space="0" w:color="000000"/>
              <w:bottom w:val="single" w:sz="4" w:space="0" w:color="000000"/>
            </w:tcBorders>
            <w:vAlign w:val="center"/>
          </w:tcPr>
          <w:p w14:paraId="056A447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Falcon-Amistad</w:t>
            </w:r>
          </w:p>
        </w:tc>
        <w:tc>
          <w:tcPr>
            <w:tcW w:w="1170" w:type="dxa"/>
            <w:tcBorders>
              <w:top w:val="single" w:sz="4" w:space="0" w:color="000000"/>
              <w:bottom w:val="single" w:sz="4" w:space="0" w:color="000000"/>
            </w:tcBorders>
            <w:vAlign w:val="center"/>
          </w:tcPr>
          <w:p w14:paraId="58D1621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IBWC</w:t>
            </w:r>
          </w:p>
        </w:tc>
        <w:tc>
          <w:tcPr>
            <w:tcW w:w="1710" w:type="dxa"/>
            <w:tcBorders>
              <w:top w:val="single" w:sz="4" w:space="0" w:color="000000"/>
              <w:bottom w:val="single" w:sz="4" w:space="0" w:color="000000"/>
            </w:tcBorders>
            <w:vAlign w:val="center"/>
          </w:tcPr>
          <w:p w14:paraId="73AD1CE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33A3F6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66</w:t>
            </w:r>
          </w:p>
        </w:tc>
        <w:tc>
          <w:tcPr>
            <w:tcW w:w="1714" w:type="dxa"/>
            <w:tcBorders>
              <w:top w:val="single" w:sz="4" w:space="0" w:color="000000"/>
              <w:bottom w:val="single" w:sz="4" w:space="0" w:color="000000"/>
            </w:tcBorders>
            <w:vAlign w:val="center"/>
          </w:tcPr>
          <w:p w14:paraId="7CA0285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127.1</w:t>
            </w:r>
          </w:p>
        </w:tc>
      </w:tr>
      <w:tr w:rsidR="007E4A31" w:rsidRPr="00B07320" w14:paraId="1EDE6A08" w14:textId="77777777" w:rsidTr="009647DE">
        <w:tc>
          <w:tcPr>
            <w:tcW w:w="484" w:type="dxa"/>
            <w:tcBorders>
              <w:top w:val="single" w:sz="4" w:space="0" w:color="000000"/>
              <w:bottom w:val="single" w:sz="12" w:space="0" w:color="000000"/>
            </w:tcBorders>
            <w:vAlign w:val="center"/>
          </w:tcPr>
          <w:p w14:paraId="17007F0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4</w:t>
            </w:r>
          </w:p>
        </w:tc>
        <w:tc>
          <w:tcPr>
            <w:tcW w:w="1964" w:type="dxa"/>
            <w:tcBorders>
              <w:top w:val="single" w:sz="4" w:space="0" w:color="000000"/>
              <w:bottom w:val="single" w:sz="12" w:space="0" w:color="000000"/>
            </w:tcBorders>
            <w:vAlign w:val="center"/>
          </w:tcPr>
          <w:p w14:paraId="091652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Falcon Dam &amp; Power</w:t>
            </w:r>
          </w:p>
        </w:tc>
        <w:tc>
          <w:tcPr>
            <w:tcW w:w="1620" w:type="dxa"/>
            <w:vMerge/>
            <w:tcBorders>
              <w:top w:val="single" w:sz="4" w:space="0" w:color="000000"/>
              <w:bottom w:val="single" w:sz="12" w:space="0" w:color="000000"/>
            </w:tcBorders>
            <w:vAlign w:val="center"/>
          </w:tcPr>
          <w:p w14:paraId="3870E7AA"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5E7437C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IBWC</w:t>
            </w:r>
          </w:p>
        </w:tc>
        <w:tc>
          <w:tcPr>
            <w:tcW w:w="1710" w:type="dxa"/>
            <w:tcBorders>
              <w:top w:val="single" w:sz="4" w:space="0" w:color="000000"/>
              <w:bottom w:val="single" w:sz="12" w:space="0" w:color="000000"/>
            </w:tcBorders>
            <w:vAlign w:val="center"/>
          </w:tcPr>
          <w:p w14:paraId="2B8CB10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4F7003F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31.5</w:t>
            </w:r>
          </w:p>
        </w:tc>
        <w:tc>
          <w:tcPr>
            <w:tcW w:w="1714" w:type="dxa"/>
            <w:tcBorders>
              <w:top w:val="single" w:sz="4" w:space="0" w:color="000000"/>
              <w:bottom w:val="single" w:sz="12" w:space="0" w:color="000000"/>
            </w:tcBorders>
            <w:vAlign w:val="center"/>
          </w:tcPr>
          <w:p w14:paraId="17547A2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69.9</w:t>
            </w:r>
          </w:p>
        </w:tc>
      </w:tr>
      <w:tr w:rsidR="007E4A31" w:rsidRPr="00B07320" w14:paraId="09262723" w14:textId="77777777" w:rsidTr="009647DE">
        <w:tc>
          <w:tcPr>
            <w:tcW w:w="9576" w:type="dxa"/>
            <w:gridSpan w:val="7"/>
            <w:tcBorders>
              <w:top w:val="single" w:sz="12" w:space="0" w:color="000000"/>
            </w:tcBorders>
            <w:vAlign w:val="center"/>
          </w:tcPr>
          <w:p w14:paraId="55967C29" w14:textId="77777777" w:rsidR="007E4A31" w:rsidRPr="00B07320" w:rsidRDefault="007E4A31" w:rsidP="005E6DC1">
            <w:pPr>
              <w:spacing w:before="40" w:after="40" w:line="240" w:lineRule="auto"/>
              <w:ind w:firstLine="0"/>
              <w:rPr>
                <w:rFonts w:eastAsia="Times New Roman"/>
                <w:b/>
                <w:i/>
                <w:sz w:val="16"/>
                <w:szCs w:val="16"/>
              </w:rPr>
            </w:pPr>
            <w:r w:rsidRPr="00B07320">
              <w:rPr>
                <w:b/>
                <w:i/>
                <w:sz w:val="16"/>
                <w:szCs w:val="16"/>
              </w:rPr>
              <w:t xml:space="preserve">WAPA-6 </w:t>
            </w:r>
            <w:r w:rsidRPr="00C17D1E">
              <w:rPr>
                <w:b/>
                <w:i/>
                <w:sz w:val="16"/>
                <w:szCs w:val="16"/>
              </w:rPr>
              <w:t>California</w:t>
            </w:r>
          </w:p>
        </w:tc>
      </w:tr>
      <w:tr w:rsidR="007E4A31" w:rsidRPr="00B07320" w14:paraId="58EA5A09" w14:textId="77777777" w:rsidTr="009647DE">
        <w:tc>
          <w:tcPr>
            <w:tcW w:w="484" w:type="dxa"/>
            <w:vAlign w:val="center"/>
          </w:tcPr>
          <w:p w14:paraId="17B80EF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5</w:t>
            </w:r>
          </w:p>
        </w:tc>
        <w:tc>
          <w:tcPr>
            <w:tcW w:w="1964" w:type="dxa"/>
            <w:vAlign w:val="center"/>
          </w:tcPr>
          <w:p w14:paraId="0B228B0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Folsom</w:t>
            </w:r>
          </w:p>
        </w:tc>
        <w:tc>
          <w:tcPr>
            <w:tcW w:w="1620" w:type="dxa"/>
            <w:vMerge w:val="restart"/>
            <w:vAlign w:val="center"/>
          </w:tcPr>
          <w:p w14:paraId="473D0E1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Central Valley</w:t>
            </w:r>
          </w:p>
        </w:tc>
        <w:tc>
          <w:tcPr>
            <w:tcW w:w="1170" w:type="dxa"/>
            <w:vAlign w:val="center"/>
          </w:tcPr>
          <w:p w14:paraId="0C538F0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7CA3029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4A74F2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198.6</w:t>
            </w:r>
          </w:p>
        </w:tc>
        <w:tc>
          <w:tcPr>
            <w:tcW w:w="1714" w:type="dxa"/>
            <w:vAlign w:val="center"/>
          </w:tcPr>
          <w:p w14:paraId="719414A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572.9</w:t>
            </w:r>
          </w:p>
        </w:tc>
      </w:tr>
      <w:tr w:rsidR="007E4A31" w:rsidRPr="00B07320" w14:paraId="39932F02" w14:textId="77777777" w:rsidTr="009647DE">
        <w:tc>
          <w:tcPr>
            <w:tcW w:w="484" w:type="dxa"/>
            <w:vAlign w:val="center"/>
          </w:tcPr>
          <w:p w14:paraId="318CEAC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6</w:t>
            </w:r>
          </w:p>
        </w:tc>
        <w:tc>
          <w:tcPr>
            <w:tcW w:w="1964" w:type="dxa"/>
            <w:vAlign w:val="center"/>
          </w:tcPr>
          <w:p w14:paraId="0618AB0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Judge F Carr</w:t>
            </w:r>
          </w:p>
        </w:tc>
        <w:tc>
          <w:tcPr>
            <w:tcW w:w="1620" w:type="dxa"/>
            <w:vMerge/>
            <w:vAlign w:val="center"/>
          </w:tcPr>
          <w:p w14:paraId="7B658B8C" w14:textId="77777777" w:rsidR="007E4A31" w:rsidRPr="00B07320" w:rsidRDefault="007E4A31" w:rsidP="005E6DC1">
            <w:pPr>
              <w:spacing w:before="40" w:after="40" w:line="240" w:lineRule="auto"/>
              <w:ind w:firstLine="0"/>
              <w:rPr>
                <w:sz w:val="16"/>
                <w:szCs w:val="16"/>
              </w:rPr>
            </w:pPr>
          </w:p>
        </w:tc>
        <w:tc>
          <w:tcPr>
            <w:tcW w:w="1170" w:type="dxa"/>
            <w:vAlign w:val="center"/>
          </w:tcPr>
          <w:p w14:paraId="01A7649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0DC98E9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08707CD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154.4</w:t>
            </w:r>
          </w:p>
        </w:tc>
        <w:tc>
          <w:tcPr>
            <w:tcW w:w="1714" w:type="dxa"/>
            <w:vAlign w:val="center"/>
          </w:tcPr>
          <w:p w14:paraId="5E713F3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399.3</w:t>
            </w:r>
          </w:p>
        </w:tc>
      </w:tr>
      <w:tr w:rsidR="007E4A31" w:rsidRPr="00B07320" w14:paraId="2B551239" w14:textId="77777777" w:rsidTr="009647DE">
        <w:tc>
          <w:tcPr>
            <w:tcW w:w="484" w:type="dxa"/>
            <w:vAlign w:val="center"/>
          </w:tcPr>
          <w:p w14:paraId="5E7F31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7</w:t>
            </w:r>
          </w:p>
        </w:tc>
        <w:tc>
          <w:tcPr>
            <w:tcW w:w="1964" w:type="dxa"/>
            <w:vAlign w:val="center"/>
          </w:tcPr>
          <w:p w14:paraId="50A82EA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Keswick</w:t>
            </w:r>
          </w:p>
        </w:tc>
        <w:tc>
          <w:tcPr>
            <w:tcW w:w="1620" w:type="dxa"/>
            <w:vMerge/>
            <w:vAlign w:val="center"/>
          </w:tcPr>
          <w:p w14:paraId="5F1331FB" w14:textId="77777777" w:rsidR="007E4A31" w:rsidRPr="00B07320" w:rsidRDefault="007E4A31" w:rsidP="005E6DC1">
            <w:pPr>
              <w:spacing w:before="40" w:after="40" w:line="240" w:lineRule="auto"/>
              <w:ind w:firstLine="0"/>
              <w:rPr>
                <w:sz w:val="16"/>
                <w:szCs w:val="16"/>
              </w:rPr>
            </w:pPr>
          </w:p>
        </w:tc>
        <w:tc>
          <w:tcPr>
            <w:tcW w:w="1170" w:type="dxa"/>
            <w:vAlign w:val="center"/>
          </w:tcPr>
          <w:p w14:paraId="7E715E8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5E44FE1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7D3D0E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117</w:t>
            </w:r>
          </w:p>
        </w:tc>
        <w:tc>
          <w:tcPr>
            <w:tcW w:w="1714" w:type="dxa"/>
            <w:vAlign w:val="center"/>
          </w:tcPr>
          <w:p w14:paraId="3401277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414.9</w:t>
            </w:r>
          </w:p>
        </w:tc>
      </w:tr>
      <w:tr w:rsidR="007E4A31" w:rsidRPr="00B07320" w14:paraId="32D0568E" w14:textId="77777777" w:rsidTr="009647DE">
        <w:tc>
          <w:tcPr>
            <w:tcW w:w="484" w:type="dxa"/>
            <w:vAlign w:val="center"/>
          </w:tcPr>
          <w:p w14:paraId="79A8DB7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7</w:t>
            </w:r>
            <w:r>
              <w:rPr>
                <w:sz w:val="16"/>
                <w:szCs w:val="16"/>
              </w:rPr>
              <w:t>8</w:t>
            </w:r>
          </w:p>
        </w:tc>
        <w:tc>
          <w:tcPr>
            <w:tcW w:w="1964" w:type="dxa"/>
            <w:vAlign w:val="center"/>
          </w:tcPr>
          <w:p w14:paraId="5DF7438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New Melones</w:t>
            </w:r>
          </w:p>
        </w:tc>
        <w:tc>
          <w:tcPr>
            <w:tcW w:w="1620" w:type="dxa"/>
            <w:vMerge/>
            <w:vAlign w:val="center"/>
          </w:tcPr>
          <w:p w14:paraId="71E5BAC0" w14:textId="77777777" w:rsidR="007E4A31" w:rsidRPr="00B07320" w:rsidRDefault="007E4A31" w:rsidP="005E6DC1">
            <w:pPr>
              <w:spacing w:before="40" w:after="40" w:line="240" w:lineRule="auto"/>
              <w:ind w:firstLine="0"/>
              <w:rPr>
                <w:sz w:val="16"/>
                <w:szCs w:val="16"/>
              </w:rPr>
            </w:pPr>
          </w:p>
        </w:tc>
        <w:tc>
          <w:tcPr>
            <w:tcW w:w="1170" w:type="dxa"/>
            <w:vAlign w:val="center"/>
          </w:tcPr>
          <w:p w14:paraId="153A408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76C945F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28D076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300</w:t>
            </w:r>
          </w:p>
        </w:tc>
        <w:tc>
          <w:tcPr>
            <w:tcW w:w="1714" w:type="dxa"/>
            <w:vAlign w:val="center"/>
          </w:tcPr>
          <w:p w14:paraId="176257D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449.7</w:t>
            </w:r>
          </w:p>
        </w:tc>
      </w:tr>
      <w:tr w:rsidR="007E4A31" w:rsidRPr="00B07320" w14:paraId="1735259E" w14:textId="77777777" w:rsidTr="009647DE">
        <w:tc>
          <w:tcPr>
            <w:tcW w:w="484" w:type="dxa"/>
            <w:vAlign w:val="center"/>
          </w:tcPr>
          <w:p w14:paraId="7D9546B2" w14:textId="77777777" w:rsidR="007E4A31" w:rsidRPr="00B07320" w:rsidRDefault="007E4A31" w:rsidP="005E6DC1">
            <w:pPr>
              <w:spacing w:before="40" w:after="40" w:line="240" w:lineRule="auto"/>
              <w:ind w:firstLine="0"/>
              <w:rPr>
                <w:rFonts w:eastAsia="Times New Roman"/>
                <w:b/>
                <w:sz w:val="16"/>
                <w:szCs w:val="16"/>
              </w:rPr>
            </w:pPr>
            <w:r>
              <w:rPr>
                <w:sz w:val="16"/>
                <w:szCs w:val="16"/>
              </w:rPr>
              <w:t>79</w:t>
            </w:r>
          </w:p>
        </w:tc>
        <w:tc>
          <w:tcPr>
            <w:tcW w:w="1964" w:type="dxa"/>
            <w:vAlign w:val="center"/>
          </w:tcPr>
          <w:p w14:paraId="62C614F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Nimbus</w:t>
            </w:r>
          </w:p>
        </w:tc>
        <w:tc>
          <w:tcPr>
            <w:tcW w:w="1620" w:type="dxa"/>
            <w:vMerge/>
            <w:vAlign w:val="center"/>
          </w:tcPr>
          <w:p w14:paraId="641E7289" w14:textId="77777777" w:rsidR="007E4A31" w:rsidRPr="00B07320" w:rsidRDefault="007E4A31" w:rsidP="005E6DC1">
            <w:pPr>
              <w:spacing w:before="40" w:after="40" w:line="240" w:lineRule="auto"/>
              <w:ind w:firstLine="0"/>
              <w:rPr>
                <w:sz w:val="16"/>
                <w:szCs w:val="16"/>
              </w:rPr>
            </w:pPr>
          </w:p>
        </w:tc>
        <w:tc>
          <w:tcPr>
            <w:tcW w:w="1170" w:type="dxa"/>
            <w:vAlign w:val="center"/>
          </w:tcPr>
          <w:p w14:paraId="7F1CDDD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17671E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07FD19D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13.4</w:t>
            </w:r>
          </w:p>
        </w:tc>
        <w:tc>
          <w:tcPr>
            <w:tcW w:w="1714" w:type="dxa"/>
            <w:vAlign w:val="center"/>
          </w:tcPr>
          <w:p w14:paraId="13D616C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57.8</w:t>
            </w:r>
          </w:p>
        </w:tc>
      </w:tr>
      <w:tr w:rsidR="007E4A31" w:rsidRPr="00B07320" w14:paraId="50299AFF" w14:textId="77777777" w:rsidTr="009647DE">
        <w:tc>
          <w:tcPr>
            <w:tcW w:w="484" w:type="dxa"/>
            <w:vAlign w:val="center"/>
          </w:tcPr>
          <w:p w14:paraId="6CF0D6E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r>
              <w:rPr>
                <w:sz w:val="16"/>
                <w:szCs w:val="16"/>
              </w:rPr>
              <w:t>0</w:t>
            </w:r>
          </w:p>
        </w:tc>
        <w:tc>
          <w:tcPr>
            <w:tcW w:w="1964" w:type="dxa"/>
            <w:vAlign w:val="center"/>
          </w:tcPr>
          <w:p w14:paraId="6E70E76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ONeill</w:t>
            </w:r>
          </w:p>
        </w:tc>
        <w:tc>
          <w:tcPr>
            <w:tcW w:w="1620" w:type="dxa"/>
            <w:vMerge/>
            <w:vAlign w:val="center"/>
          </w:tcPr>
          <w:p w14:paraId="7C696C7F" w14:textId="77777777" w:rsidR="007E4A31" w:rsidRPr="00B07320" w:rsidRDefault="007E4A31" w:rsidP="005E6DC1">
            <w:pPr>
              <w:spacing w:before="40" w:after="40" w:line="240" w:lineRule="auto"/>
              <w:ind w:firstLine="0"/>
              <w:rPr>
                <w:sz w:val="16"/>
                <w:szCs w:val="16"/>
              </w:rPr>
            </w:pPr>
          </w:p>
        </w:tc>
        <w:tc>
          <w:tcPr>
            <w:tcW w:w="1170" w:type="dxa"/>
            <w:vAlign w:val="center"/>
          </w:tcPr>
          <w:p w14:paraId="7374328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4BC26E2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vAlign w:val="center"/>
          </w:tcPr>
          <w:p w14:paraId="7D07DE2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25.2</w:t>
            </w:r>
          </w:p>
        </w:tc>
        <w:tc>
          <w:tcPr>
            <w:tcW w:w="1714" w:type="dxa"/>
            <w:vAlign w:val="center"/>
          </w:tcPr>
          <w:p w14:paraId="31E242CE" w14:textId="77777777" w:rsidR="007E4A31" w:rsidRPr="00036189" w:rsidRDefault="007E4A31" w:rsidP="005E6DC1">
            <w:pPr>
              <w:spacing w:before="40" w:after="40" w:line="240" w:lineRule="auto"/>
              <w:ind w:firstLine="0"/>
              <w:rPr>
                <w:sz w:val="16"/>
                <w:szCs w:val="16"/>
                <w:highlight w:val="yellow"/>
                <w:lang w:eastAsia="zh-TW"/>
              </w:rPr>
            </w:pPr>
            <w:r>
              <w:rPr>
                <w:color w:val="000000"/>
                <w:sz w:val="16"/>
                <w:szCs w:val="16"/>
              </w:rPr>
              <w:t> </w:t>
            </w:r>
          </w:p>
        </w:tc>
      </w:tr>
      <w:tr w:rsidR="007E4A31" w:rsidRPr="00B07320" w14:paraId="057F731D" w14:textId="77777777" w:rsidTr="009647DE">
        <w:tc>
          <w:tcPr>
            <w:tcW w:w="484" w:type="dxa"/>
            <w:vAlign w:val="center"/>
          </w:tcPr>
          <w:p w14:paraId="672C116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r>
              <w:rPr>
                <w:sz w:val="16"/>
                <w:szCs w:val="16"/>
              </w:rPr>
              <w:t>1</w:t>
            </w:r>
          </w:p>
        </w:tc>
        <w:tc>
          <w:tcPr>
            <w:tcW w:w="1964" w:type="dxa"/>
            <w:vAlign w:val="center"/>
          </w:tcPr>
          <w:p w14:paraId="20A3DA4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 R Gianelli</w:t>
            </w:r>
          </w:p>
        </w:tc>
        <w:tc>
          <w:tcPr>
            <w:tcW w:w="1620" w:type="dxa"/>
            <w:vMerge/>
            <w:vAlign w:val="center"/>
          </w:tcPr>
          <w:p w14:paraId="48F8E0E8" w14:textId="77777777" w:rsidR="007E4A31" w:rsidRPr="00B07320" w:rsidRDefault="007E4A31" w:rsidP="005E6DC1">
            <w:pPr>
              <w:spacing w:before="40" w:after="40" w:line="240" w:lineRule="auto"/>
              <w:ind w:firstLine="0"/>
              <w:rPr>
                <w:sz w:val="16"/>
                <w:szCs w:val="16"/>
              </w:rPr>
            </w:pPr>
          </w:p>
        </w:tc>
        <w:tc>
          <w:tcPr>
            <w:tcW w:w="1170" w:type="dxa"/>
            <w:vAlign w:val="center"/>
          </w:tcPr>
          <w:p w14:paraId="0ED8F05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3388D4B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vAlign w:val="center"/>
          </w:tcPr>
          <w:p w14:paraId="2355DA5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424</w:t>
            </w:r>
          </w:p>
        </w:tc>
        <w:tc>
          <w:tcPr>
            <w:tcW w:w="1714" w:type="dxa"/>
            <w:vAlign w:val="center"/>
          </w:tcPr>
          <w:p w14:paraId="2FA5C4E6" w14:textId="77777777" w:rsidR="007E4A31" w:rsidRPr="00036189" w:rsidRDefault="007E4A31" w:rsidP="005E6DC1">
            <w:pPr>
              <w:spacing w:before="40" w:after="40" w:line="240" w:lineRule="auto"/>
              <w:ind w:firstLine="0"/>
              <w:rPr>
                <w:sz w:val="16"/>
                <w:szCs w:val="16"/>
                <w:highlight w:val="yellow"/>
                <w:lang w:eastAsia="zh-TW"/>
              </w:rPr>
            </w:pPr>
            <w:r>
              <w:rPr>
                <w:color w:val="000000"/>
                <w:sz w:val="16"/>
                <w:szCs w:val="16"/>
              </w:rPr>
              <w:t> </w:t>
            </w:r>
          </w:p>
        </w:tc>
      </w:tr>
      <w:tr w:rsidR="007E4A31" w:rsidRPr="00B07320" w14:paraId="3AE9AE0E" w14:textId="77777777" w:rsidTr="009647DE">
        <w:tc>
          <w:tcPr>
            <w:tcW w:w="484" w:type="dxa"/>
            <w:vAlign w:val="center"/>
          </w:tcPr>
          <w:p w14:paraId="056FE4E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r>
              <w:rPr>
                <w:sz w:val="16"/>
                <w:szCs w:val="16"/>
              </w:rPr>
              <w:t>2</w:t>
            </w:r>
          </w:p>
        </w:tc>
        <w:tc>
          <w:tcPr>
            <w:tcW w:w="1964" w:type="dxa"/>
            <w:vAlign w:val="center"/>
          </w:tcPr>
          <w:p w14:paraId="30ADECD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Shasta</w:t>
            </w:r>
          </w:p>
        </w:tc>
        <w:tc>
          <w:tcPr>
            <w:tcW w:w="1620" w:type="dxa"/>
            <w:vMerge/>
            <w:vAlign w:val="center"/>
          </w:tcPr>
          <w:p w14:paraId="1B644D1A" w14:textId="77777777" w:rsidR="007E4A31" w:rsidRPr="00B07320" w:rsidRDefault="007E4A31" w:rsidP="005E6DC1">
            <w:pPr>
              <w:spacing w:before="40" w:after="40" w:line="240" w:lineRule="auto"/>
              <w:ind w:firstLine="0"/>
              <w:rPr>
                <w:sz w:val="16"/>
                <w:szCs w:val="16"/>
              </w:rPr>
            </w:pPr>
          </w:p>
        </w:tc>
        <w:tc>
          <w:tcPr>
            <w:tcW w:w="1170" w:type="dxa"/>
            <w:vAlign w:val="center"/>
          </w:tcPr>
          <w:p w14:paraId="71EE931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688EDA5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B5AF99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714</w:t>
            </w:r>
          </w:p>
        </w:tc>
        <w:tc>
          <w:tcPr>
            <w:tcW w:w="1714" w:type="dxa"/>
            <w:vAlign w:val="center"/>
          </w:tcPr>
          <w:p w14:paraId="7C25383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1,866.0</w:t>
            </w:r>
          </w:p>
        </w:tc>
      </w:tr>
      <w:tr w:rsidR="007E4A31" w:rsidRPr="00B07320" w14:paraId="487CA33C" w14:textId="77777777" w:rsidTr="009647DE">
        <w:tc>
          <w:tcPr>
            <w:tcW w:w="484" w:type="dxa"/>
            <w:vAlign w:val="center"/>
          </w:tcPr>
          <w:p w14:paraId="31C72B7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r>
              <w:rPr>
                <w:sz w:val="16"/>
                <w:szCs w:val="16"/>
              </w:rPr>
              <w:t>3</w:t>
            </w:r>
          </w:p>
        </w:tc>
        <w:tc>
          <w:tcPr>
            <w:tcW w:w="1964" w:type="dxa"/>
            <w:vAlign w:val="center"/>
          </w:tcPr>
          <w:p w14:paraId="40DB995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Spring Creek</w:t>
            </w:r>
          </w:p>
        </w:tc>
        <w:tc>
          <w:tcPr>
            <w:tcW w:w="1620" w:type="dxa"/>
            <w:vMerge/>
            <w:vAlign w:val="center"/>
          </w:tcPr>
          <w:p w14:paraId="4397B83D" w14:textId="77777777" w:rsidR="007E4A31" w:rsidRPr="00B07320" w:rsidRDefault="007E4A31" w:rsidP="005E6DC1">
            <w:pPr>
              <w:spacing w:before="40" w:after="40" w:line="240" w:lineRule="auto"/>
              <w:ind w:firstLine="0"/>
              <w:rPr>
                <w:sz w:val="16"/>
                <w:szCs w:val="16"/>
              </w:rPr>
            </w:pPr>
          </w:p>
        </w:tc>
        <w:tc>
          <w:tcPr>
            <w:tcW w:w="1170" w:type="dxa"/>
            <w:vAlign w:val="center"/>
          </w:tcPr>
          <w:p w14:paraId="2E83D72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12E0AD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5075C73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180</w:t>
            </w:r>
          </w:p>
        </w:tc>
        <w:tc>
          <w:tcPr>
            <w:tcW w:w="1714" w:type="dxa"/>
            <w:vAlign w:val="center"/>
          </w:tcPr>
          <w:p w14:paraId="51691CA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477.4</w:t>
            </w:r>
          </w:p>
        </w:tc>
      </w:tr>
      <w:tr w:rsidR="007E4A31" w:rsidRPr="00B07320" w14:paraId="6896204E" w14:textId="77777777" w:rsidTr="009647DE">
        <w:tc>
          <w:tcPr>
            <w:tcW w:w="484" w:type="dxa"/>
            <w:vAlign w:val="center"/>
          </w:tcPr>
          <w:p w14:paraId="708EFE9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w:t>
            </w:r>
            <w:r>
              <w:rPr>
                <w:sz w:val="16"/>
                <w:szCs w:val="16"/>
              </w:rPr>
              <w:t>4</w:t>
            </w:r>
          </w:p>
        </w:tc>
        <w:tc>
          <w:tcPr>
            <w:tcW w:w="1964" w:type="dxa"/>
            <w:vAlign w:val="center"/>
          </w:tcPr>
          <w:p w14:paraId="38CA309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Trinity</w:t>
            </w:r>
          </w:p>
        </w:tc>
        <w:tc>
          <w:tcPr>
            <w:tcW w:w="1620" w:type="dxa"/>
            <w:vMerge/>
            <w:vAlign w:val="center"/>
          </w:tcPr>
          <w:p w14:paraId="3FB5DD41" w14:textId="77777777" w:rsidR="007E4A31" w:rsidRPr="00B07320" w:rsidRDefault="007E4A31" w:rsidP="005E6DC1">
            <w:pPr>
              <w:spacing w:before="40" w:after="40" w:line="240" w:lineRule="auto"/>
              <w:ind w:firstLine="0"/>
              <w:rPr>
                <w:sz w:val="16"/>
                <w:szCs w:val="16"/>
              </w:rPr>
            </w:pPr>
          </w:p>
        </w:tc>
        <w:tc>
          <w:tcPr>
            <w:tcW w:w="1170" w:type="dxa"/>
            <w:vAlign w:val="center"/>
          </w:tcPr>
          <w:p w14:paraId="3EF5D16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vAlign w:val="center"/>
          </w:tcPr>
          <w:p w14:paraId="776ECDC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0DA47E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140</w:t>
            </w:r>
          </w:p>
        </w:tc>
        <w:tc>
          <w:tcPr>
            <w:tcW w:w="1714" w:type="dxa"/>
            <w:vAlign w:val="center"/>
          </w:tcPr>
          <w:p w14:paraId="0106451D"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431.7</w:t>
            </w:r>
          </w:p>
        </w:tc>
      </w:tr>
      <w:tr w:rsidR="007E4A31" w:rsidRPr="00B07320" w14:paraId="15F7B96B" w14:textId="77777777" w:rsidTr="009647DE">
        <w:tc>
          <w:tcPr>
            <w:tcW w:w="484" w:type="dxa"/>
            <w:vAlign w:val="center"/>
          </w:tcPr>
          <w:p w14:paraId="62624812" w14:textId="77777777" w:rsidR="007E4A31" w:rsidRPr="00B07320" w:rsidRDefault="007E4A31" w:rsidP="005E6DC1">
            <w:pPr>
              <w:spacing w:before="40" w:after="40" w:line="240" w:lineRule="auto"/>
              <w:ind w:firstLine="0"/>
              <w:rPr>
                <w:sz w:val="16"/>
                <w:szCs w:val="16"/>
              </w:rPr>
            </w:pPr>
            <w:r>
              <w:rPr>
                <w:sz w:val="16"/>
                <w:szCs w:val="16"/>
              </w:rPr>
              <w:t>85</w:t>
            </w:r>
          </w:p>
        </w:tc>
        <w:tc>
          <w:tcPr>
            <w:tcW w:w="1964" w:type="dxa"/>
            <w:vAlign w:val="center"/>
          </w:tcPr>
          <w:p w14:paraId="6F73C9E1" w14:textId="77777777" w:rsidR="007E4A31" w:rsidRPr="00B07320" w:rsidRDefault="007E4A31" w:rsidP="005E6DC1">
            <w:pPr>
              <w:spacing w:before="40" w:after="40" w:line="240" w:lineRule="auto"/>
              <w:ind w:firstLine="0"/>
              <w:rPr>
                <w:sz w:val="16"/>
                <w:szCs w:val="16"/>
              </w:rPr>
            </w:pPr>
            <w:r w:rsidRPr="00315354">
              <w:rPr>
                <w:sz w:val="16"/>
                <w:szCs w:val="16"/>
              </w:rPr>
              <w:t>Lewiston</w:t>
            </w:r>
          </w:p>
        </w:tc>
        <w:tc>
          <w:tcPr>
            <w:tcW w:w="1620" w:type="dxa"/>
            <w:vMerge/>
            <w:vAlign w:val="center"/>
          </w:tcPr>
          <w:p w14:paraId="4814B9CB" w14:textId="77777777" w:rsidR="007E4A31" w:rsidRPr="00B07320" w:rsidRDefault="007E4A31" w:rsidP="005E6DC1">
            <w:pPr>
              <w:spacing w:before="40" w:after="40" w:line="240" w:lineRule="auto"/>
              <w:ind w:firstLine="0"/>
              <w:rPr>
                <w:sz w:val="16"/>
                <w:szCs w:val="16"/>
              </w:rPr>
            </w:pPr>
          </w:p>
        </w:tc>
        <w:tc>
          <w:tcPr>
            <w:tcW w:w="1170" w:type="dxa"/>
            <w:vAlign w:val="center"/>
          </w:tcPr>
          <w:p w14:paraId="5E2880BA" w14:textId="77777777" w:rsidR="007E4A31" w:rsidRPr="00B07320" w:rsidRDefault="007E4A31" w:rsidP="005E6DC1">
            <w:pPr>
              <w:spacing w:before="40" w:after="40" w:line="240" w:lineRule="auto"/>
              <w:ind w:firstLine="0"/>
              <w:rPr>
                <w:sz w:val="16"/>
                <w:szCs w:val="16"/>
              </w:rPr>
            </w:pPr>
            <w:r w:rsidRPr="00B07320">
              <w:rPr>
                <w:sz w:val="16"/>
                <w:szCs w:val="16"/>
              </w:rPr>
              <w:t>Reclamation</w:t>
            </w:r>
          </w:p>
        </w:tc>
        <w:tc>
          <w:tcPr>
            <w:tcW w:w="1710" w:type="dxa"/>
            <w:vAlign w:val="center"/>
          </w:tcPr>
          <w:p w14:paraId="52DF538F" w14:textId="77777777" w:rsidR="007E4A31" w:rsidRPr="00B07320" w:rsidRDefault="007E4A31" w:rsidP="005E6DC1">
            <w:pPr>
              <w:spacing w:before="40" w:after="40" w:line="240" w:lineRule="auto"/>
              <w:ind w:firstLine="0"/>
              <w:rPr>
                <w:sz w:val="16"/>
                <w:szCs w:val="16"/>
              </w:rPr>
            </w:pPr>
            <w:r w:rsidRPr="00B07320">
              <w:rPr>
                <w:sz w:val="16"/>
                <w:szCs w:val="16"/>
              </w:rPr>
              <w:t>Conventional Hydro</w:t>
            </w:r>
          </w:p>
        </w:tc>
        <w:tc>
          <w:tcPr>
            <w:tcW w:w="914" w:type="dxa"/>
            <w:vAlign w:val="center"/>
          </w:tcPr>
          <w:p w14:paraId="5C9575AE" w14:textId="77777777" w:rsidR="007E4A31" w:rsidRPr="00B07320" w:rsidRDefault="007E4A31" w:rsidP="005E6DC1">
            <w:pPr>
              <w:spacing w:before="40" w:after="40" w:line="240" w:lineRule="auto"/>
              <w:ind w:firstLine="0"/>
              <w:rPr>
                <w:sz w:val="16"/>
                <w:szCs w:val="16"/>
              </w:rPr>
            </w:pPr>
            <w:r>
              <w:rPr>
                <w:color w:val="000000"/>
                <w:sz w:val="16"/>
                <w:szCs w:val="16"/>
              </w:rPr>
              <w:t>0.35</w:t>
            </w:r>
          </w:p>
        </w:tc>
        <w:tc>
          <w:tcPr>
            <w:tcW w:w="1714" w:type="dxa"/>
            <w:vAlign w:val="center"/>
          </w:tcPr>
          <w:p w14:paraId="6CD08127" w14:textId="77777777" w:rsidR="007E4A31" w:rsidRPr="003363ED" w:rsidRDefault="007E4A31" w:rsidP="005E6DC1">
            <w:pPr>
              <w:spacing w:before="40" w:after="40" w:line="240" w:lineRule="auto"/>
              <w:ind w:firstLine="0"/>
              <w:rPr>
                <w:sz w:val="16"/>
                <w:szCs w:val="16"/>
              </w:rPr>
            </w:pPr>
            <w:r>
              <w:rPr>
                <w:color w:val="000000"/>
                <w:sz w:val="16"/>
                <w:szCs w:val="16"/>
              </w:rPr>
              <w:t>2.4</w:t>
            </w:r>
          </w:p>
        </w:tc>
      </w:tr>
      <w:tr w:rsidR="007E4A31" w:rsidRPr="00B07320" w14:paraId="3D8B232D" w14:textId="77777777" w:rsidTr="009647DE">
        <w:tc>
          <w:tcPr>
            <w:tcW w:w="484" w:type="dxa"/>
            <w:tcBorders>
              <w:bottom w:val="single" w:sz="12" w:space="0" w:color="000000"/>
            </w:tcBorders>
            <w:vAlign w:val="center"/>
          </w:tcPr>
          <w:p w14:paraId="5B91084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86</w:t>
            </w:r>
          </w:p>
        </w:tc>
        <w:tc>
          <w:tcPr>
            <w:tcW w:w="1964" w:type="dxa"/>
            <w:tcBorders>
              <w:bottom w:val="single" w:sz="12" w:space="0" w:color="000000"/>
            </w:tcBorders>
            <w:vAlign w:val="center"/>
          </w:tcPr>
          <w:p w14:paraId="65F74D6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Stampede</w:t>
            </w:r>
          </w:p>
        </w:tc>
        <w:tc>
          <w:tcPr>
            <w:tcW w:w="1620" w:type="dxa"/>
            <w:tcBorders>
              <w:bottom w:val="single" w:sz="12" w:space="0" w:color="000000"/>
            </w:tcBorders>
            <w:vAlign w:val="center"/>
          </w:tcPr>
          <w:p w14:paraId="5B62534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Washoe</w:t>
            </w:r>
          </w:p>
        </w:tc>
        <w:tc>
          <w:tcPr>
            <w:tcW w:w="1170" w:type="dxa"/>
            <w:tcBorders>
              <w:bottom w:val="single" w:sz="12" w:space="0" w:color="000000"/>
            </w:tcBorders>
            <w:vAlign w:val="center"/>
          </w:tcPr>
          <w:p w14:paraId="6622586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Reclamation</w:t>
            </w:r>
          </w:p>
        </w:tc>
        <w:tc>
          <w:tcPr>
            <w:tcW w:w="1710" w:type="dxa"/>
            <w:tcBorders>
              <w:bottom w:val="single" w:sz="12" w:space="0" w:color="000000"/>
            </w:tcBorders>
            <w:vAlign w:val="center"/>
          </w:tcPr>
          <w:p w14:paraId="4EA5964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4182B9C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3.6</w:t>
            </w:r>
          </w:p>
        </w:tc>
        <w:tc>
          <w:tcPr>
            <w:tcW w:w="1714" w:type="dxa"/>
            <w:tcBorders>
              <w:bottom w:val="single" w:sz="12" w:space="0" w:color="000000"/>
            </w:tcBorders>
            <w:vAlign w:val="center"/>
          </w:tcPr>
          <w:p w14:paraId="4F1D993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10.1</w:t>
            </w:r>
          </w:p>
        </w:tc>
      </w:tr>
      <w:tr w:rsidR="007E4A31" w:rsidRPr="00B07320" w14:paraId="027E6E9D" w14:textId="77777777" w:rsidTr="009647DE">
        <w:tc>
          <w:tcPr>
            <w:tcW w:w="9576" w:type="dxa"/>
            <w:gridSpan w:val="7"/>
            <w:tcBorders>
              <w:top w:val="single" w:sz="12" w:space="0" w:color="000000"/>
              <w:bottom w:val="single" w:sz="4" w:space="0" w:color="000000"/>
            </w:tcBorders>
            <w:vAlign w:val="center"/>
          </w:tcPr>
          <w:p w14:paraId="1DD15389" w14:textId="06DE9FF1"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SWPA-1 Upper White, Osage</w:t>
            </w:r>
            <w:r w:rsidR="00A37431">
              <w:rPr>
                <w:b/>
                <w:i/>
                <w:sz w:val="16"/>
                <w:szCs w:val="16"/>
              </w:rPr>
              <w:t>,</w:t>
            </w:r>
            <w:r w:rsidRPr="00B07320">
              <w:rPr>
                <w:b/>
                <w:i/>
                <w:sz w:val="16"/>
                <w:szCs w:val="16"/>
              </w:rPr>
              <w:t xml:space="preserve"> </w:t>
            </w:r>
            <w:r>
              <w:rPr>
                <w:b/>
                <w:i/>
                <w:sz w:val="16"/>
                <w:szCs w:val="16"/>
              </w:rPr>
              <w:t>and</w:t>
            </w:r>
            <w:r w:rsidRPr="00B07320">
              <w:rPr>
                <w:b/>
                <w:i/>
                <w:sz w:val="16"/>
                <w:szCs w:val="16"/>
              </w:rPr>
              <w:t xml:space="preserve"> Salt</w:t>
            </w:r>
          </w:p>
        </w:tc>
      </w:tr>
      <w:tr w:rsidR="007E4A31" w:rsidRPr="00B07320" w14:paraId="71D50EF6" w14:textId="77777777" w:rsidTr="009647DE">
        <w:tc>
          <w:tcPr>
            <w:tcW w:w="484" w:type="dxa"/>
            <w:tcBorders>
              <w:top w:val="single" w:sz="4" w:space="0" w:color="000000"/>
              <w:bottom w:val="single" w:sz="4" w:space="0" w:color="000000"/>
            </w:tcBorders>
            <w:vAlign w:val="center"/>
          </w:tcPr>
          <w:p w14:paraId="4766273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87</w:t>
            </w:r>
          </w:p>
        </w:tc>
        <w:tc>
          <w:tcPr>
            <w:tcW w:w="1964" w:type="dxa"/>
            <w:tcBorders>
              <w:top w:val="single" w:sz="4" w:space="0" w:color="000000"/>
              <w:bottom w:val="single" w:sz="4" w:space="0" w:color="000000"/>
            </w:tcBorders>
            <w:vAlign w:val="center"/>
          </w:tcPr>
          <w:p w14:paraId="34FB734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Beaver</w:t>
            </w:r>
          </w:p>
        </w:tc>
        <w:tc>
          <w:tcPr>
            <w:tcW w:w="1620" w:type="dxa"/>
            <w:vMerge w:val="restart"/>
            <w:tcBorders>
              <w:top w:val="single" w:sz="4" w:space="0" w:color="000000"/>
              <w:bottom w:val="single" w:sz="4" w:space="0" w:color="000000"/>
            </w:tcBorders>
            <w:vAlign w:val="center"/>
          </w:tcPr>
          <w:p w14:paraId="2D83274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Southwestern financially integrated projects</w:t>
            </w:r>
          </w:p>
        </w:tc>
        <w:tc>
          <w:tcPr>
            <w:tcW w:w="1170" w:type="dxa"/>
            <w:tcBorders>
              <w:top w:val="single" w:sz="4" w:space="0" w:color="000000"/>
              <w:bottom w:val="single" w:sz="4" w:space="0" w:color="000000"/>
            </w:tcBorders>
            <w:vAlign w:val="center"/>
          </w:tcPr>
          <w:p w14:paraId="1B87255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2AAF495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19CD82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112</w:t>
            </w:r>
          </w:p>
        </w:tc>
        <w:tc>
          <w:tcPr>
            <w:tcW w:w="1714" w:type="dxa"/>
            <w:tcBorders>
              <w:top w:val="single" w:sz="4" w:space="0" w:color="000000"/>
              <w:bottom w:val="single" w:sz="4" w:space="0" w:color="000000"/>
            </w:tcBorders>
            <w:vAlign w:val="center"/>
          </w:tcPr>
          <w:p w14:paraId="191C682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152.0</w:t>
            </w:r>
          </w:p>
        </w:tc>
      </w:tr>
      <w:tr w:rsidR="007E4A31" w:rsidRPr="00B07320" w14:paraId="74251AD9" w14:textId="77777777" w:rsidTr="009647DE">
        <w:tc>
          <w:tcPr>
            <w:tcW w:w="484" w:type="dxa"/>
            <w:tcBorders>
              <w:top w:val="single" w:sz="4" w:space="0" w:color="000000"/>
              <w:bottom w:val="single" w:sz="4" w:space="0" w:color="000000"/>
            </w:tcBorders>
            <w:vAlign w:val="center"/>
          </w:tcPr>
          <w:p w14:paraId="15ABEF4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88</w:t>
            </w:r>
          </w:p>
        </w:tc>
        <w:tc>
          <w:tcPr>
            <w:tcW w:w="1964" w:type="dxa"/>
            <w:tcBorders>
              <w:top w:val="single" w:sz="4" w:space="0" w:color="000000"/>
              <w:bottom w:val="single" w:sz="4" w:space="0" w:color="000000"/>
            </w:tcBorders>
            <w:vAlign w:val="center"/>
          </w:tcPr>
          <w:p w14:paraId="0008213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Bull Shoals</w:t>
            </w:r>
          </w:p>
        </w:tc>
        <w:tc>
          <w:tcPr>
            <w:tcW w:w="1620" w:type="dxa"/>
            <w:vMerge/>
            <w:tcBorders>
              <w:top w:val="single" w:sz="4" w:space="0" w:color="000000"/>
              <w:bottom w:val="single" w:sz="4" w:space="0" w:color="000000"/>
            </w:tcBorders>
            <w:vAlign w:val="center"/>
          </w:tcPr>
          <w:p w14:paraId="52EFC07B"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52B805A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78BEA0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442F9CB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340</w:t>
            </w:r>
          </w:p>
        </w:tc>
        <w:tc>
          <w:tcPr>
            <w:tcW w:w="1714" w:type="dxa"/>
            <w:tcBorders>
              <w:top w:val="single" w:sz="4" w:space="0" w:color="000000"/>
              <w:bottom w:val="single" w:sz="4" w:space="0" w:color="000000"/>
            </w:tcBorders>
            <w:vAlign w:val="center"/>
          </w:tcPr>
          <w:p w14:paraId="719B76A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784.4</w:t>
            </w:r>
          </w:p>
        </w:tc>
      </w:tr>
      <w:tr w:rsidR="007E4A31" w:rsidRPr="00B07320" w14:paraId="04960E51" w14:textId="77777777" w:rsidTr="009647DE">
        <w:tc>
          <w:tcPr>
            <w:tcW w:w="484" w:type="dxa"/>
            <w:vMerge w:val="restart"/>
            <w:tcBorders>
              <w:top w:val="single" w:sz="4" w:space="0" w:color="000000"/>
              <w:bottom w:val="single" w:sz="4" w:space="0" w:color="000000"/>
            </w:tcBorders>
            <w:vAlign w:val="center"/>
          </w:tcPr>
          <w:p w14:paraId="4E83D9A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89</w:t>
            </w:r>
          </w:p>
        </w:tc>
        <w:tc>
          <w:tcPr>
            <w:tcW w:w="1964" w:type="dxa"/>
            <w:vMerge w:val="restart"/>
            <w:tcBorders>
              <w:top w:val="single" w:sz="4" w:space="0" w:color="000000"/>
              <w:bottom w:val="single" w:sz="4" w:space="0" w:color="000000"/>
            </w:tcBorders>
            <w:vAlign w:val="center"/>
          </w:tcPr>
          <w:p w14:paraId="334218B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Clarence Cannon</w:t>
            </w:r>
          </w:p>
        </w:tc>
        <w:tc>
          <w:tcPr>
            <w:tcW w:w="1620" w:type="dxa"/>
            <w:vMerge/>
            <w:tcBorders>
              <w:top w:val="single" w:sz="4" w:space="0" w:color="000000"/>
              <w:bottom w:val="single" w:sz="4" w:space="0" w:color="000000"/>
            </w:tcBorders>
            <w:vAlign w:val="center"/>
          </w:tcPr>
          <w:p w14:paraId="09BAE2AD" w14:textId="77777777" w:rsidR="007E4A31" w:rsidRPr="00B07320" w:rsidRDefault="007E4A31" w:rsidP="005E6DC1">
            <w:pPr>
              <w:spacing w:before="40" w:after="40" w:line="240" w:lineRule="auto"/>
              <w:ind w:firstLine="0"/>
              <w:rPr>
                <w:sz w:val="16"/>
                <w:szCs w:val="16"/>
              </w:rPr>
            </w:pPr>
          </w:p>
        </w:tc>
        <w:tc>
          <w:tcPr>
            <w:tcW w:w="1170" w:type="dxa"/>
            <w:vMerge w:val="restart"/>
            <w:tcBorders>
              <w:top w:val="single" w:sz="4" w:space="0" w:color="000000"/>
              <w:bottom w:val="single" w:sz="4" w:space="0" w:color="000000"/>
            </w:tcBorders>
            <w:vAlign w:val="center"/>
          </w:tcPr>
          <w:p w14:paraId="6196B12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6D18239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21AA86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27</w:t>
            </w:r>
          </w:p>
        </w:tc>
        <w:tc>
          <w:tcPr>
            <w:tcW w:w="1714" w:type="dxa"/>
            <w:tcBorders>
              <w:top w:val="single" w:sz="4" w:space="0" w:color="000000"/>
              <w:bottom w:val="single" w:sz="4" w:space="0" w:color="000000"/>
            </w:tcBorders>
            <w:vAlign w:val="center"/>
          </w:tcPr>
          <w:p w14:paraId="63BA7E8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93.8</w:t>
            </w:r>
          </w:p>
        </w:tc>
      </w:tr>
      <w:tr w:rsidR="007E4A31" w:rsidRPr="00B07320" w14:paraId="3B00B425" w14:textId="77777777" w:rsidTr="009647DE">
        <w:tc>
          <w:tcPr>
            <w:tcW w:w="484" w:type="dxa"/>
            <w:vMerge/>
            <w:tcBorders>
              <w:top w:val="single" w:sz="4" w:space="0" w:color="000000"/>
              <w:bottom w:val="single" w:sz="4" w:space="0" w:color="000000"/>
            </w:tcBorders>
            <w:vAlign w:val="center"/>
          </w:tcPr>
          <w:p w14:paraId="0BAFEF27" w14:textId="77777777" w:rsidR="007E4A31" w:rsidRPr="00B07320" w:rsidRDefault="007E4A31" w:rsidP="005E6DC1">
            <w:pPr>
              <w:spacing w:before="40" w:after="40" w:line="240" w:lineRule="auto"/>
              <w:ind w:firstLine="0"/>
              <w:rPr>
                <w:sz w:val="16"/>
                <w:szCs w:val="16"/>
              </w:rPr>
            </w:pPr>
          </w:p>
        </w:tc>
        <w:tc>
          <w:tcPr>
            <w:tcW w:w="1964" w:type="dxa"/>
            <w:vMerge/>
            <w:tcBorders>
              <w:top w:val="single" w:sz="4" w:space="0" w:color="000000"/>
              <w:bottom w:val="single" w:sz="4" w:space="0" w:color="000000"/>
            </w:tcBorders>
            <w:vAlign w:val="center"/>
          </w:tcPr>
          <w:p w14:paraId="777667B5" w14:textId="77777777" w:rsidR="007E4A31" w:rsidRPr="00B07320" w:rsidRDefault="007E4A31" w:rsidP="005E6DC1">
            <w:pPr>
              <w:spacing w:before="40" w:after="40" w:line="240" w:lineRule="auto"/>
              <w:ind w:firstLine="0"/>
              <w:rPr>
                <w:sz w:val="16"/>
                <w:szCs w:val="16"/>
              </w:rPr>
            </w:pPr>
          </w:p>
        </w:tc>
        <w:tc>
          <w:tcPr>
            <w:tcW w:w="1620" w:type="dxa"/>
            <w:vMerge/>
            <w:tcBorders>
              <w:top w:val="single" w:sz="4" w:space="0" w:color="000000"/>
              <w:bottom w:val="single" w:sz="4" w:space="0" w:color="000000"/>
            </w:tcBorders>
            <w:vAlign w:val="center"/>
          </w:tcPr>
          <w:p w14:paraId="147581F8" w14:textId="77777777" w:rsidR="007E4A31" w:rsidRPr="00B07320" w:rsidRDefault="007E4A31" w:rsidP="005E6DC1">
            <w:pPr>
              <w:spacing w:before="40" w:after="40" w:line="240" w:lineRule="auto"/>
              <w:ind w:firstLine="0"/>
              <w:rPr>
                <w:sz w:val="16"/>
                <w:szCs w:val="16"/>
              </w:rPr>
            </w:pPr>
          </w:p>
        </w:tc>
        <w:tc>
          <w:tcPr>
            <w:tcW w:w="1170" w:type="dxa"/>
            <w:vMerge/>
            <w:tcBorders>
              <w:top w:val="single" w:sz="4" w:space="0" w:color="000000"/>
              <w:bottom w:val="single" w:sz="4" w:space="0" w:color="000000"/>
            </w:tcBorders>
            <w:vAlign w:val="center"/>
          </w:tcPr>
          <w:p w14:paraId="7B07BA44" w14:textId="77777777" w:rsidR="007E4A31" w:rsidRPr="00B07320" w:rsidRDefault="007E4A31" w:rsidP="005E6DC1">
            <w:pPr>
              <w:spacing w:before="40" w:after="40" w:line="240" w:lineRule="auto"/>
              <w:ind w:firstLine="0"/>
              <w:rPr>
                <w:sz w:val="16"/>
                <w:szCs w:val="16"/>
              </w:rPr>
            </w:pPr>
          </w:p>
        </w:tc>
        <w:tc>
          <w:tcPr>
            <w:tcW w:w="1710" w:type="dxa"/>
            <w:tcBorders>
              <w:top w:val="single" w:sz="4" w:space="0" w:color="000000"/>
              <w:bottom w:val="single" w:sz="4" w:space="0" w:color="000000"/>
            </w:tcBorders>
            <w:vAlign w:val="center"/>
          </w:tcPr>
          <w:p w14:paraId="7281C53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r w:rsidRPr="00B07320">
              <w:rPr>
                <w:i/>
                <w:sz w:val="16"/>
                <w:szCs w:val="16"/>
                <w:vertAlign w:val="superscript"/>
              </w:rPr>
              <w:t>b</w:t>
            </w:r>
          </w:p>
        </w:tc>
        <w:tc>
          <w:tcPr>
            <w:tcW w:w="914" w:type="dxa"/>
            <w:tcBorders>
              <w:top w:val="single" w:sz="4" w:space="0" w:color="000000"/>
              <w:bottom w:val="single" w:sz="4" w:space="0" w:color="000000"/>
            </w:tcBorders>
            <w:vAlign w:val="center"/>
          </w:tcPr>
          <w:p w14:paraId="77782C1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31</w:t>
            </w:r>
          </w:p>
        </w:tc>
        <w:tc>
          <w:tcPr>
            <w:tcW w:w="1714" w:type="dxa"/>
            <w:tcBorders>
              <w:top w:val="single" w:sz="4" w:space="0" w:color="000000"/>
              <w:bottom w:val="single" w:sz="4" w:space="0" w:color="000000"/>
            </w:tcBorders>
            <w:vAlign w:val="center"/>
          </w:tcPr>
          <w:p w14:paraId="58406F75" w14:textId="77777777" w:rsidR="007E4A31" w:rsidRPr="00036189" w:rsidRDefault="007E4A31" w:rsidP="005E6DC1">
            <w:pPr>
              <w:spacing w:before="40" w:after="40" w:line="240" w:lineRule="auto"/>
              <w:ind w:firstLine="0"/>
              <w:rPr>
                <w:sz w:val="16"/>
                <w:szCs w:val="16"/>
                <w:highlight w:val="yellow"/>
                <w:lang w:eastAsia="zh-TW"/>
              </w:rPr>
            </w:pPr>
            <w:r>
              <w:rPr>
                <w:color w:val="000000"/>
                <w:sz w:val="16"/>
                <w:szCs w:val="16"/>
              </w:rPr>
              <w:t> </w:t>
            </w:r>
          </w:p>
        </w:tc>
      </w:tr>
      <w:tr w:rsidR="007E4A31" w:rsidRPr="00B07320" w14:paraId="53950434" w14:textId="77777777" w:rsidTr="009647DE">
        <w:tc>
          <w:tcPr>
            <w:tcW w:w="484" w:type="dxa"/>
            <w:tcBorders>
              <w:top w:val="single" w:sz="4" w:space="0" w:color="000000"/>
              <w:bottom w:val="single" w:sz="4" w:space="0" w:color="000000"/>
            </w:tcBorders>
            <w:vAlign w:val="center"/>
          </w:tcPr>
          <w:p w14:paraId="250BC4B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90</w:t>
            </w:r>
          </w:p>
        </w:tc>
        <w:tc>
          <w:tcPr>
            <w:tcW w:w="1964" w:type="dxa"/>
            <w:tcBorders>
              <w:top w:val="single" w:sz="4" w:space="0" w:color="000000"/>
              <w:bottom w:val="single" w:sz="4" w:space="0" w:color="000000"/>
            </w:tcBorders>
            <w:vAlign w:val="center"/>
          </w:tcPr>
          <w:p w14:paraId="4F8648B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Greers Ferry</w:t>
            </w:r>
          </w:p>
        </w:tc>
        <w:tc>
          <w:tcPr>
            <w:tcW w:w="1620" w:type="dxa"/>
            <w:vMerge/>
            <w:tcBorders>
              <w:top w:val="single" w:sz="4" w:space="0" w:color="000000"/>
              <w:bottom w:val="single" w:sz="4" w:space="0" w:color="000000"/>
            </w:tcBorders>
            <w:vAlign w:val="center"/>
          </w:tcPr>
          <w:p w14:paraId="6DA08312"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41D14DA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59C490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7AB1B3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96</w:t>
            </w:r>
          </w:p>
        </w:tc>
        <w:tc>
          <w:tcPr>
            <w:tcW w:w="1714" w:type="dxa"/>
            <w:tcBorders>
              <w:top w:val="single" w:sz="4" w:space="0" w:color="000000"/>
              <w:bottom w:val="single" w:sz="4" w:space="0" w:color="000000"/>
            </w:tcBorders>
            <w:vAlign w:val="center"/>
          </w:tcPr>
          <w:p w14:paraId="6A40D0B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185.9</w:t>
            </w:r>
          </w:p>
        </w:tc>
      </w:tr>
      <w:tr w:rsidR="007E4A31" w:rsidRPr="00B07320" w14:paraId="19685D73" w14:textId="77777777" w:rsidTr="009647DE">
        <w:tc>
          <w:tcPr>
            <w:tcW w:w="484" w:type="dxa"/>
            <w:tcBorders>
              <w:top w:val="single" w:sz="4" w:space="0" w:color="000000"/>
              <w:bottom w:val="single" w:sz="4" w:space="0" w:color="000000"/>
            </w:tcBorders>
            <w:vAlign w:val="center"/>
          </w:tcPr>
          <w:p w14:paraId="16CF306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91</w:t>
            </w:r>
          </w:p>
        </w:tc>
        <w:tc>
          <w:tcPr>
            <w:tcW w:w="1964" w:type="dxa"/>
            <w:tcBorders>
              <w:top w:val="single" w:sz="4" w:space="0" w:color="000000"/>
              <w:bottom w:val="single" w:sz="4" w:space="0" w:color="000000"/>
            </w:tcBorders>
            <w:vAlign w:val="center"/>
          </w:tcPr>
          <w:p w14:paraId="2580E6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Harry S Truman</w:t>
            </w:r>
          </w:p>
        </w:tc>
        <w:tc>
          <w:tcPr>
            <w:tcW w:w="1620" w:type="dxa"/>
            <w:vMerge/>
            <w:tcBorders>
              <w:top w:val="single" w:sz="4" w:space="0" w:color="000000"/>
              <w:bottom w:val="single" w:sz="4" w:space="0" w:color="000000"/>
            </w:tcBorders>
            <w:vAlign w:val="center"/>
          </w:tcPr>
          <w:p w14:paraId="5D20BC25"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4BDECF5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3DC494F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r w:rsidRPr="00B07320">
              <w:rPr>
                <w:i/>
                <w:sz w:val="16"/>
                <w:szCs w:val="16"/>
                <w:vertAlign w:val="superscript"/>
              </w:rPr>
              <w:t>c</w:t>
            </w:r>
          </w:p>
        </w:tc>
        <w:tc>
          <w:tcPr>
            <w:tcW w:w="914" w:type="dxa"/>
            <w:tcBorders>
              <w:top w:val="single" w:sz="4" w:space="0" w:color="000000"/>
              <w:bottom w:val="single" w:sz="4" w:space="0" w:color="000000"/>
            </w:tcBorders>
            <w:vAlign w:val="center"/>
          </w:tcPr>
          <w:p w14:paraId="3993C490"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161.4</w:t>
            </w:r>
          </w:p>
        </w:tc>
        <w:tc>
          <w:tcPr>
            <w:tcW w:w="1714" w:type="dxa"/>
            <w:tcBorders>
              <w:top w:val="single" w:sz="4" w:space="0" w:color="000000"/>
              <w:bottom w:val="single" w:sz="4" w:space="0" w:color="000000"/>
            </w:tcBorders>
            <w:vAlign w:val="center"/>
          </w:tcPr>
          <w:p w14:paraId="74E8935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273.8</w:t>
            </w:r>
          </w:p>
        </w:tc>
      </w:tr>
      <w:tr w:rsidR="007E4A31" w:rsidRPr="00B07320" w14:paraId="6BE983A9" w14:textId="77777777" w:rsidTr="009647DE">
        <w:tc>
          <w:tcPr>
            <w:tcW w:w="484" w:type="dxa"/>
            <w:tcBorders>
              <w:top w:val="single" w:sz="4" w:space="0" w:color="000000"/>
              <w:bottom w:val="single" w:sz="4" w:space="0" w:color="000000"/>
            </w:tcBorders>
            <w:vAlign w:val="center"/>
          </w:tcPr>
          <w:p w14:paraId="53D5C22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92</w:t>
            </w:r>
          </w:p>
        </w:tc>
        <w:tc>
          <w:tcPr>
            <w:tcW w:w="1964" w:type="dxa"/>
            <w:tcBorders>
              <w:top w:val="single" w:sz="4" w:space="0" w:color="000000"/>
              <w:bottom w:val="single" w:sz="4" w:space="0" w:color="000000"/>
            </w:tcBorders>
            <w:vAlign w:val="center"/>
          </w:tcPr>
          <w:p w14:paraId="4A85D63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Norfork</w:t>
            </w:r>
          </w:p>
        </w:tc>
        <w:tc>
          <w:tcPr>
            <w:tcW w:w="1620" w:type="dxa"/>
            <w:vMerge/>
            <w:tcBorders>
              <w:top w:val="single" w:sz="4" w:space="0" w:color="000000"/>
              <w:bottom w:val="single" w:sz="4" w:space="0" w:color="000000"/>
            </w:tcBorders>
            <w:vAlign w:val="center"/>
          </w:tcPr>
          <w:p w14:paraId="0B77CE7B"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0E38F7A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3A80EF7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F6FC4D4"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80.4</w:t>
            </w:r>
          </w:p>
        </w:tc>
        <w:tc>
          <w:tcPr>
            <w:tcW w:w="1714" w:type="dxa"/>
            <w:tcBorders>
              <w:top w:val="single" w:sz="4" w:space="0" w:color="000000"/>
              <w:bottom w:val="single" w:sz="4" w:space="0" w:color="000000"/>
            </w:tcBorders>
            <w:vAlign w:val="center"/>
          </w:tcPr>
          <w:p w14:paraId="7DDEEAF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199.2</w:t>
            </w:r>
          </w:p>
        </w:tc>
      </w:tr>
      <w:tr w:rsidR="007E4A31" w:rsidRPr="00B07320" w14:paraId="7A361A80" w14:textId="77777777" w:rsidTr="009647DE">
        <w:tc>
          <w:tcPr>
            <w:tcW w:w="484" w:type="dxa"/>
            <w:tcBorders>
              <w:top w:val="single" w:sz="4" w:space="0" w:color="000000"/>
              <w:bottom w:val="single" w:sz="4" w:space="0" w:color="000000"/>
            </w:tcBorders>
            <w:vAlign w:val="center"/>
          </w:tcPr>
          <w:p w14:paraId="786CDA8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93</w:t>
            </w:r>
          </w:p>
        </w:tc>
        <w:tc>
          <w:tcPr>
            <w:tcW w:w="1964" w:type="dxa"/>
            <w:tcBorders>
              <w:top w:val="single" w:sz="4" w:space="0" w:color="000000"/>
              <w:bottom w:val="single" w:sz="4" w:space="0" w:color="000000"/>
            </w:tcBorders>
            <w:vAlign w:val="center"/>
          </w:tcPr>
          <w:p w14:paraId="03099D0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Stockton</w:t>
            </w:r>
          </w:p>
        </w:tc>
        <w:tc>
          <w:tcPr>
            <w:tcW w:w="1620" w:type="dxa"/>
            <w:vMerge/>
            <w:tcBorders>
              <w:top w:val="single" w:sz="4" w:space="0" w:color="000000"/>
              <w:bottom w:val="single" w:sz="4" w:space="0" w:color="000000"/>
            </w:tcBorders>
            <w:vAlign w:val="center"/>
          </w:tcPr>
          <w:p w14:paraId="22D90F59"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C2E96F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22622C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B5B32B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52</w:t>
            </w:r>
          </w:p>
        </w:tc>
        <w:tc>
          <w:tcPr>
            <w:tcW w:w="1714" w:type="dxa"/>
            <w:tcBorders>
              <w:top w:val="single" w:sz="4" w:space="0" w:color="000000"/>
              <w:bottom w:val="single" w:sz="4" w:space="0" w:color="000000"/>
            </w:tcBorders>
            <w:vAlign w:val="center"/>
          </w:tcPr>
          <w:p w14:paraId="64B4769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52.0</w:t>
            </w:r>
          </w:p>
        </w:tc>
      </w:tr>
      <w:tr w:rsidR="007E4A31" w:rsidRPr="00B07320" w14:paraId="0F0C0061" w14:textId="77777777" w:rsidTr="009647DE">
        <w:tc>
          <w:tcPr>
            <w:tcW w:w="484" w:type="dxa"/>
            <w:tcBorders>
              <w:top w:val="single" w:sz="4" w:space="0" w:color="000000"/>
              <w:bottom w:val="single" w:sz="12" w:space="0" w:color="000000"/>
            </w:tcBorders>
            <w:vAlign w:val="center"/>
          </w:tcPr>
          <w:p w14:paraId="08A3A1A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94</w:t>
            </w:r>
          </w:p>
        </w:tc>
        <w:tc>
          <w:tcPr>
            <w:tcW w:w="1964" w:type="dxa"/>
            <w:tcBorders>
              <w:top w:val="single" w:sz="4" w:space="0" w:color="000000"/>
              <w:bottom w:val="single" w:sz="12" w:space="0" w:color="000000"/>
            </w:tcBorders>
            <w:vAlign w:val="center"/>
          </w:tcPr>
          <w:p w14:paraId="087E496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Table Rock</w:t>
            </w:r>
          </w:p>
        </w:tc>
        <w:tc>
          <w:tcPr>
            <w:tcW w:w="1620" w:type="dxa"/>
            <w:vMerge/>
            <w:tcBorders>
              <w:top w:val="single" w:sz="4" w:space="0" w:color="000000"/>
              <w:bottom w:val="single" w:sz="12" w:space="0" w:color="000000"/>
            </w:tcBorders>
            <w:vAlign w:val="center"/>
          </w:tcPr>
          <w:p w14:paraId="6FD1FEC7"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662811C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2A3DDD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2268314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200</w:t>
            </w:r>
          </w:p>
        </w:tc>
        <w:tc>
          <w:tcPr>
            <w:tcW w:w="1714" w:type="dxa"/>
            <w:tcBorders>
              <w:top w:val="single" w:sz="4" w:space="0" w:color="000000"/>
              <w:bottom w:val="single" w:sz="12" w:space="0" w:color="000000"/>
            </w:tcBorders>
            <w:vAlign w:val="center"/>
          </w:tcPr>
          <w:p w14:paraId="123825B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513.8</w:t>
            </w:r>
          </w:p>
        </w:tc>
      </w:tr>
      <w:tr w:rsidR="007E4A31" w:rsidRPr="00B07320" w14:paraId="2ABA51A8" w14:textId="77777777" w:rsidTr="009647DE">
        <w:tc>
          <w:tcPr>
            <w:tcW w:w="9576" w:type="dxa"/>
            <w:gridSpan w:val="7"/>
            <w:tcBorders>
              <w:top w:val="single" w:sz="12" w:space="0" w:color="000000"/>
            </w:tcBorders>
            <w:vAlign w:val="center"/>
          </w:tcPr>
          <w:p w14:paraId="5A77385E"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SWPA-2 Arkansas</w:t>
            </w:r>
          </w:p>
        </w:tc>
      </w:tr>
      <w:tr w:rsidR="007E4A31" w:rsidRPr="00B07320" w14:paraId="6E26C6C0" w14:textId="77777777" w:rsidTr="009647DE">
        <w:tc>
          <w:tcPr>
            <w:tcW w:w="484" w:type="dxa"/>
            <w:vAlign w:val="center"/>
          </w:tcPr>
          <w:p w14:paraId="48DB55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95</w:t>
            </w:r>
          </w:p>
        </w:tc>
        <w:tc>
          <w:tcPr>
            <w:tcW w:w="1964" w:type="dxa"/>
            <w:vAlign w:val="center"/>
          </w:tcPr>
          <w:p w14:paraId="217B376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Dardanelle</w:t>
            </w:r>
          </w:p>
        </w:tc>
        <w:tc>
          <w:tcPr>
            <w:tcW w:w="1620" w:type="dxa"/>
            <w:vMerge w:val="restart"/>
            <w:vAlign w:val="center"/>
          </w:tcPr>
          <w:p w14:paraId="0F09B5B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Southwestern financially integrated projects</w:t>
            </w:r>
          </w:p>
        </w:tc>
        <w:tc>
          <w:tcPr>
            <w:tcW w:w="1170" w:type="dxa"/>
            <w:vAlign w:val="center"/>
          </w:tcPr>
          <w:p w14:paraId="028C65D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5F2C1D2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A6773E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160.8</w:t>
            </w:r>
          </w:p>
        </w:tc>
        <w:tc>
          <w:tcPr>
            <w:tcW w:w="1714" w:type="dxa"/>
            <w:vAlign w:val="center"/>
          </w:tcPr>
          <w:p w14:paraId="2DD5623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613.6</w:t>
            </w:r>
          </w:p>
        </w:tc>
      </w:tr>
      <w:tr w:rsidR="007E4A31" w:rsidRPr="00B07320" w14:paraId="78764EC7" w14:textId="77777777" w:rsidTr="009647DE">
        <w:tc>
          <w:tcPr>
            <w:tcW w:w="484" w:type="dxa"/>
            <w:vAlign w:val="center"/>
          </w:tcPr>
          <w:p w14:paraId="60A3B8F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96</w:t>
            </w:r>
          </w:p>
        </w:tc>
        <w:tc>
          <w:tcPr>
            <w:tcW w:w="1964" w:type="dxa"/>
            <w:vAlign w:val="center"/>
          </w:tcPr>
          <w:p w14:paraId="03FC00C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Eufaula</w:t>
            </w:r>
          </w:p>
        </w:tc>
        <w:tc>
          <w:tcPr>
            <w:tcW w:w="1620" w:type="dxa"/>
            <w:vMerge/>
            <w:vAlign w:val="center"/>
          </w:tcPr>
          <w:p w14:paraId="75B771DD" w14:textId="77777777" w:rsidR="007E4A31" w:rsidRPr="00B07320" w:rsidRDefault="007E4A31" w:rsidP="005E6DC1">
            <w:pPr>
              <w:spacing w:before="40" w:after="40" w:line="240" w:lineRule="auto"/>
              <w:ind w:firstLine="0"/>
              <w:rPr>
                <w:sz w:val="16"/>
                <w:szCs w:val="16"/>
              </w:rPr>
            </w:pPr>
          </w:p>
        </w:tc>
        <w:tc>
          <w:tcPr>
            <w:tcW w:w="1170" w:type="dxa"/>
            <w:vAlign w:val="center"/>
          </w:tcPr>
          <w:p w14:paraId="199830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E92631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50F0CF3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90</w:t>
            </w:r>
          </w:p>
        </w:tc>
        <w:tc>
          <w:tcPr>
            <w:tcW w:w="1714" w:type="dxa"/>
            <w:vAlign w:val="center"/>
          </w:tcPr>
          <w:p w14:paraId="414B152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273.9</w:t>
            </w:r>
          </w:p>
        </w:tc>
      </w:tr>
      <w:tr w:rsidR="007E4A31" w:rsidRPr="00B07320" w14:paraId="3EA3FB41" w14:textId="77777777" w:rsidTr="009647DE">
        <w:tc>
          <w:tcPr>
            <w:tcW w:w="484" w:type="dxa"/>
            <w:vAlign w:val="center"/>
          </w:tcPr>
          <w:p w14:paraId="6DB9268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97</w:t>
            </w:r>
          </w:p>
        </w:tc>
        <w:tc>
          <w:tcPr>
            <w:tcW w:w="1964" w:type="dxa"/>
            <w:vAlign w:val="center"/>
          </w:tcPr>
          <w:p w14:paraId="7308A53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Fort Gibson</w:t>
            </w:r>
          </w:p>
        </w:tc>
        <w:tc>
          <w:tcPr>
            <w:tcW w:w="1620" w:type="dxa"/>
            <w:vMerge/>
            <w:vAlign w:val="center"/>
          </w:tcPr>
          <w:p w14:paraId="2DB83A61" w14:textId="77777777" w:rsidR="007E4A31" w:rsidRPr="00B07320" w:rsidRDefault="007E4A31" w:rsidP="005E6DC1">
            <w:pPr>
              <w:spacing w:before="40" w:after="40" w:line="240" w:lineRule="auto"/>
              <w:ind w:firstLine="0"/>
              <w:rPr>
                <w:sz w:val="16"/>
                <w:szCs w:val="16"/>
              </w:rPr>
            </w:pPr>
          </w:p>
        </w:tc>
        <w:tc>
          <w:tcPr>
            <w:tcW w:w="1170" w:type="dxa"/>
            <w:vAlign w:val="center"/>
          </w:tcPr>
          <w:p w14:paraId="0FA462A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306931C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EA67C7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44.8</w:t>
            </w:r>
          </w:p>
        </w:tc>
        <w:tc>
          <w:tcPr>
            <w:tcW w:w="1714" w:type="dxa"/>
            <w:vAlign w:val="center"/>
          </w:tcPr>
          <w:p w14:paraId="6402131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215.9</w:t>
            </w:r>
          </w:p>
        </w:tc>
      </w:tr>
      <w:tr w:rsidR="007E4A31" w:rsidRPr="00B07320" w14:paraId="7C732F46" w14:textId="77777777" w:rsidTr="009647DE">
        <w:tc>
          <w:tcPr>
            <w:tcW w:w="484" w:type="dxa"/>
            <w:vAlign w:val="center"/>
          </w:tcPr>
          <w:p w14:paraId="33EABD8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98</w:t>
            </w:r>
          </w:p>
        </w:tc>
        <w:tc>
          <w:tcPr>
            <w:tcW w:w="1964" w:type="dxa"/>
            <w:vAlign w:val="center"/>
          </w:tcPr>
          <w:p w14:paraId="4F76113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Keystone</w:t>
            </w:r>
          </w:p>
        </w:tc>
        <w:tc>
          <w:tcPr>
            <w:tcW w:w="1620" w:type="dxa"/>
            <w:vMerge/>
            <w:vAlign w:val="center"/>
          </w:tcPr>
          <w:p w14:paraId="7F7EC8F6" w14:textId="77777777" w:rsidR="007E4A31" w:rsidRPr="00B07320" w:rsidRDefault="007E4A31" w:rsidP="005E6DC1">
            <w:pPr>
              <w:spacing w:before="40" w:after="40" w:line="240" w:lineRule="auto"/>
              <w:ind w:firstLine="0"/>
              <w:rPr>
                <w:sz w:val="16"/>
                <w:szCs w:val="16"/>
              </w:rPr>
            </w:pPr>
          </w:p>
        </w:tc>
        <w:tc>
          <w:tcPr>
            <w:tcW w:w="1170" w:type="dxa"/>
            <w:vAlign w:val="center"/>
          </w:tcPr>
          <w:p w14:paraId="3DF073B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C94E29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06C4A46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70</w:t>
            </w:r>
          </w:p>
        </w:tc>
        <w:tc>
          <w:tcPr>
            <w:tcW w:w="1714" w:type="dxa"/>
            <w:vAlign w:val="center"/>
          </w:tcPr>
          <w:p w14:paraId="40E3C11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267.8</w:t>
            </w:r>
          </w:p>
        </w:tc>
      </w:tr>
      <w:tr w:rsidR="007E4A31" w:rsidRPr="00B07320" w14:paraId="1E59DB40" w14:textId="77777777" w:rsidTr="009647DE">
        <w:tc>
          <w:tcPr>
            <w:tcW w:w="484" w:type="dxa"/>
            <w:vAlign w:val="center"/>
          </w:tcPr>
          <w:p w14:paraId="69E978C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99</w:t>
            </w:r>
          </w:p>
        </w:tc>
        <w:tc>
          <w:tcPr>
            <w:tcW w:w="1964" w:type="dxa"/>
            <w:vAlign w:val="center"/>
          </w:tcPr>
          <w:p w14:paraId="3CCC51B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Ozark</w:t>
            </w:r>
          </w:p>
        </w:tc>
        <w:tc>
          <w:tcPr>
            <w:tcW w:w="1620" w:type="dxa"/>
            <w:vMerge/>
            <w:vAlign w:val="center"/>
          </w:tcPr>
          <w:p w14:paraId="05680CB6" w14:textId="77777777" w:rsidR="007E4A31" w:rsidRPr="00B07320" w:rsidRDefault="007E4A31" w:rsidP="005E6DC1">
            <w:pPr>
              <w:spacing w:before="40" w:after="40" w:line="240" w:lineRule="auto"/>
              <w:ind w:firstLine="0"/>
              <w:rPr>
                <w:sz w:val="16"/>
                <w:szCs w:val="16"/>
              </w:rPr>
            </w:pPr>
          </w:p>
        </w:tc>
        <w:tc>
          <w:tcPr>
            <w:tcW w:w="1170" w:type="dxa"/>
            <w:vAlign w:val="center"/>
          </w:tcPr>
          <w:p w14:paraId="03BC682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6DF559D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8838E1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100</w:t>
            </w:r>
          </w:p>
        </w:tc>
        <w:tc>
          <w:tcPr>
            <w:tcW w:w="1714" w:type="dxa"/>
            <w:vAlign w:val="center"/>
          </w:tcPr>
          <w:p w14:paraId="69EF59ED"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255.0</w:t>
            </w:r>
          </w:p>
        </w:tc>
      </w:tr>
      <w:tr w:rsidR="007E4A31" w:rsidRPr="00B07320" w14:paraId="747FFF7F" w14:textId="77777777" w:rsidTr="009647DE">
        <w:tc>
          <w:tcPr>
            <w:tcW w:w="484" w:type="dxa"/>
            <w:vAlign w:val="center"/>
          </w:tcPr>
          <w:p w14:paraId="783CED4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100</w:t>
            </w:r>
          </w:p>
        </w:tc>
        <w:tc>
          <w:tcPr>
            <w:tcW w:w="1964" w:type="dxa"/>
            <w:vAlign w:val="center"/>
          </w:tcPr>
          <w:p w14:paraId="5467C47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Robert S Kerr</w:t>
            </w:r>
          </w:p>
        </w:tc>
        <w:tc>
          <w:tcPr>
            <w:tcW w:w="1620" w:type="dxa"/>
            <w:vMerge/>
            <w:vAlign w:val="center"/>
          </w:tcPr>
          <w:p w14:paraId="2BE9C774" w14:textId="77777777" w:rsidR="007E4A31" w:rsidRPr="00B07320" w:rsidRDefault="007E4A31" w:rsidP="005E6DC1">
            <w:pPr>
              <w:spacing w:before="40" w:after="40" w:line="240" w:lineRule="auto"/>
              <w:ind w:firstLine="0"/>
              <w:rPr>
                <w:sz w:val="16"/>
                <w:szCs w:val="16"/>
              </w:rPr>
            </w:pPr>
          </w:p>
        </w:tc>
        <w:tc>
          <w:tcPr>
            <w:tcW w:w="1170" w:type="dxa"/>
            <w:vAlign w:val="center"/>
          </w:tcPr>
          <w:p w14:paraId="4295710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A1DE2B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790A4F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110</w:t>
            </w:r>
          </w:p>
        </w:tc>
        <w:tc>
          <w:tcPr>
            <w:tcW w:w="1714" w:type="dxa"/>
            <w:vAlign w:val="center"/>
          </w:tcPr>
          <w:p w14:paraId="33162B1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555.7</w:t>
            </w:r>
          </w:p>
        </w:tc>
      </w:tr>
      <w:tr w:rsidR="007E4A31" w:rsidRPr="00B07320" w14:paraId="07C4FC84" w14:textId="77777777" w:rsidTr="009647DE">
        <w:tc>
          <w:tcPr>
            <w:tcW w:w="484" w:type="dxa"/>
            <w:vAlign w:val="center"/>
          </w:tcPr>
          <w:p w14:paraId="6D79ABC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101</w:t>
            </w:r>
          </w:p>
        </w:tc>
        <w:tc>
          <w:tcPr>
            <w:tcW w:w="1964" w:type="dxa"/>
            <w:vAlign w:val="center"/>
          </w:tcPr>
          <w:p w14:paraId="6FC0399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Tenkiller Ferry</w:t>
            </w:r>
          </w:p>
        </w:tc>
        <w:tc>
          <w:tcPr>
            <w:tcW w:w="1620" w:type="dxa"/>
            <w:vMerge/>
            <w:vAlign w:val="center"/>
          </w:tcPr>
          <w:p w14:paraId="3C6DAA79" w14:textId="77777777" w:rsidR="007E4A31" w:rsidRPr="00B07320" w:rsidRDefault="007E4A31" w:rsidP="005E6DC1">
            <w:pPr>
              <w:spacing w:before="40" w:after="40" w:line="240" w:lineRule="auto"/>
              <w:ind w:firstLine="0"/>
              <w:rPr>
                <w:sz w:val="16"/>
                <w:szCs w:val="16"/>
              </w:rPr>
            </w:pPr>
          </w:p>
        </w:tc>
        <w:tc>
          <w:tcPr>
            <w:tcW w:w="1170" w:type="dxa"/>
            <w:vAlign w:val="center"/>
          </w:tcPr>
          <w:p w14:paraId="5631B75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C53D7E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78E9B7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39</w:t>
            </w:r>
          </w:p>
        </w:tc>
        <w:tc>
          <w:tcPr>
            <w:tcW w:w="1714" w:type="dxa"/>
            <w:vAlign w:val="center"/>
          </w:tcPr>
          <w:p w14:paraId="44EE5F2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120.1</w:t>
            </w:r>
          </w:p>
        </w:tc>
      </w:tr>
      <w:tr w:rsidR="007E4A31" w:rsidRPr="00B07320" w14:paraId="1FDFF71F" w14:textId="77777777" w:rsidTr="009647DE">
        <w:tc>
          <w:tcPr>
            <w:tcW w:w="484" w:type="dxa"/>
            <w:vAlign w:val="center"/>
          </w:tcPr>
          <w:p w14:paraId="2B1800E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102</w:t>
            </w:r>
          </w:p>
        </w:tc>
        <w:tc>
          <w:tcPr>
            <w:tcW w:w="1964" w:type="dxa"/>
            <w:vAlign w:val="center"/>
          </w:tcPr>
          <w:p w14:paraId="52E7C3E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Webbers Falls</w:t>
            </w:r>
          </w:p>
        </w:tc>
        <w:tc>
          <w:tcPr>
            <w:tcW w:w="1620" w:type="dxa"/>
            <w:vMerge/>
            <w:vAlign w:val="center"/>
          </w:tcPr>
          <w:p w14:paraId="20529BC1" w14:textId="77777777" w:rsidR="007E4A31" w:rsidRPr="00B07320" w:rsidRDefault="007E4A31" w:rsidP="005E6DC1">
            <w:pPr>
              <w:spacing w:before="40" w:after="40" w:line="240" w:lineRule="auto"/>
              <w:ind w:firstLine="0"/>
              <w:rPr>
                <w:sz w:val="16"/>
                <w:szCs w:val="16"/>
              </w:rPr>
            </w:pPr>
          </w:p>
        </w:tc>
        <w:tc>
          <w:tcPr>
            <w:tcW w:w="1170" w:type="dxa"/>
            <w:vAlign w:val="center"/>
          </w:tcPr>
          <w:p w14:paraId="1C2E0F1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2E06706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812E0F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70</w:t>
            </w:r>
          </w:p>
        </w:tc>
        <w:tc>
          <w:tcPr>
            <w:tcW w:w="1714" w:type="dxa"/>
            <w:vAlign w:val="center"/>
          </w:tcPr>
          <w:p w14:paraId="174DD48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196.1</w:t>
            </w:r>
          </w:p>
        </w:tc>
      </w:tr>
      <w:tr w:rsidR="007E4A31" w:rsidRPr="00B07320" w14:paraId="35E533B7" w14:textId="77777777" w:rsidTr="009647DE">
        <w:tc>
          <w:tcPr>
            <w:tcW w:w="484" w:type="dxa"/>
            <w:tcBorders>
              <w:bottom w:val="single" w:sz="12" w:space="0" w:color="000000"/>
            </w:tcBorders>
            <w:vAlign w:val="center"/>
          </w:tcPr>
          <w:p w14:paraId="6E18283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103</w:t>
            </w:r>
          </w:p>
        </w:tc>
        <w:tc>
          <w:tcPr>
            <w:tcW w:w="1964" w:type="dxa"/>
            <w:tcBorders>
              <w:bottom w:val="single" w:sz="12" w:space="0" w:color="000000"/>
            </w:tcBorders>
            <w:vAlign w:val="center"/>
          </w:tcPr>
          <w:p w14:paraId="2FCAC807" w14:textId="40E3D203" w:rsidR="007E4A31" w:rsidRPr="00B07320" w:rsidRDefault="007E4A31" w:rsidP="005E6DC1">
            <w:pPr>
              <w:spacing w:before="40" w:after="40" w:line="240" w:lineRule="auto"/>
              <w:ind w:firstLine="0"/>
              <w:rPr>
                <w:rFonts w:eastAsia="Times New Roman"/>
                <w:b/>
                <w:sz w:val="16"/>
                <w:szCs w:val="16"/>
              </w:rPr>
            </w:pPr>
            <w:r w:rsidRPr="00B07320">
              <w:rPr>
                <w:sz w:val="16"/>
                <w:szCs w:val="16"/>
              </w:rPr>
              <w:t>Broken Bow</w:t>
            </w:r>
            <w:r w:rsidR="000024B6" w:rsidRPr="000024B6">
              <w:rPr>
                <w:i/>
                <w:iCs/>
                <w:sz w:val="16"/>
                <w:szCs w:val="16"/>
                <w:vertAlign w:val="superscript"/>
              </w:rPr>
              <w:t>d</w:t>
            </w:r>
          </w:p>
        </w:tc>
        <w:tc>
          <w:tcPr>
            <w:tcW w:w="1620" w:type="dxa"/>
            <w:vMerge/>
            <w:tcBorders>
              <w:bottom w:val="single" w:sz="12" w:space="0" w:color="000000"/>
            </w:tcBorders>
            <w:vAlign w:val="center"/>
          </w:tcPr>
          <w:p w14:paraId="1168817F"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713CAD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bottom w:val="single" w:sz="12" w:space="0" w:color="000000"/>
            </w:tcBorders>
            <w:vAlign w:val="center"/>
          </w:tcPr>
          <w:p w14:paraId="3FD98C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17F4B0B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100</w:t>
            </w:r>
          </w:p>
        </w:tc>
        <w:tc>
          <w:tcPr>
            <w:tcW w:w="1714" w:type="dxa"/>
            <w:tcBorders>
              <w:bottom w:val="single" w:sz="12" w:space="0" w:color="000000"/>
            </w:tcBorders>
            <w:vAlign w:val="center"/>
          </w:tcPr>
          <w:p w14:paraId="212C271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154.5</w:t>
            </w:r>
          </w:p>
        </w:tc>
      </w:tr>
      <w:tr w:rsidR="007E4A31" w:rsidRPr="0090360E" w14:paraId="068CC20B" w14:textId="77777777" w:rsidTr="009647DE">
        <w:tc>
          <w:tcPr>
            <w:tcW w:w="9576" w:type="dxa"/>
            <w:gridSpan w:val="7"/>
            <w:tcBorders>
              <w:top w:val="single" w:sz="12" w:space="0" w:color="000000"/>
              <w:bottom w:val="single" w:sz="4" w:space="0" w:color="000000"/>
            </w:tcBorders>
            <w:vAlign w:val="center"/>
          </w:tcPr>
          <w:p w14:paraId="34FDC574" w14:textId="25AA8245" w:rsidR="007E4A31" w:rsidRPr="00E446C9" w:rsidRDefault="007E4A31" w:rsidP="005E6DC1">
            <w:pPr>
              <w:spacing w:before="40" w:after="40" w:line="240" w:lineRule="auto"/>
              <w:ind w:firstLine="0"/>
              <w:rPr>
                <w:rFonts w:eastAsia="Times New Roman"/>
                <w:b/>
                <w:sz w:val="16"/>
                <w:szCs w:val="16"/>
                <w:lang w:val="es-ES"/>
              </w:rPr>
            </w:pPr>
            <w:r w:rsidRPr="00E446C9">
              <w:rPr>
                <w:b/>
                <w:i/>
                <w:sz w:val="16"/>
                <w:szCs w:val="16"/>
                <w:lang w:val="es-ES"/>
              </w:rPr>
              <w:t>SWPA-3 Ouachita, Red</w:t>
            </w:r>
            <w:r w:rsidR="00A37431">
              <w:rPr>
                <w:b/>
                <w:i/>
                <w:sz w:val="16"/>
                <w:szCs w:val="16"/>
                <w:lang w:val="es-ES"/>
              </w:rPr>
              <w:t>,</w:t>
            </w:r>
            <w:r w:rsidRPr="00E446C9">
              <w:rPr>
                <w:b/>
                <w:i/>
                <w:sz w:val="16"/>
                <w:szCs w:val="16"/>
                <w:lang w:val="es-ES"/>
              </w:rPr>
              <w:t xml:space="preserve"> and Brazos</w:t>
            </w:r>
          </w:p>
        </w:tc>
      </w:tr>
      <w:tr w:rsidR="007E4A31" w:rsidRPr="00B07320" w14:paraId="1CD367CD" w14:textId="77777777" w:rsidTr="009647DE">
        <w:tc>
          <w:tcPr>
            <w:tcW w:w="484" w:type="dxa"/>
            <w:tcBorders>
              <w:top w:val="single" w:sz="4" w:space="0" w:color="000000"/>
              <w:bottom w:val="single" w:sz="4" w:space="0" w:color="000000"/>
            </w:tcBorders>
            <w:vAlign w:val="center"/>
          </w:tcPr>
          <w:p w14:paraId="60FCDDB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104</w:t>
            </w:r>
          </w:p>
        </w:tc>
        <w:tc>
          <w:tcPr>
            <w:tcW w:w="1964" w:type="dxa"/>
            <w:tcBorders>
              <w:top w:val="single" w:sz="4" w:space="0" w:color="000000"/>
              <w:bottom w:val="single" w:sz="4" w:space="0" w:color="000000"/>
            </w:tcBorders>
            <w:vAlign w:val="center"/>
          </w:tcPr>
          <w:p w14:paraId="5FD368E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Blakely Mountain</w:t>
            </w:r>
          </w:p>
        </w:tc>
        <w:tc>
          <w:tcPr>
            <w:tcW w:w="1620" w:type="dxa"/>
            <w:vMerge w:val="restart"/>
            <w:tcBorders>
              <w:top w:val="single" w:sz="4" w:space="0" w:color="000000"/>
              <w:bottom w:val="single" w:sz="4" w:space="0" w:color="000000"/>
            </w:tcBorders>
            <w:vAlign w:val="center"/>
          </w:tcPr>
          <w:p w14:paraId="4C6C96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Southwestern financially integrated projects</w:t>
            </w:r>
          </w:p>
        </w:tc>
        <w:tc>
          <w:tcPr>
            <w:tcW w:w="1170" w:type="dxa"/>
            <w:tcBorders>
              <w:top w:val="single" w:sz="4" w:space="0" w:color="000000"/>
              <w:bottom w:val="single" w:sz="4" w:space="0" w:color="000000"/>
            </w:tcBorders>
            <w:vAlign w:val="center"/>
          </w:tcPr>
          <w:p w14:paraId="7CE5D0B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785E50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6B0663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75</w:t>
            </w:r>
          </w:p>
        </w:tc>
        <w:tc>
          <w:tcPr>
            <w:tcW w:w="1714" w:type="dxa"/>
            <w:tcBorders>
              <w:top w:val="single" w:sz="4" w:space="0" w:color="000000"/>
              <w:bottom w:val="single" w:sz="4" w:space="0" w:color="000000"/>
            </w:tcBorders>
            <w:vAlign w:val="center"/>
          </w:tcPr>
          <w:p w14:paraId="384DD439"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174.3</w:t>
            </w:r>
          </w:p>
        </w:tc>
      </w:tr>
      <w:tr w:rsidR="007E4A31" w:rsidRPr="00B07320" w14:paraId="73D4AF8D" w14:textId="77777777" w:rsidTr="009647DE">
        <w:tc>
          <w:tcPr>
            <w:tcW w:w="484" w:type="dxa"/>
            <w:vMerge w:val="restart"/>
            <w:tcBorders>
              <w:top w:val="single" w:sz="4" w:space="0" w:color="000000"/>
              <w:bottom w:val="single" w:sz="4" w:space="0" w:color="000000"/>
            </w:tcBorders>
            <w:vAlign w:val="center"/>
          </w:tcPr>
          <w:p w14:paraId="7541D5D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105</w:t>
            </w:r>
          </w:p>
        </w:tc>
        <w:tc>
          <w:tcPr>
            <w:tcW w:w="1964" w:type="dxa"/>
            <w:vMerge w:val="restart"/>
            <w:tcBorders>
              <w:top w:val="single" w:sz="4" w:space="0" w:color="000000"/>
              <w:bottom w:val="single" w:sz="4" w:space="0" w:color="000000"/>
            </w:tcBorders>
            <w:vAlign w:val="center"/>
          </w:tcPr>
          <w:p w14:paraId="79B4DBE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DeGray</w:t>
            </w:r>
          </w:p>
        </w:tc>
        <w:tc>
          <w:tcPr>
            <w:tcW w:w="1620" w:type="dxa"/>
            <w:vMerge/>
            <w:tcBorders>
              <w:top w:val="single" w:sz="4" w:space="0" w:color="000000"/>
              <w:bottom w:val="single" w:sz="4" w:space="0" w:color="000000"/>
            </w:tcBorders>
            <w:vAlign w:val="center"/>
          </w:tcPr>
          <w:p w14:paraId="2A648462" w14:textId="77777777" w:rsidR="007E4A31" w:rsidRPr="00B07320" w:rsidRDefault="007E4A31" w:rsidP="005E6DC1">
            <w:pPr>
              <w:spacing w:before="40" w:after="40" w:line="240" w:lineRule="auto"/>
              <w:ind w:firstLine="0"/>
              <w:rPr>
                <w:sz w:val="16"/>
                <w:szCs w:val="16"/>
              </w:rPr>
            </w:pPr>
          </w:p>
        </w:tc>
        <w:tc>
          <w:tcPr>
            <w:tcW w:w="1170" w:type="dxa"/>
            <w:vMerge w:val="restart"/>
            <w:tcBorders>
              <w:top w:val="single" w:sz="4" w:space="0" w:color="000000"/>
              <w:bottom w:val="single" w:sz="4" w:space="0" w:color="000000"/>
            </w:tcBorders>
            <w:vAlign w:val="center"/>
          </w:tcPr>
          <w:p w14:paraId="6D37733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034D3B5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44E9369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40</w:t>
            </w:r>
          </w:p>
        </w:tc>
        <w:tc>
          <w:tcPr>
            <w:tcW w:w="1714" w:type="dxa"/>
            <w:tcBorders>
              <w:top w:val="single" w:sz="4" w:space="0" w:color="000000"/>
              <w:bottom w:val="single" w:sz="4" w:space="0" w:color="000000"/>
            </w:tcBorders>
            <w:vAlign w:val="center"/>
          </w:tcPr>
          <w:p w14:paraId="41E11AF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81.0</w:t>
            </w:r>
          </w:p>
        </w:tc>
      </w:tr>
      <w:tr w:rsidR="007E4A31" w:rsidRPr="00B07320" w14:paraId="2567824A" w14:textId="77777777" w:rsidTr="009647DE">
        <w:tc>
          <w:tcPr>
            <w:tcW w:w="484" w:type="dxa"/>
            <w:vMerge/>
            <w:tcBorders>
              <w:top w:val="single" w:sz="4" w:space="0" w:color="000000"/>
              <w:bottom w:val="single" w:sz="4" w:space="0" w:color="000000"/>
            </w:tcBorders>
            <w:vAlign w:val="center"/>
          </w:tcPr>
          <w:p w14:paraId="415FA00B" w14:textId="77777777" w:rsidR="007E4A31" w:rsidRPr="00B07320" w:rsidRDefault="007E4A31" w:rsidP="005E6DC1">
            <w:pPr>
              <w:spacing w:before="40" w:after="40" w:line="240" w:lineRule="auto"/>
              <w:ind w:firstLine="0"/>
              <w:rPr>
                <w:sz w:val="16"/>
                <w:szCs w:val="16"/>
              </w:rPr>
            </w:pPr>
          </w:p>
        </w:tc>
        <w:tc>
          <w:tcPr>
            <w:tcW w:w="1964" w:type="dxa"/>
            <w:vMerge/>
            <w:tcBorders>
              <w:top w:val="single" w:sz="4" w:space="0" w:color="000000"/>
              <w:bottom w:val="single" w:sz="4" w:space="0" w:color="000000"/>
            </w:tcBorders>
            <w:vAlign w:val="center"/>
          </w:tcPr>
          <w:p w14:paraId="0C8BAE86" w14:textId="77777777" w:rsidR="007E4A31" w:rsidRPr="00B07320" w:rsidRDefault="007E4A31" w:rsidP="005E6DC1">
            <w:pPr>
              <w:spacing w:before="40" w:after="40" w:line="240" w:lineRule="auto"/>
              <w:ind w:firstLine="0"/>
              <w:rPr>
                <w:sz w:val="16"/>
                <w:szCs w:val="16"/>
              </w:rPr>
            </w:pPr>
          </w:p>
        </w:tc>
        <w:tc>
          <w:tcPr>
            <w:tcW w:w="1620" w:type="dxa"/>
            <w:vMerge/>
            <w:tcBorders>
              <w:top w:val="single" w:sz="4" w:space="0" w:color="000000"/>
              <w:bottom w:val="single" w:sz="4" w:space="0" w:color="000000"/>
            </w:tcBorders>
            <w:vAlign w:val="center"/>
          </w:tcPr>
          <w:p w14:paraId="65B30D10" w14:textId="77777777" w:rsidR="007E4A31" w:rsidRPr="00B07320" w:rsidRDefault="007E4A31" w:rsidP="005E6DC1">
            <w:pPr>
              <w:spacing w:before="40" w:after="40" w:line="240" w:lineRule="auto"/>
              <w:ind w:firstLine="0"/>
              <w:rPr>
                <w:sz w:val="16"/>
                <w:szCs w:val="16"/>
              </w:rPr>
            </w:pPr>
          </w:p>
        </w:tc>
        <w:tc>
          <w:tcPr>
            <w:tcW w:w="1170" w:type="dxa"/>
            <w:vMerge/>
            <w:tcBorders>
              <w:top w:val="single" w:sz="4" w:space="0" w:color="000000"/>
              <w:bottom w:val="single" w:sz="4" w:space="0" w:color="000000"/>
            </w:tcBorders>
            <w:vAlign w:val="center"/>
          </w:tcPr>
          <w:p w14:paraId="21091C78" w14:textId="77777777" w:rsidR="007E4A31" w:rsidRPr="00B07320" w:rsidRDefault="007E4A31" w:rsidP="005E6DC1">
            <w:pPr>
              <w:spacing w:before="40" w:after="40" w:line="240" w:lineRule="auto"/>
              <w:ind w:firstLine="0"/>
              <w:rPr>
                <w:sz w:val="16"/>
                <w:szCs w:val="16"/>
              </w:rPr>
            </w:pPr>
          </w:p>
        </w:tc>
        <w:tc>
          <w:tcPr>
            <w:tcW w:w="1710" w:type="dxa"/>
            <w:tcBorders>
              <w:top w:val="single" w:sz="4" w:space="0" w:color="000000"/>
              <w:bottom w:val="single" w:sz="4" w:space="0" w:color="000000"/>
            </w:tcBorders>
            <w:vAlign w:val="center"/>
          </w:tcPr>
          <w:p w14:paraId="7595F28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 (Reversible)</w:t>
            </w:r>
          </w:p>
        </w:tc>
        <w:tc>
          <w:tcPr>
            <w:tcW w:w="914" w:type="dxa"/>
            <w:tcBorders>
              <w:top w:val="single" w:sz="4" w:space="0" w:color="000000"/>
              <w:bottom w:val="single" w:sz="4" w:space="0" w:color="000000"/>
            </w:tcBorders>
            <w:vAlign w:val="center"/>
          </w:tcPr>
          <w:p w14:paraId="1485CAB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28</w:t>
            </w:r>
          </w:p>
        </w:tc>
        <w:tc>
          <w:tcPr>
            <w:tcW w:w="1714" w:type="dxa"/>
            <w:tcBorders>
              <w:top w:val="single" w:sz="4" w:space="0" w:color="000000"/>
              <w:bottom w:val="single" w:sz="4" w:space="0" w:color="000000"/>
            </w:tcBorders>
            <w:vAlign w:val="center"/>
          </w:tcPr>
          <w:p w14:paraId="6BBF4FDB" w14:textId="77777777" w:rsidR="007E4A31" w:rsidRPr="00355AE6" w:rsidRDefault="007E4A31" w:rsidP="005E6DC1">
            <w:pPr>
              <w:spacing w:before="40" w:after="40" w:line="240" w:lineRule="auto"/>
              <w:ind w:firstLine="0"/>
              <w:rPr>
                <w:b/>
                <w:sz w:val="16"/>
                <w:szCs w:val="16"/>
                <w:lang w:eastAsia="zh-TW"/>
              </w:rPr>
            </w:pPr>
            <w:r>
              <w:rPr>
                <w:color w:val="000000"/>
                <w:sz w:val="16"/>
                <w:szCs w:val="16"/>
              </w:rPr>
              <w:t> </w:t>
            </w:r>
          </w:p>
        </w:tc>
      </w:tr>
      <w:tr w:rsidR="007E4A31" w:rsidRPr="00B07320" w14:paraId="03204566" w14:textId="77777777" w:rsidTr="009647DE">
        <w:tc>
          <w:tcPr>
            <w:tcW w:w="484" w:type="dxa"/>
            <w:tcBorders>
              <w:top w:val="single" w:sz="4" w:space="0" w:color="000000"/>
              <w:bottom w:val="single" w:sz="4" w:space="0" w:color="000000"/>
            </w:tcBorders>
            <w:vAlign w:val="center"/>
          </w:tcPr>
          <w:p w14:paraId="0EFE22E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106</w:t>
            </w:r>
          </w:p>
        </w:tc>
        <w:tc>
          <w:tcPr>
            <w:tcW w:w="1964" w:type="dxa"/>
            <w:tcBorders>
              <w:top w:val="single" w:sz="4" w:space="0" w:color="000000"/>
              <w:bottom w:val="single" w:sz="4" w:space="0" w:color="000000"/>
            </w:tcBorders>
            <w:vAlign w:val="center"/>
          </w:tcPr>
          <w:p w14:paraId="468EDA5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Denison</w:t>
            </w:r>
          </w:p>
        </w:tc>
        <w:tc>
          <w:tcPr>
            <w:tcW w:w="1620" w:type="dxa"/>
            <w:vMerge/>
            <w:tcBorders>
              <w:top w:val="single" w:sz="4" w:space="0" w:color="000000"/>
              <w:bottom w:val="single" w:sz="4" w:space="0" w:color="000000"/>
            </w:tcBorders>
            <w:vAlign w:val="center"/>
          </w:tcPr>
          <w:p w14:paraId="715AA87F"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3DFF042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7B4E205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F3C3000"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101.6</w:t>
            </w:r>
          </w:p>
        </w:tc>
        <w:tc>
          <w:tcPr>
            <w:tcW w:w="1714" w:type="dxa"/>
            <w:tcBorders>
              <w:top w:val="single" w:sz="4" w:space="0" w:color="000000"/>
              <w:bottom w:val="single" w:sz="4" w:space="0" w:color="000000"/>
            </w:tcBorders>
            <w:vAlign w:val="center"/>
          </w:tcPr>
          <w:p w14:paraId="430A746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246.5</w:t>
            </w:r>
          </w:p>
        </w:tc>
      </w:tr>
      <w:tr w:rsidR="007E4A31" w:rsidRPr="00B07320" w14:paraId="0FE32B88" w14:textId="77777777" w:rsidTr="009647DE">
        <w:tc>
          <w:tcPr>
            <w:tcW w:w="484" w:type="dxa"/>
            <w:tcBorders>
              <w:top w:val="single" w:sz="4" w:space="0" w:color="000000"/>
              <w:bottom w:val="single" w:sz="4" w:space="0" w:color="000000"/>
            </w:tcBorders>
            <w:vAlign w:val="center"/>
          </w:tcPr>
          <w:p w14:paraId="0813137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107</w:t>
            </w:r>
          </w:p>
        </w:tc>
        <w:tc>
          <w:tcPr>
            <w:tcW w:w="1964" w:type="dxa"/>
            <w:tcBorders>
              <w:top w:val="single" w:sz="4" w:space="0" w:color="000000"/>
              <w:bottom w:val="single" w:sz="4" w:space="0" w:color="000000"/>
            </w:tcBorders>
            <w:vAlign w:val="center"/>
          </w:tcPr>
          <w:p w14:paraId="5EDE01D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Narrows</w:t>
            </w:r>
          </w:p>
        </w:tc>
        <w:tc>
          <w:tcPr>
            <w:tcW w:w="1620" w:type="dxa"/>
            <w:vMerge/>
            <w:tcBorders>
              <w:top w:val="single" w:sz="4" w:space="0" w:color="000000"/>
              <w:bottom w:val="single" w:sz="4" w:space="0" w:color="000000"/>
            </w:tcBorders>
            <w:vAlign w:val="center"/>
          </w:tcPr>
          <w:p w14:paraId="05FA5904"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0359B8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539DA42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61AE3E1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25.5</w:t>
            </w:r>
          </w:p>
        </w:tc>
        <w:tc>
          <w:tcPr>
            <w:tcW w:w="1714" w:type="dxa"/>
            <w:tcBorders>
              <w:top w:val="single" w:sz="4" w:space="0" w:color="000000"/>
              <w:bottom w:val="single" w:sz="4" w:space="0" w:color="000000"/>
            </w:tcBorders>
            <w:vAlign w:val="center"/>
          </w:tcPr>
          <w:p w14:paraId="749193E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38.1</w:t>
            </w:r>
          </w:p>
        </w:tc>
      </w:tr>
      <w:tr w:rsidR="007E4A31" w:rsidRPr="00B07320" w14:paraId="46CC0D06" w14:textId="77777777" w:rsidTr="009647DE">
        <w:tc>
          <w:tcPr>
            <w:tcW w:w="484" w:type="dxa"/>
            <w:tcBorders>
              <w:top w:val="single" w:sz="4" w:space="0" w:color="000000"/>
              <w:bottom w:val="single" w:sz="12" w:space="0" w:color="000000"/>
            </w:tcBorders>
            <w:vAlign w:val="center"/>
          </w:tcPr>
          <w:p w14:paraId="1909BF9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108</w:t>
            </w:r>
          </w:p>
        </w:tc>
        <w:tc>
          <w:tcPr>
            <w:tcW w:w="1964" w:type="dxa"/>
            <w:tcBorders>
              <w:top w:val="single" w:sz="4" w:space="0" w:color="000000"/>
              <w:bottom w:val="single" w:sz="12" w:space="0" w:color="000000"/>
            </w:tcBorders>
            <w:vAlign w:val="center"/>
          </w:tcPr>
          <w:p w14:paraId="2607229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Whitney</w:t>
            </w:r>
          </w:p>
        </w:tc>
        <w:tc>
          <w:tcPr>
            <w:tcW w:w="1620" w:type="dxa"/>
            <w:vMerge/>
            <w:tcBorders>
              <w:top w:val="single" w:sz="4" w:space="0" w:color="000000"/>
              <w:bottom w:val="single" w:sz="12" w:space="0" w:color="000000"/>
            </w:tcBorders>
            <w:vAlign w:val="center"/>
          </w:tcPr>
          <w:p w14:paraId="7AC72A42"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45AD2EA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1FE355C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6F5E3AA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41.8</w:t>
            </w:r>
          </w:p>
        </w:tc>
        <w:tc>
          <w:tcPr>
            <w:tcW w:w="1714" w:type="dxa"/>
            <w:tcBorders>
              <w:top w:val="single" w:sz="4" w:space="0" w:color="000000"/>
              <w:bottom w:val="single" w:sz="12" w:space="0" w:color="000000"/>
            </w:tcBorders>
            <w:vAlign w:val="center"/>
          </w:tcPr>
          <w:p w14:paraId="0CFC516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50.5</w:t>
            </w:r>
          </w:p>
        </w:tc>
      </w:tr>
      <w:tr w:rsidR="007E4A31" w:rsidRPr="00B07320" w14:paraId="69165E14" w14:textId="77777777" w:rsidTr="009647DE">
        <w:tc>
          <w:tcPr>
            <w:tcW w:w="9576" w:type="dxa"/>
            <w:gridSpan w:val="7"/>
            <w:tcBorders>
              <w:top w:val="single" w:sz="12" w:space="0" w:color="000000"/>
            </w:tcBorders>
            <w:vAlign w:val="center"/>
          </w:tcPr>
          <w:p w14:paraId="1D1C7DE4" w14:textId="77777777" w:rsidR="007E4A31" w:rsidRPr="00B07320" w:rsidRDefault="007E4A31" w:rsidP="005E6DC1">
            <w:pPr>
              <w:keepNext/>
              <w:spacing w:before="40" w:after="40" w:line="240" w:lineRule="auto"/>
              <w:ind w:firstLine="0"/>
              <w:rPr>
                <w:rFonts w:eastAsia="Times New Roman"/>
                <w:b/>
                <w:sz w:val="16"/>
                <w:szCs w:val="16"/>
              </w:rPr>
            </w:pPr>
            <w:r w:rsidRPr="008040CB">
              <w:rPr>
                <w:b/>
                <w:i/>
                <w:sz w:val="16"/>
                <w:szCs w:val="16"/>
              </w:rPr>
              <w:lastRenderedPageBreak/>
              <w:t xml:space="preserve">SWPA-4 </w:t>
            </w:r>
            <w:r w:rsidRPr="00B07320">
              <w:rPr>
                <w:b/>
                <w:i/>
                <w:sz w:val="16"/>
                <w:szCs w:val="16"/>
              </w:rPr>
              <w:t>Neches</w:t>
            </w:r>
          </w:p>
        </w:tc>
      </w:tr>
      <w:tr w:rsidR="007E4A31" w:rsidRPr="00B07320" w14:paraId="7BA64F04" w14:textId="77777777" w:rsidTr="009647DE">
        <w:tc>
          <w:tcPr>
            <w:tcW w:w="484" w:type="dxa"/>
            <w:vAlign w:val="center"/>
          </w:tcPr>
          <w:p w14:paraId="1A2425B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109</w:t>
            </w:r>
          </w:p>
        </w:tc>
        <w:tc>
          <w:tcPr>
            <w:tcW w:w="1964" w:type="dxa"/>
            <w:vAlign w:val="center"/>
          </w:tcPr>
          <w:p w14:paraId="77C6DDE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Robert D Willis</w:t>
            </w:r>
          </w:p>
        </w:tc>
        <w:tc>
          <w:tcPr>
            <w:tcW w:w="1620" w:type="dxa"/>
            <w:vMerge w:val="restart"/>
            <w:vAlign w:val="center"/>
          </w:tcPr>
          <w:p w14:paraId="233ACDC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Southwestern isolated projects</w:t>
            </w:r>
          </w:p>
        </w:tc>
        <w:tc>
          <w:tcPr>
            <w:tcW w:w="1170" w:type="dxa"/>
            <w:vAlign w:val="center"/>
          </w:tcPr>
          <w:p w14:paraId="21F4A78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1CCB3C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65198DD1"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w:t>
            </w:r>
          </w:p>
        </w:tc>
        <w:tc>
          <w:tcPr>
            <w:tcW w:w="1714" w:type="dxa"/>
            <w:vAlign w:val="center"/>
          </w:tcPr>
          <w:p w14:paraId="2062716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25.6</w:t>
            </w:r>
          </w:p>
        </w:tc>
      </w:tr>
      <w:tr w:rsidR="007E4A31" w:rsidRPr="00B07320" w14:paraId="17AD6509" w14:textId="77777777" w:rsidTr="009647DE">
        <w:tc>
          <w:tcPr>
            <w:tcW w:w="484" w:type="dxa"/>
            <w:tcBorders>
              <w:bottom w:val="single" w:sz="12" w:space="0" w:color="000000"/>
            </w:tcBorders>
            <w:vAlign w:val="center"/>
          </w:tcPr>
          <w:p w14:paraId="3632464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110</w:t>
            </w:r>
          </w:p>
        </w:tc>
        <w:tc>
          <w:tcPr>
            <w:tcW w:w="1964" w:type="dxa"/>
            <w:tcBorders>
              <w:bottom w:val="single" w:sz="12" w:space="0" w:color="000000"/>
            </w:tcBorders>
            <w:vAlign w:val="center"/>
          </w:tcPr>
          <w:p w14:paraId="41BF45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Sam Rayburn</w:t>
            </w:r>
          </w:p>
        </w:tc>
        <w:tc>
          <w:tcPr>
            <w:tcW w:w="1620" w:type="dxa"/>
            <w:vMerge/>
            <w:tcBorders>
              <w:bottom w:val="single" w:sz="12" w:space="0" w:color="000000"/>
            </w:tcBorders>
            <w:vAlign w:val="center"/>
          </w:tcPr>
          <w:p w14:paraId="61E75BD0"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03BA2D6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bottom w:val="single" w:sz="12" w:space="0" w:color="000000"/>
            </w:tcBorders>
            <w:vAlign w:val="center"/>
          </w:tcPr>
          <w:p w14:paraId="186D99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3FB5C43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52</w:t>
            </w:r>
          </w:p>
        </w:tc>
        <w:tc>
          <w:tcPr>
            <w:tcW w:w="1714" w:type="dxa"/>
            <w:tcBorders>
              <w:bottom w:val="single" w:sz="12" w:space="0" w:color="000000"/>
            </w:tcBorders>
            <w:vAlign w:val="center"/>
          </w:tcPr>
          <w:p w14:paraId="3B35BD5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119.8</w:t>
            </w:r>
          </w:p>
        </w:tc>
      </w:tr>
      <w:tr w:rsidR="007E4A31" w:rsidRPr="00B07320" w14:paraId="7C2869E4" w14:textId="77777777" w:rsidTr="009647DE">
        <w:tc>
          <w:tcPr>
            <w:tcW w:w="9576" w:type="dxa"/>
            <w:gridSpan w:val="7"/>
            <w:tcBorders>
              <w:top w:val="single" w:sz="12" w:space="0" w:color="000000"/>
              <w:bottom w:val="single" w:sz="4" w:space="0" w:color="000000"/>
            </w:tcBorders>
            <w:vAlign w:val="center"/>
          </w:tcPr>
          <w:p w14:paraId="7209C71C"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SEPA-1 Kerr-Philpot</w:t>
            </w:r>
          </w:p>
        </w:tc>
      </w:tr>
      <w:tr w:rsidR="007E4A31" w:rsidRPr="00B07320" w14:paraId="6B75A770" w14:textId="77777777" w:rsidTr="009647DE">
        <w:tc>
          <w:tcPr>
            <w:tcW w:w="484" w:type="dxa"/>
            <w:tcBorders>
              <w:top w:val="single" w:sz="4" w:space="0" w:color="000000"/>
              <w:bottom w:val="single" w:sz="4" w:space="0" w:color="000000"/>
            </w:tcBorders>
            <w:vAlign w:val="center"/>
          </w:tcPr>
          <w:p w14:paraId="35733F3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111</w:t>
            </w:r>
          </w:p>
        </w:tc>
        <w:tc>
          <w:tcPr>
            <w:tcW w:w="1964" w:type="dxa"/>
            <w:tcBorders>
              <w:top w:val="single" w:sz="4" w:space="0" w:color="000000"/>
              <w:bottom w:val="single" w:sz="4" w:space="0" w:color="000000"/>
            </w:tcBorders>
            <w:vAlign w:val="center"/>
          </w:tcPr>
          <w:p w14:paraId="214E31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John H Kerr</w:t>
            </w:r>
          </w:p>
        </w:tc>
        <w:tc>
          <w:tcPr>
            <w:tcW w:w="1620" w:type="dxa"/>
            <w:vMerge w:val="restart"/>
            <w:tcBorders>
              <w:top w:val="single" w:sz="4" w:space="0" w:color="000000"/>
              <w:bottom w:val="single" w:sz="4" w:space="0" w:color="000000"/>
            </w:tcBorders>
            <w:vAlign w:val="center"/>
          </w:tcPr>
          <w:p w14:paraId="4FD2838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Kerr-Philpot</w:t>
            </w:r>
          </w:p>
        </w:tc>
        <w:tc>
          <w:tcPr>
            <w:tcW w:w="1170" w:type="dxa"/>
            <w:tcBorders>
              <w:top w:val="single" w:sz="4" w:space="0" w:color="000000"/>
              <w:bottom w:val="single" w:sz="4" w:space="0" w:color="000000"/>
            </w:tcBorders>
            <w:vAlign w:val="center"/>
          </w:tcPr>
          <w:p w14:paraId="5A0C483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243BBAC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227938B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296.8</w:t>
            </w:r>
          </w:p>
        </w:tc>
        <w:tc>
          <w:tcPr>
            <w:tcW w:w="1714" w:type="dxa"/>
            <w:tcBorders>
              <w:top w:val="single" w:sz="4" w:space="0" w:color="000000"/>
              <w:bottom w:val="single" w:sz="4" w:space="0" w:color="000000"/>
            </w:tcBorders>
            <w:vAlign w:val="center"/>
          </w:tcPr>
          <w:p w14:paraId="1F827956"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433.5</w:t>
            </w:r>
          </w:p>
        </w:tc>
      </w:tr>
      <w:tr w:rsidR="007E4A31" w:rsidRPr="00B07320" w14:paraId="4219E436" w14:textId="77777777" w:rsidTr="009647DE">
        <w:tc>
          <w:tcPr>
            <w:tcW w:w="484" w:type="dxa"/>
            <w:tcBorders>
              <w:top w:val="single" w:sz="4" w:space="0" w:color="000000"/>
              <w:bottom w:val="single" w:sz="12" w:space="0" w:color="000000"/>
            </w:tcBorders>
            <w:vAlign w:val="center"/>
          </w:tcPr>
          <w:p w14:paraId="1BA573A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112</w:t>
            </w:r>
          </w:p>
        </w:tc>
        <w:tc>
          <w:tcPr>
            <w:tcW w:w="1964" w:type="dxa"/>
            <w:tcBorders>
              <w:top w:val="single" w:sz="4" w:space="0" w:color="000000"/>
              <w:bottom w:val="single" w:sz="12" w:space="0" w:color="000000"/>
            </w:tcBorders>
            <w:vAlign w:val="center"/>
          </w:tcPr>
          <w:p w14:paraId="355323E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Philpott Lake</w:t>
            </w:r>
          </w:p>
        </w:tc>
        <w:tc>
          <w:tcPr>
            <w:tcW w:w="1620" w:type="dxa"/>
            <w:vMerge/>
            <w:tcBorders>
              <w:top w:val="single" w:sz="4" w:space="0" w:color="000000"/>
              <w:bottom w:val="single" w:sz="12" w:space="0" w:color="000000"/>
            </w:tcBorders>
            <w:vAlign w:val="center"/>
          </w:tcPr>
          <w:p w14:paraId="5194A137"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4DF9AE7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7EA621B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4668E65D"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14</w:t>
            </w:r>
          </w:p>
        </w:tc>
        <w:tc>
          <w:tcPr>
            <w:tcW w:w="1714" w:type="dxa"/>
            <w:tcBorders>
              <w:top w:val="single" w:sz="4" w:space="0" w:color="000000"/>
              <w:bottom w:val="single" w:sz="12" w:space="0" w:color="000000"/>
            </w:tcBorders>
            <w:vAlign w:val="center"/>
          </w:tcPr>
          <w:p w14:paraId="415A591F"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24.2</w:t>
            </w:r>
          </w:p>
        </w:tc>
      </w:tr>
      <w:tr w:rsidR="007E4A31" w:rsidRPr="00B07320" w14:paraId="2C3C35C8" w14:textId="77777777" w:rsidTr="009647DE">
        <w:tc>
          <w:tcPr>
            <w:tcW w:w="9576" w:type="dxa"/>
            <w:gridSpan w:val="7"/>
            <w:tcBorders>
              <w:top w:val="single" w:sz="12" w:space="0" w:color="000000"/>
            </w:tcBorders>
            <w:vAlign w:val="center"/>
          </w:tcPr>
          <w:p w14:paraId="7654BF4F"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SEPA-2 Cumberland</w:t>
            </w:r>
          </w:p>
        </w:tc>
      </w:tr>
      <w:tr w:rsidR="007E4A31" w:rsidRPr="00B07320" w14:paraId="6F25778F" w14:textId="77777777" w:rsidTr="009647DE">
        <w:tc>
          <w:tcPr>
            <w:tcW w:w="484" w:type="dxa"/>
            <w:vAlign w:val="center"/>
          </w:tcPr>
          <w:p w14:paraId="1CE80BB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113</w:t>
            </w:r>
          </w:p>
        </w:tc>
        <w:tc>
          <w:tcPr>
            <w:tcW w:w="1964" w:type="dxa"/>
            <w:vAlign w:val="center"/>
          </w:tcPr>
          <w:p w14:paraId="0D15CE4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Barkley</w:t>
            </w:r>
          </w:p>
        </w:tc>
        <w:tc>
          <w:tcPr>
            <w:tcW w:w="1620" w:type="dxa"/>
            <w:vMerge w:val="restart"/>
            <w:vAlign w:val="center"/>
          </w:tcPr>
          <w:p w14:paraId="189699F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Cumberland</w:t>
            </w:r>
          </w:p>
        </w:tc>
        <w:tc>
          <w:tcPr>
            <w:tcW w:w="1170" w:type="dxa"/>
            <w:vAlign w:val="center"/>
          </w:tcPr>
          <w:p w14:paraId="649D3FF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FACD40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44E1750"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130</w:t>
            </w:r>
          </w:p>
        </w:tc>
        <w:tc>
          <w:tcPr>
            <w:tcW w:w="1714" w:type="dxa"/>
            <w:vAlign w:val="center"/>
          </w:tcPr>
          <w:p w14:paraId="62E10FB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629.6</w:t>
            </w:r>
          </w:p>
        </w:tc>
      </w:tr>
      <w:tr w:rsidR="007E4A31" w:rsidRPr="00B07320" w14:paraId="4BBEB20A" w14:textId="77777777" w:rsidTr="009647DE">
        <w:tc>
          <w:tcPr>
            <w:tcW w:w="484" w:type="dxa"/>
            <w:vAlign w:val="center"/>
          </w:tcPr>
          <w:p w14:paraId="0B68A81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114</w:t>
            </w:r>
          </w:p>
        </w:tc>
        <w:tc>
          <w:tcPr>
            <w:tcW w:w="1964" w:type="dxa"/>
            <w:vAlign w:val="center"/>
          </w:tcPr>
          <w:p w14:paraId="4905D0B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Center Hill</w:t>
            </w:r>
          </w:p>
        </w:tc>
        <w:tc>
          <w:tcPr>
            <w:tcW w:w="1620" w:type="dxa"/>
            <w:vMerge/>
            <w:vAlign w:val="center"/>
          </w:tcPr>
          <w:p w14:paraId="7F253CE5" w14:textId="77777777" w:rsidR="007E4A31" w:rsidRPr="00B07320" w:rsidRDefault="007E4A31" w:rsidP="005E6DC1">
            <w:pPr>
              <w:spacing w:before="40" w:after="40" w:line="240" w:lineRule="auto"/>
              <w:ind w:firstLine="0"/>
              <w:rPr>
                <w:sz w:val="16"/>
                <w:szCs w:val="16"/>
              </w:rPr>
            </w:pPr>
          </w:p>
        </w:tc>
        <w:tc>
          <w:tcPr>
            <w:tcW w:w="1170" w:type="dxa"/>
            <w:vAlign w:val="center"/>
          </w:tcPr>
          <w:p w14:paraId="529E086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13B5A1A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A0740A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140</w:t>
            </w:r>
          </w:p>
        </w:tc>
        <w:tc>
          <w:tcPr>
            <w:tcW w:w="1714" w:type="dxa"/>
            <w:vAlign w:val="center"/>
          </w:tcPr>
          <w:p w14:paraId="434867B0"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334.1</w:t>
            </w:r>
          </w:p>
        </w:tc>
      </w:tr>
      <w:tr w:rsidR="007E4A31" w:rsidRPr="00B07320" w14:paraId="372EB59B" w14:textId="77777777" w:rsidTr="009647DE">
        <w:tc>
          <w:tcPr>
            <w:tcW w:w="484" w:type="dxa"/>
            <w:vAlign w:val="center"/>
          </w:tcPr>
          <w:p w14:paraId="6DC1011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115</w:t>
            </w:r>
          </w:p>
        </w:tc>
        <w:tc>
          <w:tcPr>
            <w:tcW w:w="1964" w:type="dxa"/>
            <w:vAlign w:val="center"/>
          </w:tcPr>
          <w:p w14:paraId="20530EC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Cheatham</w:t>
            </w:r>
          </w:p>
        </w:tc>
        <w:tc>
          <w:tcPr>
            <w:tcW w:w="1620" w:type="dxa"/>
            <w:vMerge/>
            <w:vAlign w:val="center"/>
          </w:tcPr>
          <w:p w14:paraId="2D6A5F87" w14:textId="77777777" w:rsidR="007E4A31" w:rsidRPr="00B07320" w:rsidRDefault="007E4A31" w:rsidP="005E6DC1">
            <w:pPr>
              <w:spacing w:before="40" w:after="40" w:line="240" w:lineRule="auto"/>
              <w:ind w:firstLine="0"/>
              <w:rPr>
                <w:sz w:val="16"/>
                <w:szCs w:val="16"/>
              </w:rPr>
            </w:pPr>
          </w:p>
        </w:tc>
        <w:tc>
          <w:tcPr>
            <w:tcW w:w="1170" w:type="dxa"/>
            <w:vAlign w:val="center"/>
          </w:tcPr>
          <w:p w14:paraId="64DF8E3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6F5FBB7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6A74B6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36</w:t>
            </w:r>
          </w:p>
        </w:tc>
        <w:tc>
          <w:tcPr>
            <w:tcW w:w="1714" w:type="dxa"/>
            <w:vAlign w:val="center"/>
          </w:tcPr>
          <w:p w14:paraId="1B0558D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159.5</w:t>
            </w:r>
          </w:p>
        </w:tc>
      </w:tr>
      <w:tr w:rsidR="007E4A31" w:rsidRPr="00B07320" w14:paraId="39C0C2E4" w14:textId="77777777" w:rsidTr="009647DE">
        <w:tc>
          <w:tcPr>
            <w:tcW w:w="484" w:type="dxa"/>
            <w:vAlign w:val="center"/>
          </w:tcPr>
          <w:p w14:paraId="15F9D24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116</w:t>
            </w:r>
          </w:p>
        </w:tc>
        <w:tc>
          <w:tcPr>
            <w:tcW w:w="1964" w:type="dxa"/>
            <w:vAlign w:val="center"/>
          </w:tcPr>
          <w:p w14:paraId="2C05A96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Cordell Hull</w:t>
            </w:r>
          </w:p>
        </w:tc>
        <w:tc>
          <w:tcPr>
            <w:tcW w:w="1620" w:type="dxa"/>
            <w:vMerge/>
            <w:vAlign w:val="center"/>
          </w:tcPr>
          <w:p w14:paraId="70403DDD" w14:textId="77777777" w:rsidR="007E4A31" w:rsidRPr="00B07320" w:rsidRDefault="007E4A31" w:rsidP="005E6DC1">
            <w:pPr>
              <w:spacing w:before="40" w:after="40" w:line="240" w:lineRule="auto"/>
              <w:ind w:firstLine="0"/>
              <w:rPr>
                <w:sz w:val="16"/>
                <w:szCs w:val="16"/>
              </w:rPr>
            </w:pPr>
          </w:p>
        </w:tc>
        <w:tc>
          <w:tcPr>
            <w:tcW w:w="1170" w:type="dxa"/>
            <w:vAlign w:val="center"/>
          </w:tcPr>
          <w:p w14:paraId="6B922DA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61EDA4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74DA028E"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99.9</w:t>
            </w:r>
          </w:p>
        </w:tc>
        <w:tc>
          <w:tcPr>
            <w:tcW w:w="1714" w:type="dxa"/>
            <w:vAlign w:val="center"/>
          </w:tcPr>
          <w:p w14:paraId="6AA0E6BD"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361.6</w:t>
            </w:r>
          </w:p>
        </w:tc>
      </w:tr>
      <w:tr w:rsidR="007E4A31" w:rsidRPr="00B07320" w14:paraId="5CC09848" w14:textId="77777777" w:rsidTr="009647DE">
        <w:tc>
          <w:tcPr>
            <w:tcW w:w="484" w:type="dxa"/>
            <w:vAlign w:val="center"/>
          </w:tcPr>
          <w:p w14:paraId="330183B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117</w:t>
            </w:r>
          </w:p>
        </w:tc>
        <w:tc>
          <w:tcPr>
            <w:tcW w:w="1964" w:type="dxa"/>
            <w:vAlign w:val="center"/>
          </w:tcPr>
          <w:p w14:paraId="5C25CF2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Dale Hollow</w:t>
            </w:r>
          </w:p>
        </w:tc>
        <w:tc>
          <w:tcPr>
            <w:tcW w:w="1620" w:type="dxa"/>
            <w:vMerge/>
            <w:vAlign w:val="center"/>
          </w:tcPr>
          <w:p w14:paraId="3187F6D0" w14:textId="77777777" w:rsidR="007E4A31" w:rsidRPr="00B07320" w:rsidRDefault="007E4A31" w:rsidP="005E6DC1">
            <w:pPr>
              <w:spacing w:before="40" w:after="40" w:line="240" w:lineRule="auto"/>
              <w:ind w:firstLine="0"/>
              <w:rPr>
                <w:sz w:val="16"/>
                <w:szCs w:val="16"/>
              </w:rPr>
            </w:pPr>
          </w:p>
        </w:tc>
        <w:tc>
          <w:tcPr>
            <w:tcW w:w="1170" w:type="dxa"/>
            <w:vAlign w:val="center"/>
          </w:tcPr>
          <w:p w14:paraId="48144A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4D7BE30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24C1500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54</w:t>
            </w:r>
          </w:p>
        </w:tc>
        <w:tc>
          <w:tcPr>
            <w:tcW w:w="1714" w:type="dxa"/>
            <w:vAlign w:val="center"/>
          </w:tcPr>
          <w:p w14:paraId="2728A14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118.4</w:t>
            </w:r>
          </w:p>
        </w:tc>
      </w:tr>
      <w:tr w:rsidR="007E4A31" w:rsidRPr="00B07320" w14:paraId="3A12BAF0" w14:textId="77777777" w:rsidTr="009647DE">
        <w:tc>
          <w:tcPr>
            <w:tcW w:w="484" w:type="dxa"/>
            <w:vAlign w:val="center"/>
          </w:tcPr>
          <w:p w14:paraId="639EDA6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118</w:t>
            </w:r>
          </w:p>
        </w:tc>
        <w:tc>
          <w:tcPr>
            <w:tcW w:w="1964" w:type="dxa"/>
            <w:vAlign w:val="center"/>
          </w:tcPr>
          <w:p w14:paraId="602E3A0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 P Priest</w:t>
            </w:r>
          </w:p>
        </w:tc>
        <w:tc>
          <w:tcPr>
            <w:tcW w:w="1620" w:type="dxa"/>
            <w:vMerge/>
            <w:vAlign w:val="center"/>
          </w:tcPr>
          <w:p w14:paraId="6874DB62" w14:textId="77777777" w:rsidR="007E4A31" w:rsidRPr="00B07320" w:rsidRDefault="007E4A31" w:rsidP="005E6DC1">
            <w:pPr>
              <w:spacing w:before="40" w:after="40" w:line="240" w:lineRule="auto"/>
              <w:ind w:firstLine="0"/>
              <w:rPr>
                <w:sz w:val="16"/>
                <w:szCs w:val="16"/>
              </w:rPr>
            </w:pPr>
          </w:p>
        </w:tc>
        <w:tc>
          <w:tcPr>
            <w:tcW w:w="1170" w:type="dxa"/>
            <w:vAlign w:val="center"/>
          </w:tcPr>
          <w:p w14:paraId="66112B5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3BB7D82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6EB670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28</w:t>
            </w:r>
          </w:p>
        </w:tc>
        <w:tc>
          <w:tcPr>
            <w:tcW w:w="1714" w:type="dxa"/>
            <w:vAlign w:val="center"/>
          </w:tcPr>
          <w:p w14:paraId="5FDCF0E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65.0</w:t>
            </w:r>
          </w:p>
        </w:tc>
      </w:tr>
      <w:tr w:rsidR="007E4A31" w:rsidRPr="00B07320" w14:paraId="2DB3BBD3" w14:textId="77777777" w:rsidTr="009647DE">
        <w:tc>
          <w:tcPr>
            <w:tcW w:w="484" w:type="dxa"/>
            <w:vAlign w:val="center"/>
          </w:tcPr>
          <w:p w14:paraId="7B9A6E0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119</w:t>
            </w:r>
          </w:p>
        </w:tc>
        <w:tc>
          <w:tcPr>
            <w:tcW w:w="1964" w:type="dxa"/>
            <w:vAlign w:val="center"/>
          </w:tcPr>
          <w:p w14:paraId="6E7C623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Laurel</w:t>
            </w:r>
          </w:p>
        </w:tc>
        <w:tc>
          <w:tcPr>
            <w:tcW w:w="1620" w:type="dxa"/>
            <w:vMerge/>
            <w:vAlign w:val="center"/>
          </w:tcPr>
          <w:p w14:paraId="34D04660" w14:textId="77777777" w:rsidR="007E4A31" w:rsidRPr="00B07320" w:rsidRDefault="007E4A31" w:rsidP="005E6DC1">
            <w:pPr>
              <w:spacing w:before="40" w:after="40" w:line="240" w:lineRule="auto"/>
              <w:ind w:firstLine="0"/>
              <w:rPr>
                <w:sz w:val="16"/>
                <w:szCs w:val="16"/>
              </w:rPr>
            </w:pPr>
          </w:p>
        </w:tc>
        <w:tc>
          <w:tcPr>
            <w:tcW w:w="1170" w:type="dxa"/>
            <w:vAlign w:val="center"/>
          </w:tcPr>
          <w:p w14:paraId="3528907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03BED6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460FEBD3"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70</w:t>
            </w:r>
          </w:p>
        </w:tc>
        <w:tc>
          <w:tcPr>
            <w:tcW w:w="1714" w:type="dxa"/>
            <w:vAlign w:val="center"/>
          </w:tcPr>
          <w:p w14:paraId="6BD6E24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63.6</w:t>
            </w:r>
          </w:p>
        </w:tc>
      </w:tr>
      <w:tr w:rsidR="007E4A31" w:rsidRPr="00B07320" w14:paraId="16A4BB82" w14:textId="77777777" w:rsidTr="009647DE">
        <w:tc>
          <w:tcPr>
            <w:tcW w:w="484" w:type="dxa"/>
            <w:vAlign w:val="center"/>
          </w:tcPr>
          <w:p w14:paraId="6339553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120</w:t>
            </w:r>
          </w:p>
        </w:tc>
        <w:tc>
          <w:tcPr>
            <w:tcW w:w="1964" w:type="dxa"/>
            <w:vAlign w:val="center"/>
          </w:tcPr>
          <w:p w14:paraId="2986BE0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Old Hickory</w:t>
            </w:r>
          </w:p>
        </w:tc>
        <w:tc>
          <w:tcPr>
            <w:tcW w:w="1620" w:type="dxa"/>
            <w:vMerge/>
            <w:vAlign w:val="center"/>
          </w:tcPr>
          <w:p w14:paraId="3133E77C" w14:textId="77777777" w:rsidR="007E4A31" w:rsidRPr="00B07320" w:rsidRDefault="007E4A31" w:rsidP="005E6DC1">
            <w:pPr>
              <w:spacing w:before="40" w:after="40" w:line="240" w:lineRule="auto"/>
              <w:ind w:firstLine="0"/>
              <w:rPr>
                <w:sz w:val="16"/>
                <w:szCs w:val="16"/>
              </w:rPr>
            </w:pPr>
          </w:p>
        </w:tc>
        <w:tc>
          <w:tcPr>
            <w:tcW w:w="1170" w:type="dxa"/>
            <w:vAlign w:val="center"/>
          </w:tcPr>
          <w:p w14:paraId="2F443F9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6848388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35AD877C"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103.7</w:t>
            </w:r>
          </w:p>
        </w:tc>
        <w:tc>
          <w:tcPr>
            <w:tcW w:w="1714" w:type="dxa"/>
            <w:vAlign w:val="center"/>
          </w:tcPr>
          <w:p w14:paraId="5D335DDC"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459.5</w:t>
            </w:r>
          </w:p>
        </w:tc>
      </w:tr>
      <w:tr w:rsidR="007E4A31" w:rsidRPr="00B07320" w14:paraId="0F89A675" w14:textId="77777777" w:rsidTr="009647DE">
        <w:tc>
          <w:tcPr>
            <w:tcW w:w="484" w:type="dxa"/>
            <w:tcBorders>
              <w:bottom w:val="single" w:sz="12" w:space="0" w:color="000000"/>
            </w:tcBorders>
            <w:vAlign w:val="center"/>
          </w:tcPr>
          <w:p w14:paraId="48BA23F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121</w:t>
            </w:r>
          </w:p>
        </w:tc>
        <w:tc>
          <w:tcPr>
            <w:tcW w:w="1964" w:type="dxa"/>
            <w:tcBorders>
              <w:bottom w:val="single" w:sz="12" w:space="0" w:color="000000"/>
            </w:tcBorders>
            <w:vAlign w:val="center"/>
          </w:tcPr>
          <w:p w14:paraId="2803C93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Wolf Creek</w:t>
            </w:r>
          </w:p>
        </w:tc>
        <w:tc>
          <w:tcPr>
            <w:tcW w:w="1620" w:type="dxa"/>
            <w:vMerge/>
            <w:tcBorders>
              <w:bottom w:val="single" w:sz="12" w:space="0" w:color="000000"/>
            </w:tcBorders>
            <w:vAlign w:val="center"/>
          </w:tcPr>
          <w:p w14:paraId="344A8205" w14:textId="77777777" w:rsidR="007E4A31" w:rsidRPr="00B07320" w:rsidRDefault="007E4A31" w:rsidP="005E6DC1">
            <w:pPr>
              <w:spacing w:before="40" w:after="40" w:line="240" w:lineRule="auto"/>
              <w:ind w:firstLine="0"/>
              <w:rPr>
                <w:sz w:val="16"/>
                <w:szCs w:val="16"/>
              </w:rPr>
            </w:pPr>
          </w:p>
        </w:tc>
        <w:tc>
          <w:tcPr>
            <w:tcW w:w="1170" w:type="dxa"/>
            <w:tcBorders>
              <w:bottom w:val="single" w:sz="12" w:space="0" w:color="000000"/>
            </w:tcBorders>
            <w:vAlign w:val="center"/>
          </w:tcPr>
          <w:p w14:paraId="296AC12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bottom w:val="single" w:sz="12" w:space="0" w:color="000000"/>
            </w:tcBorders>
            <w:vAlign w:val="center"/>
          </w:tcPr>
          <w:p w14:paraId="7F80A5A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bottom w:val="single" w:sz="12" w:space="0" w:color="000000"/>
            </w:tcBorders>
            <w:vAlign w:val="center"/>
          </w:tcPr>
          <w:p w14:paraId="055F98C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270</w:t>
            </w:r>
          </w:p>
        </w:tc>
        <w:tc>
          <w:tcPr>
            <w:tcW w:w="1714" w:type="dxa"/>
            <w:tcBorders>
              <w:bottom w:val="single" w:sz="12" w:space="0" w:color="000000"/>
            </w:tcBorders>
            <w:vAlign w:val="center"/>
          </w:tcPr>
          <w:p w14:paraId="3F753BF3"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872.0</w:t>
            </w:r>
          </w:p>
        </w:tc>
      </w:tr>
      <w:tr w:rsidR="007E4A31" w:rsidRPr="00B07320" w14:paraId="1F156DE9" w14:textId="77777777" w:rsidTr="009647DE">
        <w:tc>
          <w:tcPr>
            <w:tcW w:w="9576" w:type="dxa"/>
            <w:gridSpan w:val="7"/>
            <w:tcBorders>
              <w:top w:val="single" w:sz="12" w:space="0" w:color="000000"/>
              <w:bottom w:val="single" w:sz="4" w:space="0" w:color="000000"/>
            </w:tcBorders>
            <w:vAlign w:val="center"/>
          </w:tcPr>
          <w:p w14:paraId="2EC38D6D" w14:textId="0424821B"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SEPA-3 GA</w:t>
            </w:r>
            <w:r w:rsidR="00A56EFF">
              <w:rPr>
                <w:b/>
                <w:i/>
                <w:sz w:val="16"/>
                <w:szCs w:val="16"/>
              </w:rPr>
              <w:t>/</w:t>
            </w:r>
            <w:r w:rsidRPr="00B07320">
              <w:rPr>
                <w:b/>
                <w:i/>
                <w:sz w:val="16"/>
                <w:szCs w:val="16"/>
              </w:rPr>
              <w:t>AL</w:t>
            </w:r>
            <w:r w:rsidR="00A56EFF">
              <w:rPr>
                <w:b/>
                <w:i/>
                <w:sz w:val="16"/>
                <w:szCs w:val="16"/>
              </w:rPr>
              <w:t>/</w:t>
            </w:r>
            <w:r w:rsidRPr="00B07320">
              <w:rPr>
                <w:b/>
                <w:i/>
                <w:sz w:val="16"/>
                <w:szCs w:val="16"/>
              </w:rPr>
              <w:t>SC</w:t>
            </w:r>
          </w:p>
        </w:tc>
      </w:tr>
      <w:tr w:rsidR="007E4A31" w:rsidRPr="00B07320" w14:paraId="5C1339D8" w14:textId="77777777" w:rsidTr="009647DE">
        <w:tc>
          <w:tcPr>
            <w:tcW w:w="484" w:type="dxa"/>
            <w:tcBorders>
              <w:top w:val="single" w:sz="4" w:space="0" w:color="000000"/>
              <w:bottom w:val="single" w:sz="4" w:space="0" w:color="000000"/>
            </w:tcBorders>
            <w:vAlign w:val="center"/>
          </w:tcPr>
          <w:p w14:paraId="142638E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122</w:t>
            </w:r>
          </w:p>
        </w:tc>
        <w:tc>
          <w:tcPr>
            <w:tcW w:w="1964" w:type="dxa"/>
            <w:tcBorders>
              <w:top w:val="single" w:sz="4" w:space="0" w:color="000000"/>
              <w:bottom w:val="single" w:sz="4" w:space="0" w:color="000000"/>
            </w:tcBorders>
            <w:vAlign w:val="center"/>
          </w:tcPr>
          <w:p w14:paraId="19626ED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Allatoona</w:t>
            </w:r>
          </w:p>
        </w:tc>
        <w:tc>
          <w:tcPr>
            <w:tcW w:w="1620" w:type="dxa"/>
            <w:vMerge w:val="restart"/>
            <w:tcBorders>
              <w:top w:val="single" w:sz="4" w:space="0" w:color="000000"/>
              <w:bottom w:val="single" w:sz="4" w:space="0" w:color="000000"/>
            </w:tcBorders>
            <w:vAlign w:val="center"/>
          </w:tcPr>
          <w:p w14:paraId="7042A496" w14:textId="5B87A027" w:rsidR="007E4A31" w:rsidRPr="00B07320" w:rsidRDefault="007E4A31" w:rsidP="005E6DC1">
            <w:pPr>
              <w:spacing w:before="40" w:after="40" w:line="240" w:lineRule="auto"/>
              <w:ind w:firstLine="0"/>
              <w:rPr>
                <w:rFonts w:eastAsia="Times New Roman"/>
                <w:b/>
                <w:sz w:val="16"/>
                <w:szCs w:val="16"/>
              </w:rPr>
            </w:pPr>
            <w:r w:rsidRPr="00B07320">
              <w:rPr>
                <w:sz w:val="16"/>
                <w:szCs w:val="16"/>
              </w:rPr>
              <w:t>GA</w:t>
            </w:r>
            <w:r w:rsidR="00A56EFF">
              <w:rPr>
                <w:sz w:val="16"/>
                <w:szCs w:val="16"/>
              </w:rPr>
              <w:t>/</w:t>
            </w:r>
            <w:r w:rsidRPr="00B07320">
              <w:rPr>
                <w:sz w:val="16"/>
                <w:szCs w:val="16"/>
              </w:rPr>
              <w:t>AL</w:t>
            </w:r>
            <w:r w:rsidR="00A56EFF">
              <w:rPr>
                <w:sz w:val="16"/>
                <w:szCs w:val="16"/>
              </w:rPr>
              <w:t>/</w:t>
            </w:r>
            <w:r w:rsidRPr="00B07320">
              <w:rPr>
                <w:sz w:val="16"/>
                <w:szCs w:val="16"/>
              </w:rPr>
              <w:t>SC</w:t>
            </w:r>
          </w:p>
        </w:tc>
        <w:tc>
          <w:tcPr>
            <w:tcW w:w="1170" w:type="dxa"/>
            <w:tcBorders>
              <w:top w:val="single" w:sz="4" w:space="0" w:color="000000"/>
              <w:bottom w:val="single" w:sz="4" w:space="0" w:color="000000"/>
            </w:tcBorders>
            <w:vAlign w:val="center"/>
          </w:tcPr>
          <w:p w14:paraId="47B10C1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6E28F8D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34E0067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86.6</w:t>
            </w:r>
          </w:p>
        </w:tc>
        <w:tc>
          <w:tcPr>
            <w:tcW w:w="1714" w:type="dxa"/>
            <w:tcBorders>
              <w:top w:val="single" w:sz="4" w:space="0" w:color="000000"/>
              <w:bottom w:val="single" w:sz="4" w:space="0" w:color="000000"/>
            </w:tcBorders>
            <w:vAlign w:val="center"/>
          </w:tcPr>
          <w:p w14:paraId="11649E2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125.8</w:t>
            </w:r>
          </w:p>
        </w:tc>
      </w:tr>
      <w:tr w:rsidR="007E4A31" w:rsidRPr="00B07320" w14:paraId="35B0071F" w14:textId="77777777" w:rsidTr="009647DE">
        <w:tc>
          <w:tcPr>
            <w:tcW w:w="484" w:type="dxa"/>
            <w:tcBorders>
              <w:top w:val="single" w:sz="4" w:space="0" w:color="000000"/>
              <w:bottom w:val="single" w:sz="4" w:space="0" w:color="000000"/>
            </w:tcBorders>
            <w:vAlign w:val="center"/>
          </w:tcPr>
          <w:p w14:paraId="689EF5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123</w:t>
            </w:r>
          </w:p>
        </w:tc>
        <w:tc>
          <w:tcPr>
            <w:tcW w:w="1964" w:type="dxa"/>
            <w:tcBorders>
              <w:top w:val="single" w:sz="4" w:space="0" w:color="000000"/>
              <w:bottom w:val="single" w:sz="4" w:space="0" w:color="000000"/>
            </w:tcBorders>
            <w:vAlign w:val="center"/>
          </w:tcPr>
          <w:p w14:paraId="354A72A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Buford</w:t>
            </w:r>
          </w:p>
        </w:tc>
        <w:tc>
          <w:tcPr>
            <w:tcW w:w="1620" w:type="dxa"/>
            <w:vMerge/>
            <w:tcBorders>
              <w:top w:val="single" w:sz="4" w:space="0" w:color="000000"/>
              <w:bottom w:val="single" w:sz="4" w:space="0" w:color="000000"/>
            </w:tcBorders>
            <w:vAlign w:val="center"/>
          </w:tcPr>
          <w:p w14:paraId="041C5A71"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4EC64D4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288EBD4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6FF767B"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131.2</w:t>
            </w:r>
          </w:p>
        </w:tc>
        <w:tc>
          <w:tcPr>
            <w:tcW w:w="1714" w:type="dxa"/>
            <w:tcBorders>
              <w:top w:val="single" w:sz="4" w:space="0" w:color="000000"/>
              <w:bottom w:val="single" w:sz="4" w:space="0" w:color="000000"/>
            </w:tcBorders>
            <w:vAlign w:val="center"/>
          </w:tcPr>
          <w:p w14:paraId="1170F692"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163.7</w:t>
            </w:r>
          </w:p>
        </w:tc>
      </w:tr>
      <w:tr w:rsidR="007E4A31" w:rsidRPr="00B07320" w14:paraId="24992440" w14:textId="77777777" w:rsidTr="009647DE">
        <w:tc>
          <w:tcPr>
            <w:tcW w:w="484" w:type="dxa"/>
            <w:vMerge w:val="restart"/>
            <w:tcBorders>
              <w:top w:val="single" w:sz="4" w:space="0" w:color="000000"/>
              <w:bottom w:val="single" w:sz="4" w:space="0" w:color="000000"/>
            </w:tcBorders>
            <w:vAlign w:val="center"/>
          </w:tcPr>
          <w:p w14:paraId="3D0E001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124</w:t>
            </w:r>
          </w:p>
        </w:tc>
        <w:tc>
          <w:tcPr>
            <w:tcW w:w="1964" w:type="dxa"/>
            <w:vMerge w:val="restart"/>
            <w:tcBorders>
              <w:top w:val="single" w:sz="4" w:space="0" w:color="000000"/>
              <w:bottom w:val="single" w:sz="4" w:space="0" w:color="000000"/>
            </w:tcBorders>
            <w:vAlign w:val="center"/>
          </w:tcPr>
          <w:p w14:paraId="5D252A7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Carters</w:t>
            </w:r>
          </w:p>
        </w:tc>
        <w:tc>
          <w:tcPr>
            <w:tcW w:w="1620" w:type="dxa"/>
            <w:vMerge/>
            <w:tcBorders>
              <w:top w:val="single" w:sz="4" w:space="0" w:color="000000"/>
              <w:bottom w:val="single" w:sz="4" w:space="0" w:color="000000"/>
            </w:tcBorders>
            <w:vAlign w:val="center"/>
          </w:tcPr>
          <w:p w14:paraId="75DA3FF0" w14:textId="77777777" w:rsidR="007E4A31" w:rsidRPr="00B07320" w:rsidRDefault="007E4A31" w:rsidP="005E6DC1">
            <w:pPr>
              <w:spacing w:before="40" w:after="40" w:line="240" w:lineRule="auto"/>
              <w:ind w:firstLine="0"/>
              <w:rPr>
                <w:sz w:val="16"/>
                <w:szCs w:val="16"/>
              </w:rPr>
            </w:pPr>
          </w:p>
        </w:tc>
        <w:tc>
          <w:tcPr>
            <w:tcW w:w="1170" w:type="dxa"/>
            <w:vMerge w:val="restart"/>
            <w:tcBorders>
              <w:top w:val="single" w:sz="4" w:space="0" w:color="000000"/>
              <w:bottom w:val="single" w:sz="4" w:space="0" w:color="000000"/>
            </w:tcBorders>
            <w:vAlign w:val="center"/>
          </w:tcPr>
          <w:p w14:paraId="50D3C2F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66EA48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44F1215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250</w:t>
            </w:r>
          </w:p>
        </w:tc>
        <w:tc>
          <w:tcPr>
            <w:tcW w:w="1714" w:type="dxa"/>
            <w:tcBorders>
              <w:top w:val="single" w:sz="4" w:space="0" w:color="000000"/>
              <w:bottom w:val="single" w:sz="4" w:space="0" w:color="000000"/>
            </w:tcBorders>
            <w:vAlign w:val="center"/>
          </w:tcPr>
          <w:p w14:paraId="719963DE"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454.2</w:t>
            </w:r>
          </w:p>
        </w:tc>
      </w:tr>
      <w:tr w:rsidR="007E4A31" w:rsidRPr="00B07320" w14:paraId="7E056D93" w14:textId="77777777" w:rsidTr="009647DE">
        <w:tc>
          <w:tcPr>
            <w:tcW w:w="484" w:type="dxa"/>
            <w:vMerge/>
            <w:tcBorders>
              <w:top w:val="single" w:sz="4" w:space="0" w:color="000000"/>
              <w:bottom w:val="single" w:sz="4" w:space="0" w:color="000000"/>
            </w:tcBorders>
            <w:vAlign w:val="center"/>
          </w:tcPr>
          <w:p w14:paraId="2210749B" w14:textId="77777777" w:rsidR="007E4A31" w:rsidRPr="00B07320" w:rsidRDefault="007E4A31" w:rsidP="005E6DC1">
            <w:pPr>
              <w:spacing w:before="40" w:after="40" w:line="240" w:lineRule="auto"/>
              <w:ind w:firstLine="0"/>
              <w:rPr>
                <w:sz w:val="16"/>
                <w:szCs w:val="16"/>
              </w:rPr>
            </w:pPr>
          </w:p>
        </w:tc>
        <w:tc>
          <w:tcPr>
            <w:tcW w:w="1964" w:type="dxa"/>
            <w:vMerge/>
            <w:tcBorders>
              <w:top w:val="single" w:sz="4" w:space="0" w:color="000000"/>
              <w:bottom w:val="single" w:sz="4" w:space="0" w:color="000000"/>
            </w:tcBorders>
            <w:vAlign w:val="center"/>
          </w:tcPr>
          <w:p w14:paraId="6C56317A" w14:textId="77777777" w:rsidR="007E4A31" w:rsidRPr="00B07320" w:rsidRDefault="007E4A31" w:rsidP="005E6DC1">
            <w:pPr>
              <w:spacing w:before="40" w:after="40" w:line="240" w:lineRule="auto"/>
              <w:ind w:firstLine="0"/>
              <w:rPr>
                <w:sz w:val="16"/>
                <w:szCs w:val="16"/>
              </w:rPr>
            </w:pPr>
          </w:p>
        </w:tc>
        <w:tc>
          <w:tcPr>
            <w:tcW w:w="1620" w:type="dxa"/>
            <w:vMerge/>
            <w:tcBorders>
              <w:top w:val="single" w:sz="4" w:space="0" w:color="000000"/>
              <w:bottom w:val="single" w:sz="4" w:space="0" w:color="000000"/>
            </w:tcBorders>
            <w:vAlign w:val="center"/>
          </w:tcPr>
          <w:p w14:paraId="41B506FD" w14:textId="77777777" w:rsidR="007E4A31" w:rsidRPr="00B07320" w:rsidRDefault="007E4A31" w:rsidP="005E6DC1">
            <w:pPr>
              <w:spacing w:before="40" w:after="40" w:line="240" w:lineRule="auto"/>
              <w:ind w:firstLine="0"/>
              <w:rPr>
                <w:sz w:val="16"/>
                <w:szCs w:val="16"/>
              </w:rPr>
            </w:pPr>
          </w:p>
        </w:tc>
        <w:tc>
          <w:tcPr>
            <w:tcW w:w="1170" w:type="dxa"/>
            <w:vMerge/>
            <w:tcBorders>
              <w:top w:val="single" w:sz="4" w:space="0" w:color="000000"/>
              <w:bottom w:val="single" w:sz="4" w:space="0" w:color="000000"/>
            </w:tcBorders>
            <w:vAlign w:val="center"/>
          </w:tcPr>
          <w:p w14:paraId="58D9E084" w14:textId="77777777" w:rsidR="007E4A31" w:rsidRPr="00B07320" w:rsidRDefault="007E4A31" w:rsidP="005E6DC1">
            <w:pPr>
              <w:spacing w:before="40" w:after="40" w:line="240" w:lineRule="auto"/>
              <w:ind w:firstLine="0"/>
              <w:rPr>
                <w:sz w:val="16"/>
                <w:szCs w:val="16"/>
              </w:rPr>
            </w:pPr>
          </w:p>
        </w:tc>
        <w:tc>
          <w:tcPr>
            <w:tcW w:w="1710" w:type="dxa"/>
            <w:tcBorders>
              <w:top w:val="single" w:sz="4" w:space="0" w:color="000000"/>
              <w:bottom w:val="single" w:sz="4" w:space="0" w:color="000000"/>
            </w:tcBorders>
            <w:vAlign w:val="center"/>
          </w:tcPr>
          <w:p w14:paraId="3987022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tcBorders>
              <w:top w:val="single" w:sz="4" w:space="0" w:color="000000"/>
              <w:bottom w:val="single" w:sz="4" w:space="0" w:color="000000"/>
            </w:tcBorders>
            <w:vAlign w:val="center"/>
          </w:tcPr>
          <w:p w14:paraId="0B6AF9C6"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250</w:t>
            </w:r>
          </w:p>
        </w:tc>
        <w:tc>
          <w:tcPr>
            <w:tcW w:w="1714" w:type="dxa"/>
            <w:tcBorders>
              <w:top w:val="single" w:sz="4" w:space="0" w:color="000000"/>
              <w:bottom w:val="single" w:sz="4" w:space="0" w:color="000000"/>
            </w:tcBorders>
            <w:vAlign w:val="center"/>
          </w:tcPr>
          <w:p w14:paraId="21FCE5B7" w14:textId="77777777" w:rsidR="007E4A31" w:rsidRPr="00355AE6" w:rsidRDefault="007E4A31" w:rsidP="005E6DC1">
            <w:pPr>
              <w:spacing w:before="40" w:after="40" w:line="240" w:lineRule="auto"/>
              <w:ind w:firstLine="0"/>
              <w:rPr>
                <w:b/>
                <w:sz w:val="16"/>
                <w:szCs w:val="16"/>
                <w:highlight w:val="yellow"/>
                <w:lang w:eastAsia="zh-TW"/>
              </w:rPr>
            </w:pPr>
            <w:r>
              <w:rPr>
                <w:color w:val="000000"/>
                <w:sz w:val="16"/>
                <w:szCs w:val="16"/>
              </w:rPr>
              <w:t> </w:t>
            </w:r>
          </w:p>
        </w:tc>
      </w:tr>
      <w:tr w:rsidR="007E4A31" w:rsidRPr="00B07320" w14:paraId="63BEFC03" w14:textId="77777777" w:rsidTr="009647DE">
        <w:tc>
          <w:tcPr>
            <w:tcW w:w="484" w:type="dxa"/>
            <w:tcBorders>
              <w:top w:val="single" w:sz="4" w:space="0" w:color="000000"/>
              <w:bottom w:val="single" w:sz="4" w:space="0" w:color="000000"/>
            </w:tcBorders>
            <w:vAlign w:val="center"/>
          </w:tcPr>
          <w:p w14:paraId="3149A74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125</w:t>
            </w:r>
          </w:p>
        </w:tc>
        <w:tc>
          <w:tcPr>
            <w:tcW w:w="1964" w:type="dxa"/>
            <w:tcBorders>
              <w:top w:val="single" w:sz="4" w:space="0" w:color="000000"/>
              <w:bottom w:val="single" w:sz="4" w:space="0" w:color="000000"/>
            </w:tcBorders>
            <w:vAlign w:val="center"/>
          </w:tcPr>
          <w:p w14:paraId="71A3007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Hartwell Lake</w:t>
            </w:r>
          </w:p>
        </w:tc>
        <w:tc>
          <w:tcPr>
            <w:tcW w:w="1620" w:type="dxa"/>
            <w:vMerge/>
            <w:tcBorders>
              <w:top w:val="single" w:sz="4" w:space="0" w:color="000000"/>
              <w:bottom w:val="single" w:sz="4" w:space="0" w:color="000000"/>
            </w:tcBorders>
            <w:vAlign w:val="center"/>
          </w:tcPr>
          <w:p w14:paraId="1555E5D8"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1B5F58D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33DF69D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1CEB8EF5"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420</w:t>
            </w:r>
          </w:p>
        </w:tc>
        <w:tc>
          <w:tcPr>
            <w:tcW w:w="1714" w:type="dxa"/>
            <w:tcBorders>
              <w:top w:val="single" w:sz="4" w:space="0" w:color="000000"/>
              <w:bottom w:val="single" w:sz="4" w:space="0" w:color="000000"/>
            </w:tcBorders>
            <w:vAlign w:val="center"/>
          </w:tcPr>
          <w:p w14:paraId="13D8158A"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419.8</w:t>
            </w:r>
          </w:p>
        </w:tc>
      </w:tr>
      <w:tr w:rsidR="007E4A31" w:rsidRPr="00B07320" w14:paraId="3FAEEA45" w14:textId="77777777" w:rsidTr="009647DE">
        <w:tc>
          <w:tcPr>
            <w:tcW w:w="484" w:type="dxa"/>
            <w:tcBorders>
              <w:top w:val="single" w:sz="4" w:space="0" w:color="000000"/>
              <w:bottom w:val="single" w:sz="4" w:space="0" w:color="000000"/>
            </w:tcBorders>
            <w:vAlign w:val="center"/>
          </w:tcPr>
          <w:p w14:paraId="30D6F7BA"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126</w:t>
            </w:r>
          </w:p>
        </w:tc>
        <w:tc>
          <w:tcPr>
            <w:tcW w:w="1964" w:type="dxa"/>
            <w:tcBorders>
              <w:top w:val="single" w:sz="4" w:space="0" w:color="000000"/>
              <w:bottom w:val="single" w:sz="4" w:space="0" w:color="000000"/>
            </w:tcBorders>
            <w:vAlign w:val="center"/>
          </w:tcPr>
          <w:p w14:paraId="41EA5EF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 Strom Thurmond</w:t>
            </w:r>
          </w:p>
        </w:tc>
        <w:tc>
          <w:tcPr>
            <w:tcW w:w="1620" w:type="dxa"/>
            <w:vMerge/>
            <w:tcBorders>
              <w:top w:val="single" w:sz="4" w:space="0" w:color="000000"/>
              <w:bottom w:val="single" w:sz="4" w:space="0" w:color="000000"/>
            </w:tcBorders>
            <w:vAlign w:val="center"/>
          </w:tcPr>
          <w:p w14:paraId="574A96CD"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3882B95"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79FCEFA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7782FBE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361.9</w:t>
            </w:r>
          </w:p>
        </w:tc>
        <w:tc>
          <w:tcPr>
            <w:tcW w:w="1714" w:type="dxa"/>
            <w:tcBorders>
              <w:top w:val="single" w:sz="4" w:space="0" w:color="000000"/>
              <w:bottom w:val="single" w:sz="4" w:space="0" w:color="000000"/>
            </w:tcBorders>
            <w:vAlign w:val="center"/>
          </w:tcPr>
          <w:p w14:paraId="7706170B"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610.6</w:t>
            </w:r>
          </w:p>
        </w:tc>
      </w:tr>
      <w:tr w:rsidR="007E4A31" w:rsidRPr="00B07320" w14:paraId="67DD8C49" w14:textId="77777777" w:rsidTr="009647DE">
        <w:tc>
          <w:tcPr>
            <w:tcW w:w="484" w:type="dxa"/>
            <w:tcBorders>
              <w:top w:val="single" w:sz="4" w:space="0" w:color="000000"/>
              <w:bottom w:val="single" w:sz="4" w:space="0" w:color="000000"/>
            </w:tcBorders>
            <w:vAlign w:val="center"/>
          </w:tcPr>
          <w:p w14:paraId="345E3AD9"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127</w:t>
            </w:r>
          </w:p>
        </w:tc>
        <w:tc>
          <w:tcPr>
            <w:tcW w:w="1964" w:type="dxa"/>
            <w:tcBorders>
              <w:top w:val="single" w:sz="4" w:space="0" w:color="000000"/>
              <w:bottom w:val="single" w:sz="4" w:space="0" w:color="000000"/>
            </w:tcBorders>
            <w:vAlign w:val="center"/>
          </w:tcPr>
          <w:p w14:paraId="1E04723F"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Millers Ferry</w:t>
            </w:r>
          </w:p>
        </w:tc>
        <w:tc>
          <w:tcPr>
            <w:tcW w:w="1620" w:type="dxa"/>
            <w:vMerge/>
            <w:tcBorders>
              <w:top w:val="single" w:sz="4" w:space="0" w:color="000000"/>
              <w:bottom w:val="single" w:sz="4" w:space="0" w:color="000000"/>
            </w:tcBorders>
            <w:vAlign w:val="center"/>
          </w:tcPr>
          <w:p w14:paraId="2B9FA571"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269AAFA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1750633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01FB29DF"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101.1</w:t>
            </w:r>
          </w:p>
        </w:tc>
        <w:tc>
          <w:tcPr>
            <w:tcW w:w="1714" w:type="dxa"/>
            <w:tcBorders>
              <w:top w:val="single" w:sz="4" w:space="0" w:color="000000"/>
              <w:bottom w:val="single" w:sz="4" w:space="0" w:color="000000"/>
            </w:tcBorders>
            <w:vAlign w:val="center"/>
          </w:tcPr>
          <w:p w14:paraId="1B821147"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335.7</w:t>
            </w:r>
          </w:p>
        </w:tc>
      </w:tr>
      <w:tr w:rsidR="007E4A31" w:rsidRPr="00B07320" w14:paraId="31929795" w14:textId="77777777" w:rsidTr="009647DE">
        <w:tc>
          <w:tcPr>
            <w:tcW w:w="484" w:type="dxa"/>
            <w:tcBorders>
              <w:top w:val="single" w:sz="4" w:space="0" w:color="000000"/>
              <w:bottom w:val="single" w:sz="4" w:space="0" w:color="000000"/>
            </w:tcBorders>
            <w:vAlign w:val="center"/>
          </w:tcPr>
          <w:p w14:paraId="395BC5E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128</w:t>
            </w:r>
          </w:p>
        </w:tc>
        <w:tc>
          <w:tcPr>
            <w:tcW w:w="1964" w:type="dxa"/>
            <w:tcBorders>
              <w:top w:val="single" w:sz="4" w:space="0" w:color="000000"/>
              <w:bottom w:val="single" w:sz="4" w:space="0" w:color="000000"/>
            </w:tcBorders>
            <w:vAlign w:val="center"/>
          </w:tcPr>
          <w:p w14:paraId="10C412A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Jones Bluff</w:t>
            </w:r>
          </w:p>
        </w:tc>
        <w:tc>
          <w:tcPr>
            <w:tcW w:w="1620" w:type="dxa"/>
            <w:vMerge/>
            <w:tcBorders>
              <w:top w:val="single" w:sz="4" w:space="0" w:color="000000"/>
              <w:bottom w:val="single" w:sz="4" w:space="0" w:color="000000"/>
            </w:tcBorders>
            <w:vAlign w:val="center"/>
          </w:tcPr>
          <w:p w14:paraId="4D0C3B14"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694340C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54185227"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44148FCA"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82</w:t>
            </w:r>
          </w:p>
        </w:tc>
        <w:tc>
          <w:tcPr>
            <w:tcW w:w="1714" w:type="dxa"/>
            <w:tcBorders>
              <w:top w:val="single" w:sz="4" w:space="0" w:color="000000"/>
              <w:bottom w:val="single" w:sz="4" w:space="0" w:color="000000"/>
            </w:tcBorders>
            <w:vAlign w:val="center"/>
          </w:tcPr>
          <w:p w14:paraId="63DD0841"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297.3</w:t>
            </w:r>
          </w:p>
        </w:tc>
      </w:tr>
      <w:tr w:rsidR="007E4A31" w:rsidRPr="00B07320" w14:paraId="442865E3" w14:textId="77777777" w:rsidTr="009647DE">
        <w:tc>
          <w:tcPr>
            <w:tcW w:w="484" w:type="dxa"/>
            <w:vMerge w:val="restart"/>
            <w:tcBorders>
              <w:top w:val="single" w:sz="4" w:space="0" w:color="000000"/>
              <w:bottom w:val="single" w:sz="4" w:space="0" w:color="000000"/>
            </w:tcBorders>
            <w:vAlign w:val="center"/>
          </w:tcPr>
          <w:p w14:paraId="5FCDED2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129</w:t>
            </w:r>
          </w:p>
        </w:tc>
        <w:tc>
          <w:tcPr>
            <w:tcW w:w="1964" w:type="dxa"/>
            <w:vMerge w:val="restart"/>
            <w:tcBorders>
              <w:top w:val="single" w:sz="4" w:space="0" w:color="000000"/>
              <w:bottom w:val="single" w:sz="4" w:space="0" w:color="000000"/>
            </w:tcBorders>
            <w:vAlign w:val="center"/>
          </w:tcPr>
          <w:p w14:paraId="7A1073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Richard B Russell</w:t>
            </w:r>
          </w:p>
        </w:tc>
        <w:tc>
          <w:tcPr>
            <w:tcW w:w="1620" w:type="dxa"/>
            <w:vMerge/>
            <w:tcBorders>
              <w:top w:val="single" w:sz="4" w:space="0" w:color="000000"/>
              <w:bottom w:val="single" w:sz="4" w:space="0" w:color="000000"/>
            </w:tcBorders>
            <w:vAlign w:val="center"/>
          </w:tcPr>
          <w:p w14:paraId="64353A28" w14:textId="77777777" w:rsidR="007E4A31" w:rsidRPr="00B07320" w:rsidRDefault="007E4A31" w:rsidP="005E6DC1">
            <w:pPr>
              <w:spacing w:before="40" w:after="40" w:line="240" w:lineRule="auto"/>
              <w:ind w:firstLine="0"/>
              <w:rPr>
                <w:sz w:val="16"/>
                <w:szCs w:val="16"/>
              </w:rPr>
            </w:pPr>
          </w:p>
        </w:tc>
        <w:tc>
          <w:tcPr>
            <w:tcW w:w="1170" w:type="dxa"/>
            <w:vMerge w:val="restart"/>
            <w:tcBorders>
              <w:top w:val="single" w:sz="4" w:space="0" w:color="000000"/>
              <w:bottom w:val="single" w:sz="4" w:space="0" w:color="000000"/>
            </w:tcBorders>
            <w:vAlign w:val="center"/>
          </w:tcPr>
          <w:p w14:paraId="6904ED5D"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7D130B0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5E9A4017"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300</w:t>
            </w:r>
          </w:p>
        </w:tc>
        <w:tc>
          <w:tcPr>
            <w:tcW w:w="1714" w:type="dxa"/>
            <w:tcBorders>
              <w:top w:val="single" w:sz="4" w:space="0" w:color="000000"/>
              <w:bottom w:val="single" w:sz="4" w:space="0" w:color="000000"/>
            </w:tcBorders>
            <w:vAlign w:val="center"/>
          </w:tcPr>
          <w:p w14:paraId="5E998FA4"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636.2</w:t>
            </w:r>
          </w:p>
        </w:tc>
      </w:tr>
      <w:tr w:rsidR="007E4A31" w:rsidRPr="00B07320" w14:paraId="497FF6B3" w14:textId="77777777" w:rsidTr="009647DE">
        <w:tc>
          <w:tcPr>
            <w:tcW w:w="484" w:type="dxa"/>
            <w:vMerge/>
            <w:tcBorders>
              <w:top w:val="single" w:sz="4" w:space="0" w:color="000000"/>
              <w:bottom w:val="single" w:sz="4" w:space="0" w:color="000000"/>
            </w:tcBorders>
            <w:vAlign w:val="center"/>
          </w:tcPr>
          <w:p w14:paraId="5CD9911A" w14:textId="77777777" w:rsidR="007E4A31" w:rsidRPr="00B07320" w:rsidRDefault="007E4A31" w:rsidP="005E6DC1">
            <w:pPr>
              <w:spacing w:before="40" w:after="40" w:line="240" w:lineRule="auto"/>
              <w:ind w:firstLine="0"/>
              <w:rPr>
                <w:sz w:val="16"/>
                <w:szCs w:val="16"/>
              </w:rPr>
            </w:pPr>
          </w:p>
        </w:tc>
        <w:tc>
          <w:tcPr>
            <w:tcW w:w="1964" w:type="dxa"/>
            <w:vMerge/>
            <w:tcBorders>
              <w:top w:val="single" w:sz="4" w:space="0" w:color="000000"/>
              <w:bottom w:val="single" w:sz="4" w:space="0" w:color="000000"/>
            </w:tcBorders>
            <w:vAlign w:val="center"/>
          </w:tcPr>
          <w:p w14:paraId="21A071E8" w14:textId="77777777" w:rsidR="007E4A31" w:rsidRPr="00B07320" w:rsidRDefault="007E4A31" w:rsidP="005E6DC1">
            <w:pPr>
              <w:spacing w:before="40" w:after="40" w:line="240" w:lineRule="auto"/>
              <w:ind w:firstLine="0"/>
              <w:rPr>
                <w:sz w:val="16"/>
                <w:szCs w:val="16"/>
              </w:rPr>
            </w:pPr>
          </w:p>
        </w:tc>
        <w:tc>
          <w:tcPr>
            <w:tcW w:w="1620" w:type="dxa"/>
            <w:vMerge/>
            <w:tcBorders>
              <w:top w:val="single" w:sz="4" w:space="0" w:color="000000"/>
              <w:bottom w:val="single" w:sz="4" w:space="0" w:color="000000"/>
            </w:tcBorders>
            <w:vAlign w:val="center"/>
          </w:tcPr>
          <w:p w14:paraId="233E947E" w14:textId="77777777" w:rsidR="007E4A31" w:rsidRPr="00B07320" w:rsidRDefault="007E4A31" w:rsidP="005E6DC1">
            <w:pPr>
              <w:spacing w:before="40" w:after="40" w:line="240" w:lineRule="auto"/>
              <w:ind w:firstLine="0"/>
              <w:rPr>
                <w:sz w:val="16"/>
                <w:szCs w:val="16"/>
              </w:rPr>
            </w:pPr>
          </w:p>
        </w:tc>
        <w:tc>
          <w:tcPr>
            <w:tcW w:w="1170" w:type="dxa"/>
            <w:vMerge/>
            <w:tcBorders>
              <w:top w:val="single" w:sz="4" w:space="0" w:color="000000"/>
              <w:bottom w:val="single" w:sz="4" w:space="0" w:color="000000"/>
            </w:tcBorders>
            <w:vAlign w:val="center"/>
          </w:tcPr>
          <w:p w14:paraId="32D37CFE" w14:textId="77777777" w:rsidR="007E4A31" w:rsidRPr="00B07320" w:rsidRDefault="007E4A31" w:rsidP="005E6DC1">
            <w:pPr>
              <w:spacing w:before="40" w:after="40" w:line="240" w:lineRule="auto"/>
              <w:ind w:firstLine="0"/>
              <w:rPr>
                <w:sz w:val="16"/>
                <w:szCs w:val="16"/>
              </w:rPr>
            </w:pPr>
          </w:p>
        </w:tc>
        <w:tc>
          <w:tcPr>
            <w:tcW w:w="1710" w:type="dxa"/>
            <w:tcBorders>
              <w:top w:val="single" w:sz="4" w:space="0" w:color="000000"/>
              <w:bottom w:val="single" w:sz="4" w:space="0" w:color="000000"/>
            </w:tcBorders>
            <w:vAlign w:val="center"/>
          </w:tcPr>
          <w:p w14:paraId="766EE03B"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Pumped Storage</w:t>
            </w:r>
          </w:p>
        </w:tc>
        <w:tc>
          <w:tcPr>
            <w:tcW w:w="914" w:type="dxa"/>
            <w:tcBorders>
              <w:top w:val="single" w:sz="4" w:space="0" w:color="000000"/>
              <w:bottom w:val="single" w:sz="4" w:space="0" w:color="000000"/>
            </w:tcBorders>
            <w:vAlign w:val="center"/>
          </w:tcPr>
          <w:p w14:paraId="169D2DF9"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328</w:t>
            </w:r>
          </w:p>
        </w:tc>
        <w:tc>
          <w:tcPr>
            <w:tcW w:w="1714" w:type="dxa"/>
            <w:tcBorders>
              <w:top w:val="single" w:sz="4" w:space="0" w:color="000000"/>
              <w:bottom w:val="single" w:sz="4" w:space="0" w:color="000000"/>
            </w:tcBorders>
            <w:vAlign w:val="center"/>
          </w:tcPr>
          <w:p w14:paraId="26F96AB9" w14:textId="77777777" w:rsidR="007E4A31" w:rsidRPr="00355AE6" w:rsidRDefault="007E4A31" w:rsidP="005E6DC1">
            <w:pPr>
              <w:spacing w:before="40" w:after="40" w:line="240" w:lineRule="auto"/>
              <w:ind w:firstLine="0"/>
              <w:rPr>
                <w:b/>
                <w:sz w:val="16"/>
                <w:szCs w:val="16"/>
                <w:highlight w:val="yellow"/>
                <w:lang w:eastAsia="zh-TW"/>
              </w:rPr>
            </w:pPr>
            <w:r>
              <w:rPr>
                <w:color w:val="000000"/>
                <w:sz w:val="16"/>
                <w:szCs w:val="16"/>
              </w:rPr>
              <w:t> </w:t>
            </w:r>
          </w:p>
        </w:tc>
      </w:tr>
      <w:tr w:rsidR="007E4A31" w:rsidRPr="00B07320" w14:paraId="61D4FEBD" w14:textId="77777777" w:rsidTr="009647DE">
        <w:tc>
          <w:tcPr>
            <w:tcW w:w="484" w:type="dxa"/>
            <w:tcBorders>
              <w:top w:val="single" w:sz="4" w:space="0" w:color="000000"/>
              <w:bottom w:val="single" w:sz="4" w:space="0" w:color="000000"/>
            </w:tcBorders>
            <w:vAlign w:val="center"/>
          </w:tcPr>
          <w:p w14:paraId="4D281368"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130</w:t>
            </w:r>
          </w:p>
        </w:tc>
        <w:tc>
          <w:tcPr>
            <w:tcW w:w="1964" w:type="dxa"/>
            <w:tcBorders>
              <w:top w:val="single" w:sz="4" w:space="0" w:color="000000"/>
              <w:bottom w:val="single" w:sz="4" w:space="0" w:color="000000"/>
            </w:tcBorders>
            <w:vAlign w:val="center"/>
          </w:tcPr>
          <w:p w14:paraId="157D699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Walter F George</w:t>
            </w:r>
          </w:p>
        </w:tc>
        <w:tc>
          <w:tcPr>
            <w:tcW w:w="1620" w:type="dxa"/>
            <w:vMerge/>
            <w:tcBorders>
              <w:top w:val="single" w:sz="4" w:space="0" w:color="000000"/>
              <w:bottom w:val="single" w:sz="4" w:space="0" w:color="000000"/>
            </w:tcBorders>
            <w:vAlign w:val="center"/>
          </w:tcPr>
          <w:p w14:paraId="074822B8"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4" w:space="0" w:color="000000"/>
            </w:tcBorders>
            <w:vAlign w:val="center"/>
          </w:tcPr>
          <w:p w14:paraId="7568990C"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4" w:space="0" w:color="000000"/>
            </w:tcBorders>
            <w:vAlign w:val="center"/>
          </w:tcPr>
          <w:p w14:paraId="48C46801"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4" w:space="0" w:color="000000"/>
            </w:tcBorders>
            <w:vAlign w:val="center"/>
          </w:tcPr>
          <w:p w14:paraId="31D6D7F0"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168</w:t>
            </w:r>
          </w:p>
        </w:tc>
        <w:tc>
          <w:tcPr>
            <w:tcW w:w="1714" w:type="dxa"/>
            <w:tcBorders>
              <w:top w:val="single" w:sz="4" w:space="0" w:color="000000"/>
              <w:bottom w:val="single" w:sz="4" w:space="0" w:color="000000"/>
            </w:tcBorders>
            <w:vAlign w:val="center"/>
          </w:tcPr>
          <w:p w14:paraId="1A26E968"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382.8</w:t>
            </w:r>
          </w:p>
        </w:tc>
      </w:tr>
      <w:tr w:rsidR="007E4A31" w:rsidRPr="00B07320" w14:paraId="3D509B3C" w14:textId="77777777" w:rsidTr="009647DE">
        <w:tc>
          <w:tcPr>
            <w:tcW w:w="484" w:type="dxa"/>
            <w:tcBorders>
              <w:top w:val="single" w:sz="4" w:space="0" w:color="000000"/>
              <w:bottom w:val="single" w:sz="12" w:space="0" w:color="000000"/>
            </w:tcBorders>
            <w:vAlign w:val="center"/>
          </w:tcPr>
          <w:p w14:paraId="433D8F3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131</w:t>
            </w:r>
          </w:p>
        </w:tc>
        <w:tc>
          <w:tcPr>
            <w:tcW w:w="1964" w:type="dxa"/>
            <w:tcBorders>
              <w:top w:val="single" w:sz="4" w:space="0" w:color="000000"/>
              <w:bottom w:val="single" w:sz="12" w:space="0" w:color="000000"/>
            </w:tcBorders>
            <w:vAlign w:val="center"/>
          </w:tcPr>
          <w:p w14:paraId="2BAB58A4"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West Point</w:t>
            </w:r>
          </w:p>
        </w:tc>
        <w:tc>
          <w:tcPr>
            <w:tcW w:w="1620" w:type="dxa"/>
            <w:vMerge/>
            <w:tcBorders>
              <w:top w:val="single" w:sz="4" w:space="0" w:color="000000"/>
              <w:bottom w:val="single" w:sz="12" w:space="0" w:color="000000"/>
            </w:tcBorders>
            <w:vAlign w:val="center"/>
          </w:tcPr>
          <w:p w14:paraId="67745F7F" w14:textId="77777777" w:rsidR="007E4A31" w:rsidRPr="00B07320" w:rsidRDefault="007E4A31" w:rsidP="005E6DC1">
            <w:pPr>
              <w:spacing w:before="40" w:after="40" w:line="240" w:lineRule="auto"/>
              <w:ind w:firstLine="0"/>
              <w:rPr>
                <w:sz w:val="16"/>
                <w:szCs w:val="16"/>
              </w:rPr>
            </w:pPr>
          </w:p>
        </w:tc>
        <w:tc>
          <w:tcPr>
            <w:tcW w:w="1170" w:type="dxa"/>
            <w:tcBorders>
              <w:top w:val="single" w:sz="4" w:space="0" w:color="000000"/>
              <w:bottom w:val="single" w:sz="12" w:space="0" w:color="000000"/>
            </w:tcBorders>
            <w:vAlign w:val="center"/>
          </w:tcPr>
          <w:p w14:paraId="768075C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tcBorders>
              <w:top w:val="single" w:sz="4" w:space="0" w:color="000000"/>
              <w:bottom w:val="single" w:sz="12" w:space="0" w:color="000000"/>
            </w:tcBorders>
            <w:vAlign w:val="center"/>
          </w:tcPr>
          <w:p w14:paraId="39327F8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tcBorders>
              <w:top w:val="single" w:sz="4" w:space="0" w:color="000000"/>
              <w:bottom w:val="single" w:sz="12" w:space="0" w:color="000000"/>
            </w:tcBorders>
            <w:vAlign w:val="center"/>
          </w:tcPr>
          <w:p w14:paraId="61530ED2"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73.3</w:t>
            </w:r>
          </w:p>
        </w:tc>
        <w:tc>
          <w:tcPr>
            <w:tcW w:w="1714" w:type="dxa"/>
            <w:tcBorders>
              <w:top w:val="single" w:sz="4" w:space="0" w:color="000000"/>
              <w:bottom w:val="single" w:sz="12" w:space="0" w:color="000000"/>
            </w:tcBorders>
            <w:vAlign w:val="center"/>
          </w:tcPr>
          <w:p w14:paraId="4A6C71A5" w14:textId="77777777" w:rsidR="007E4A31" w:rsidRPr="00036189" w:rsidRDefault="007E4A31" w:rsidP="005E6DC1">
            <w:pPr>
              <w:spacing w:before="40" w:after="40" w:line="240" w:lineRule="auto"/>
              <w:ind w:firstLine="0"/>
              <w:rPr>
                <w:rFonts w:eastAsia="Times New Roman"/>
                <w:b/>
                <w:sz w:val="16"/>
                <w:szCs w:val="16"/>
                <w:highlight w:val="yellow"/>
                <w:lang w:eastAsia="zh-TW"/>
              </w:rPr>
            </w:pPr>
            <w:r>
              <w:rPr>
                <w:color w:val="000000"/>
                <w:sz w:val="16"/>
                <w:szCs w:val="16"/>
              </w:rPr>
              <w:t>173.3</w:t>
            </w:r>
          </w:p>
        </w:tc>
      </w:tr>
      <w:tr w:rsidR="007E4A31" w:rsidRPr="00B07320" w14:paraId="7DB3D5FE" w14:textId="77777777" w:rsidTr="009647DE">
        <w:tc>
          <w:tcPr>
            <w:tcW w:w="9576" w:type="dxa"/>
            <w:gridSpan w:val="7"/>
            <w:tcBorders>
              <w:top w:val="single" w:sz="12" w:space="0" w:color="000000"/>
            </w:tcBorders>
            <w:vAlign w:val="center"/>
          </w:tcPr>
          <w:p w14:paraId="586033E6" w14:textId="77777777" w:rsidR="007E4A31" w:rsidRPr="00B07320" w:rsidRDefault="007E4A31" w:rsidP="005E6DC1">
            <w:pPr>
              <w:spacing w:before="40" w:after="40" w:line="240" w:lineRule="auto"/>
              <w:ind w:firstLine="0"/>
              <w:rPr>
                <w:rFonts w:eastAsia="Times New Roman"/>
                <w:b/>
                <w:sz w:val="16"/>
                <w:szCs w:val="16"/>
              </w:rPr>
            </w:pPr>
            <w:r w:rsidRPr="00B07320">
              <w:rPr>
                <w:b/>
                <w:i/>
                <w:sz w:val="16"/>
                <w:szCs w:val="16"/>
              </w:rPr>
              <w:t>SEPA-4 Jim Woodruff</w:t>
            </w:r>
          </w:p>
        </w:tc>
      </w:tr>
      <w:tr w:rsidR="007E4A31" w:rsidRPr="00B07320" w14:paraId="6DBE04F0" w14:textId="77777777" w:rsidTr="009647DE">
        <w:tc>
          <w:tcPr>
            <w:tcW w:w="484" w:type="dxa"/>
            <w:vAlign w:val="center"/>
          </w:tcPr>
          <w:p w14:paraId="77257080"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132</w:t>
            </w:r>
          </w:p>
        </w:tc>
        <w:tc>
          <w:tcPr>
            <w:tcW w:w="1964" w:type="dxa"/>
            <w:vAlign w:val="center"/>
          </w:tcPr>
          <w:p w14:paraId="7259C8D2"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 Woodruff</w:t>
            </w:r>
          </w:p>
        </w:tc>
        <w:tc>
          <w:tcPr>
            <w:tcW w:w="1620" w:type="dxa"/>
            <w:vAlign w:val="center"/>
          </w:tcPr>
          <w:p w14:paraId="797A16E6"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Jim Woodruff</w:t>
            </w:r>
          </w:p>
        </w:tc>
        <w:tc>
          <w:tcPr>
            <w:tcW w:w="1170" w:type="dxa"/>
            <w:vAlign w:val="center"/>
          </w:tcPr>
          <w:p w14:paraId="5BCD6413"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USACE</w:t>
            </w:r>
          </w:p>
        </w:tc>
        <w:tc>
          <w:tcPr>
            <w:tcW w:w="1710" w:type="dxa"/>
            <w:vAlign w:val="center"/>
          </w:tcPr>
          <w:p w14:paraId="718503BE" w14:textId="77777777" w:rsidR="007E4A31" w:rsidRPr="00B07320" w:rsidRDefault="007E4A31" w:rsidP="005E6DC1">
            <w:pPr>
              <w:spacing w:before="40" w:after="40" w:line="240" w:lineRule="auto"/>
              <w:ind w:firstLine="0"/>
              <w:rPr>
                <w:rFonts w:eastAsia="Times New Roman"/>
                <w:b/>
                <w:sz w:val="16"/>
                <w:szCs w:val="16"/>
              </w:rPr>
            </w:pPr>
            <w:r w:rsidRPr="00B07320">
              <w:rPr>
                <w:sz w:val="16"/>
                <w:szCs w:val="16"/>
              </w:rPr>
              <w:t>Conventional Hydro</w:t>
            </w:r>
          </w:p>
        </w:tc>
        <w:tc>
          <w:tcPr>
            <w:tcW w:w="914" w:type="dxa"/>
            <w:vAlign w:val="center"/>
          </w:tcPr>
          <w:p w14:paraId="16ED7DDF" w14:textId="77777777" w:rsidR="007E4A31" w:rsidRPr="00B07320" w:rsidRDefault="007E4A31" w:rsidP="005E6DC1">
            <w:pPr>
              <w:spacing w:before="40" w:after="40" w:line="240" w:lineRule="auto"/>
              <w:ind w:firstLine="0"/>
              <w:rPr>
                <w:rFonts w:eastAsia="Times New Roman"/>
                <w:b/>
                <w:sz w:val="16"/>
                <w:szCs w:val="16"/>
              </w:rPr>
            </w:pPr>
            <w:r>
              <w:rPr>
                <w:color w:val="000000"/>
                <w:sz w:val="16"/>
                <w:szCs w:val="16"/>
              </w:rPr>
              <w:t>43.5</w:t>
            </w:r>
          </w:p>
        </w:tc>
        <w:tc>
          <w:tcPr>
            <w:tcW w:w="1714" w:type="dxa"/>
            <w:vAlign w:val="center"/>
          </w:tcPr>
          <w:p w14:paraId="30029294" w14:textId="77777777" w:rsidR="007E4A31" w:rsidRPr="00B07320" w:rsidRDefault="007E4A31" w:rsidP="005E6DC1">
            <w:pPr>
              <w:spacing w:before="40" w:after="40" w:line="240" w:lineRule="auto"/>
              <w:ind w:firstLine="0"/>
              <w:rPr>
                <w:rFonts w:eastAsia="Times New Roman"/>
                <w:b/>
                <w:sz w:val="16"/>
                <w:szCs w:val="16"/>
                <w:lang w:eastAsia="zh-TW"/>
              </w:rPr>
            </w:pPr>
            <w:r>
              <w:rPr>
                <w:color w:val="000000"/>
                <w:sz w:val="16"/>
                <w:szCs w:val="16"/>
              </w:rPr>
              <w:t>202.1</w:t>
            </w:r>
          </w:p>
        </w:tc>
      </w:tr>
    </w:tbl>
    <w:p w14:paraId="2DD06ED7" w14:textId="2432F106" w:rsidR="007E4A31" w:rsidRPr="00A9239C" w:rsidRDefault="007E4A31" w:rsidP="007E4A31">
      <w:pPr>
        <w:spacing w:before="120" w:after="120"/>
        <w:ind w:left="187" w:hanging="187"/>
        <w:rPr>
          <w:color w:val="000000"/>
          <w:sz w:val="16"/>
          <w:szCs w:val="16"/>
        </w:rPr>
      </w:pPr>
      <w:r w:rsidRPr="00A9239C">
        <w:rPr>
          <w:i/>
          <w:sz w:val="16"/>
          <w:szCs w:val="16"/>
          <w:vertAlign w:val="superscript"/>
        </w:rPr>
        <w:t>a</w:t>
      </w:r>
      <w:r w:rsidRPr="00A9239C">
        <w:rPr>
          <w:sz w:val="16"/>
          <w:szCs w:val="16"/>
        </w:rPr>
        <w:t xml:space="preserve"> </w:t>
      </w:r>
      <w:r w:rsidRPr="00A9239C">
        <w:rPr>
          <w:sz w:val="16"/>
          <w:szCs w:val="16"/>
        </w:rPr>
        <w:tab/>
        <w:t>Two of the four Yellowtail units are marketed as a Pick-Sloan</w:t>
      </w:r>
      <w:r w:rsidR="006C6778">
        <w:rPr>
          <w:sz w:val="16"/>
          <w:szCs w:val="16"/>
        </w:rPr>
        <w:t xml:space="preserve"> </w:t>
      </w:r>
      <w:r w:rsidRPr="00A9239C">
        <w:rPr>
          <w:sz w:val="16"/>
          <w:szCs w:val="16"/>
        </w:rPr>
        <w:t xml:space="preserve">Eastern Division resource and two are marketed as a </w:t>
      </w:r>
      <w:r w:rsidR="00607B9F">
        <w:rPr>
          <w:sz w:val="16"/>
          <w:szCs w:val="16"/>
        </w:rPr>
        <w:t>Loveland Area Projects</w:t>
      </w:r>
      <w:r w:rsidR="00607B9F" w:rsidRPr="00A9239C">
        <w:rPr>
          <w:sz w:val="16"/>
          <w:szCs w:val="16"/>
        </w:rPr>
        <w:t xml:space="preserve"> </w:t>
      </w:r>
      <w:r w:rsidRPr="00A9239C">
        <w:rPr>
          <w:sz w:val="16"/>
          <w:szCs w:val="16"/>
        </w:rPr>
        <w:t xml:space="preserve">resource. </w:t>
      </w:r>
      <w:r w:rsidRPr="00A9239C">
        <w:rPr>
          <w:color w:val="000000"/>
          <w:sz w:val="16"/>
          <w:szCs w:val="16"/>
        </w:rPr>
        <w:t xml:space="preserve">For the purposes of this analysis, the entire Yellowtail plant is included in the </w:t>
      </w:r>
      <w:r w:rsidRPr="00A9239C">
        <w:rPr>
          <w:sz w:val="16"/>
          <w:szCs w:val="16"/>
        </w:rPr>
        <w:t>Pick-Sloan</w:t>
      </w:r>
      <w:r w:rsidR="006C6778">
        <w:rPr>
          <w:sz w:val="16"/>
          <w:szCs w:val="16"/>
        </w:rPr>
        <w:t xml:space="preserve"> </w:t>
      </w:r>
      <w:r w:rsidRPr="00A9239C">
        <w:rPr>
          <w:sz w:val="16"/>
          <w:szCs w:val="16"/>
        </w:rPr>
        <w:t>Eastern Division</w:t>
      </w:r>
      <w:r w:rsidRPr="00A9239C">
        <w:rPr>
          <w:color w:val="000000"/>
          <w:sz w:val="16"/>
          <w:szCs w:val="16"/>
        </w:rPr>
        <w:t>.</w:t>
      </w:r>
    </w:p>
    <w:p w14:paraId="3038E721" w14:textId="2D0C6F6C" w:rsidR="007E4A31" w:rsidRPr="00A9239C" w:rsidRDefault="007E4A31" w:rsidP="007E4A31">
      <w:pPr>
        <w:spacing w:before="120" w:after="120"/>
        <w:ind w:left="187" w:hanging="187"/>
        <w:rPr>
          <w:sz w:val="16"/>
          <w:szCs w:val="16"/>
        </w:rPr>
      </w:pPr>
      <w:r w:rsidRPr="00A9239C">
        <w:rPr>
          <w:i/>
          <w:sz w:val="16"/>
          <w:szCs w:val="16"/>
          <w:vertAlign w:val="superscript"/>
        </w:rPr>
        <w:t>b</w:t>
      </w:r>
      <w:r w:rsidRPr="00A9239C">
        <w:rPr>
          <w:i/>
          <w:sz w:val="16"/>
          <w:szCs w:val="16"/>
          <w:vertAlign w:val="superscript"/>
        </w:rPr>
        <w:tab/>
      </w:r>
      <w:r w:rsidRPr="00A9239C">
        <w:rPr>
          <w:sz w:val="16"/>
          <w:szCs w:val="16"/>
        </w:rPr>
        <w:t xml:space="preserve">The pumpback feature of the reversible unit at Cannon has not been used in regular operation (other than initial tests). As the reservoir has to be significantly low for the pumpback to function, it has not been </w:t>
      </w:r>
      <w:r w:rsidR="00654E57">
        <w:rPr>
          <w:sz w:val="16"/>
          <w:szCs w:val="16"/>
        </w:rPr>
        <w:t xml:space="preserve">the </w:t>
      </w:r>
      <w:r w:rsidRPr="00A9239C">
        <w:rPr>
          <w:sz w:val="16"/>
          <w:szCs w:val="16"/>
        </w:rPr>
        <w:t>practice to use the feature. The reversible unit is used regularly like conventional hydro.</w:t>
      </w:r>
    </w:p>
    <w:p w14:paraId="1207993C" w14:textId="77777777" w:rsidR="007E4A31" w:rsidRPr="00A9239C" w:rsidRDefault="007E4A31" w:rsidP="007E4A31">
      <w:pPr>
        <w:spacing w:before="120" w:after="120"/>
        <w:ind w:left="187" w:hanging="187"/>
        <w:rPr>
          <w:sz w:val="16"/>
          <w:szCs w:val="16"/>
        </w:rPr>
      </w:pPr>
      <w:r w:rsidRPr="00A9239C">
        <w:rPr>
          <w:i/>
          <w:sz w:val="16"/>
          <w:szCs w:val="16"/>
          <w:vertAlign w:val="superscript"/>
        </w:rPr>
        <w:t>c</w:t>
      </w:r>
      <w:r w:rsidRPr="00A9239C">
        <w:rPr>
          <w:i/>
          <w:sz w:val="16"/>
          <w:szCs w:val="16"/>
          <w:vertAlign w:val="superscript"/>
        </w:rPr>
        <w:tab/>
      </w:r>
      <w:r w:rsidRPr="00A9239C">
        <w:rPr>
          <w:sz w:val="16"/>
          <w:szCs w:val="16"/>
        </w:rPr>
        <w:t>Although Harry S. Truman has the capability of pumped storage through multiple reversible units, it is used as conventional hydro because of state objections to the use of the pumpback function. It is currently not available as a pumped storage project.</w:t>
      </w:r>
    </w:p>
    <w:p w14:paraId="0A203706" w14:textId="151EE655" w:rsidR="000024B6" w:rsidRPr="00A9239C" w:rsidRDefault="000024B6" w:rsidP="000024B6">
      <w:pPr>
        <w:spacing w:before="120" w:after="120"/>
        <w:ind w:left="187" w:hanging="187"/>
        <w:rPr>
          <w:sz w:val="16"/>
          <w:szCs w:val="16"/>
        </w:rPr>
      </w:pPr>
      <w:r>
        <w:rPr>
          <w:i/>
          <w:sz w:val="16"/>
          <w:szCs w:val="16"/>
          <w:vertAlign w:val="superscript"/>
        </w:rPr>
        <w:t>d</w:t>
      </w:r>
      <w:r w:rsidRPr="00A9239C">
        <w:rPr>
          <w:i/>
          <w:sz w:val="16"/>
          <w:szCs w:val="16"/>
          <w:vertAlign w:val="superscript"/>
        </w:rPr>
        <w:tab/>
      </w:r>
      <w:r w:rsidRPr="009E72FE">
        <w:rPr>
          <w:sz w:val="16"/>
          <w:szCs w:val="16"/>
        </w:rPr>
        <w:t xml:space="preserve">Broken Bow in the Red River Basin is included in SWPA-2 </w:t>
      </w:r>
      <w:r w:rsidR="00654E57">
        <w:rPr>
          <w:sz w:val="16"/>
          <w:szCs w:val="16"/>
        </w:rPr>
        <w:t xml:space="preserve">because of an </w:t>
      </w:r>
      <w:r w:rsidRPr="009E72FE">
        <w:rPr>
          <w:sz w:val="16"/>
          <w:szCs w:val="16"/>
        </w:rPr>
        <w:t>interconnected system reason.</w:t>
      </w:r>
    </w:p>
    <w:p w14:paraId="47EE6873" w14:textId="77777777" w:rsidR="007E4A31" w:rsidRDefault="007E4A31" w:rsidP="007E4A31">
      <w:pPr>
        <w:pStyle w:val="BodyText"/>
        <w:rPr>
          <w:snapToGrid/>
        </w:rPr>
      </w:pPr>
    </w:p>
    <w:p w14:paraId="2029D5D3" w14:textId="77777777" w:rsidR="007E4A31" w:rsidRDefault="007E4A31" w:rsidP="007E4A31">
      <w:pPr>
        <w:pStyle w:val="BodyText"/>
        <w:rPr>
          <w:snapToGrid/>
        </w:rPr>
      </w:pPr>
    </w:p>
    <w:p w14:paraId="7FFCD584" w14:textId="77777777" w:rsidR="007E4A31" w:rsidRDefault="007E4A31" w:rsidP="007E4A31">
      <w:pPr>
        <w:pStyle w:val="BodyText"/>
        <w:rPr>
          <w:snapToGrid/>
        </w:rPr>
        <w:sectPr w:rsidR="007E4A31" w:rsidSect="00CC3514">
          <w:footerReference w:type="default" r:id="rId435"/>
          <w:pgSz w:w="12240" w:h="15840" w:code="1"/>
          <w:pgMar w:top="1440" w:right="1440" w:bottom="1440" w:left="1440" w:header="720" w:footer="720" w:gutter="0"/>
          <w:pgNumType w:start="1" w:chapStyle="9"/>
          <w:cols w:space="720"/>
          <w:docGrid w:linePitch="360"/>
        </w:sectPr>
      </w:pPr>
    </w:p>
    <w:p w14:paraId="5C18302F" w14:textId="1887EC16" w:rsidR="007E4A31" w:rsidRDefault="00B3583E" w:rsidP="006941DB">
      <w:pPr>
        <w:pStyle w:val="Heading9"/>
      </w:pPr>
      <w:bookmarkStart w:id="615" w:name="_Ref106977839"/>
      <w:bookmarkStart w:id="616" w:name="_Ref75948561"/>
      <w:bookmarkStart w:id="617" w:name="_Toc113380856"/>
      <w:r>
        <w:lastRenderedPageBreak/>
        <w:t xml:space="preserve">EVALUATION OF </w:t>
      </w:r>
      <w:bookmarkEnd w:id="615"/>
      <w:r w:rsidR="007E69F2">
        <w:t>CLIMATE MODEL</w:t>
      </w:r>
      <w:bookmarkEnd w:id="616"/>
      <w:bookmarkEnd w:id="617"/>
    </w:p>
    <w:p w14:paraId="36635C7C" w14:textId="4678A1E0" w:rsidR="00830105" w:rsidRDefault="00E2471C" w:rsidP="00830105">
      <w:pPr>
        <w:pStyle w:val="BodyText"/>
        <w:rPr>
          <w:rFonts w:eastAsiaTheme="minorEastAsia"/>
          <w:lang w:eastAsia="zh-TW"/>
        </w:rPr>
      </w:pPr>
      <w:r w:rsidRPr="0035316E">
        <w:t xml:space="preserve">The selection of a wide range of matrices is to ensure </w:t>
      </w:r>
      <w:r w:rsidR="00953839">
        <w:t xml:space="preserve">a </w:t>
      </w:r>
      <w:r w:rsidRPr="0035316E">
        <w:t xml:space="preserve">comprehensive evaluation of spatial and temporal distributions of precipitation and temperature </w:t>
      </w:r>
      <w:r w:rsidR="00953839">
        <w:t xml:space="preserve">across </w:t>
      </w:r>
      <w:r w:rsidRPr="0035316E">
        <w:t xml:space="preserve">CMIP6 GCMs. Additionally, the representation of three natural modes of climate variability, namely North Atlantic Oscillation (NAO), El Niño-Southern Oscillation (ENSO) and Pacific Decadal Oscillation (PDO), and their impacts on the distribution of </w:t>
      </w:r>
      <w:r w:rsidR="00E80222">
        <w:t>DJF</w:t>
      </w:r>
      <w:r w:rsidRPr="0035316E">
        <w:t xml:space="preserve"> (winter) precipitation and temperature </w:t>
      </w:r>
      <w:r>
        <w:t>have also been evaluated</w:t>
      </w:r>
      <w:r w:rsidRPr="0035316E">
        <w:t xml:space="preserve">. These three modes are known to have an impact on the climate </w:t>
      </w:r>
      <w:r>
        <w:t xml:space="preserve">variability </w:t>
      </w:r>
      <w:r w:rsidRPr="0035316E">
        <w:t>over North America at seasonal to decadal time</w:t>
      </w:r>
      <w:r w:rsidR="00992261">
        <w:t xml:space="preserve"> </w:t>
      </w:r>
      <w:r w:rsidRPr="0035316E">
        <w:t>scale</w:t>
      </w:r>
      <w:r>
        <w:t>s</w:t>
      </w:r>
      <w:r w:rsidRPr="0035316E">
        <w:t xml:space="preserve"> and typically their influences are the strongest during the wintertime.</w:t>
      </w:r>
    </w:p>
    <w:p w14:paraId="380AF1BB" w14:textId="7AA16C5B" w:rsidR="00E2471C" w:rsidRDefault="00B3004F" w:rsidP="00830105">
      <w:pPr>
        <w:pStyle w:val="BodyText"/>
        <w:rPr>
          <w:rFonts w:eastAsiaTheme="minorEastAsia"/>
          <w:lang w:eastAsia="zh-TW"/>
        </w:rPr>
      </w:pPr>
      <w:r w:rsidRPr="00E2471C">
        <w:rPr>
          <w:rFonts w:eastAsiaTheme="minorEastAsia"/>
          <w:lang w:eastAsia="zh-TW"/>
        </w:rPr>
        <w:t>All the GCMs and reference</w:t>
      </w:r>
      <w:r w:rsidR="00D64187">
        <w:rPr>
          <w:rFonts w:eastAsiaTheme="minorEastAsia"/>
          <w:lang w:eastAsia="zh-TW"/>
        </w:rPr>
        <w:t xml:space="preserve"> </w:t>
      </w:r>
      <w:r w:rsidR="005606E5">
        <w:rPr>
          <w:rFonts w:eastAsiaTheme="minorEastAsia"/>
          <w:lang w:eastAsia="zh-TW"/>
        </w:rPr>
        <w:t>data sets</w:t>
      </w:r>
      <w:r w:rsidR="00D64187">
        <w:rPr>
          <w:rFonts w:eastAsiaTheme="minorEastAsia"/>
          <w:lang w:eastAsia="zh-TW"/>
        </w:rPr>
        <w:t xml:space="preserve"> </w:t>
      </w:r>
      <w:r w:rsidRPr="00E2471C">
        <w:rPr>
          <w:rFonts w:eastAsiaTheme="minorEastAsia"/>
          <w:lang w:eastAsia="zh-TW"/>
        </w:rPr>
        <w:t xml:space="preserve">are remapped to a common </w:t>
      </w:r>
      <w:r w:rsidRPr="0045734B">
        <w:t>1</w:t>
      </w:r>
      <w:r>
        <w:t xml:space="preserve">° latitude-longitude </w:t>
      </w:r>
      <w:r w:rsidRPr="00E2471C">
        <w:rPr>
          <w:rFonts w:eastAsiaTheme="minorEastAsia"/>
          <w:lang w:eastAsia="zh-TW"/>
        </w:rPr>
        <w:t xml:space="preserve">grid for comparisons. The 60 evaluation criteria include </w:t>
      </w:r>
      <w:r>
        <w:rPr>
          <w:rFonts w:eastAsiaTheme="minorEastAsia"/>
          <w:lang w:eastAsia="zh-TW"/>
        </w:rPr>
        <w:t xml:space="preserve">both </w:t>
      </w:r>
      <w:r w:rsidRPr="00E2471C">
        <w:rPr>
          <w:rFonts w:eastAsiaTheme="minorEastAsia"/>
          <w:lang w:eastAsia="zh-TW"/>
        </w:rPr>
        <w:t xml:space="preserve">standalone </w:t>
      </w:r>
      <w:r>
        <w:rPr>
          <w:rFonts w:eastAsiaTheme="minorEastAsia"/>
          <w:lang w:eastAsia="zh-TW"/>
        </w:rPr>
        <w:t xml:space="preserve">and </w:t>
      </w:r>
      <w:r w:rsidRPr="00E2471C">
        <w:rPr>
          <w:rFonts w:eastAsiaTheme="minorEastAsia"/>
          <w:lang w:eastAsia="zh-TW"/>
        </w:rPr>
        <w:t xml:space="preserve">derived matrices. For each standalone matrix, model disagreement is calculated as percent departure from the reference data. Several derived matrices are based on the calculation of Taylor score, which is a combination of </w:t>
      </w:r>
      <w:r w:rsidR="008C3834">
        <w:rPr>
          <w:rFonts w:eastAsiaTheme="minorEastAsia"/>
          <w:lang w:eastAsia="zh-TW"/>
        </w:rPr>
        <w:t>RMSE</w:t>
      </w:r>
      <w:r w:rsidRPr="00E2471C">
        <w:rPr>
          <w:rFonts w:eastAsiaTheme="minorEastAsia"/>
          <w:lang w:eastAsia="zh-TW"/>
        </w:rPr>
        <w:t xml:space="preserve">, bias, and pattern correlation. Model disagreements for each of the three statistical measures are calculated as percent departures from the reference data, and their averages represent the Taylor score for that matrix. For the diurnal cycle matrix, Taylor score is separately calculated for four seasons which is subsequently averaged to get the final measure. Similarly, Taylor score for the matrix representing precipitation from moderate to extreme events is also based on the average of individual Taylor scores for precipitation from events exceeding </w:t>
      </w:r>
      <w:r>
        <w:rPr>
          <w:rFonts w:eastAsiaTheme="minorEastAsia"/>
          <w:lang w:eastAsia="zh-TW"/>
        </w:rPr>
        <w:t>75</w:t>
      </w:r>
      <w:r w:rsidR="00FA458A" w:rsidRPr="00FA458A">
        <w:rPr>
          <w:rFonts w:eastAsiaTheme="minorEastAsia"/>
          <w:lang w:eastAsia="zh-TW"/>
        </w:rPr>
        <w:t>th</w:t>
      </w:r>
      <w:r w:rsidRPr="00E2471C">
        <w:rPr>
          <w:rFonts w:eastAsiaTheme="minorEastAsia"/>
          <w:lang w:eastAsia="zh-TW"/>
        </w:rPr>
        <w:t>, 90</w:t>
      </w:r>
      <w:r w:rsidR="00FA458A" w:rsidRPr="00FA458A">
        <w:rPr>
          <w:rFonts w:eastAsiaTheme="minorEastAsia"/>
          <w:lang w:eastAsia="zh-TW"/>
        </w:rPr>
        <w:t>th</w:t>
      </w:r>
      <w:r w:rsidRPr="00E2471C">
        <w:rPr>
          <w:rFonts w:eastAsiaTheme="minorEastAsia"/>
          <w:lang w:eastAsia="zh-TW"/>
        </w:rPr>
        <w:t xml:space="preserve">, </w:t>
      </w:r>
      <w:r>
        <w:rPr>
          <w:rFonts w:eastAsiaTheme="minorEastAsia"/>
          <w:lang w:eastAsia="zh-TW"/>
        </w:rPr>
        <w:t>95</w:t>
      </w:r>
      <w:r w:rsidR="00FA458A" w:rsidRPr="00FA458A">
        <w:rPr>
          <w:rFonts w:eastAsiaTheme="minorEastAsia"/>
          <w:lang w:eastAsia="zh-TW"/>
        </w:rPr>
        <w:t>th</w:t>
      </w:r>
      <w:r w:rsidRPr="00E2471C">
        <w:rPr>
          <w:rFonts w:eastAsiaTheme="minorEastAsia"/>
          <w:lang w:eastAsia="zh-TW"/>
        </w:rPr>
        <w:t>, and 99</w:t>
      </w:r>
      <w:r w:rsidR="00FA458A" w:rsidRPr="00FA458A">
        <w:rPr>
          <w:rFonts w:eastAsiaTheme="minorEastAsia"/>
          <w:lang w:eastAsia="zh-TW"/>
        </w:rPr>
        <w:t>th</w:t>
      </w:r>
      <w:r w:rsidRPr="00E2471C">
        <w:rPr>
          <w:rFonts w:eastAsiaTheme="minorEastAsia"/>
          <w:lang w:eastAsia="zh-TW"/>
        </w:rPr>
        <w:t xml:space="preserve"> percentiles of precipitation. The combination of all seasons in one matrix for diurnal cycle and four kinds of events ranging from moderate to extreme precipitation magnitudes in one matrix is due to their relatively high correlations. The dispersion matrix is an average of </w:t>
      </w:r>
      <w:r>
        <w:rPr>
          <w:rFonts w:eastAsiaTheme="minorEastAsia"/>
          <w:lang w:eastAsia="zh-TW"/>
        </w:rPr>
        <w:t>Taylor score</w:t>
      </w:r>
      <w:r w:rsidR="00654E57">
        <w:rPr>
          <w:rFonts w:eastAsiaTheme="minorEastAsia"/>
          <w:lang w:eastAsia="zh-TW"/>
        </w:rPr>
        <w:t>s</w:t>
      </w:r>
      <w:r>
        <w:rPr>
          <w:rFonts w:eastAsiaTheme="minorEastAsia"/>
          <w:lang w:eastAsia="zh-TW"/>
        </w:rPr>
        <w:t xml:space="preserve"> across 20</w:t>
      </w:r>
      <w:r w:rsidRPr="00E2471C">
        <w:rPr>
          <w:rFonts w:eastAsiaTheme="minorEastAsia"/>
          <w:lang w:eastAsia="zh-TW"/>
        </w:rPr>
        <w:t xml:space="preserve"> indices, which are calculated after transforming the 3-dimensional (time, latitude, longitude) data into 1</w:t>
      </w:r>
      <w:r w:rsidR="00654E57">
        <w:rPr>
          <w:rFonts w:eastAsiaTheme="minorEastAsia"/>
          <w:lang w:eastAsia="zh-TW"/>
        </w:rPr>
        <w:t xml:space="preserve"> </w:t>
      </w:r>
      <w:r w:rsidRPr="00E2471C">
        <w:rPr>
          <w:rFonts w:eastAsiaTheme="minorEastAsia"/>
          <w:lang w:eastAsia="zh-TW"/>
        </w:rPr>
        <w:t>dimension</w:t>
      </w:r>
      <w:r w:rsidR="00D17507">
        <w:rPr>
          <w:rFonts w:eastAsiaTheme="minorEastAsia"/>
          <w:lang w:eastAsia="zh-TW"/>
        </w:rPr>
        <w:t>.</w:t>
      </w:r>
      <w:r w:rsidR="00D17507">
        <w:rPr>
          <w:rStyle w:val="FootnoteReference"/>
          <w:rFonts w:eastAsiaTheme="minorEastAsia"/>
          <w:lang w:eastAsia="zh-TW"/>
        </w:rPr>
        <w:footnoteReference w:id="30"/>
      </w:r>
      <w:r>
        <w:rPr>
          <w:rFonts w:eastAsiaTheme="minorEastAsia"/>
          <w:lang w:eastAsia="zh-TW"/>
        </w:rPr>
        <w:t xml:space="preserve"> </w:t>
      </w:r>
      <w:r w:rsidRPr="00E2471C">
        <w:rPr>
          <w:rFonts w:eastAsiaTheme="minorEastAsia"/>
          <w:lang w:eastAsia="zh-TW"/>
        </w:rPr>
        <w:t xml:space="preserve">The PDO index is based on the first EOF of sea surface temperature over Northern Pacific (20°N–70°N, 110°E–260°E). The ENSO index is based on the sea surface temperature anomalies over the Nino3.4 region (5°S–5°N, 170°W–120°W). In both cases, temporally varying global mean is removed from the sea surface temperatures to remove any impact of global warming. The NAO index is based on the first EOF of detrended sea level pressure over Northern Atlantic (20°N–80°N, 90°W–40°E). </w:t>
      </w:r>
      <w:r>
        <w:rPr>
          <w:rFonts w:eastAsiaTheme="minorEastAsia"/>
          <w:lang w:eastAsia="zh-TW"/>
        </w:rPr>
        <w:t>The details of these indices can be found online at National Center for Atmospher</w:t>
      </w:r>
      <w:r w:rsidR="00654E57">
        <w:rPr>
          <w:rFonts w:eastAsiaTheme="minorEastAsia"/>
          <w:lang w:eastAsia="zh-TW"/>
        </w:rPr>
        <w:t>i</w:t>
      </w:r>
      <w:r>
        <w:rPr>
          <w:rFonts w:eastAsiaTheme="minorEastAsia"/>
          <w:lang w:eastAsia="zh-TW"/>
        </w:rPr>
        <w:t>c Research climate data guid</w:t>
      </w:r>
      <w:r w:rsidR="00DF485F">
        <w:rPr>
          <w:rFonts w:eastAsiaTheme="minorEastAsia"/>
          <w:lang w:eastAsia="zh-TW"/>
        </w:rPr>
        <w:t>e</w:t>
      </w:r>
      <w:r>
        <w:rPr>
          <w:rFonts w:eastAsiaTheme="minorEastAsia"/>
          <w:lang w:eastAsia="zh-TW"/>
        </w:rPr>
        <w:t>.</w:t>
      </w:r>
      <w:r w:rsidR="00DF485F">
        <w:rPr>
          <w:rStyle w:val="FootnoteReference"/>
          <w:rFonts w:eastAsiaTheme="minorEastAsia"/>
          <w:lang w:eastAsia="zh-TW"/>
        </w:rPr>
        <w:footnoteReference w:id="31"/>
      </w:r>
      <w:r>
        <w:rPr>
          <w:rFonts w:eastAsiaTheme="minorEastAsia"/>
          <w:lang w:eastAsia="zh-TW"/>
        </w:rPr>
        <w:t xml:space="preserve"> </w:t>
      </w:r>
      <w:r w:rsidRPr="00E2471C">
        <w:rPr>
          <w:rFonts w:eastAsiaTheme="minorEastAsia"/>
          <w:lang w:eastAsia="zh-TW"/>
        </w:rPr>
        <w:t>The pattern correlation is used as a measure for GCMs skill in representing these modes of variability</w:t>
      </w:r>
      <w:r>
        <w:rPr>
          <w:rFonts w:eastAsiaTheme="minorEastAsia"/>
          <w:lang w:eastAsia="zh-TW"/>
        </w:rPr>
        <w:t xml:space="preserve"> and their influences on the distribution of precipitation and temperature across the CONUS</w:t>
      </w:r>
      <w:r w:rsidRPr="00E2471C">
        <w:rPr>
          <w:rFonts w:eastAsiaTheme="minorEastAsia"/>
          <w:lang w:eastAsia="zh-TW"/>
        </w:rPr>
        <w:t xml:space="preserve">. </w:t>
      </w:r>
      <w:r>
        <w:rPr>
          <w:rFonts w:eastAsiaTheme="minorEastAsia"/>
          <w:lang w:eastAsia="zh-TW"/>
        </w:rPr>
        <w:t xml:space="preserve">For model evaluation, the entire </w:t>
      </w:r>
      <w:r w:rsidRPr="00E2471C">
        <w:rPr>
          <w:rFonts w:eastAsiaTheme="minorEastAsia"/>
          <w:lang w:eastAsia="zh-TW"/>
        </w:rPr>
        <w:t xml:space="preserve">CONUS </w:t>
      </w:r>
      <w:r>
        <w:rPr>
          <w:rFonts w:eastAsiaTheme="minorEastAsia"/>
          <w:lang w:eastAsia="zh-TW"/>
        </w:rPr>
        <w:t xml:space="preserve">is </w:t>
      </w:r>
      <w:r w:rsidRPr="00E2471C">
        <w:rPr>
          <w:rFonts w:eastAsiaTheme="minorEastAsia"/>
          <w:lang w:eastAsia="zh-TW"/>
        </w:rPr>
        <w:t>divided in four parts</w:t>
      </w:r>
      <w:r w:rsidR="00CC6433" w:rsidRPr="00E2471C">
        <w:rPr>
          <w:rFonts w:eastAsiaTheme="minorEastAsia"/>
          <w:lang w:eastAsia="zh-TW"/>
        </w:rPr>
        <w:t xml:space="preserve"> (north, east, west</w:t>
      </w:r>
      <w:r w:rsidR="00CC6433">
        <w:rPr>
          <w:rFonts w:eastAsiaTheme="minorEastAsia"/>
          <w:lang w:eastAsia="zh-TW"/>
        </w:rPr>
        <w:t>,</w:t>
      </w:r>
      <w:r w:rsidR="00CC6433" w:rsidRPr="00E2471C">
        <w:rPr>
          <w:rFonts w:eastAsiaTheme="minorEastAsia"/>
          <w:lang w:eastAsia="zh-TW"/>
        </w:rPr>
        <w:t xml:space="preserve"> and sou</w:t>
      </w:r>
      <w:r w:rsidRPr="00E2471C">
        <w:rPr>
          <w:rFonts w:eastAsiaTheme="minorEastAsia"/>
          <w:lang w:eastAsia="zh-TW"/>
        </w:rPr>
        <w:t>th</w:t>
      </w:r>
      <w:r>
        <w:rPr>
          <w:rFonts w:eastAsiaTheme="minorEastAsia"/>
          <w:lang w:eastAsia="zh-TW"/>
        </w:rPr>
        <w:t xml:space="preserve">; </w:t>
      </w:r>
      <w:r w:rsidR="00DB1739">
        <w:rPr>
          <w:rFonts w:eastAsiaTheme="minorEastAsia"/>
          <w:lang w:eastAsia="zh-TW"/>
        </w:rPr>
        <w:t>Figure C.1</w:t>
      </w:r>
      <w:r w:rsidRPr="00E2471C">
        <w:rPr>
          <w:rFonts w:eastAsiaTheme="minorEastAsia"/>
          <w:lang w:eastAsia="zh-TW"/>
        </w:rPr>
        <w:t xml:space="preserve">) </w:t>
      </w:r>
      <w:r>
        <w:rPr>
          <w:rFonts w:eastAsiaTheme="minorEastAsia"/>
          <w:lang w:eastAsia="zh-TW"/>
        </w:rPr>
        <w:t>based on grouped HUC2 regions utilized by Naz et al. (2016)</w:t>
      </w:r>
      <w:r w:rsidRPr="00E2471C">
        <w:rPr>
          <w:rFonts w:eastAsiaTheme="minorEastAsia"/>
          <w:lang w:eastAsia="zh-TW"/>
        </w:rPr>
        <w:t xml:space="preserve">. All matrices are calculated separately for each of the four regions, which are subsequently averaged to calculate disagreements at </w:t>
      </w:r>
      <w:r>
        <w:rPr>
          <w:rFonts w:eastAsiaTheme="minorEastAsia"/>
          <w:lang w:eastAsia="zh-TW"/>
        </w:rPr>
        <w:t xml:space="preserve">the </w:t>
      </w:r>
      <w:r w:rsidRPr="00E2471C">
        <w:rPr>
          <w:rFonts w:eastAsiaTheme="minorEastAsia"/>
          <w:lang w:eastAsia="zh-TW"/>
        </w:rPr>
        <w:t>CONUS scale for each model.</w:t>
      </w:r>
    </w:p>
    <w:p w14:paraId="02ECF9B7" w14:textId="5E071013" w:rsidR="007A7C75" w:rsidRDefault="007A7C75" w:rsidP="00830105">
      <w:pPr>
        <w:pStyle w:val="BodyText"/>
        <w:rPr>
          <w:rFonts w:eastAsiaTheme="minorEastAsia"/>
          <w:lang w:eastAsia="zh-TW"/>
        </w:rPr>
      </w:pPr>
      <w:r w:rsidRPr="007A7C75">
        <w:rPr>
          <w:rFonts w:eastAsiaTheme="minorEastAsia"/>
          <w:lang w:eastAsia="zh-TW"/>
        </w:rPr>
        <w:t>Although attempts have been made to use distinct set of matrices for GCMs evaluation, high correlations are still possible given the nature of climate in the coupled Earth system</w:t>
      </w:r>
      <w:r w:rsidR="006B3B53">
        <w:rPr>
          <w:rFonts w:eastAsiaTheme="minorEastAsia"/>
          <w:lang w:eastAsia="zh-TW"/>
        </w:rPr>
        <w:t xml:space="preserve"> model</w:t>
      </w:r>
      <w:r w:rsidRPr="007A7C75">
        <w:rPr>
          <w:rFonts w:eastAsiaTheme="minorEastAsia"/>
          <w:lang w:eastAsia="zh-TW"/>
        </w:rPr>
        <w:t xml:space="preserve">. Therefore, following a technique proposed by Sanderson et al. (2017) for assigning weights to GCMs based on their uniqueness, a weighting methodology </w:t>
      </w:r>
      <w:r w:rsidR="00B473A9">
        <w:rPr>
          <w:rFonts w:eastAsiaTheme="minorEastAsia"/>
          <w:lang w:eastAsia="zh-TW"/>
        </w:rPr>
        <w:t>was devised</w:t>
      </w:r>
      <w:r w:rsidRPr="007A7C75">
        <w:rPr>
          <w:rFonts w:eastAsiaTheme="minorEastAsia"/>
          <w:lang w:eastAsia="zh-TW"/>
        </w:rPr>
        <w:t xml:space="preserve"> </w:t>
      </w:r>
      <w:r w:rsidR="00B473A9">
        <w:rPr>
          <w:rFonts w:eastAsiaTheme="minorEastAsia"/>
          <w:lang w:eastAsia="zh-TW"/>
        </w:rPr>
        <w:t>in which</w:t>
      </w:r>
      <w:r w:rsidR="00B473A9" w:rsidRPr="007A7C75">
        <w:rPr>
          <w:rFonts w:eastAsiaTheme="minorEastAsia"/>
          <w:lang w:eastAsia="zh-TW"/>
        </w:rPr>
        <w:t xml:space="preserve"> </w:t>
      </w:r>
      <w:r w:rsidRPr="007A7C75">
        <w:rPr>
          <w:rFonts w:eastAsiaTheme="minorEastAsia"/>
          <w:lang w:eastAsia="zh-TW"/>
        </w:rPr>
        <w:t xml:space="preserve">highly correlated matrices are </w:t>
      </w:r>
      <w:r w:rsidR="00CF6EA8">
        <w:rPr>
          <w:rFonts w:eastAsiaTheme="minorEastAsia"/>
          <w:lang w:eastAsia="zh-TW"/>
        </w:rPr>
        <w:t>down-weighted</w:t>
      </w:r>
      <w:r w:rsidRPr="007A7C75">
        <w:rPr>
          <w:rFonts w:eastAsiaTheme="minorEastAsia"/>
          <w:lang w:eastAsia="zh-TW"/>
        </w:rPr>
        <w:t>. First, all percent departures from the reference data for all matrices are converted to normalized relative errors as following:</w:t>
      </w:r>
    </w:p>
    <w:p w14:paraId="215C72A3" w14:textId="0D9B7634" w:rsidR="007A7C75" w:rsidRPr="002324C5" w:rsidRDefault="008043C8" w:rsidP="002324C5">
      <w:pPr>
        <w:rPr>
          <w:rFonts w:eastAsiaTheme="minorEastAsia"/>
          <w:szCs w:val="24"/>
        </w:rPr>
      </w:pPr>
      <m:oMath>
        <m:sSub>
          <m:sSubPr>
            <m:ctrlPr>
              <w:rPr>
                <w:rFonts w:ascii="Cambria Math" w:eastAsiaTheme="minorHAnsi" w:hAnsi="Cambria Math" w:cstheme="minorBidi"/>
                <w:i/>
                <w:szCs w:val="24"/>
                <w:lang w:bidi="ar-SA"/>
              </w:rPr>
            </m:ctrlPr>
          </m:sSubPr>
          <m:e>
            <m:r>
              <w:rPr>
                <w:rFonts w:ascii="Cambria Math" w:hAnsi="Cambria Math"/>
                <w:szCs w:val="24"/>
              </w:rPr>
              <m:t>RE</m:t>
            </m:r>
          </m:e>
          <m:sub>
            <m:r>
              <w:rPr>
                <w:rFonts w:ascii="Cambria Math" w:hAnsi="Cambria Math"/>
                <w:szCs w:val="24"/>
              </w:rPr>
              <m:t>G,i</m:t>
            </m:r>
          </m:sub>
        </m:sSub>
        <m:r>
          <w:rPr>
            <w:rFonts w:ascii="Cambria Math" w:hAnsi="Cambria Math"/>
            <w:szCs w:val="24"/>
          </w:rPr>
          <m:t>=</m:t>
        </m:r>
        <m:f>
          <m:fPr>
            <m:ctrlPr>
              <w:rPr>
                <w:rFonts w:ascii="Cambria Math" w:eastAsiaTheme="minorHAnsi" w:hAnsi="Cambria Math" w:cstheme="minorBidi"/>
                <w:i/>
                <w:szCs w:val="24"/>
                <w:lang w:bidi="ar-SA"/>
              </w:rPr>
            </m:ctrlPr>
          </m:fPr>
          <m:num>
            <m:sSub>
              <m:sSubPr>
                <m:ctrlPr>
                  <w:rPr>
                    <w:rFonts w:ascii="Cambria Math" w:eastAsiaTheme="minorHAnsi" w:hAnsi="Cambria Math" w:cstheme="minorBidi"/>
                    <w:i/>
                    <w:szCs w:val="24"/>
                    <w:lang w:bidi="ar-SA"/>
                  </w:rPr>
                </m:ctrlPr>
              </m:sSubPr>
              <m:e>
                <m:r>
                  <w:rPr>
                    <w:rFonts w:ascii="Cambria Math" w:hAnsi="Cambria Math"/>
                    <w:szCs w:val="24"/>
                  </w:rPr>
                  <m:t>PD</m:t>
                </m:r>
              </m:e>
              <m:sub>
                <m:r>
                  <w:rPr>
                    <w:rFonts w:ascii="Cambria Math" w:hAnsi="Cambria Math"/>
                    <w:szCs w:val="24"/>
                  </w:rPr>
                  <m:t>G,i</m:t>
                </m:r>
              </m:sub>
            </m:sSub>
            <m:r>
              <w:rPr>
                <w:rFonts w:ascii="Cambria Math" w:hAnsi="Cambria Math"/>
                <w:szCs w:val="24"/>
              </w:rPr>
              <m:t>-min</m:t>
            </m:r>
            <m:sSub>
              <m:sSubPr>
                <m:ctrlPr>
                  <w:rPr>
                    <w:rFonts w:ascii="Cambria Math" w:eastAsiaTheme="minorHAnsi" w:hAnsi="Cambria Math" w:cstheme="minorBidi"/>
                    <w:i/>
                    <w:szCs w:val="24"/>
                    <w:lang w:bidi="ar-SA"/>
                  </w:rPr>
                </m:ctrlPr>
              </m:sSubPr>
              <m:e>
                <m:r>
                  <w:rPr>
                    <w:rFonts w:ascii="Cambria Math" w:hAnsi="Cambria Math"/>
                    <w:szCs w:val="24"/>
                  </w:rPr>
                  <m:t>(PD</m:t>
                </m:r>
              </m:e>
              <m:sub>
                <m:sSub>
                  <m:sSubPr>
                    <m:ctrlPr>
                      <w:rPr>
                        <w:rFonts w:ascii="Cambria Math" w:hAnsi="Cambria Math"/>
                        <w:i/>
                        <w:szCs w:val="24"/>
                      </w:rPr>
                    </m:ctrlPr>
                  </m:sSubPr>
                  <m:e>
                    <m:r>
                      <w:rPr>
                        <w:rFonts w:ascii="Cambria Math" w:hAnsi="Cambria Math"/>
                        <w:szCs w:val="24"/>
                      </w:rPr>
                      <m:t>G</m:t>
                    </m:r>
                  </m:e>
                  <m:sub>
                    <m:r>
                      <w:rPr>
                        <w:rFonts w:ascii="Cambria Math" w:hAnsi="Cambria Math"/>
                        <w:szCs w:val="24"/>
                      </w:rPr>
                      <m:t>all</m:t>
                    </m:r>
                  </m:sub>
                </m:sSub>
                <m:r>
                  <w:rPr>
                    <w:rFonts w:ascii="Cambria Math" w:hAnsi="Cambria Math"/>
                    <w:szCs w:val="24"/>
                  </w:rPr>
                  <m:t>,i</m:t>
                </m:r>
              </m:sub>
            </m:sSub>
            <m:r>
              <w:rPr>
                <w:rFonts w:ascii="Cambria Math" w:hAnsi="Cambria Math"/>
                <w:szCs w:val="24"/>
              </w:rPr>
              <m:t>)</m:t>
            </m:r>
          </m:num>
          <m:den>
            <m:r>
              <w:rPr>
                <w:rFonts w:ascii="Cambria Math" w:hAnsi="Cambria Math"/>
                <w:szCs w:val="24"/>
              </w:rPr>
              <m:t>max</m:t>
            </m:r>
            <m:sSub>
              <m:sSubPr>
                <m:ctrlPr>
                  <w:rPr>
                    <w:rFonts w:ascii="Cambria Math" w:eastAsiaTheme="minorHAnsi" w:hAnsi="Cambria Math" w:cstheme="minorBidi"/>
                    <w:i/>
                    <w:szCs w:val="24"/>
                    <w:lang w:bidi="ar-SA"/>
                  </w:rPr>
                </m:ctrlPr>
              </m:sSubPr>
              <m:e>
                <m:r>
                  <w:rPr>
                    <w:rFonts w:ascii="Cambria Math" w:hAnsi="Cambria Math"/>
                    <w:szCs w:val="24"/>
                  </w:rPr>
                  <m:t>(PD</m:t>
                </m:r>
              </m:e>
              <m:sub>
                <m:sSub>
                  <m:sSubPr>
                    <m:ctrlPr>
                      <w:rPr>
                        <w:rFonts w:ascii="Cambria Math" w:hAnsi="Cambria Math"/>
                        <w:i/>
                        <w:szCs w:val="24"/>
                      </w:rPr>
                    </m:ctrlPr>
                  </m:sSubPr>
                  <m:e>
                    <m:r>
                      <w:rPr>
                        <w:rFonts w:ascii="Cambria Math" w:hAnsi="Cambria Math"/>
                        <w:szCs w:val="24"/>
                      </w:rPr>
                      <m:t>G</m:t>
                    </m:r>
                  </m:e>
                  <m:sub>
                    <m:r>
                      <w:rPr>
                        <w:rFonts w:ascii="Cambria Math" w:hAnsi="Cambria Math"/>
                        <w:szCs w:val="24"/>
                      </w:rPr>
                      <m:t>all</m:t>
                    </m:r>
                  </m:sub>
                </m:sSub>
                <m:r>
                  <w:rPr>
                    <w:rFonts w:ascii="Cambria Math" w:hAnsi="Cambria Math"/>
                    <w:szCs w:val="24"/>
                  </w:rPr>
                  <m:t>,i</m:t>
                </m:r>
              </m:sub>
            </m:sSub>
            <m:r>
              <w:rPr>
                <w:rFonts w:ascii="Cambria Math" w:hAnsi="Cambria Math"/>
                <w:szCs w:val="24"/>
              </w:rPr>
              <m:t>)-min</m:t>
            </m:r>
            <m:sSub>
              <m:sSubPr>
                <m:ctrlPr>
                  <w:rPr>
                    <w:rFonts w:ascii="Cambria Math" w:eastAsiaTheme="minorHAnsi" w:hAnsi="Cambria Math" w:cstheme="minorBidi"/>
                    <w:i/>
                    <w:szCs w:val="24"/>
                    <w:lang w:bidi="ar-SA"/>
                  </w:rPr>
                </m:ctrlPr>
              </m:sSubPr>
              <m:e>
                <m:r>
                  <w:rPr>
                    <w:rFonts w:ascii="Cambria Math" w:hAnsi="Cambria Math"/>
                    <w:szCs w:val="24"/>
                  </w:rPr>
                  <m:t>(PD</m:t>
                </m:r>
              </m:e>
              <m:sub>
                <m:sSub>
                  <m:sSubPr>
                    <m:ctrlPr>
                      <w:rPr>
                        <w:rFonts w:ascii="Cambria Math" w:hAnsi="Cambria Math"/>
                        <w:i/>
                        <w:szCs w:val="24"/>
                      </w:rPr>
                    </m:ctrlPr>
                  </m:sSubPr>
                  <m:e>
                    <m:r>
                      <w:rPr>
                        <w:rFonts w:ascii="Cambria Math" w:hAnsi="Cambria Math"/>
                        <w:szCs w:val="24"/>
                      </w:rPr>
                      <m:t>G</m:t>
                    </m:r>
                  </m:e>
                  <m:sub>
                    <m:r>
                      <w:rPr>
                        <w:rFonts w:ascii="Cambria Math" w:hAnsi="Cambria Math"/>
                        <w:szCs w:val="24"/>
                      </w:rPr>
                      <m:t>all</m:t>
                    </m:r>
                  </m:sub>
                </m:sSub>
                <m:r>
                  <w:rPr>
                    <w:rFonts w:ascii="Cambria Math" w:hAnsi="Cambria Math"/>
                    <w:szCs w:val="24"/>
                  </w:rPr>
                  <m:t>,i</m:t>
                </m:r>
              </m:sub>
            </m:sSub>
            <m:r>
              <w:rPr>
                <w:rFonts w:ascii="Cambria Math" w:hAnsi="Cambria Math"/>
                <w:szCs w:val="24"/>
              </w:rPr>
              <m:t>)</m:t>
            </m:r>
          </m:den>
        </m:f>
      </m:oMath>
      <w:r w:rsidR="007A7C75" w:rsidRPr="002324C5">
        <w:rPr>
          <w:rFonts w:eastAsiaTheme="minorEastAsia"/>
          <w:szCs w:val="24"/>
        </w:rPr>
        <w:tab/>
      </w:r>
      <w:r w:rsidR="007A7C75" w:rsidRPr="002324C5">
        <w:rPr>
          <w:rFonts w:eastAsiaTheme="minorEastAsia"/>
          <w:szCs w:val="24"/>
        </w:rPr>
        <w:tab/>
      </w:r>
      <w:r w:rsidR="007A7C75" w:rsidRPr="002324C5">
        <w:rPr>
          <w:rFonts w:eastAsiaTheme="minorEastAsia"/>
          <w:szCs w:val="24"/>
        </w:rPr>
        <w:tab/>
      </w:r>
      <w:r w:rsidR="007A7C75" w:rsidRPr="002324C5">
        <w:rPr>
          <w:rFonts w:eastAsiaTheme="minorEastAsia"/>
          <w:szCs w:val="24"/>
        </w:rPr>
        <w:tab/>
      </w:r>
      <w:r w:rsidR="007A7C75" w:rsidRPr="002324C5">
        <w:rPr>
          <w:rFonts w:eastAsiaTheme="minorEastAsia"/>
          <w:szCs w:val="24"/>
        </w:rPr>
        <w:tab/>
      </w:r>
      <w:r w:rsidR="007A7C75" w:rsidRPr="002324C5">
        <w:rPr>
          <w:rFonts w:eastAsiaTheme="minorEastAsia"/>
          <w:szCs w:val="24"/>
        </w:rPr>
        <w:tab/>
      </w:r>
      <w:r w:rsidR="007A7C75" w:rsidRPr="002324C5">
        <w:rPr>
          <w:rFonts w:eastAsiaTheme="minorEastAsia"/>
          <w:szCs w:val="24"/>
        </w:rPr>
        <w:tab/>
        <w:t>(</w:t>
      </w:r>
      <w:r w:rsidR="002324C5">
        <w:rPr>
          <w:rFonts w:eastAsiaTheme="minorEastAsia"/>
          <w:szCs w:val="24"/>
        </w:rPr>
        <w:t>C</w:t>
      </w:r>
      <w:r w:rsidR="007A7C75" w:rsidRPr="002324C5">
        <w:rPr>
          <w:rFonts w:eastAsiaTheme="minorEastAsia"/>
          <w:szCs w:val="24"/>
        </w:rPr>
        <w:t>.1)</w:t>
      </w:r>
    </w:p>
    <w:p w14:paraId="048AF419" w14:textId="18086F2F" w:rsidR="002324C5" w:rsidRDefault="002C00E0" w:rsidP="00830105">
      <w:pPr>
        <w:pStyle w:val="BodyText"/>
        <w:rPr>
          <w:rFonts w:eastAsiaTheme="minorEastAsia"/>
          <w:lang w:eastAsia="zh-TW"/>
        </w:rPr>
      </w:pPr>
      <w:r>
        <w:t xml:space="preserve">where </w:t>
      </w:r>
      <m:oMath>
        <m:sSub>
          <m:sSubPr>
            <m:ctrlPr>
              <w:rPr>
                <w:rFonts w:ascii="Cambria Math" w:eastAsiaTheme="minorHAnsi" w:hAnsi="Cambria Math" w:cstheme="minorBidi"/>
                <w:i/>
                <w:szCs w:val="24"/>
              </w:rPr>
            </m:ctrlPr>
          </m:sSubPr>
          <m:e>
            <m:r>
              <w:rPr>
                <w:rFonts w:ascii="Cambria Math" w:hAnsi="Cambria Math"/>
              </w:rPr>
              <m:t>RE</m:t>
            </m:r>
          </m:e>
          <m:sub>
            <m:r>
              <w:rPr>
                <w:rFonts w:ascii="Cambria Math" w:hAnsi="Cambria Math"/>
              </w:rPr>
              <m:t>G,i</m:t>
            </m:r>
          </m:sub>
        </m:sSub>
      </m:oMath>
      <w:r>
        <w:rPr>
          <w:rFonts w:eastAsiaTheme="minorEastAsia"/>
        </w:rPr>
        <w:t xml:space="preserve"> and </w:t>
      </w:r>
      <m:oMath>
        <m:sSub>
          <m:sSubPr>
            <m:ctrlPr>
              <w:rPr>
                <w:rFonts w:ascii="Cambria Math" w:eastAsiaTheme="minorHAnsi" w:hAnsi="Cambria Math" w:cstheme="minorBidi"/>
                <w:i/>
                <w:szCs w:val="24"/>
              </w:rPr>
            </m:ctrlPr>
          </m:sSubPr>
          <m:e>
            <m:r>
              <w:rPr>
                <w:rFonts w:ascii="Cambria Math" w:hAnsi="Cambria Math"/>
              </w:rPr>
              <m:t>PD</m:t>
            </m:r>
          </m:e>
          <m:sub>
            <m:r>
              <w:rPr>
                <w:rFonts w:ascii="Cambria Math" w:hAnsi="Cambria Math"/>
              </w:rPr>
              <m:t>G,i</m:t>
            </m:r>
          </m:sub>
        </m:sSub>
      </m:oMath>
      <w:r>
        <w:rPr>
          <w:rFonts w:eastAsiaTheme="minorEastAsia"/>
        </w:rPr>
        <w:t xml:space="preserve"> represents the relative error and percent departure from the reference data for GCM </w:t>
      </w:r>
      <m:oMath>
        <m:r>
          <w:rPr>
            <w:rFonts w:ascii="Cambria Math" w:eastAsiaTheme="minorEastAsia" w:hAnsi="Cambria Math"/>
          </w:rPr>
          <m:t>G</m:t>
        </m:r>
      </m:oMath>
      <w:r>
        <w:rPr>
          <w:rFonts w:eastAsiaTheme="minorEastAsia"/>
        </w:rPr>
        <w:t xml:space="preserve"> in matrix </w:t>
      </w:r>
      <m:oMath>
        <m:r>
          <w:rPr>
            <w:rFonts w:ascii="Cambria Math" w:eastAsiaTheme="minorEastAsia" w:hAnsi="Cambria Math"/>
          </w:rPr>
          <m:t>i</m:t>
        </m:r>
      </m:oMath>
      <w:r>
        <w:rPr>
          <w:rFonts w:eastAsiaTheme="minorEastAsia"/>
        </w:rPr>
        <w:t xml:space="preserve">, respectively. </w:t>
      </w:r>
      <m:oMath>
        <m:sSub>
          <m:sSubPr>
            <m:ctrlPr>
              <w:rPr>
                <w:rFonts w:ascii="Cambria Math" w:eastAsiaTheme="minorHAnsi" w:hAnsi="Cambria Math" w:cstheme="minorBidi"/>
                <w:i/>
                <w:szCs w:val="24"/>
              </w:rPr>
            </m:ctrlPr>
          </m:sSubPr>
          <m:e>
            <m:r>
              <w:rPr>
                <w:rFonts w:ascii="Cambria Math" w:hAnsi="Cambria Math"/>
              </w:rPr>
              <m:t>PD</m:t>
            </m:r>
          </m:e>
          <m:sub>
            <m:sSub>
              <m:sSubPr>
                <m:ctrlPr>
                  <w:rPr>
                    <w:rFonts w:ascii="Cambria Math" w:hAnsi="Cambria Math"/>
                    <w:i/>
                  </w:rPr>
                </m:ctrlPr>
              </m:sSubPr>
              <m:e>
                <m:r>
                  <w:rPr>
                    <w:rFonts w:ascii="Cambria Math" w:hAnsi="Cambria Math"/>
                  </w:rPr>
                  <m:t>G</m:t>
                </m:r>
              </m:e>
              <m:sub>
                <m:r>
                  <w:rPr>
                    <w:rFonts w:ascii="Cambria Math" w:hAnsi="Cambria Math"/>
                  </w:rPr>
                  <m:t>all</m:t>
                </m:r>
              </m:sub>
            </m:sSub>
            <m:r>
              <w:rPr>
                <w:rFonts w:ascii="Cambria Math" w:hAnsi="Cambria Math"/>
              </w:rPr>
              <m:t>,i</m:t>
            </m:r>
          </m:sub>
        </m:sSub>
      </m:oMath>
      <w:r>
        <w:rPr>
          <w:rFonts w:eastAsiaTheme="minorEastAsia"/>
        </w:rPr>
        <w:t xml:space="preserve"> represents the array of percent departures from the reference </w:t>
      </w:r>
      <w:r>
        <w:rPr>
          <w:rFonts w:eastAsiaTheme="minorEastAsia"/>
        </w:rPr>
        <w:lastRenderedPageBreak/>
        <w:t xml:space="preserve">data for across all GCMs for that matrix. </w:t>
      </w:r>
      <w:r w:rsidRPr="0035316E">
        <w:t xml:space="preserve">Second, pairwise </w:t>
      </w:r>
      <w:r>
        <w:t xml:space="preserve">Pearson linear cross </w:t>
      </w:r>
      <w:r w:rsidRPr="0035316E">
        <w:t>correlations are calculated for all m</w:t>
      </w:r>
      <w:r>
        <w:t>a</w:t>
      </w:r>
      <w:r w:rsidRPr="0035316E">
        <w:t>tric</w:t>
      </w:r>
      <w:r>
        <w:t>e</w:t>
      </w:r>
      <w:r w:rsidRPr="0035316E">
        <w:t>s, which are converted into a distance measure as following:</w:t>
      </w:r>
    </w:p>
    <w:p w14:paraId="6D0E064F" w14:textId="43A89D6A" w:rsidR="002C00E0" w:rsidRPr="002324C5" w:rsidRDefault="008043C8" w:rsidP="002C00E0">
      <w:pPr>
        <w:rPr>
          <w:rFonts w:eastAsiaTheme="minorEastAsia"/>
          <w:szCs w:val="24"/>
        </w:rPr>
      </w:pPr>
      <m:oMath>
        <m:sSub>
          <m:sSubPr>
            <m:ctrlPr>
              <w:rPr>
                <w:rFonts w:ascii="Cambria Math" w:eastAsiaTheme="minorHAnsi" w:hAnsi="Cambria Math" w:cstheme="minorBidi"/>
                <w:i/>
                <w:szCs w:val="24"/>
                <w:lang w:bidi="ar-SA"/>
              </w:rPr>
            </m:ctrlPr>
          </m:sSubPr>
          <m:e>
            <m:sSup>
              <m:sSupPr>
                <m:ctrlPr>
                  <w:rPr>
                    <w:rFonts w:ascii="Cambria Math" w:eastAsiaTheme="minorHAnsi" w:hAnsi="Cambria Math" w:cstheme="minorBidi"/>
                    <w:i/>
                    <w:szCs w:val="24"/>
                    <w:lang w:bidi="ar-SA"/>
                  </w:rPr>
                </m:ctrlPr>
              </m:sSupPr>
              <m:e>
                <m:r>
                  <w:rPr>
                    <w:rFonts w:ascii="Cambria Math" w:hAnsi="Cambria Math"/>
                  </w:rPr>
                  <m:t>C</m:t>
                </m:r>
              </m:e>
              <m:sup>
                <m:r>
                  <w:rPr>
                    <w:rFonts w:ascii="Cambria Math" w:hAnsi="Cambria Math"/>
                  </w:rPr>
                  <m:t>*</m:t>
                </m:r>
              </m:sup>
            </m:sSup>
          </m:e>
          <m:sub>
            <m:r>
              <w:rPr>
                <w:rFonts w:ascii="Cambria Math" w:hAnsi="Cambria Math"/>
              </w:rPr>
              <m:t>i,j</m:t>
            </m:r>
          </m:sub>
        </m:sSub>
        <m:r>
          <w:rPr>
            <w:rFonts w:ascii="Cambria Math" w:hAnsi="Cambria Math"/>
          </w:rPr>
          <m:t>=1-abs(</m:t>
        </m:r>
        <m:sSub>
          <m:sSubPr>
            <m:ctrlPr>
              <w:rPr>
                <w:rFonts w:ascii="Cambria Math" w:eastAsiaTheme="minorHAnsi" w:hAnsi="Cambria Math" w:cstheme="minorBidi"/>
                <w:i/>
                <w:szCs w:val="24"/>
                <w:lang w:bidi="ar-SA"/>
              </w:rPr>
            </m:ctrlPr>
          </m:sSubPr>
          <m:e>
            <m:r>
              <w:rPr>
                <w:rFonts w:ascii="Cambria Math" w:hAnsi="Cambria Math"/>
              </w:rPr>
              <m:t>C</m:t>
            </m:r>
          </m:e>
          <m:sub>
            <m:r>
              <w:rPr>
                <w:rFonts w:ascii="Cambria Math" w:hAnsi="Cambria Math"/>
              </w:rPr>
              <m:t>i,j</m:t>
            </m:r>
          </m:sub>
        </m:sSub>
        <m:r>
          <w:rPr>
            <w:rFonts w:ascii="Cambria Math" w:hAnsi="Cambria Math"/>
          </w:rPr>
          <m:t>)</m:t>
        </m:r>
      </m:oMath>
      <w:r w:rsidR="002C00E0" w:rsidRPr="002324C5">
        <w:rPr>
          <w:rFonts w:eastAsiaTheme="minorEastAsia"/>
          <w:szCs w:val="24"/>
        </w:rPr>
        <w:tab/>
      </w:r>
      <w:r w:rsidR="002C00E0" w:rsidRPr="002324C5">
        <w:rPr>
          <w:rFonts w:eastAsiaTheme="minorEastAsia"/>
          <w:szCs w:val="24"/>
        </w:rPr>
        <w:tab/>
      </w:r>
      <w:r w:rsidR="002C00E0" w:rsidRPr="002324C5">
        <w:rPr>
          <w:rFonts w:eastAsiaTheme="minorEastAsia"/>
          <w:szCs w:val="24"/>
        </w:rPr>
        <w:tab/>
      </w:r>
      <w:r w:rsidR="002C00E0" w:rsidRPr="002324C5">
        <w:rPr>
          <w:rFonts w:eastAsiaTheme="minorEastAsia"/>
          <w:szCs w:val="24"/>
        </w:rPr>
        <w:tab/>
      </w:r>
      <w:r w:rsidR="002C00E0">
        <w:rPr>
          <w:rFonts w:eastAsiaTheme="minorEastAsia"/>
          <w:szCs w:val="24"/>
        </w:rPr>
        <w:tab/>
      </w:r>
      <w:r w:rsidR="002C00E0">
        <w:rPr>
          <w:rFonts w:eastAsiaTheme="minorEastAsia"/>
          <w:szCs w:val="24"/>
        </w:rPr>
        <w:tab/>
      </w:r>
      <w:r w:rsidR="002C00E0">
        <w:rPr>
          <w:rFonts w:eastAsiaTheme="minorEastAsia"/>
          <w:szCs w:val="24"/>
        </w:rPr>
        <w:tab/>
      </w:r>
      <w:r w:rsidR="002C00E0" w:rsidRPr="002324C5">
        <w:rPr>
          <w:rFonts w:eastAsiaTheme="minorEastAsia"/>
          <w:szCs w:val="24"/>
        </w:rPr>
        <w:tab/>
      </w:r>
      <w:r w:rsidR="002C00E0" w:rsidRPr="002324C5">
        <w:rPr>
          <w:rFonts w:eastAsiaTheme="minorEastAsia"/>
          <w:szCs w:val="24"/>
        </w:rPr>
        <w:tab/>
        <w:t>(</w:t>
      </w:r>
      <w:r w:rsidR="002C00E0">
        <w:rPr>
          <w:rFonts w:eastAsiaTheme="minorEastAsia"/>
          <w:szCs w:val="24"/>
        </w:rPr>
        <w:t>C</w:t>
      </w:r>
      <w:r w:rsidR="002C00E0" w:rsidRPr="002324C5">
        <w:rPr>
          <w:rFonts w:eastAsiaTheme="minorEastAsia"/>
          <w:szCs w:val="24"/>
        </w:rPr>
        <w:t>.</w:t>
      </w:r>
      <w:r w:rsidR="002C00E0">
        <w:rPr>
          <w:rFonts w:eastAsiaTheme="minorEastAsia"/>
          <w:szCs w:val="24"/>
        </w:rPr>
        <w:t>2</w:t>
      </w:r>
      <w:r w:rsidR="002C00E0" w:rsidRPr="002324C5">
        <w:rPr>
          <w:rFonts w:eastAsiaTheme="minorEastAsia"/>
          <w:szCs w:val="24"/>
        </w:rPr>
        <w:t>)</w:t>
      </w:r>
    </w:p>
    <w:p w14:paraId="404F195D" w14:textId="43A5F66F" w:rsidR="002C00E0" w:rsidRDefault="00446D6F" w:rsidP="00830105">
      <w:pPr>
        <w:pStyle w:val="BodyText"/>
        <w:rPr>
          <w:rFonts w:eastAsiaTheme="minorEastAsia"/>
          <w:lang w:eastAsia="zh-TW"/>
        </w:rPr>
      </w:pPr>
      <w:r>
        <w:t xml:space="preserve">where </w:t>
      </w:r>
      <m:oMath>
        <m:sSub>
          <m:sSubPr>
            <m:ctrlPr>
              <w:rPr>
                <w:rFonts w:ascii="Cambria Math" w:eastAsiaTheme="minorHAnsi" w:hAnsi="Cambria Math" w:cstheme="minorBidi"/>
                <w:i/>
                <w:szCs w:val="24"/>
              </w:rPr>
            </m:ctrlPr>
          </m:sSubPr>
          <m:e>
            <m:r>
              <w:rPr>
                <w:rFonts w:ascii="Cambria Math" w:hAnsi="Cambria Math"/>
              </w:rPr>
              <m:t>C</m:t>
            </m:r>
          </m:e>
          <m:sub>
            <m:r>
              <w:rPr>
                <w:rFonts w:ascii="Cambria Math" w:hAnsi="Cambria Math"/>
              </w:rPr>
              <m:t>i,j</m:t>
            </m:r>
          </m:sub>
        </m:sSub>
      </m:oMath>
      <w:r>
        <w:rPr>
          <w:rFonts w:eastAsiaTheme="minorEastAsia"/>
        </w:rPr>
        <w:t xml:space="preserve"> and </w:t>
      </w:r>
      <m:oMath>
        <m:sSub>
          <m:sSubPr>
            <m:ctrlPr>
              <w:rPr>
                <w:rFonts w:ascii="Cambria Math" w:eastAsiaTheme="minorHAnsi" w:hAnsi="Cambria Math" w:cstheme="minorBidi"/>
                <w:i/>
                <w:szCs w:val="24"/>
              </w:rPr>
            </m:ctrlPr>
          </m:sSubPr>
          <m:e>
            <m:sSup>
              <m:sSupPr>
                <m:ctrlPr>
                  <w:rPr>
                    <w:rFonts w:ascii="Cambria Math" w:eastAsiaTheme="minorHAnsi" w:hAnsi="Cambria Math" w:cstheme="minorBidi"/>
                    <w:i/>
                    <w:szCs w:val="24"/>
                  </w:rPr>
                </m:ctrlPr>
              </m:sSupPr>
              <m:e>
                <m:r>
                  <w:rPr>
                    <w:rFonts w:ascii="Cambria Math" w:hAnsi="Cambria Math"/>
                  </w:rPr>
                  <m:t>C</m:t>
                </m:r>
              </m:e>
              <m:sup>
                <m:r>
                  <w:rPr>
                    <w:rFonts w:ascii="Cambria Math" w:hAnsi="Cambria Math"/>
                  </w:rPr>
                  <m:t>*</m:t>
                </m:r>
              </m:sup>
            </m:sSup>
          </m:e>
          <m:sub>
            <m:r>
              <w:rPr>
                <w:rFonts w:ascii="Cambria Math" w:hAnsi="Cambria Math"/>
              </w:rPr>
              <m:t>i,j</m:t>
            </m:r>
          </m:sub>
        </m:sSub>
      </m:oMath>
      <w:r>
        <w:rPr>
          <w:rFonts w:eastAsiaTheme="minorEastAsia"/>
        </w:rPr>
        <w:t xml:space="preserve"> represent correlation and correlation-based distance between matrix </w:t>
      </w:r>
      <m:oMath>
        <m:r>
          <w:rPr>
            <w:rFonts w:ascii="Cambria Math" w:eastAsiaTheme="minorEastAsia" w:hAnsi="Cambria Math"/>
          </w:rPr>
          <m:t>i</m:t>
        </m:r>
      </m:oMath>
      <w:r>
        <w:rPr>
          <w:rFonts w:eastAsiaTheme="minorEastAsia"/>
        </w:rPr>
        <w:t xml:space="preserve"> and matrix </w:t>
      </w:r>
      <m:oMath>
        <m:r>
          <w:rPr>
            <w:rFonts w:ascii="Cambria Math" w:eastAsiaTheme="minorEastAsia" w:hAnsi="Cambria Math"/>
          </w:rPr>
          <m:t>j</m:t>
        </m:r>
      </m:oMath>
      <w:r>
        <w:rPr>
          <w:rFonts w:eastAsiaTheme="minorEastAsia"/>
        </w:rPr>
        <w:t>, respectively.</w:t>
      </w:r>
      <w:r>
        <w:t xml:space="preserve"> </w:t>
      </w:r>
      <w:r w:rsidRPr="0035316E">
        <w:t xml:space="preserve">The small </w:t>
      </w:r>
      <w:r>
        <w:t xml:space="preserve">magnitude of </w:t>
      </w:r>
      <m:oMath>
        <m:sSub>
          <m:sSubPr>
            <m:ctrlPr>
              <w:rPr>
                <w:rFonts w:ascii="Cambria Math" w:eastAsiaTheme="minorHAnsi" w:hAnsi="Cambria Math" w:cstheme="minorBidi"/>
                <w:i/>
                <w:szCs w:val="24"/>
              </w:rPr>
            </m:ctrlPr>
          </m:sSubPr>
          <m:e>
            <m:sSup>
              <m:sSupPr>
                <m:ctrlPr>
                  <w:rPr>
                    <w:rFonts w:ascii="Cambria Math" w:eastAsiaTheme="minorHAnsi" w:hAnsi="Cambria Math" w:cstheme="minorBidi"/>
                    <w:i/>
                    <w:szCs w:val="24"/>
                  </w:rPr>
                </m:ctrlPr>
              </m:sSupPr>
              <m:e>
                <m:r>
                  <w:rPr>
                    <w:rFonts w:ascii="Cambria Math" w:hAnsi="Cambria Math"/>
                  </w:rPr>
                  <m:t>C</m:t>
                </m:r>
              </m:e>
              <m:sup>
                <m:r>
                  <w:rPr>
                    <w:rFonts w:ascii="Cambria Math" w:hAnsi="Cambria Math"/>
                  </w:rPr>
                  <m:t>*</m:t>
                </m:r>
              </m:sup>
            </m:sSup>
          </m:e>
          <m:sub>
            <m:r>
              <w:rPr>
                <w:rFonts w:ascii="Cambria Math" w:hAnsi="Cambria Math"/>
              </w:rPr>
              <m:t>i,j</m:t>
            </m:r>
          </m:sub>
        </m:sSub>
      </m:oMath>
      <w:r>
        <w:rPr>
          <w:rFonts w:eastAsiaTheme="minorEastAsia"/>
        </w:rPr>
        <w:t xml:space="preserve"> </w:t>
      </w:r>
      <w:r>
        <w:t>reflects</w:t>
      </w:r>
      <w:r w:rsidRPr="0035316E">
        <w:t xml:space="preserve"> high correspondence </w:t>
      </w:r>
      <w:r>
        <w:t xml:space="preserve">between the matrices </w:t>
      </w:r>
      <w:r w:rsidRPr="0035316E">
        <w:t>and vice versa. Further</w:t>
      </w:r>
      <w:r w:rsidR="0057484B">
        <w:t>more</w:t>
      </w:r>
      <w:r w:rsidRPr="0035316E">
        <w:t>, we calculate Similarity Score (SS) for each matrix as following:</w:t>
      </w:r>
    </w:p>
    <w:p w14:paraId="6E65B7B1" w14:textId="7F19B140" w:rsidR="00446D6F" w:rsidRPr="002324C5" w:rsidRDefault="008043C8" w:rsidP="00446D6F">
      <w:pPr>
        <w:rPr>
          <w:rFonts w:eastAsiaTheme="minorEastAsia"/>
          <w:szCs w:val="24"/>
        </w:rPr>
      </w:pPr>
      <m:oMath>
        <m:sSub>
          <m:sSubPr>
            <m:ctrlPr>
              <w:rPr>
                <w:rFonts w:ascii="Cambria Math" w:eastAsiaTheme="minorHAnsi" w:hAnsi="Cambria Math" w:cstheme="minorBidi"/>
                <w:i/>
                <w:szCs w:val="24"/>
                <w:lang w:bidi="ar-SA"/>
              </w:rPr>
            </m:ctrlPr>
          </m:sSubPr>
          <m:e>
            <m:r>
              <w:rPr>
                <w:rFonts w:ascii="Cambria Math" w:hAnsi="Cambria Math"/>
              </w:rPr>
              <m:t>SS</m:t>
            </m:r>
          </m:e>
          <m:sub>
            <m:r>
              <w:rPr>
                <w:rFonts w:ascii="Cambria Math" w:hAnsi="Cambria Math"/>
              </w:rPr>
              <m:t>i,j</m:t>
            </m:r>
          </m:sub>
        </m:sSub>
        <m:r>
          <w:rPr>
            <w:rFonts w:ascii="Cambria Math" w:hAnsi="Cambria Math"/>
          </w:rPr>
          <m:t xml:space="preserve">= </m:t>
        </m:r>
        <m:sSup>
          <m:sSupPr>
            <m:ctrlPr>
              <w:rPr>
                <w:rFonts w:ascii="Cambria Math" w:eastAsiaTheme="minorHAnsi" w:hAnsi="Cambria Math" w:cstheme="minorBidi"/>
                <w:i/>
                <w:szCs w:val="24"/>
                <w:lang w:bidi="ar-SA"/>
              </w:rPr>
            </m:ctrlPr>
          </m:sSupPr>
          <m:e>
            <m:r>
              <w:rPr>
                <w:rFonts w:ascii="Cambria Math" w:eastAsiaTheme="minorHAnsi" w:hAnsi="Cambria Math"/>
              </w:rPr>
              <m:t>e</m:t>
            </m:r>
          </m:e>
          <m:sup>
            <m:r>
              <w:rPr>
                <w:rFonts w:ascii="Cambria Math" w:eastAsiaTheme="minorHAnsi" w:hAnsi="Cambria Math"/>
              </w:rPr>
              <m:t>-</m:t>
            </m:r>
            <m:d>
              <m:dPr>
                <m:ctrlPr>
                  <w:rPr>
                    <w:rFonts w:ascii="Cambria Math" w:eastAsiaTheme="minorHAnsi" w:hAnsi="Cambria Math" w:cstheme="minorBidi"/>
                    <w:i/>
                    <w:szCs w:val="24"/>
                    <w:lang w:bidi="ar-SA"/>
                  </w:rPr>
                </m:ctrlPr>
              </m:dPr>
              <m:e>
                <m:f>
                  <m:fPr>
                    <m:ctrlPr>
                      <w:rPr>
                        <w:rFonts w:ascii="Cambria Math" w:eastAsiaTheme="minorHAnsi" w:hAnsi="Cambria Math" w:cstheme="minorBidi"/>
                        <w:i/>
                        <w:szCs w:val="24"/>
                        <w:lang w:bidi="ar-SA"/>
                      </w:rPr>
                    </m:ctrlPr>
                  </m:fPr>
                  <m:num>
                    <m:sSub>
                      <m:sSubPr>
                        <m:ctrlPr>
                          <w:rPr>
                            <w:rFonts w:ascii="Cambria Math" w:eastAsiaTheme="minorHAnsi" w:hAnsi="Cambria Math" w:cstheme="minorBidi"/>
                            <w:i/>
                            <w:szCs w:val="24"/>
                            <w:lang w:bidi="ar-SA"/>
                          </w:rPr>
                        </m:ctrlPr>
                      </m:sSubPr>
                      <m:e>
                        <m:sSup>
                          <m:sSupPr>
                            <m:ctrlPr>
                              <w:rPr>
                                <w:rFonts w:ascii="Cambria Math" w:eastAsiaTheme="minorHAnsi" w:hAnsi="Cambria Math" w:cstheme="minorBidi"/>
                                <w:i/>
                                <w:szCs w:val="24"/>
                                <w:lang w:bidi="ar-SA"/>
                              </w:rPr>
                            </m:ctrlPr>
                          </m:sSupPr>
                          <m:e>
                            <m:r>
                              <w:rPr>
                                <w:rFonts w:ascii="Cambria Math" w:hAnsi="Cambria Math"/>
                              </w:rPr>
                              <m:t>C</m:t>
                            </m:r>
                          </m:e>
                          <m:sup>
                            <m:r>
                              <w:rPr>
                                <w:rFonts w:ascii="Cambria Math" w:hAnsi="Cambria Math"/>
                              </w:rPr>
                              <m:t>*</m:t>
                            </m:r>
                          </m:sup>
                        </m:sSup>
                      </m:e>
                      <m:sub>
                        <m:r>
                          <w:rPr>
                            <w:rFonts w:ascii="Cambria Math" w:hAnsi="Cambria Math"/>
                          </w:rPr>
                          <m:t>i,j</m:t>
                        </m:r>
                      </m:sub>
                    </m:sSub>
                  </m:num>
                  <m:den>
                    <m:sSub>
                      <m:sSubPr>
                        <m:ctrlPr>
                          <w:rPr>
                            <w:rFonts w:ascii="Cambria Math" w:eastAsiaTheme="minorHAnsi" w:hAnsi="Cambria Math" w:cstheme="minorBidi"/>
                            <w:i/>
                            <w:szCs w:val="24"/>
                            <w:lang w:bidi="ar-SA"/>
                          </w:rPr>
                        </m:ctrlPr>
                      </m:sSubPr>
                      <m:e>
                        <m:r>
                          <w:rPr>
                            <w:rFonts w:ascii="Cambria Math" w:hAnsi="Cambria Math"/>
                          </w:rPr>
                          <m:t>D</m:t>
                        </m:r>
                      </m:e>
                      <m:sub>
                        <m:r>
                          <w:rPr>
                            <w:rFonts w:ascii="Cambria Math" w:hAnsi="Cambria Math"/>
                          </w:rPr>
                          <m:t>x</m:t>
                        </m:r>
                      </m:sub>
                    </m:sSub>
                  </m:den>
                </m:f>
              </m:e>
            </m:d>
          </m:sup>
        </m:sSup>
      </m:oMath>
      <w:r w:rsidR="00446D6F" w:rsidRPr="002324C5">
        <w:rPr>
          <w:rFonts w:eastAsiaTheme="minorEastAsia"/>
          <w:szCs w:val="24"/>
        </w:rPr>
        <w:tab/>
      </w:r>
      <w:r w:rsidR="00446D6F" w:rsidRPr="002324C5">
        <w:rPr>
          <w:rFonts w:eastAsiaTheme="minorEastAsia"/>
          <w:szCs w:val="24"/>
        </w:rPr>
        <w:tab/>
      </w:r>
      <w:r w:rsidR="00446D6F" w:rsidRPr="002324C5">
        <w:rPr>
          <w:rFonts w:eastAsiaTheme="minorEastAsia"/>
          <w:szCs w:val="24"/>
        </w:rPr>
        <w:tab/>
      </w:r>
      <w:r w:rsidR="00446D6F" w:rsidRPr="002324C5">
        <w:rPr>
          <w:rFonts w:eastAsiaTheme="minorEastAsia"/>
          <w:szCs w:val="24"/>
        </w:rPr>
        <w:tab/>
      </w:r>
      <w:r w:rsidR="00446D6F">
        <w:rPr>
          <w:rFonts w:eastAsiaTheme="minorEastAsia"/>
          <w:szCs w:val="24"/>
        </w:rPr>
        <w:tab/>
      </w:r>
      <w:r w:rsidR="00446D6F">
        <w:rPr>
          <w:rFonts w:eastAsiaTheme="minorEastAsia"/>
          <w:szCs w:val="24"/>
        </w:rPr>
        <w:tab/>
      </w:r>
      <w:r w:rsidR="00446D6F">
        <w:rPr>
          <w:rFonts w:eastAsiaTheme="minorEastAsia"/>
          <w:szCs w:val="24"/>
        </w:rPr>
        <w:tab/>
      </w:r>
      <w:r w:rsidR="00446D6F" w:rsidRPr="002324C5">
        <w:rPr>
          <w:rFonts w:eastAsiaTheme="minorEastAsia"/>
          <w:szCs w:val="24"/>
        </w:rPr>
        <w:tab/>
      </w:r>
      <w:r w:rsidR="00446D6F" w:rsidRPr="002324C5">
        <w:rPr>
          <w:rFonts w:eastAsiaTheme="minorEastAsia"/>
          <w:szCs w:val="24"/>
        </w:rPr>
        <w:tab/>
        <w:t>(</w:t>
      </w:r>
      <w:r w:rsidR="00446D6F">
        <w:rPr>
          <w:rFonts w:eastAsiaTheme="minorEastAsia"/>
          <w:szCs w:val="24"/>
        </w:rPr>
        <w:t>C</w:t>
      </w:r>
      <w:r w:rsidR="00446D6F" w:rsidRPr="002324C5">
        <w:rPr>
          <w:rFonts w:eastAsiaTheme="minorEastAsia"/>
          <w:szCs w:val="24"/>
        </w:rPr>
        <w:t>.</w:t>
      </w:r>
      <w:r w:rsidR="00446D6F">
        <w:rPr>
          <w:rFonts w:eastAsiaTheme="minorEastAsia"/>
          <w:szCs w:val="24"/>
        </w:rPr>
        <w:t>3</w:t>
      </w:r>
      <w:r w:rsidR="00446D6F" w:rsidRPr="002324C5">
        <w:rPr>
          <w:rFonts w:eastAsiaTheme="minorEastAsia"/>
          <w:szCs w:val="24"/>
        </w:rPr>
        <w:t>)</w:t>
      </w:r>
    </w:p>
    <w:p w14:paraId="07E31DE8" w14:textId="50E03B7F" w:rsidR="007A7C75" w:rsidRDefault="00DF485F" w:rsidP="00830105">
      <w:pPr>
        <w:pStyle w:val="BodyText"/>
        <w:rPr>
          <w:rFonts w:eastAsiaTheme="minorEastAsia"/>
          <w:lang w:eastAsia="zh-TW"/>
        </w:rPr>
      </w:pPr>
      <w:r>
        <w:t>w</w:t>
      </w:r>
      <w:r w:rsidRPr="0035316E">
        <w:t xml:space="preserve">here </w:t>
      </w:r>
      <m:oMath>
        <m:sSub>
          <m:sSubPr>
            <m:ctrlPr>
              <w:rPr>
                <w:rFonts w:ascii="Cambria Math" w:eastAsiaTheme="minorHAnsi" w:hAnsi="Cambria Math" w:cstheme="minorBidi"/>
                <w:i/>
                <w:szCs w:val="24"/>
              </w:rPr>
            </m:ctrlPr>
          </m:sSubPr>
          <m:e>
            <m:r>
              <w:rPr>
                <w:rFonts w:ascii="Cambria Math" w:hAnsi="Cambria Math"/>
              </w:rPr>
              <m:t>D</m:t>
            </m:r>
          </m:e>
          <m:sub>
            <m:r>
              <w:rPr>
                <w:rFonts w:ascii="Cambria Math" w:hAnsi="Cambria Math"/>
              </w:rPr>
              <m:t>x</m:t>
            </m:r>
          </m:sub>
        </m:sSub>
      </m:oMath>
      <w:r w:rsidRPr="0035316E">
        <w:t xml:space="preserve"> is </w:t>
      </w:r>
      <w:r>
        <w:t xml:space="preserve">a tunable parameter representing </w:t>
      </w:r>
      <w:r w:rsidRPr="0035316E">
        <w:t>the radius of similarity that determines the correlations</w:t>
      </w:r>
      <w:r>
        <w:t>-based distances</w:t>
      </w:r>
      <w:r w:rsidRPr="0035316E">
        <w:t xml:space="preserve"> over which </w:t>
      </w:r>
      <w:r>
        <w:t>a</w:t>
      </w:r>
      <w:r w:rsidRPr="0035316E">
        <w:t xml:space="preserve"> matri</w:t>
      </w:r>
      <w:r>
        <w:t>x</w:t>
      </w:r>
      <w:r w:rsidRPr="0035316E">
        <w:t xml:space="preserve"> </w:t>
      </w:r>
      <w:r>
        <w:t>can</w:t>
      </w:r>
      <w:r w:rsidRPr="0035316E">
        <w:t xml:space="preserve"> be considered redundant. </w:t>
      </w:r>
      <w:r w:rsidR="005606E5">
        <w:t>S</w:t>
      </w:r>
      <w:r>
        <w:t>ome covariance between different spatiotemporal characteristics of prognostic variables or between the prognostic and diagnostic variables is acceptable and unavoidable in a coupled Earth system</w:t>
      </w:r>
      <w:r w:rsidR="00654E57">
        <w:t>;</w:t>
      </w:r>
      <w:r>
        <w:t xml:space="preserve"> therefore, </w:t>
      </w:r>
      <w:r w:rsidR="00654E57">
        <w:t xml:space="preserve">the </w:t>
      </w:r>
      <w:r>
        <w:t xml:space="preserve">goal is to target only those metrics that exhibit correlations to such an extent that those measures effectively become redundant. Therefore, </w:t>
      </w:r>
      <w:r w:rsidRPr="00324AFA">
        <w:t>0.</w:t>
      </w:r>
      <w:r>
        <w:t>2</w:t>
      </w:r>
      <w:r w:rsidRPr="00324AFA">
        <w:t xml:space="preserve"> </w:t>
      </w:r>
      <w:r w:rsidR="00654E57">
        <w:t xml:space="preserve">was used </w:t>
      </w:r>
      <w:r w:rsidRPr="00324AFA">
        <w:t xml:space="preserve">for </w:t>
      </w:r>
      <m:oMath>
        <m:sSub>
          <m:sSubPr>
            <m:ctrlPr>
              <w:rPr>
                <w:rFonts w:ascii="Cambria Math" w:hAnsi="Cambria Math"/>
                <w:i/>
              </w:rPr>
            </m:ctrlPr>
          </m:sSubPr>
          <m:e>
            <m:r>
              <w:rPr>
                <w:rFonts w:ascii="Cambria Math" w:hAnsi="Cambria Math"/>
              </w:rPr>
              <m:t>D</m:t>
            </m:r>
          </m:e>
          <m:sub>
            <m:r>
              <w:rPr>
                <w:rFonts w:ascii="Cambria Math" w:hAnsi="Cambria Math"/>
              </w:rPr>
              <m:t>x</m:t>
            </m:r>
          </m:sub>
        </m:sSub>
      </m:oMath>
      <w:r w:rsidRPr="00324AFA">
        <w:t xml:space="preserve"> </w:t>
      </w:r>
      <w:r w:rsidRPr="00283C63">
        <w:t>as it</w:t>
      </w:r>
      <w:r w:rsidRPr="00324AFA">
        <w:t xml:space="preserve"> only down-weights those </w:t>
      </w:r>
      <w:r>
        <w:t>metrics</w:t>
      </w:r>
      <w:r w:rsidRPr="00324AFA">
        <w:t xml:space="preserve"> that exhibit very high correlations</w:t>
      </w:r>
      <w:r>
        <w:t xml:space="preserve"> in the four regions</w:t>
      </w:r>
      <w:r w:rsidRPr="00324AFA">
        <w:t xml:space="preserve">. </w:t>
      </w:r>
      <w:r w:rsidRPr="0035316E">
        <w:t>It only down-weigh</w:t>
      </w:r>
      <w:r>
        <w:t>t</w:t>
      </w:r>
      <w:r w:rsidRPr="0035316E">
        <w:t xml:space="preserve">s matrices that </w:t>
      </w:r>
      <w:r>
        <w:t>exhibit</w:t>
      </w:r>
      <w:r w:rsidRPr="0035316E">
        <w:t xml:space="preserve"> </w:t>
      </w:r>
      <w:r>
        <w:t xml:space="preserve">very </w:t>
      </w:r>
      <w:r w:rsidRPr="0035316E">
        <w:t>high correlat</w:t>
      </w:r>
      <w:r>
        <w:t>ions</w:t>
      </w:r>
      <w:r w:rsidRPr="0035316E">
        <w:t xml:space="preserve">. </w:t>
      </w:r>
      <m:oMath>
        <m:r>
          <w:rPr>
            <w:rFonts w:ascii="Cambria Math" w:hAnsi="Cambria Math"/>
          </w:rPr>
          <m:t>SS</m:t>
        </m:r>
      </m:oMath>
      <w:r w:rsidRPr="0035316E">
        <w:t xml:space="preserve"> value ranges between 0 and 1</w:t>
      </w:r>
      <w:r>
        <w:t>, as</w:t>
      </w:r>
      <w:r w:rsidRPr="0035316E">
        <w:t xml:space="preserve"> </w:t>
      </w:r>
      <w:r>
        <w:t>a</w:t>
      </w:r>
      <w:r w:rsidRPr="0035316E">
        <w:t xml:space="preserve"> matrix uniqueness decreas</w:t>
      </w:r>
      <w:r>
        <w:t>es</w:t>
      </w:r>
      <w:r w:rsidRPr="0035316E">
        <w:t xml:space="preserve"> </w:t>
      </w:r>
      <w:r>
        <w:t xml:space="preserve">with </w:t>
      </w:r>
      <m:oMath>
        <m:r>
          <w:rPr>
            <w:rFonts w:ascii="Cambria Math" w:hAnsi="Cambria Math"/>
          </w:rPr>
          <m:t>SS→1</m:t>
        </m:r>
      </m:oMath>
      <w:r w:rsidRPr="0035316E">
        <w:t xml:space="preserve">. </w:t>
      </w:r>
      <w:r>
        <w:t>Note</w:t>
      </w:r>
      <w:r w:rsidRPr="0035316E">
        <w:t xml:space="preserve"> that </w:t>
      </w:r>
      <m:oMath>
        <m:sSub>
          <m:sSubPr>
            <m:ctrlPr>
              <w:rPr>
                <w:rFonts w:ascii="Cambria Math" w:eastAsiaTheme="minorHAnsi" w:hAnsi="Cambria Math" w:cstheme="minorBidi"/>
                <w:i/>
                <w:szCs w:val="24"/>
              </w:rPr>
            </m:ctrlPr>
          </m:sSubPr>
          <m:e>
            <m:sSup>
              <m:sSupPr>
                <m:ctrlPr>
                  <w:rPr>
                    <w:rFonts w:ascii="Cambria Math" w:eastAsiaTheme="minorHAnsi" w:hAnsi="Cambria Math" w:cstheme="minorBidi"/>
                    <w:i/>
                    <w:szCs w:val="24"/>
                  </w:rPr>
                </m:ctrlPr>
              </m:sSupPr>
              <m:e>
                <m:r>
                  <w:rPr>
                    <w:rFonts w:ascii="Cambria Math" w:hAnsi="Cambria Math"/>
                  </w:rPr>
                  <m:t>C</m:t>
                </m:r>
              </m:e>
              <m:sup>
                <m:r>
                  <w:rPr>
                    <w:rFonts w:ascii="Cambria Math" w:hAnsi="Cambria Math"/>
                  </w:rPr>
                  <m:t>*</m:t>
                </m:r>
              </m:sup>
            </m:sSup>
          </m:e>
          <m:sub>
            <m:r>
              <w:rPr>
                <w:rFonts w:ascii="Cambria Math" w:hAnsi="Cambria Math"/>
              </w:rPr>
              <m:t>i,j</m:t>
            </m:r>
          </m:sub>
        </m:sSub>
      </m:oMath>
      <w:r>
        <w:rPr>
          <w:rFonts w:eastAsiaTheme="minorEastAsia"/>
        </w:rPr>
        <w:t xml:space="preserve"> </w:t>
      </w:r>
      <w:r>
        <w:t>for</w:t>
      </w:r>
      <w:r w:rsidRPr="0035316E">
        <w:t xml:space="preserve"> </w:t>
      </w:r>
      <w:r>
        <w:t>~</w:t>
      </w:r>
      <w:r w:rsidRPr="0035316E">
        <w:t xml:space="preserve">0.8% of the total pairwise correlations were </w:t>
      </w:r>
      <w:r>
        <w:t xml:space="preserve">less than </w:t>
      </w:r>
      <w:r w:rsidRPr="0035316E">
        <w:t>0.</w:t>
      </w:r>
      <w:r>
        <w:t>2</w:t>
      </w:r>
      <w:r w:rsidRPr="0035316E">
        <w:t xml:space="preserve"> in each region while 5</w:t>
      </w:r>
      <w:r>
        <w:t>–</w:t>
      </w:r>
      <w:r w:rsidRPr="0035316E">
        <w:t xml:space="preserve">7% of </w:t>
      </w:r>
      <m:oMath>
        <m:sSub>
          <m:sSubPr>
            <m:ctrlPr>
              <w:rPr>
                <w:rFonts w:ascii="Cambria Math" w:eastAsiaTheme="minorHAnsi" w:hAnsi="Cambria Math" w:cstheme="minorBidi"/>
                <w:i/>
                <w:szCs w:val="24"/>
              </w:rPr>
            </m:ctrlPr>
          </m:sSubPr>
          <m:e>
            <m:sSup>
              <m:sSupPr>
                <m:ctrlPr>
                  <w:rPr>
                    <w:rFonts w:ascii="Cambria Math" w:eastAsiaTheme="minorHAnsi" w:hAnsi="Cambria Math" w:cstheme="minorBidi"/>
                    <w:i/>
                    <w:szCs w:val="24"/>
                  </w:rPr>
                </m:ctrlPr>
              </m:sSupPr>
              <m:e>
                <m:r>
                  <w:rPr>
                    <w:rFonts w:ascii="Cambria Math" w:hAnsi="Cambria Math"/>
                  </w:rPr>
                  <m:t>C</m:t>
                </m:r>
              </m:e>
              <m:sup>
                <m:r>
                  <w:rPr>
                    <w:rFonts w:ascii="Cambria Math" w:hAnsi="Cambria Math"/>
                  </w:rPr>
                  <m:t>*</m:t>
                </m:r>
              </m:sup>
            </m:sSup>
          </m:e>
          <m:sub>
            <m:r>
              <w:rPr>
                <w:rFonts w:ascii="Cambria Math" w:hAnsi="Cambria Math"/>
              </w:rPr>
              <m:t>i,j</m:t>
            </m:r>
          </m:sub>
        </m:sSub>
      </m:oMath>
      <w:r>
        <w:rPr>
          <w:rFonts w:eastAsiaTheme="minorEastAsia"/>
        </w:rPr>
        <w:t xml:space="preserve"> </w:t>
      </w:r>
      <w:r w:rsidRPr="0035316E">
        <w:t xml:space="preserve">were </w:t>
      </w:r>
      <w:r>
        <w:t>lower</w:t>
      </w:r>
      <w:r w:rsidRPr="0035316E">
        <w:t xml:space="preserve"> than 0.5 across the four regions.</w:t>
      </w:r>
      <w:r>
        <w:t xml:space="preserve"> Next, f</w:t>
      </w:r>
      <w:r w:rsidRPr="0035316E">
        <w:t>or each matrix, the effective redundance (ER) can be calculated as following:</w:t>
      </w:r>
    </w:p>
    <w:p w14:paraId="3A0096CB" w14:textId="34A56813" w:rsidR="00446D6F" w:rsidRPr="002324C5" w:rsidRDefault="008043C8" w:rsidP="00446D6F">
      <w:pPr>
        <w:rPr>
          <w:rFonts w:eastAsiaTheme="minorEastAsia"/>
          <w:szCs w:val="24"/>
        </w:rPr>
      </w:pPr>
      <m:oMath>
        <m:sSub>
          <m:sSubPr>
            <m:ctrlPr>
              <w:rPr>
                <w:rFonts w:ascii="Cambria Math" w:eastAsiaTheme="minorHAnsi" w:hAnsi="Cambria Math" w:cstheme="minorBidi"/>
                <w:i/>
                <w:szCs w:val="24"/>
                <w:lang w:bidi="ar-SA"/>
              </w:rPr>
            </m:ctrlPr>
          </m:sSubPr>
          <m:e>
            <m:r>
              <w:rPr>
                <w:rFonts w:ascii="Cambria Math" w:hAnsi="Cambria Math"/>
              </w:rPr>
              <m:t>ER</m:t>
            </m:r>
          </m:e>
          <m:sub>
            <m:r>
              <w:rPr>
                <w:rFonts w:ascii="Cambria Math" w:hAnsi="Cambria Math"/>
              </w:rPr>
              <m:t>i</m:t>
            </m:r>
          </m:sub>
        </m:sSub>
        <m:r>
          <w:rPr>
            <w:rFonts w:ascii="Cambria Math" w:hAnsi="Cambria Math"/>
          </w:rPr>
          <m:t xml:space="preserve">= 1+ </m:t>
        </m:r>
        <m:nary>
          <m:naryPr>
            <m:chr m:val="∑"/>
            <m:limLoc m:val="undOvr"/>
            <m:ctrlPr>
              <w:rPr>
                <w:rFonts w:ascii="Cambria Math" w:eastAsiaTheme="minorEastAsia" w:hAnsi="Cambria Math" w:cstheme="minorBidi"/>
                <w:i/>
                <w:szCs w:val="24"/>
                <w:lang w:bidi="ar-SA"/>
              </w:rPr>
            </m:ctrlPr>
          </m:naryPr>
          <m:sub>
            <m:r>
              <w:rPr>
                <w:rFonts w:ascii="Cambria Math" w:eastAsiaTheme="minorEastAsia" w:hAnsi="Cambria Math"/>
              </w:rPr>
              <m:t>j≠i</m:t>
            </m:r>
          </m:sub>
          <m:sup>
            <m:r>
              <w:rPr>
                <w:rFonts w:ascii="Cambria Math" w:eastAsiaTheme="minorEastAsia" w:hAnsi="Cambria Math"/>
              </w:rPr>
              <m:t>n</m:t>
            </m:r>
          </m:sup>
          <m:e>
            <m:sSub>
              <m:sSubPr>
                <m:ctrlPr>
                  <w:rPr>
                    <w:rFonts w:ascii="Cambria Math" w:eastAsiaTheme="minorEastAsia" w:hAnsi="Cambria Math" w:cstheme="minorBidi"/>
                    <w:i/>
                    <w:szCs w:val="24"/>
                    <w:lang w:bidi="ar-SA"/>
                  </w:rPr>
                </m:ctrlPr>
              </m:sSubPr>
              <m:e>
                <m:r>
                  <w:rPr>
                    <w:rFonts w:ascii="Cambria Math" w:eastAsiaTheme="minorEastAsia" w:hAnsi="Cambria Math"/>
                  </w:rPr>
                  <m:t>SS</m:t>
                </m:r>
              </m:e>
              <m:sub>
                <m:r>
                  <w:rPr>
                    <w:rFonts w:ascii="Cambria Math" w:eastAsiaTheme="minorEastAsia" w:hAnsi="Cambria Math"/>
                  </w:rPr>
                  <m:t>i,j</m:t>
                </m:r>
              </m:sub>
            </m:sSub>
          </m:e>
        </m:nary>
      </m:oMath>
      <w:r w:rsidR="00446D6F" w:rsidRPr="002324C5">
        <w:rPr>
          <w:rFonts w:eastAsiaTheme="minorEastAsia"/>
          <w:szCs w:val="24"/>
        </w:rPr>
        <w:tab/>
      </w:r>
      <w:r w:rsidR="00446D6F" w:rsidRPr="002324C5">
        <w:rPr>
          <w:rFonts w:eastAsiaTheme="minorEastAsia"/>
          <w:szCs w:val="24"/>
        </w:rPr>
        <w:tab/>
      </w:r>
      <w:r w:rsidR="00446D6F" w:rsidRPr="002324C5">
        <w:rPr>
          <w:rFonts w:eastAsiaTheme="minorEastAsia"/>
          <w:szCs w:val="24"/>
        </w:rPr>
        <w:tab/>
      </w:r>
      <w:r w:rsidR="00446D6F" w:rsidRPr="002324C5">
        <w:rPr>
          <w:rFonts w:eastAsiaTheme="minorEastAsia"/>
          <w:szCs w:val="24"/>
        </w:rPr>
        <w:tab/>
      </w:r>
      <w:r w:rsidR="00446D6F">
        <w:rPr>
          <w:rFonts w:eastAsiaTheme="minorEastAsia"/>
          <w:szCs w:val="24"/>
        </w:rPr>
        <w:tab/>
      </w:r>
      <w:r w:rsidR="00446D6F">
        <w:rPr>
          <w:rFonts w:eastAsiaTheme="minorEastAsia"/>
          <w:szCs w:val="24"/>
        </w:rPr>
        <w:tab/>
      </w:r>
      <w:r w:rsidR="00446D6F">
        <w:rPr>
          <w:rFonts w:eastAsiaTheme="minorEastAsia"/>
          <w:szCs w:val="24"/>
        </w:rPr>
        <w:tab/>
      </w:r>
      <w:r w:rsidR="00446D6F" w:rsidRPr="002324C5">
        <w:rPr>
          <w:rFonts w:eastAsiaTheme="minorEastAsia"/>
          <w:szCs w:val="24"/>
        </w:rPr>
        <w:tab/>
      </w:r>
      <w:r w:rsidR="00446D6F" w:rsidRPr="002324C5">
        <w:rPr>
          <w:rFonts w:eastAsiaTheme="minorEastAsia"/>
          <w:szCs w:val="24"/>
        </w:rPr>
        <w:tab/>
        <w:t>(</w:t>
      </w:r>
      <w:r w:rsidR="00446D6F">
        <w:rPr>
          <w:rFonts w:eastAsiaTheme="minorEastAsia"/>
          <w:szCs w:val="24"/>
        </w:rPr>
        <w:t>C</w:t>
      </w:r>
      <w:r w:rsidR="00446D6F" w:rsidRPr="002324C5">
        <w:rPr>
          <w:rFonts w:eastAsiaTheme="minorEastAsia"/>
          <w:szCs w:val="24"/>
        </w:rPr>
        <w:t>.</w:t>
      </w:r>
      <w:r w:rsidR="00446D6F">
        <w:rPr>
          <w:rFonts w:eastAsiaTheme="minorEastAsia"/>
          <w:szCs w:val="24"/>
        </w:rPr>
        <w:t>4</w:t>
      </w:r>
      <w:r w:rsidR="00446D6F" w:rsidRPr="002324C5">
        <w:rPr>
          <w:rFonts w:eastAsiaTheme="minorEastAsia"/>
          <w:szCs w:val="24"/>
        </w:rPr>
        <w:t>)</w:t>
      </w:r>
    </w:p>
    <w:p w14:paraId="10310D0C" w14:textId="4EB73664" w:rsidR="00446D6F" w:rsidRDefault="00446D6F" w:rsidP="00830105">
      <w:pPr>
        <w:pStyle w:val="BodyText"/>
        <w:rPr>
          <w:rFonts w:eastAsiaTheme="minorEastAsia"/>
          <w:lang w:eastAsia="zh-TW"/>
        </w:rPr>
      </w:pPr>
      <w:r w:rsidRPr="009A14C3">
        <w:rPr>
          <w:rFonts w:eastAsiaTheme="minorEastAsia"/>
          <w:lang w:eastAsia="zh-TW"/>
        </w:rPr>
        <w:t xml:space="preserve">The inverse of the </w:t>
      </w:r>
      <m:oMath>
        <m:sSub>
          <m:sSubPr>
            <m:ctrlPr>
              <w:rPr>
                <w:rFonts w:ascii="Cambria Math" w:eastAsiaTheme="minorEastAsia" w:hAnsi="Cambria Math"/>
                <w:lang w:eastAsia="zh-TW"/>
              </w:rPr>
            </m:ctrlPr>
          </m:sSubPr>
          <m:e>
            <m:r>
              <w:rPr>
                <w:rFonts w:ascii="Cambria Math" w:eastAsiaTheme="minorEastAsia" w:hAnsi="Cambria Math"/>
                <w:lang w:eastAsia="zh-TW"/>
              </w:rPr>
              <m:t>ER</m:t>
            </m:r>
          </m:e>
          <m:sub>
            <m:r>
              <w:rPr>
                <w:rFonts w:ascii="Cambria Math" w:eastAsiaTheme="minorEastAsia" w:hAnsi="Cambria Math"/>
                <w:lang w:eastAsia="zh-TW"/>
              </w:rPr>
              <m:t>i</m:t>
            </m:r>
          </m:sub>
        </m:sSub>
      </m:oMath>
      <w:r w:rsidRPr="009A14C3">
        <w:rPr>
          <w:rFonts w:eastAsiaTheme="minorEastAsia"/>
          <w:lang w:eastAsia="zh-TW"/>
        </w:rPr>
        <w:t xml:space="preserve"> provides the weight for that matrix. Finally, the average weighted relative error for each GCM is calculated as following:</w:t>
      </w:r>
    </w:p>
    <w:p w14:paraId="38BCF2D9" w14:textId="35742677" w:rsidR="00446D6F" w:rsidRPr="002324C5" w:rsidRDefault="008043C8" w:rsidP="00446D6F">
      <w:pPr>
        <w:rPr>
          <w:rFonts w:eastAsiaTheme="minorEastAsia"/>
          <w:szCs w:val="24"/>
        </w:rPr>
      </w:pPr>
      <m:oMath>
        <m:sSub>
          <m:sSubPr>
            <m:ctrlPr>
              <w:rPr>
                <w:rFonts w:ascii="Cambria Math" w:eastAsiaTheme="minorHAnsi" w:hAnsi="Cambria Math" w:cstheme="minorBidi"/>
                <w:i/>
                <w:szCs w:val="24"/>
                <w:lang w:bidi="ar-SA"/>
              </w:rPr>
            </m:ctrlPr>
          </m:sSubPr>
          <m:e>
            <m:sSup>
              <m:sSupPr>
                <m:ctrlPr>
                  <w:rPr>
                    <w:rFonts w:ascii="Cambria Math" w:eastAsiaTheme="minorHAnsi" w:hAnsi="Cambria Math" w:cstheme="minorBidi"/>
                    <w:i/>
                    <w:szCs w:val="24"/>
                    <w:lang w:bidi="ar-SA"/>
                  </w:rPr>
                </m:ctrlPr>
              </m:sSupPr>
              <m:e>
                <m:r>
                  <w:rPr>
                    <w:rFonts w:ascii="Cambria Math" w:hAnsi="Cambria Math"/>
                  </w:rPr>
                  <m:t>RE</m:t>
                </m:r>
              </m:e>
              <m:sup>
                <m:r>
                  <w:rPr>
                    <w:rFonts w:ascii="Cambria Math" w:hAnsi="Cambria Math"/>
                  </w:rPr>
                  <m:t>*</m:t>
                </m:r>
              </m:sup>
            </m:sSup>
          </m:e>
          <m:sub>
            <m:r>
              <w:rPr>
                <w:rFonts w:ascii="Cambria Math" w:hAnsi="Cambria Math"/>
              </w:rPr>
              <m:t>G</m:t>
            </m:r>
          </m:sub>
        </m:sSub>
        <m:r>
          <w:rPr>
            <w:rFonts w:ascii="Cambria Math" w:hAnsi="Cambria Math"/>
          </w:rPr>
          <m:t xml:space="preserve">= </m:t>
        </m:r>
        <m:nary>
          <m:naryPr>
            <m:chr m:val="∑"/>
            <m:limLoc m:val="undOvr"/>
            <m:ctrlPr>
              <w:rPr>
                <w:rFonts w:ascii="Cambria Math" w:eastAsiaTheme="minorHAnsi" w:hAnsi="Cambria Math" w:cstheme="minorBidi"/>
                <w:i/>
                <w:szCs w:val="24"/>
                <w:lang w:bidi="ar-SA"/>
              </w:rPr>
            </m:ctrlPr>
          </m:naryPr>
          <m:sub>
            <m:r>
              <w:rPr>
                <w:rFonts w:ascii="Cambria Math" w:hAnsi="Cambria Math"/>
              </w:rPr>
              <m:t>i=1</m:t>
            </m:r>
          </m:sub>
          <m:sup>
            <m:r>
              <w:rPr>
                <w:rFonts w:ascii="Cambria Math" w:hAnsi="Cambria Math"/>
              </w:rPr>
              <m:t>m</m:t>
            </m:r>
          </m:sup>
          <m:e>
            <m:sSup>
              <m:sSupPr>
                <m:ctrlPr>
                  <w:rPr>
                    <w:rFonts w:ascii="Cambria Math" w:eastAsiaTheme="minorHAnsi" w:hAnsi="Cambria Math" w:cstheme="minorBidi"/>
                    <w:i/>
                    <w:szCs w:val="24"/>
                    <w:lang w:bidi="ar-SA"/>
                  </w:rPr>
                </m:ctrlPr>
              </m:sSupPr>
              <m:e>
                <m:d>
                  <m:dPr>
                    <m:ctrlPr>
                      <w:rPr>
                        <w:rFonts w:ascii="Cambria Math" w:eastAsiaTheme="minorHAnsi" w:hAnsi="Cambria Math" w:cstheme="minorBidi"/>
                        <w:i/>
                        <w:szCs w:val="24"/>
                        <w:lang w:bidi="ar-SA"/>
                      </w:rPr>
                    </m:ctrlPr>
                  </m:dPr>
                  <m:e>
                    <m:sSub>
                      <m:sSubPr>
                        <m:ctrlPr>
                          <w:rPr>
                            <w:rFonts w:ascii="Cambria Math" w:eastAsiaTheme="minorHAnsi" w:hAnsi="Cambria Math" w:cstheme="minorBidi"/>
                            <w:i/>
                            <w:szCs w:val="24"/>
                            <w:lang w:bidi="ar-SA"/>
                          </w:rPr>
                        </m:ctrlPr>
                      </m:sSubPr>
                      <m:e>
                        <m:r>
                          <w:rPr>
                            <w:rFonts w:ascii="Cambria Math" w:hAnsi="Cambria Math"/>
                          </w:rPr>
                          <m:t>ER</m:t>
                        </m:r>
                      </m:e>
                      <m:sub>
                        <m:r>
                          <w:rPr>
                            <w:rFonts w:ascii="Cambria Math" w:hAnsi="Cambria Math"/>
                          </w:rPr>
                          <m:t>i</m:t>
                        </m:r>
                      </m:sub>
                    </m:sSub>
                  </m:e>
                </m:d>
              </m:e>
              <m:sup>
                <m:r>
                  <w:rPr>
                    <w:rFonts w:ascii="Cambria Math" w:hAnsi="Cambria Math"/>
                  </w:rPr>
                  <m:t>-1</m:t>
                </m:r>
              </m:sup>
            </m:sSup>
            <m:sSub>
              <m:sSubPr>
                <m:ctrlPr>
                  <w:rPr>
                    <w:rFonts w:ascii="Cambria Math" w:eastAsiaTheme="minorHAnsi" w:hAnsi="Cambria Math" w:cstheme="minorBidi"/>
                    <w:i/>
                    <w:szCs w:val="24"/>
                    <w:lang w:bidi="ar-SA"/>
                  </w:rPr>
                </m:ctrlPr>
              </m:sSubPr>
              <m:e>
                <m:r>
                  <w:rPr>
                    <w:rFonts w:ascii="Cambria Math" w:hAnsi="Cambria Math"/>
                  </w:rPr>
                  <m:t>RE</m:t>
                </m:r>
              </m:e>
              <m:sub>
                <m:r>
                  <w:rPr>
                    <w:rFonts w:ascii="Cambria Math" w:hAnsi="Cambria Math"/>
                  </w:rPr>
                  <m:t>G,i</m:t>
                </m:r>
              </m:sub>
            </m:sSub>
          </m:e>
        </m:nary>
      </m:oMath>
      <w:r w:rsidR="00446D6F" w:rsidRPr="002324C5">
        <w:rPr>
          <w:rFonts w:eastAsiaTheme="minorEastAsia"/>
          <w:szCs w:val="24"/>
        </w:rPr>
        <w:tab/>
      </w:r>
      <w:r w:rsidR="00446D6F" w:rsidRPr="002324C5">
        <w:rPr>
          <w:rFonts w:eastAsiaTheme="minorEastAsia"/>
          <w:szCs w:val="24"/>
        </w:rPr>
        <w:tab/>
      </w:r>
      <w:r w:rsidR="00446D6F" w:rsidRPr="002324C5">
        <w:rPr>
          <w:rFonts w:eastAsiaTheme="minorEastAsia"/>
          <w:szCs w:val="24"/>
        </w:rPr>
        <w:tab/>
      </w:r>
      <w:r w:rsidR="00446D6F">
        <w:rPr>
          <w:rFonts w:eastAsiaTheme="minorEastAsia"/>
          <w:szCs w:val="24"/>
        </w:rPr>
        <w:tab/>
      </w:r>
      <w:r w:rsidR="00446D6F">
        <w:rPr>
          <w:rFonts w:eastAsiaTheme="minorEastAsia"/>
          <w:szCs w:val="24"/>
        </w:rPr>
        <w:tab/>
      </w:r>
      <w:r w:rsidR="00446D6F">
        <w:rPr>
          <w:rFonts w:eastAsiaTheme="minorEastAsia"/>
          <w:szCs w:val="24"/>
        </w:rPr>
        <w:tab/>
      </w:r>
      <w:r w:rsidR="00446D6F" w:rsidRPr="002324C5">
        <w:rPr>
          <w:rFonts w:eastAsiaTheme="minorEastAsia"/>
          <w:szCs w:val="24"/>
        </w:rPr>
        <w:tab/>
      </w:r>
      <w:r w:rsidR="00446D6F" w:rsidRPr="002324C5">
        <w:rPr>
          <w:rFonts w:eastAsiaTheme="minorEastAsia"/>
          <w:szCs w:val="24"/>
        </w:rPr>
        <w:tab/>
        <w:t>(</w:t>
      </w:r>
      <w:r w:rsidR="00446D6F">
        <w:rPr>
          <w:rFonts w:eastAsiaTheme="minorEastAsia"/>
          <w:szCs w:val="24"/>
        </w:rPr>
        <w:t>C</w:t>
      </w:r>
      <w:r w:rsidR="00446D6F" w:rsidRPr="002324C5">
        <w:rPr>
          <w:rFonts w:eastAsiaTheme="minorEastAsia"/>
          <w:szCs w:val="24"/>
        </w:rPr>
        <w:t>.</w:t>
      </w:r>
      <w:r w:rsidR="00446D6F">
        <w:rPr>
          <w:rFonts w:eastAsiaTheme="minorEastAsia"/>
          <w:szCs w:val="24"/>
        </w:rPr>
        <w:t>5</w:t>
      </w:r>
      <w:r w:rsidR="00446D6F" w:rsidRPr="002324C5">
        <w:rPr>
          <w:rFonts w:eastAsiaTheme="minorEastAsia"/>
          <w:szCs w:val="24"/>
        </w:rPr>
        <w:t>)</w:t>
      </w:r>
    </w:p>
    <w:p w14:paraId="5082780B" w14:textId="4E47E4E5" w:rsidR="00446D6F" w:rsidRDefault="00DF485F" w:rsidP="00DF485F">
      <w:pPr>
        <w:spacing w:before="0" w:line="240" w:lineRule="auto"/>
        <w:ind w:firstLine="0"/>
        <w:rPr>
          <w:lang w:bidi="ar-SA"/>
        </w:rPr>
      </w:pPr>
      <w:r>
        <w:t xml:space="preserve">These weighted relative errors </w:t>
      </w:r>
      <m:oMath>
        <m:sSub>
          <m:sSubPr>
            <m:ctrlPr>
              <w:rPr>
                <w:rFonts w:ascii="Cambria Math" w:hAnsi="Cambria Math"/>
                <w:i/>
              </w:rPr>
            </m:ctrlPr>
          </m:sSubPr>
          <m:e>
            <m:sSup>
              <m:sSupPr>
                <m:ctrlPr>
                  <w:rPr>
                    <w:rFonts w:ascii="Cambria Math" w:hAnsi="Cambria Math"/>
                    <w:i/>
                  </w:rPr>
                </m:ctrlPr>
              </m:sSupPr>
              <m:e>
                <m:r>
                  <w:rPr>
                    <w:rFonts w:ascii="Cambria Math" w:hAnsi="Cambria Math"/>
                  </w:rPr>
                  <m:t>(RE</m:t>
                </m:r>
              </m:e>
              <m:sup>
                <m:r>
                  <w:rPr>
                    <w:rFonts w:ascii="Cambria Math" w:hAnsi="Cambria Math"/>
                  </w:rPr>
                  <m:t>*</m:t>
                </m:r>
              </m:sup>
            </m:sSup>
          </m:e>
          <m:sub>
            <m:r>
              <w:rPr>
                <w:rFonts w:ascii="Cambria Math" w:hAnsi="Cambria Math"/>
              </w:rPr>
              <m:t>G</m:t>
            </m:r>
          </m:sub>
        </m:sSub>
        <m:r>
          <w:rPr>
            <w:rFonts w:ascii="Cambria Math" w:hAnsi="Cambria Math"/>
          </w:rPr>
          <m:t>)</m:t>
        </m:r>
      </m:oMath>
      <w:r>
        <w:t xml:space="preserve"> are calculated separately for each of the four subregions of CONUS subregions and subsequently averaged to provide the average weighted relative error used in the simple averaging technique to calculate relative ranks of each GCM in the analyzed ensemble. </w:t>
      </w:r>
      <w:r w:rsidRPr="003856B5">
        <w:t>The GCM with the lowest weighted relative error rank</w:t>
      </w:r>
      <w:r>
        <w:t>s</w:t>
      </w:r>
      <w:r w:rsidRPr="003856B5">
        <w:t xml:space="preserve"> at the top, whereas the GCM with the highest weighted relative error rank</w:t>
      </w:r>
      <w:r>
        <w:t>s</w:t>
      </w:r>
      <w:r w:rsidRPr="003856B5">
        <w:t xml:space="preserve"> at the bottom. </w:t>
      </w:r>
      <w:r w:rsidRPr="0035316E">
        <w:t xml:space="preserve">In the </w:t>
      </w:r>
      <w:r>
        <w:t xml:space="preserve">multivariate </w:t>
      </w:r>
      <w:r w:rsidRPr="0035316E">
        <w:t>EOF analyses, models are ranked using sum of their Euclidean distances from the observations in the PC space, as following:</w:t>
      </w:r>
    </w:p>
    <w:p w14:paraId="432DA43E" w14:textId="700D5C21" w:rsidR="009A14C3" w:rsidRPr="002324C5" w:rsidRDefault="009A14C3" w:rsidP="009A14C3">
      <w:pPr>
        <w:rPr>
          <w:rFonts w:eastAsiaTheme="minorEastAsia"/>
          <w:szCs w:val="24"/>
        </w:rPr>
      </w:pPr>
      <m:oMath>
        <m:r>
          <w:rPr>
            <w:rFonts w:ascii="Cambria Math" w:hAnsi="Cambria Math"/>
          </w:rPr>
          <m:t>D</m:t>
        </m:r>
        <m:d>
          <m:dPr>
            <m:ctrlPr>
              <w:rPr>
                <w:rFonts w:ascii="Cambria Math" w:hAnsi="Cambria Math"/>
                <w:i/>
              </w:rPr>
            </m:ctrlPr>
          </m:dPr>
          <m:e>
            <m:r>
              <w:rPr>
                <w:rFonts w:ascii="Cambria Math" w:hAnsi="Cambria Math"/>
              </w:rPr>
              <m:t>O,G</m:t>
            </m:r>
          </m:e>
        </m:d>
        <m:r>
          <w:rPr>
            <w:rFonts w:ascii="Cambria Math" w:hAnsi="Cambria Math"/>
          </w:rPr>
          <m:t>=</m:t>
        </m:r>
        <m:rad>
          <m:radPr>
            <m:degHide m:val="1"/>
            <m:ctrlPr>
              <w:rPr>
                <w:rFonts w:ascii="Cambria Math" w:eastAsiaTheme="minorHAnsi" w:hAnsi="Cambria Math" w:cstheme="minorBidi"/>
                <w:i/>
                <w:szCs w:val="24"/>
                <w:lang w:bidi="ar-SA"/>
              </w:rPr>
            </m:ctrlPr>
          </m:radPr>
          <m:deg/>
          <m:e>
            <m:nary>
              <m:naryPr>
                <m:chr m:val="∑"/>
                <m:limLoc m:val="undOvr"/>
                <m:ctrlPr>
                  <w:rPr>
                    <w:rFonts w:ascii="Cambria Math" w:eastAsiaTheme="minorHAnsi" w:hAnsi="Cambria Math" w:cstheme="minorBidi"/>
                    <w:i/>
                    <w:szCs w:val="24"/>
                    <w:lang w:bidi="ar-SA"/>
                  </w:rPr>
                </m:ctrlPr>
              </m:naryPr>
              <m:sub>
                <m:r>
                  <w:rPr>
                    <w:rFonts w:ascii="Cambria Math" w:hAnsi="Cambria Math"/>
                  </w:rPr>
                  <m:t>i=1</m:t>
                </m:r>
              </m:sub>
              <m:sup>
                <m:r>
                  <w:rPr>
                    <w:rFonts w:ascii="Cambria Math" w:hAnsi="Cambria Math"/>
                  </w:rPr>
                  <m:t>n</m:t>
                </m:r>
              </m:sup>
              <m:e>
                <m:sSup>
                  <m:sSupPr>
                    <m:ctrlPr>
                      <w:rPr>
                        <w:rFonts w:ascii="Cambria Math" w:eastAsiaTheme="minorHAnsi" w:hAnsi="Cambria Math" w:cstheme="minorBidi"/>
                        <w:i/>
                        <w:szCs w:val="24"/>
                        <w:lang w:bidi="ar-SA"/>
                      </w:rPr>
                    </m:ctrlPr>
                  </m:sSupPr>
                  <m:e>
                    <m:d>
                      <m:dPr>
                        <m:ctrlPr>
                          <w:rPr>
                            <w:rFonts w:ascii="Cambria Math" w:eastAsiaTheme="minorHAnsi" w:hAnsi="Cambria Math" w:cstheme="minorBidi"/>
                            <w:i/>
                            <w:szCs w:val="24"/>
                            <w:lang w:bidi="ar-SA"/>
                          </w:rPr>
                        </m:ctrlPr>
                      </m:dPr>
                      <m:e>
                        <m:sSub>
                          <m:sSubPr>
                            <m:ctrlPr>
                              <w:rPr>
                                <w:rFonts w:ascii="Cambria Math" w:eastAsiaTheme="minorHAnsi" w:hAnsi="Cambria Math" w:cstheme="minorBidi"/>
                                <w:i/>
                                <w:szCs w:val="24"/>
                                <w:lang w:bidi="ar-SA"/>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eastAsiaTheme="minorHAnsi" w:hAnsi="Cambria Math" w:cstheme="minorBidi"/>
                                <w:i/>
                                <w:szCs w:val="24"/>
                                <w:lang w:bidi="ar-SA"/>
                              </w:rPr>
                            </m:ctrlPr>
                          </m:sSubPr>
                          <m:e>
                            <m:r>
                              <w:rPr>
                                <w:rFonts w:ascii="Cambria Math" w:hAnsi="Cambria Math"/>
                              </w:rPr>
                              <m:t>O</m:t>
                            </m:r>
                          </m:e>
                          <m:sub>
                            <m:r>
                              <w:rPr>
                                <w:rFonts w:ascii="Cambria Math" w:hAnsi="Cambria Math"/>
                              </w:rPr>
                              <m:t>i</m:t>
                            </m:r>
                          </m:sub>
                        </m:sSub>
                      </m:e>
                    </m:d>
                  </m:e>
                  <m:sup>
                    <m:r>
                      <w:rPr>
                        <w:rFonts w:ascii="Cambria Math" w:hAnsi="Cambria Math"/>
                      </w:rPr>
                      <m:t>2</m:t>
                    </m:r>
                  </m:sup>
                </m:sSup>
              </m:e>
            </m:nary>
          </m:e>
        </m:rad>
      </m:oMath>
      <w:r w:rsidRPr="002324C5">
        <w:rPr>
          <w:rFonts w:eastAsiaTheme="minorEastAsia"/>
          <w:szCs w:val="24"/>
        </w:rPr>
        <w:tab/>
      </w:r>
      <w:r w:rsidRPr="002324C5">
        <w:rPr>
          <w:rFonts w:eastAsiaTheme="minorEastAsia"/>
          <w:szCs w:val="24"/>
        </w:rPr>
        <w:tab/>
      </w:r>
      <w:r w:rsidRPr="002324C5">
        <w:rPr>
          <w:rFonts w:eastAsiaTheme="minorEastAsia"/>
          <w:szCs w:val="24"/>
        </w:rPr>
        <w:tab/>
      </w:r>
      <w:r>
        <w:rPr>
          <w:rFonts w:eastAsiaTheme="minorEastAsia"/>
          <w:szCs w:val="24"/>
        </w:rPr>
        <w:tab/>
      </w:r>
      <w:r>
        <w:rPr>
          <w:rFonts w:eastAsiaTheme="minorEastAsia"/>
          <w:szCs w:val="24"/>
        </w:rPr>
        <w:tab/>
      </w:r>
      <w:r>
        <w:rPr>
          <w:rFonts w:eastAsiaTheme="minorEastAsia"/>
          <w:szCs w:val="24"/>
        </w:rPr>
        <w:tab/>
      </w:r>
      <w:r w:rsidRPr="002324C5">
        <w:rPr>
          <w:rFonts w:eastAsiaTheme="minorEastAsia"/>
          <w:szCs w:val="24"/>
        </w:rPr>
        <w:tab/>
      </w:r>
      <w:r w:rsidRPr="002324C5">
        <w:rPr>
          <w:rFonts w:eastAsiaTheme="minorEastAsia"/>
          <w:szCs w:val="24"/>
        </w:rPr>
        <w:tab/>
        <w:t>(</w:t>
      </w:r>
      <w:r>
        <w:rPr>
          <w:rFonts w:eastAsiaTheme="minorEastAsia"/>
          <w:szCs w:val="24"/>
        </w:rPr>
        <w:t>C</w:t>
      </w:r>
      <w:r w:rsidRPr="002324C5">
        <w:rPr>
          <w:rFonts w:eastAsiaTheme="minorEastAsia"/>
          <w:szCs w:val="24"/>
        </w:rPr>
        <w:t>.</w:t>
      </w:r>
      <w:r>
        <w:rPr>
          <w:rFonts w:eastAsiaTheme="minorEastAsia"/>
          <w:szCs w:val="24"/>
        </w:rPr>
        <w:t>6</w:t>
      </w:r>
      <w:r w:rsidRPr="002324C5">
        <w:rPr>
          <w:rFonts w:eastAsiaTheme="minorEastAsia"/>
          <w:szCs w:val="24"/>
        </w:rPr>
        <w:t>)</w:t>
      </w:r>
    </w:p>
    <w:p w14:paraId="1D2BBE7D" w14:textId="2CE77B66" w:rsidR="002B21A7" w:rsidRPr="002B21A7" w:rsidRDefault="002B21A7" w:rsidP="002B21A7">
      <w:pPr>
        <w:pStyle w:val="BodyText"/>
        <w:rPr>
          <w:rFonts w:eastAsiaTheme="minorEastAsia"/>
          <w:lang w:eastAsia="zh-TW"/>
        </w:rPr>
      </w:pPr>
      <w:r>
        <w:t xml:space="preserve">where </w:t>
      </w:r>
      <m:oMath>
        <m:r>
          <w:rPr>
            <w:rFonts w:ascii="Cambria Math" w:hAnsi="Cambria Math"/>
          </w:rPr>
          <m:t>D</m:t>
        </m:r>
        <m:d>
          <m:dPr>
            <m:ctrlPr>
              <w:rPr>
                <w:rFonts w:ascii="Cambria Math" w:hAnsi="Cambria Math"/>
                <w:i/>
              </w:rPr>
            </m:ctrlPr>
          </m:dPr>
          <m:e>
            <m:r>
              <w:rPr>
                <w:rFonts w:ascii="Cambria Math" w:hAnsi="Cambria Math"/>
              </w:rPr>
              <m:t>O,G</m:t>
            </m:r>
          </m:e>
        </m:d>
      </m:oMath>
      <w:r>
        <w:rPr>
          <w:rFonts w:eastAsiaTheme="minorEastAsia"/>
        </w:rPr>
        <w:t xml:space="preserve"> represents the </w:t>
      </w:r>
      <w:r w:rsidRPr="0035316E">
        <w:t>Euclidean</w:t>
      </w:r>
      <w:r>
        <w:rPr>
          <w:rFonts w:eastAsiaTheme="minorEastAsia"/>
        </w:rPr>
        <w:t xml:space="preserve"> distance of GCM </w:t>
      </w:r>
      <m:oMath>
        <m:r>
          <w:rPr>
            <w:rFonts w:ascii="Cambria Math" w:eastAsiaTheme="minorEastAsia" w:hAnsi="Cambria Math"/>
          </w:rPr>
          <m:t>G</m:t>
        </m:r>
      </m:oMath>
      <w:r>
        <w:rPr>
          <w:rFonts w:eastAsiaTheme="minorEastAsia"/>
        </w:rPr>
        <w:t xml:space="preserve"> from reference data </w:t>
      </w:r>
      <m:oMath>
        <m:r>
          <w:rPr>
            <w:rFonts w:ascii="Cambria Math" w:eastAsiaTheme="minorEastAsia" w:hAnsi="Cambria Math"/>
          </w:rPr>
          <m:t>O</m:t>
        </m:r>
      </m:oMath>
      <w:r>
        <w:rPr>
          <w:rFonts w:eastAsiaTheme="minorEastAsia"/>
        </w:rPr>
        <w:t xml:space="preserve"> as a sum of the distances over </w:t>
      </w:r>
      <m:oMath>
        <m:r>
          <w:rPr>
            <w:rFonts w:ascii="Cambria Math" w:eastAsiaTheme="minorEastAsia" w:hAnsi="Cambria Math"/>
          </w:rPr>
          <m:t>n</m:t>
        </m:r>
      </m:oMath>
      <w:r>
        <w:rPr>
          <w:rFonts w:eastAsiaTheme="minorEastAsia"/>
        </w:rPr>
        <w:t xml:space="preserve"> PCs. </w:t>
      </w:r>
      <w:r w:rsidRPr="0035316E">
        <w:t xml:space="preserve">The sensitivity of </w:t>
      </w:r>
      <w:r>
        <w:t>GCMs</w:t>
      </w:r>
      <w:r w:rsidRPr="0035316E">
        <w:t xml:space="preserve"> ranking to the number PCs </w:t>
      </w:r>
      <w:r>
        <w:t xml:space="preserve">used </w:t>
      </w:r>
      <w:r w:rsidRPr="0035316E">
        <w:t>in the calculation of Euclidean distances substantially diminishes after first 10 modes</w:t>
      </w:r>
      <w:r>
        <w:t xml:space="preserve"> (</w:t>
      </w:r>
      <w:r w:rsidR="006B3B53">
        <w:fldChar w:fldCharType="begin"/>
      </w:r>
      <w:r w:rsidR="006B3B53">
        <w:instrText xml:space="preserve"> REF _Ref81747459 \h </w:instrText>
      </w:r>
      <w:r w:rsidR="006B3B53">
        <w:fldChar w:fldCharType="separate"/>
      </w:r>
      <w:r w:rsidR="00EE0BF5">
        <w:t xml:space="preserve">Table </w:t>
      </w:r>
      <w:r w:rsidR="00EE0BF5">
        <w:rPr>
          <w:noProof/>
        </w:rPr>
        <w:t>C</w:t>
      </w:r>
      <w:r w:rsidR="00EE0BF5">
        <w:t>.</w:t>
      </w:r>
      <w:r w:rsidR="00EE0BF5">
        <w:rPr>
          <w:noProof/>
        </w:rPr>
        <w:t>1</w:t>
      </w:r>
      <w:r w:rsidR="00EE0BF5" w:rsidRPr="00485D84">
        <w:rPr>
          <w:rFonts w:eastAsia="PMingLiU"/>
          <w:lang w:bidi="en-US"/>
        </w:rPr>
        <w:t xml:space="preserve">. </w:t>
      </w:r>
      <w:r w:rsidR="006B3B53">
        <w:fldChar w:fldCharType="end"/>
      </w:r>
      <w:r>
        <w:t>)</w:t>
      </w:r>
      <w:r w:rsidRPr="0035316E">
        <w:t>. Therefore, distances between individual GCMs and observations were calculated using the truncated set of first 10 modes.</w:t>
      </w:r>
    </w:p>
    <w:p w14:paraId="1491EACF" w14:textId="77777777" w:rsidR="002025A0" w:rsidRDefault="002025A0" w:rsidP="006941DB">
      <w:pPr>
        <w:pStyle w:val="FIGUREposition"/>
        <w:rPr>
          <w:snapToGrid/>
        </w:rPr>
      </w:pPr>
      <w:r w:rsidRPr="00A1573F">
        <w:rPr>
          <w:noProof/>
        </w:rPr>
        <w:lastRenderedPageBreak/>
        <w:drawing>
          <wp:inline distT="0" distB="0" distL="0" distR="0" wp14:anchorId="6DD94E73" wp14:editId="1045916F">
            <wp:extent cx="5120640" cy="3475991"/>
            <wp:effectExtent l="0" t="0" r="3810" b="0"/>
            <wp:docPr id="23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descr="Image"/>
                    <pic:cNvPicPr>
                      <a:picLocks noChangeAspect="1"/>
                    </pic:cNvPicPr>
                  </pic:nvPicPr>
                  <pic:blipFill>
                    <a:blip r:embed="rId436"/>
                    <a:stretch>
                      <a:fillRect/>
                    </a:stretch>
                  </pic:blipFill>
                  <pic:spPr>
                    <a:xfrm>
                      <a:off x="0" y="0"/>
                      <a:ext cx="5120640" cy="3475991"/>
                    </a:xfrm>
                    <a:prstGeom prst="rect">
                      <a:avLst/>
                    </a:prstGeom>
                    <a:ln w="12700">
                      <a:miter lim="400000"/>
                    </a:ln>
                  </pic:spPr>
                </pic:pic>
              </a:graphicData>
            </a:graphic>
          </wp:inline>
        </w:drawing>
      </w:r>
    </w:p>
    <w:p w14:paraId="3CE9BBE0" w14:textId="1D23C6F0" w:rsidR="002025A0" w:rsidRPr="006869CA" w:rsidRDefault="004C7E17" w:rsidP="006941DB">
      <w:pPr>
        <w:pStyle w:val="AppendixFigureCaption"/>
      </w:pPr>
      <w:r>
        <w:t xml:space="preserve">Figure </w:t>
      </w:r>
      <w:fldSimple w:instr=" STYLEREF 9 \s ">
        <w:r w:rsidR="00EE0BF5">
          <w:rPr>
            <w:noProof/>
          </w:rPr>
          <w:t>C</w:t>
        </w:r>
      </w:fldSimple>
      <w:r>
        <w:t>.</w:t>
      </w:r>
      <w:fldSimple w:instr=" SEQ Figure_Apx \* ARABIC \s 9 ">
        <w:r w:rsidR="00EE0BF5">
          <w:rPr>
            <w:noProof/>
          </w:rPr>
          <w:t>1</w:t>
        </w:r>
      </w:fldSimple>
      <w:r w:rsidRPr="006869CA">
        <w:rPr>
          <w:lang w:eastAsia="zh-TW"/>
        </w:rPr>
        <w:t xml:space="preserve">. </w:t>
      </w:r>
      <w:r w:rsidR="006B3B53">
        <w:rPr>
          <w:lang w:eastAsia="zh-TW"/>
        </w:rPr>
        <w:t>F</w:t>
      </w:r>
      <w:r w:rsidR="002025A0" w:rsidRPr="00C77A66">
        <w:t xml:space="preserve">our </w:t>
      </w:r>
      <w:r w:rsidR="006B3B53">
        <w:t xml:space="preserve">CONUS GCM evaluation </w:t>
      </w:r>
      <w:r w:rsidR="002025A0" w:rsidRPr="00C77A66">
        <w:t xml:space="preserve">regions based on </w:t>
      </w:r>
      <w:r w:rsidR="006B3B53">
        <w:t xml:space="preserve">grouped </w:t>
      </w:r>
      <w:r w:rsidR="002025A0">
        <w:t>HUC2</w:t>
      </w:r>
      <w:r w:rsidR="006B3B53">
        <w:t>s</w:t>
      </w:r>
      <w:r w:rsidR="002025A0">
        <w:t xml:space="preserve"> </w:t>
      </w:r>
      <w:r w:rsidR="006B3B53">
        <w:t>utilized by Naz et al. (2016)</w:t>
      </w:r>
      <w:r w:rsidR="002025A0" w:rsidRPr="00706985">
        <w:rPr>
          <w:lang w:eastAsia="zh-TW"/>
        </w:rPr>
        <w:t>.</w:t>
      </w:r>
    </w:p>
    <w:p w14:paraId="00187DB9" w14:textId="47B2E737" w:rsidR="00830105" w:rsidRDefault="00830105" w:rsidP="00830105">
      <w:pPr>
        <w:ind w:firstLine="0"/>
        <w:rPr>
          <w:lang w:bidi="ar-SA"/>
        </w:rPr>
      </w:pPr>
    </w:p>
    <w:p w14:paraId="355CFFAC" w14:textId="2AA04AAC" w:rsidR="00FA1B18" w:rsidRDefault="00FA1B18">
      <w:pPr>
        <w:spacing w:before="0" w:after="0" w:line="240" w:lineRule="auto"/>
        <w:ind w:firstLine="0"/>
        <w:rPr>
          <w:lang w:bidi="ar-SA"/>
        </w:rPr>
      </w:pPr>
      <w:r>
        <w:rPr>
          <w:lang w:bidi="ar-SA"/>
        </w:rPr>
        <w:br w:type="page"/>
      </w:r>
    </w:p>
    <w:p w14:paraId="1543F839" w14:textId="081CD6FF" w:rsidR="00EF2640" w:rsidRDefault="004C7E17" w:rsidP="00450669">
      <w:pPr>
        <w:pStyle w:val="AppendixTableCaption"/>
      </w:pPr>
      <w:bookmarkStart w:id="618" w:name="_Ref81747459"/>
      <w:bookmarkStart w:id="619" w:name="_Ref81584439"/>
      <w:r>
        <w:lastRenderedPageBreak/>
        <w:t xml:space="preserve">Table </w:t>
      </w:r>
      <w:fldSimple w:instr=" STYLEREF 9 \s ">
        <w:r w:rsidR="00EE0BF5">
          <w:rPr>
            <w:noProof/>
          </w:rPr>
          <w:t>C</w:t>
        </w:r>
      </w:fldSimple>
      <w:r>
        <w:t>.</w:t>
      </w:r>
      <w:fldSimple w:instr=" SEQ Table_Apx \* ARABIC \s 9 ">
        <w:r w:rsidR="00EE0BF5">
          <w:rPr>
            <w:noProof/>
          </w:rPr>
          <w:t>1</w:t>
        </w:r>
      </w:fldSimple>
      <w:r w:rsidRPr="00485D84">
        <w:rPr>
          <w:rFonts w:eastAsia="PMingLiU"/>
          <w:lang w:bidi="en-US"/>
        </w:rPr>
        <w:t xml:space="preserve">. </w:t>
      </w:r>
      <w:bookmarkEnd w:id="618"/>
      <w:r w:rsidR="00EF2640">
        <w:rPr>
          <w:rFonts w:eastAsiaTheme="minorEastAsia"/>
          <w:lang w:eastAsia="zh-TW"/>
        </w:rPr>
        <w:t xml:space="preserve">List of </w:t>
      </w:r>
      <w:r w:rsidR="00EF2640" w:rsidRPr="00291781">
        <w:t xml:space="preserve">GCMs </w:t>
      </w:r>
      <w:r w:rsidR="0024009D">
        <w:t>e</w:t>
      </w:r>
      <w:r w:rsidR="00EF2640" w:rsidRPr="00291781">
        <w:t xml:space="preserve">valuation </w:t>
      </w:r>
      <w:r w:rsidR="0024009D">
        <w:t>m</w:t>
      </w:r>
      <w:r w:rsidR="00EF2640" w:rsidRPr="00291781">
        <w:t>etrics</w:t>
      </w:r>
      <w:bookmarkEnd w:id="619"/>
    </w:p>
    <w:tbl>
      <w:tblPr>
        <w:tblStyle w:val="GridTable4"/>
        <w:tblW w:w="0" w:type="auto"/>
        <w:tblLook w:val="04A0" w:firstRow="1" w:lastRow="0" w:firstColumn="1" w:lastColumn="0" w:noHBand="0" w:noVBand="1"/>
      </w:tblPr>
      <w:tblGrid>
        <w:gridCol w:w="2337"/>
        <w:gridCol w:w="2337"/>
        <w:gridCol w:w="2338"/>
        <w:gridCol w:w="2338"/>
      </w:tblGrid>
      <w:tr w:rsidR="00F92A57" w:rsidRPr="00291781" w14:paraId="2E6950AA" w14:textId="77777777" w:rsidTr="00470A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4"/>
          </w:tcPr>
          <w:p w14:paraId="7EA22B70" w14:textId="77777777" w:rsidR="00F92A57" w:rsidRPr="00291781" w:rsidRDefault="00F92A57" w:rsidP="00F92A57">
            <w:pPr>
              <w:spacing w:before="0" w:after="0" w:line="240" w:lineRule="auto"/>
              <w:ind w:firstLine="0"/>
              <w:jc w:val="center"/>
              <w:rPr>
                <w:rFonts w:cs="Times New Roman"/>
                <w:sz w:val="20"/>
                <w:szCs w:val="20"/>
              </w:rPr>
            </w:pPr>
            <w:r w:rsidRPr="00291781">
              <w:rPr>
                <w:rFonts w:cs="Times New Roman"/>
                <w:sz w:val="20"/>
                <w:szCs w:val="20"/>
              </w:rPr>
              <w:t>GCMs Evaluation Metrics</w:t>
            </w:r>
          </w:p>
        </w:tc>
      </w:tr>
      <w:tr w:rsidR="00F92A57" w:rsidRPr="00291781" w14:paraId="19006575"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9484FAB"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1.</w:t>
            </w:r>
            <w:r>
              <w:rPr>
                <w:b w:val="0"/>
                <w:bCs w:val="0"/>
                <w:sz w:val="20"/>
                <w:szCs w:val="20"/>
              </w:rPr>
              <w:t xml:space="preserve"> </w:t>
            </w:r>
            <w:r w:rsidRPr="00291781">
              <w:rPr>
                <w:rFonts w:cs="Times New Roman"/>
                <w:b w:val="0"/>
                <w:bCs w:val="0"/>
                <w:sz w:val="20"/>
                <w:szCs w:val="20"/>
              </w:rPr>
              <w:t>Amplitude</w:t>
            </w:r>
            <w:r>
              <w:rPr>
                <w:rFonts w:cs="Times New Roman"/>
                <w:b w:val="0"/>
                <w:bCs w:val="0"/>
                <w:sz w:val="20"/>
                <w:szCs w:val="20"/>
                <w:vertAlign w:val="superscript"/>
              </w:rPr>
              <w:t>a</w:t>
            </w:r>
            <w:r w:rsidRPr="00291781">
              <w:rPr>
                <w:rFonts w:cs="Times New Roman"/>
                <w:b w:val="0"/>
                <w:bCs w:val="0"/>
                <w:sz w:val="20"/>
                <w:szCs w:val="20"/>
              </w:rPr>
              <w:t xml:space="preserve"> Mean P</w:t>
            </w:r>
            <w:r w:rsidRPr="00291781">
              <w:rPr>
                <w:rFonts w:cs="Times New Roman"/>
                <w:b w:val="0"/>
                <w:bCs w:val="0"/>
                <w:sz w:val="20"/>
                <w:szCs w:val="20"/>
                <w:vertAlign w:val="superscript"/>
              </w:rPr>
              <w:t>1</w:t>
            </w:r>
          </w:p>
        </w:tc>
        <w:tc>
          <w:tcPr>
            <w:tcW w:w="2337" w:type="dxa"/>
          </w:tcPr>
          <w:p w14:paraId="062518A9"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2.</w:t>
            </w:r>
            <w:r>
              <w:rPr>
                <w:sz w:val="20"/>
                <w:szCs w:val="20"/>
              </w:rPr>
              <w:t xml:space="preserve"> </w:t>
            </w:r>
            <w:r w:rsidRPr="00291781">
              <w:rPr>
                <w:rFonts w:cs="Times New Roman"/>
                <w:sz w:val="20"/>
                <w:szCs w:val="20"/>
              </w:rPr>
              <w:t>Amplitude Mean T</w:t>
            </w:r>
            <w:r w:rsidRPr="008B2773">
              <w:rPr>
                <w:rFonts w:cs="Times New Roman"/>
                <w:sz w:val="20"/>
                <w:szCs w:val="20"/>
                <w:vertAlign w:val="superscript"/>
              </w:rPr>
              <w:t>2</w:t>
            </w:r>
          </w:p>
        </w:tc>
        <w:tc>
          <w:tcPr>
            <w:tcW w:w="2338" w:type="dxa"/>
          </w:tcPr>
          <w:p w14:paraId="582FAE16"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3.</w:t>
            </w:r>
            <w:r>
              <w:rPr>
                <w:sz w:val="20"/>
                <w:szCs w:val="20"/>
              </w:rPr>
              <w:t xml:space="preserve"> </w:t>
            </w:r>
            <w:r w:rsidRPr="00291781">
              <w:rPr>
                <w:rFonts w:cs="Times New Roman"/>
                <w:sz w:val="20"/>
                <w:szCs w:val="20"/>
              </w:rPr>
              <w:t>Amplitude Mean Tmax</w:t>
            </w:r>
            <w:r w:rsidRPr="008B2773">
              <w:rPr>
                <w:rFonts w:cs="Times New Roman"/>
                <w:sz w:val="20"/>
                <w:szCs w:val="20"/>
                <w:vertAlign w:val="superscript"/>
              </w:rPr>
              <w:t>3</w:t>
            </w:r>
          </w:p>
        </w:tc>
        <w:tc>
          <w:tcPr>
            <w:tcW w:w="2338" w:type="dxa"/>
          </w:tcPr>
          <w:p w14:paraId="38365FA7"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4.</w:t>
            </w:r>
            <w:r>
              <w:rPr>
                <w:sz w:val="20"/>
                <w:szCs w:val="20"/>
              </w:rPr>
              <w:t xml:space="preserve"> </w:t>
            </w:r>
            <w:r w:rsidRPr="00291781">
              <w:rPr>
                <w:rFonts w:cs="Times New Roman"/>
                <w:sz w:val="20"/>
                <w:szCs w:val="20"/>
              </w:rPr>
              <w:t>Amplitude Mean Tmin</w:t>
            </w:r>
            <w:r w:rsidRPr="008B2773">
              <w:rPr>
                <w:rFonts w:cs="Times New Roman"/>
                <w:sz w:val="20"/>
                <w:szCs w:val="20"/>
                <w:vertAlign w:val="superscript"/>
              </w:rPr>
              <w:t>4</w:t>
            </w:r>
          </w:p>
        </w:tc>
      </w:tr>
      <w:tr w:rsidR="00F92A57" w:rsidRPr="00291781" w14:paraId="4A8A57EC"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3F410089"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5.</w:t>
            </w:r>
            <w:r>
              <w:rPr>
                <w:b w:val="0"/>
                <w:bCs w:val="0"/>
                <w:sz w:val="20"/>
                <w:szCs w:val="20"/>
              </w:rPr>
              <w:t xml:space="preserve"> </w:t>
            </w:r>
            <w:r w:rsidRPr="00291781">
              <w:rPr>
                <w:rFonts w:cs="Times New Roman"/>
                <w:b w:val="0"/>
                <w:bCs w:val="0"/>
                <w:sz w:val="20"/>
                <w:szCs w:val="20"/>
              </w:rPr>
              <w:t>Amplitude Standard Deviation P</w:t>
            </w:r>
          </w:p>
        </w:tc>
        <w:tc>
          <w:tcPr>
            <w:tcW w:w="2337" w:type="dxa"/>
          </w:tcPr>
          <w:p w14:paraId="3BBE691A"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6.</w:t>
            </w:r>
            <w:r>
              <w:rPr>
                <w:sz w:val="20"/>
                <w:szCs w:val="20"/>
              </w:rPr>
              <w:t xml:space="preserve"> </w:t>
            </w:r>
            <w:r w:rsidRPr="00291781">
              <w:rPr>
                <w:rFonts w:cs="Times New Roman"/>
                <w:sz w:val="20"/>
                <w:szCs w:val="20"/>
              </w:rPr>
              <w:t>Amplitude</w:t>
            </w:r>
            <w:r>
              <w:rPr>
                <w:rFonts w:cs="Times New Roman"/>
                <w:sz w:val="20"/>
                <w:szCs w:val="20"/>
              </w:rPr>
              <w:t xml:space="preserve"> </w:t>
            </w:r>
            <w:r w:rsidRPr="00291781">
              <w:rPr>
                <w:rFonts w:cs="Times New Roman"/>
                <w:sz w:val="20"/>
                <w:szCs w:val="20"/>
              </w:rPr>
              <w:t>Standard Deviation T</w:t>
            </w:r>
          </w:p>
        </w:tc>
        <w:tc>
          <w:tcPr>
            <w:tcW w:w="2338" w:type="dxa"/>
          </w:tcPr>
          <w:p w14:paraId="12D2E26A"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7.</w:t>
            </w:r>
            <w:r>
              <w:rPr>
                <w:sz w:val="20"/>
                <w:szCs w:val="20"/>
              </w:rPr>
              <w:t xml:space="preserve"> </w:t>
            </w:r>
            <w:r w:rsidRPr="00291781">
              <w:rPr>
                <w:rFonts w:cs="Times New Roman"/>
                <w:sz w:val="20"/>
                <w:szCs w:val="20"/>
              </w:rPr>
              <w:t>Amplitude Standard Deviation Tmax</w:t>
            </w:r>
          </w:p>
        </w:tc>
        <w:tc>
          <w:tcPr>
            <w:tcW w:w="2338" w:type="dxa"/>
          </w:tcPr>
          <w:p w14:paraId="3F44B96D"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8.</w:t>
            </w:r>
            <w:r>
              <w:rPr>
                <w:sz w:val="20"/>
                <w:szCs w:val="20"/>
              </w:rPr>
              <w:t xml:space="preserve"> </w:t>
            </w:r>
            <w:r w:rsidRPr="00291781">
              <w:rPr>
                <w:rFonts w:cs="Times New Roman"/>
                <w:sz w:val="20"/>
                <w:szCs w:val="20"/>
              </w:rPr>
              <w:t>Amplitude Standard Deviation Tmin</w:t>
            </w:r>
          </w:p>
        </w:tc>
      </w:tr>
      <w:tr w:rsidR="00F92A57" w:rsidRPr="00291781" w14:paraId="7AA78B50"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85BE3F5"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9.</w:t>
            </w:r>
            <w:r>
              <w:rPr>
                <w:b w:val="0"/>
                <w:bCs w:val="0"/>
                <w:sz w:val="20"/>
                <w:szCs w:val="20"/>
              </w:rPr>
              <w:t xml:space="preserve"> </w:t>
            </w:r>
            <w:r w:rsidRPr="00291781">
              <w:rPr>
                <w:rFonts w:cs="Times New Roman"/>
                <w:b w:val="0"/>
                <w:bCs w:val="0"/>
                <w:sz w:val="20"/>
                <w:szCs w:val="20"/>
              </w:rPr>
              <w:t>Timing</w:t>
            </w:r>
            <w:r>
              <w:rPr>
                <w:rFonts w:cs="Times New Roman"/>
                <w:b w:val="0"/>
                <w:bCs w:val="0"/>
                <w:sz w:val="20"/>
                <w:szCs w:val="20"/>
                <w:vertAlign w:val="superscript"/>
              </w:rPr>
              <w:t>b</w:t>
            </w:r>
            <w:r w:rsidRPr="00291781">
              <w:rPr>
                <w:rFonts w:cs="Times New Roman"/>
                <w:b w:val="0"/>
                <w:bCs w:val="0"/>
                <w:sz w:val="20"/>
                <w:szCs w:val="20"/>
              </w:rPr>
              <w:t xml:space="preserve"> of Peak P</w:t>
            </w:r>
          </w:p>
        </w:tc>
        <w:tc>
          <w:tcPr>
            <w:tcW w:w="2337" w:type="dxa"/>
          </w:tcPr>
          <w:p w14:paraId="38450512"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10.</w:t>
            </w:r>
            <w:r>
              <w:rPr>
                <w:sz w:val="20"/>
                <w:szCs w:val="20"/>
              </w:rPr>
              <w:t xml:space="preserve"> </w:t>
            </w:r>
            <w:r w:rsidRPr="00291781">
              <w:rPr>
                <w:rFonts w:cs="Times New Roman"/>
                <w:sz w:val="20"/>
                <w:szCs w:val="20"/>
              </w:rPr>
              <w:t>Timing of Peak T</w:t>
            </w:r>
          </w:p>
        </w:tc>
        <w:tc>
          <w:tcPr>
            <w:tcW w:w="2338" w:type="dxa"/>
          </w:tcPr>
          <w:p w14:paraId="4AE05FED"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11.</w:t>
            </w:r>
            <w:r>
              <w:rPr>
                <w:sz w:val="20"/>
                <w:szCs w:val="20"/>
              </w:rPr>
              <w:t xml:space="preserve"> </w:t>
            </w:r>
            <w:r w:rsidRPr="00291781">
              <w:rPr>
                <w:rFonts w:cs="Times New Roman"/>
                <w:sz w:val="20"/>
                <w:szCs w:val="20"/>
              </w:rPr>
              <w:t>Timing of Peak Tmax</w:t>
            </w:r>
          </w:p>
        </w:tc>
        <w:tc>
          <w:tcPr>
            <w:tcW w:w="2338" w:type="dxa"/>
          </w:tcPr>
          <w:p w14:paraId="1CCCDF84"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12.</w:t>
            </w:r>
            <w:r>
              <w:rPr>
                <w:sz w:val="20"/>
                <w:szCs w:val="20"/>
              </w:rPr>
              <w:t xml:space="preserve"> </w:t>
            </w:r>
            <w:r w:rsidRPr="00291781">
              <w:rPr>
                <w:rFonts w:cs="Times New Roman"/>
                <w:sz w:val="20"/>
                <w:szCs w:val="20"/>
              </w:rPr>
              <w:t>Timing of Peak Tmin</w:t>
            </w:r>
          </w:p>
        </w:tc>
      </w:tr>
      <w:tr w:rsidR="00F92A57" w:rsidRPr="00291781" w14:paraId="73565D27"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08987D64"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13.</w:t>
            </w:r>
            <w:r>
              <w:rPr>
                <w:b w:val="0"/>
                <w:bCs w:val="0"/>
                <w:sz w:val="20"/>
                <w:szCs w:val="20"/>
              </w:rPr>
              <w:t xml:space="preserve"> </w:t>
            </w:r>
            <w:r w:rsidRPr="00291781">
              <w:rPr>
                <w:rFonts w:cs="Times New Roman"/>
                <w:b w:val="0"/>
                <w:bCs w:val="0"/>
                <w:sz w:val="20"/>
                <w:szCs w:val="20"/>
              </w:rPr>
              <w:t>Annual Mean Standard Deviation of P</w:t>
            </w:r>
          </w:p>
        </w:tc>
        <w:tc>
          <w:tcPr>
            <w:tcW w:w="2337" w:type="dxa"/>
          </w:tcPr>
          <w:p w14:paraId="5D0F2C95"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14.</w:t>
            </w:r>
            <w:r>
              <w:rPr>
                <w:sz w:val="20"/>
                <w:szCs w:val="20"/>
              </w:rPr>
              <w:t xml:space="preserve"> </w:t>
            </w:r>
            <w:r w:rsidRPr="00291781">
              <w:rPr>
                <w:rFonts w:cs="Times New Roman"/>
                <w:sz w:val="20"/>
                <w:szCs w:val="20"/>
              </w:rPr>
              <w:t>Annual Mean Standard Deviation of T</w:t>
            </w:r>
          </w:p>
        </w:tc>
        <w:tc>
          <w:tcPr>
            <w:tcW w:w="2338" w:type="dxa"/>
          </w:tcPr>
          <w:p w14:paraId="2A2E465E"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15.</w:t>
            </w:r>
            <w:r>
              <w:rPr>
                <w:sz w:val="20"/>
                <w:szCs w:val="20"/>
              </w:rPr>
              <w:t xml:space="preserve"> </w:t>
            </w:r>
            <w:r w:rsidRPr="00291781">
              <w:rPr>
                <w:rFonts w:cs="Times New Roman"/>
                <w:sz w:val="20"/>
                <w:szCs w:val="20"/>
              </w:rPr>
              <w:t>Annual Mean Standard Deviation of Tmax</w:t>
            </w:r>
          </w:p>
        </w:tc>
        <w:tc>
          <w:tcPr>
            <w:tcW w:w="2338" w:type="dxa"/>
          </w:tcPr>
          <w:p w14:paraId="4C4E4FC0"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31D21">
              <w:rPr>
                <w:b/>
                <w:bCs/>
                <w:sz w:val="20"/>
                <w:szCs w:val="20"/>
              </w:rPr>
              <w:t>16.</w:t>
            </w:r>
            <w:r>
              <w:rPr>
                <w:sz w:val="20"/>
                <w:szCs w:val="20"/>
              </w:rPr>
              <w:t xml:space="preserve"> </w:t>
            </w:r>
            <w:r w:rsidRPr="00291781">
              <w:rPr>
                <w:rFonts w:cs="Times New Roman"/>
                <w:sz w:val="20"/>
                <w:szCs w:val="20"/>
              </w:rPr>
              <w:t>Annual Mean Standard Deviation of Tmin</w:t>
            </w:r>
          </w:p>
        </w:tc>
      </w:tr>
      <w:tr w:rsidR="00F92A57" w:rsidRPr="00291781" w14:paraId="6634389F"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3408A4B"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17.</w:t>
            </w:r>
            <w:r>
              <w:rPr>
                <w:b w:val="0"/>
                <w:bCs w:val="0"/>
                <w:sz w:val="20"/>
                <w:szCs w:val="20"/>
              </w:rPr>
              <w:t xml:space="preserve"> </w:t>
            </w:r>
            <w:r w:rsidRPr="00291781">
              <w:rPr>
                <w:rFonts w:cs="Times New Roman"/>
                <w:b w:val="0"/>
                <w:bCs w:val="0"/>
                <w:sz w:val="20"/>
                <w:szCs w:val="20"/>
              </w:rPr>
              <w:t>DJF</w:t>
            </w:r>
            <w:r>
              <w:rPr>
                <w:rFonts w:cs="Times New Roman"/>
                <w:b w:val="0"/>
                <w:bCs w:val="0"/>
                <w:sz w:val="20"/>
                <w:szCs w:val="20"/>
                <w:vertAlign w:val="superscript"/>
              </w:rPr>
              <w:t>5</w:t>
            </w:r>
            <w:r w:rsidRPr="00291781">
              <w:rPr>
                <w:rFonts w:cs="Times New Roman"/>
                <w:b w:val="0"/>
                <w:bCs w:val="0"/>
                <w:sz w:val="20"/>
                <w:szCs w:val="20"/>
              </w:rPr>
              <w:t xml:space="preserve"> (Taylor Stats) P</w:t>
            </w:r>
          </w:p>
        </w:tc>
        <w:tc>
          <w:tcPr>
            <w:tcW w:w="2337" w:type="dxa"/>
          </w:tcPr>
          <w:p w14:paraId="6E063317"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18.</w:t>
            </w:r>
            <w:r>
              <w:rPr>
                <w:sz w:val="20"/>
                <w:szCs w:val="20"/>
              </w:rPr>
              <w:t xml:space="preserve"> </w:t>
            </w:r>
            <w:r w:rsidRPr="00291781">
              <w:rPr>
                <w:rFonts w:cs="Times New Roman"/>
                <w:sz w:val="20"/>
                <w:szCs w:val="20"/>
              </w:rPr>
              <w:t>DJF (Taylor Stats) T</w:t>
            </w:r>
          </w:p>
        </w:tc>
        <w:tc>
          <w:tcPr>
            <w:tcW w:w="2338" w:type="dxa"/>
          </w:tcPr>
          <w:p w14:paraId="7EE2DD02"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19.</w:t>
            </w:r>
            <w:r>
              <w:rPr>
                <w:sz w:val="20"/>
                <w:szCs w:val="20"/>
              </w:rPr>
              <w:t xml:space="preserve"> </w:t>
            </w:r>
            <w:r w:rsidRPr="00291781">
              <w:rPr>
                <w:rFonts w:cs="Times New Roman"/>
                <w:sz w:val="20"/>
                <w:szCs w:val="20"/>
              </w:rPr>
              <w:t>DJF (Taylor Stats) Tmax</w:t>
            </w:r>
          </w:p>
        </w:tc>
        <w:tc>
          <w:tcPr>
            <w:tcW w:w="2338" w:type="dxa"/>
          </w:tcPr>
          <w:p w14:paraId="6045860B"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431D21">
              <w:rPr>
                <w:b/>
                <w:bCs/>
                <w:sz w:val="20"/>
                <w:szCs w:val="20"/>
              </w:rPr>
              <w:t>20.</w:t>
            </w:r>
            <w:r>
              <w:rPr>
                <w:sz w:val="20"/>
                <w:szCs w:val="20"/>
              </w:rPr>
              <w:t xml:space="preserve"> </w:t>
            </w:r>
            <w:r w:rsidRPr="00291781">
              <w:rPr>
                <w:rFonts w:cs="Times New Roman"/>
                <w:sz w:val="20"/>
                <w:szCs w:val="20"/>
              </w:rPr>
              <w:t>DJF (Taylor Stats) Tmin</w:t>
            </w:r>
          </w:p>
        </w:tc>
      </w:tr>
      <w:tr w:rsidR="00F92A57" w:rsidRPr="00291781" w14:paraId="7293AF8A"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7C6D29CA" w14:textId="77777777" w:rsidR="00F92A57" w:rsidRPr="00291781" w:rsidRDefault="00F92A57" w:rsidP="00F92A57">
            <w:pPr>
              <w:spacing w:before="0" w:after="0" w:line="240" w:lineRule="auto"/>
              <w:ind w:firstLine="0"/>
              <w:jc w:val="center"/>
              <w:rPr>
                <w:rFonts w:cs="Times New Roman"/>
                <w:sz w:val="20"/>
                <w:szCs w:val="20"/>
              </w:rPr>
            </w:pPr>
            <w:r w:rsidRPr="00431D21">
              <w:rPr>
                <w:sz w:val="20"/>
                <w:szCs w:val="20"/>
              </w:rPr>
              <w:t>21.</w:t>
            </w:r>
            <w:r>
              <w:rPr>
                <w:b w:val="0"/>
                <w:bCs w:val="0"/>
                <w:sz w:val="20"/>
                <w:szCs w:val="20"/>
              </w:rPr>
              <w:t xml:space="preserve"> </w:t>
            </w:r>
            <w:r w:rsidRPr="00291781">
              <w:rPr>
                <w:rFonts w:cs="Times New Roman"/>
                <w:b w:val="0"/>
                <w:bCs w:val="0"/>
                <w:sz w:val="20"/>
                <w:szCs w:val="20"/>
              </w:rPr>
              <w:t>MAM</w:t>
            </w:r>
            <w:r>
              <w:rPr>
                <w:rFonts w:cs="Times New Roman"/>
                <w:b w:val="0"/>
                <w:bCs w:val="0"/>
                <w:sz w:val="20"/>
                <w:szCs w:val="20"/>
                <w:vertAlign w:val="superscript"/>
              </w:rPr>
              <w:t>6</w:t>
            </w:r>
            <w:r w:rsidRPr="00291781">
              <w:rPr>
                <w:rFonts w:cs="Times New Roman"/>
                <w:b w:val="0"/>
                <w:bCs w:val="0"/>
                <w:sz w:val="20"/>
                <w:szCs w:val="20"/>
              </w:rPr>
              <w:t xml:space="preserve"> (Taylor Stats) P</w:t>
            </w:r>
          </w:p>
        </w:tc>
        <w:tc>
          <w:tcPr>
            <w:tcW w:w="2337" w:type="dxa"/>
          </w:tcPr>
          <w:p w14:paraId="02E91828"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22. </w:t>
            </w:r>
            <w:r w:rsidRPr="00291781">
              <w:rPr>
                <w:rFonts w:cs="Times New Roman"/>
                <w:sz w:val="20"/>
                <w:szCs w:val="20"/>
              </w:rPr>
              <w:t>MAM (Taylor Stats)</w:t>
            </w:r>
            <w:r>
              <w:rPr>
                <w:sz w:val="20"/>
                <w:szCs w:val="20"/>
              </w:rPr>
              <w:t xml:space="preserve"> </w:t>
            </w:r>
            <w:r w:rsidRPr="00291781">
              <w:rPr>
                <w:rFonts w:cs="Times New Roman"/>
                <w:sz w:val="20"/>
                <w:szCs w:val="20"/>
              </w:rPr>
              <w:t>T</w:t>
            </w:r>
          </w:p>
        </w:tc>
        <w:tc>
          <w:tcPr>
            <w:tcW w:w="2338" w:type="dxa"/>
          </w:tcPr>
          <w:p w14:paraId="43506E0E"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23. </w:t>
            </w:r>
            <w:r w:rsidRPr="00291781">
              <w:rPr>
                <w:rFonts w:cs="Times New Roman"/>
                <w:sz w:val="20"/>
                <w:szCs w:val="20"/>
              </w:rPr>
              <w:t>MAM (Taylor Stats) Tmax</w:t>
            </w:r>
          </w:p>
        </w:tc>
        <w:tc>
          <w:tcPr>
            <w:tcW w:w="2338" w:type="dxa"/>
          </w:tcPr>
          <w:p w14:paraId="7F9AD96A"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24. </w:t>
            </w:r>
            <w:r w:rsidRPr="00291781">
              <w:rPr>
                <w:rFonts w:cs="Times New Roman"/>
                <w:sz w:val="20"/>
                <w:szCs w:val="20"/>
              </w:rPr>
              <w:t>MAM (Taylor Stats) Tmin</w:t>
            </w:r>
          </w:p>
        </w:tc>
      </w:tr>
      <w:tr w:rsidR="00F92A57" w:rsidRPr="00291781" w14:paraId="3BBE32A3"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6C2410A"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25. </w:t>
            </w:r>
            <w:r w:rsidRPr="00291781">
              <w:rPr>
                <w:rFonts w:cs="Times New Roman"/>
                <w:b w:val="0"/>
                <w:bCs w:val="0"/>
                <w:sz w:val="20"/>
                <w:szCs w:val="20"/>
              </w:rPr>
              <w:t>JJA</w:t>
            </w:r>
            <w:r>
              <w:rPr>
                <w:rFonts w:cs="Times New Roman"/>
                <w:b w:val="0"/>
                <w:bCs w:val="0"/>
                <w:sz w:val="20"/>
                <w:szCs w:val="20"/>
                <w:vertAlign w:val="superscript"/>
              </w:rPr>
              <w:t>7</w:t>
            </w:r>
            <w:r w:rsidRPr="00291781">
              <w:rPr>
                <w:rFonts w:cs="Times New Roman"/>
                <w:b w:val="0"/>
                <w:bCs w:val="0"/>
                <w:sz w:val="20"/>
                <w:szCs w:val="20"/>
              </w:rPr>
              <w:t xml:space="preserve"> (Taylor Stats) P</w:t>
            </w:r>
          </w:p>
        </w:tc>
        <w:tc>
          <w:tcPr>
            <w:tcW w:w="2337" w:type="dxa"/>
          </w:tcPr>
          <w:p w14:paraId="0545D283"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26. </w:t>
            </w:r>
            <w:r w:rsidRPr="00291781">
              <w:rPr>
                <w:rFonts w:cs="Times New Roman"/>
                <w:sz w:val="20"/>
                <w:szCs w:val="20"/>
              </w:rPr>
              <w:t>JJA (Taylor Stats) T</w:t>
            </w:r>
          </w:p>
        </w:tc>
        <w:tc>
          <w:tcPr>
            <w:tcW w:w="2338" w:type="dxa"/>
          </w:tcPr>
          <w:p w14:paraId="62A98FB4"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27. </w:t>
            </w:r>
            <w:r w:rsidRPr="00291781">
              <w:rPr>
                <w:rFonts w:cs="Times New Roman"/>
                <w:sz w:val="20"/>
                <w:szCs w:val="20"/>
              </w:rPr>
              <w:t>JJA (Taylor Stats) Tmax</w:t>
            </w:r>
          </w:p>
        </w:tc>
        <w:tc>
          <w:tcPr>
            <w:tcW w:w="2338" w:type="dxa"/>
          </w:tcPr>
          <w:p w14:paraId="1DFADB5D"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28. </w:t>
            </w:r>
            <w:r w:rsidRPr="00291781">
              <w:rPr>
                <w:rFonts w:cs="Times New Roman"/>
                <w:sz w:val="20"/>
                <w:szCs w:val="20"/>
              </w:rPr>
              <w:t>JJA (Taylor Stats) Tmin</w:t>
            </w:r>
          </w:p>
        </w:tc>
      </w:tr>
      <w:tr w:rsidR="00F92A57" w:rsidRPr="00291781" w14:paraId="6FE2FF90"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0AA9655E"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29. </w:t>
            </w:r>
            <w:r w:rsidRPr="00291781">
              <w:rPr>
                <w:rFonts w:cs="Times New Roman"/>
                <w:b w:val="0"/>
                <w:bCs w:val="0"/>
                <w:sz w:val="20"/>
                <w:szCs w:val="20"/>
              </w:rPr>
              <w:t>SON</w:t>
            </w:r>
            <w:r>
              <w:rPr>
                <w:rFonts w:cs="Times New Roman"/>
                <w:b w:val="0"/>
                <w:bCs w:val="0"/>
                <w:sz w:val="20"/>
                <w:szCs w:val="20"/>
                <w:vertAlign w:val="superscript"/>
              </w:rPr>
              <w:t>8</w:t>
            </w:r>
            <w:r w:rsidRPr="00291781">
              <w:rPr>
                <w:rFonts w:cs="Times New Roman"/>
                <w:b w:val="0"/>
                <w:bCs w:val="0"/>
                <w:sz w:val="20"/>
                <w:szCs w:val="20"/>
              </w:rPr>
              <w:t xml:space="preserve"> (Taylor Stats) P</w:t>
            </w:r>
          </w:p>
        </w:tc>
        <w:tc>
          <w:tcPr>
            <w:tcW w:w="2337" w:type="dxa"/>
          </w:tcPr>
          <w:p w14:paraId="1FA28BEF"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30. </w:t>
            </w:r>
            <w:r w:rsidRPr="00291781">
              <w:rPr>
                <w:rFonts w:cs="Times New Roman"/>
                <w:sz w:val="20"/>
                <w:szCs w:val="20"/>
              </w:rPr>
              <w:t>SON (Taylor Stats) T</w:t>
            </w:r>
          </w:p>
        </w:tc>
        <w:tc>
          <w:tcPr>
            <w:tcW w:w="2338" w:type="dxa"/>
          </w:tcPr>
          <w:p w14:paraId="39DF1FEC"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31. </w:t>
            </w:r>
            <w:r w:rsidRPr="00291781">
              <w:rPr>
                <w:rFonts w:cs="Times New Roman"/>
                <w:sz w:val="20"/>
                <w:szCs w:val="20"/>
              </w:rPr>
              <w:t>SON (Taylor Stats) Tmax</w:t>
            </w:r>
          </w:p>
        </w:tc>
        <w:tc>
          <w:tcPr>
            <w:tcW w:w="2338" w:type="dxa"/>
          </w:tcPr>
          <w:p w14:paraId="3FD8813E"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32. </w:t>
            </w:r>
            <w:r w:rsidRPr="00291781">
              <w:rPr>
                <w:rFonts w:cs="Times New Roman"/>
                <w:sz w:val="20"/>
                <w:szCs w:val="20"/>
              </w:rPr>
              <w:t>SON (Taylor Stats) Tmin</w:t>
            </w:r>
          </w:p>
        </w:tc>
      </w:tr>
      <w:tr w:rsidR="00F92A57" w:rsidRPr="00291781" w14:paraId="5D0348A4"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273218F"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33. </w:t>
            </w:r>
            <w:r w:rsidRPr="00291781">
              <w:rPr>
                <w:rFonts w:cs="Times New Roman"/>
                <w:b w:val="0"/>
                <w:bCs w:val="0"/>
                <w:sz w:val="20"/>
                <w:szCs w:val="20"/>
              </w:rPr>
              <w:t>(Taylor Stats) Inter-quartile Range</w:t>
            </w:r>
            <w:r>
              <w:rPr>
                <w:rFonts w:cs="Times New Roman"/>
                <w:b w:val="0"/>
                <w:bCs w:val="0"/>
                <w:sz w:val="20"/>
                <w:szCs w:val="20"/>
                <w:vertAlign w:val="superscript"/>
              </w:rPr>
              <w:t>c</w:t>
            </w:r>
            <w:r w:rsidRPr="00291781">
              <w:rPr>
                <w:rFonts w:cs="Times New Roman"/>
                <w:b w:val="0"/>
                <w:bCs w:val="0"/>
                <w:sz w:val="20"/>
                <w:szCs w:val="20"/>
              </w:rPr>
              <w:t xml:space="preserve"> P</w:t>
            </w:r>
          </w:p>
        </w:tc>
        <w:tc>
          <w:tcPr>
            <w:tcW w:w="2337" w:type="dxa"/>
          </w:tcPr>
          <w:p w14:paraId="45DB5AAB"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34. </w:t>
            </w:r>
            <w:r w:rsidRPr="00291781">
              <w:rPr>
                <w:rFonts w:cs="Times New Roman"/>
                <w:sz w:val="20"/>
                <w:szCs w:val="20"/>
              </w:rPr>
              <w:t>(Taylor Stats) Inter-quartile Range Tmax</w:t>
            </w:r>
          </w:p>
        </w:tc>
        <w:tc>
          <w:tcPr>
            <w:tcW w:w="2338" w:type="dxa"/>
          </w:tcPr>
          <w:p w14:paraId="0B32255F"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35. </w:t>
            </w:r>
            <w:r w:rsidRPr="00291781">
              <w:rPr>
                <w:rFonts w:cs="Times New Roman"/>
                <w:sz w:val="20"/>
                <w:szCs w:val="20"/>
              </w:rPr>
              <w:t>(Taylor Stats) Inter-quartile Range Tmin</w:t>
            </w:r>
          </w:p>
        </w:tc>
        <w:tc>
          <w:tcPr>
            <w:tcW w:w="2338" w:type="dxa"/>
          </w:tcPr>
          <w:p w14:paraId="1DD0596C"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36. </w:t>
            </w:r>
            <w:r w:rsidRPr="00291781">
              <w:rPr>
                <w:rFonts w:cs="Times New Roman"/>
                <w:sz w:val="20"/>
                <w:szCs w:val="20"/>
              </w:rPr>
              <w:t>(Taylor Stats) Diurnal T</w:t>
            </w:r>
          </w:p>
        </w:tc>
      </w:tr>
      <w:tr w:rsidR="00F92A57" w:rsidRPr="00291781" w14:paraId="543B415A"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6206B58F"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37. </w:t>
            </w:r>
            <w:r w:rsidRPr="00431D21">
              <w:rPr>
                <w:rFonts w:cs="Times New Roman"/>
                <w:b w:val="0"/>
                <w:bCs w:val="0"/>
                <w:sz w:val="20"/>
                <w:szCs w:val="20"/>
              </w:rPr>
              <w:t xml:space="preserve">(Taylor Stats) P from </w:t>
            </w:r>
            <w:r>
              <w:rPr>
                <w:rFonts w:cs="Times New Roman"/>
                <w:b w:val="0"/>
                <w:bCs w:val="0"/>
                <w:sz w:val="20"/>
                <w:szCs w:val="20"/>
              </w:rPr>
              <w:t>M</w:t>
            </w:r>
            <w:r w:rsidRPr="00431D21">
              <w:rPr>
                <w:b w:val="0"/>
                <w:bCs w:val="0"/>
                <w:sz w:val="20"/>
                <w:szCs w:val="20"/>
              </w:rPr>
              <w:t xml:space="preserve">oderate to </w:t>
            </w:r>
            <w:r>
              <w:rPr>
                <w:b w:val="0"/>
                <w:bCs w:val="0"/>
                <w:sz w:val="20"/>
                <w:szCs w:val="20"/>
              </w:rPr>
              <w:t>H</w:t>
            </w:r>
            <w:r w:rsidRPr="00431D21">
              <w:rPr>
                <w:b w:val="0"/>
                <w:bCs w:val="0"/>
                <w:sz w:val="20"/>
                <w:szCs w:val="20"/>
              </w:rPr>
              <w:t xml:space="preserve">eavy </w:t>
            </w:r>
            <w:r>
              <w:rPr>
                <w:b w:val="0"/>
                <w:bCs w:val="0"/>
                <w:sz w:val="20"/>
                <w:szCs w:val="20"/>
              </w:rPr>
              <w:t>E</w:t>
            </w:r>
            <w:r w:rsidRPr="00431D21">
              <w:rPr>
                <w:b w:val="0"/>
                <w:bCs w:val="0"/>
                <w:sz w:val="20"/>
                <w:szCs w:val="20"/>
              </w:rPr>
              <w:t>vents</w:t>
            </w:r>
          </w:p>
        </w:tc>
        <w:tc>
          <w:tcPr>
            <w:tcW w:w="2337" w:type="dxa"/>
          </w:tcPr>
          <w:p w14:paraId="36702410"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38. </w:t>
            </w:r>
            <w:r w:rsidRPr="00291781">
              <w:rPr>
                <w:rFonts w:cs="Times New Roman"/>
                <w:sz w:val="20"/>
                <w:szCs w:val="20"/>
              </w:rPr>
              <w:t xml:space="preserve">(Taylor Stats) Wet </w:t>
            </w:r>
            <w:r>
              <w:rPr>
                <w:rFonts w:cs="Times New Roman"/>
                <w:sz w:val="20"/>
                <w:szCs w:val="20"/>
              </w:rPr>
              <w:t>D</w:t>
            </w:r>
            <w:r w:rsidRPr="00291781">
              <w:rPr>
                <w:rFonts w:cs="Times New Roman"/>
                <w:sz w:val="20"/>
                <w:szCs w:val="20"/>
              </w:rPr>
              <w:t>ays</w:t>
            </w:r>
            <w:r w:rsidRPr="008B2773">
              <w:rPr>
                <w:rFonts w:cs="Times New Roman"/>
                <w:sz w:val="20"/>
                <w:szCs w:val="20"/>
                <w:vertAlign w:val="superscript"/>
              </w:rPr>
              <w:t>d</w:t>
            </w:r>
          </w:p>
        </w:tc>
        <w:tc>
          <w:tcPr>
            <w:tcW w:w="2338" w:type="dxa"/>
          </w:tcPr>
          <w:p w14:paraId="07244FFC"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39. </w:t>
            </w:r>
            <w:r w:rsidRPr="00291781">
              <w:rPr>
                <w:rFonts w:cs="Times New Roman"/>
                <w:sz w:val="20"/>
                <w:szCs w:val="20"/>
              </w:rPr>
              <w:t>(Taylor Stats) P Intensity</w:t>
            </w:r>
          </w:p>
        </w:tc>
        <w:tc>
          <w:tcPr>
            <w:tcW w:w="2338" w:type="dxa"/>
          </w:tcPr>
          <w:p w14:paraId="171D25AE"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40. </w:t>
            </w:r>
            <w:r w:rsidRPr="00291781">
              <w:rPr>
                <w:rFonts w:cs="Times New Roman"/>
                <w:sz w:val="20"/>
                <w:szCs w:val="20"/>
              </w:rPr>
              <w:t xml:space="preserve">(Taylor Stats) Summer </w:t>
            </w:r>
            <w:r>
              <w:rPr>
                <w:rFonts w:cs="Times New Roman"/>
                <w:sz w:val="20"/>
                <w:szCs w:val="20"/>
              </w:rPr>
              <w:t>D</w:t>
            </w:r>
            <w:r w:rsidRPr="00291781">
              <w:rPr>
                <w:rFonts w:cs="Times New Roman"/>
                <w:sz w:val="20"/>
                <w:szCs w:val="20"/>
              </w:rPr>
              <w:t>ays</w:t>
            </w:r>
            <w:r w:rsidRPr="008B2773">
              <w:rPr>
                <w:rFonts w:cs="Times New Roman"/>
                <w:sz w:val="20"/>
                <w:szCs w:val="20"/>
                <w:vertAlign w:val="superscript"/>
              </w:rPr>
              <w:t>e</w:t>
            </w:r>
          </w:p>
        </w:tc>
      </w:tr>
      <w:tr w:rsidR="00F92A57" w:rsidRPr="00291781" w14:paraId="5C63610A"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046FBEE"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41. </w:t>
            </w:r>
            <w:r w:rsidRPr="00DC41A2">
              <w:rPr>
                <w:rFonts w:cs="Times New Roman"/>
                <w:b w:val="0"/>
                <w:bCs w:val="0"/>
                <w:sz w:val="20"/>
                <w:szCs w:val="20"/>
              </w:rPr>
              <w:t>(Taylor Stats) Ice Days</w:t>
            </w:r>
            <w:r>
              <w:rPr>
                <w:rFonts w:cs="Times New Roman"/>
                <w:b w:val="0"/>
                <w:bCs w:val="0"/>
                <w:sz w:val="20"/>
                <w:szCs w:val="20"/>
                <w:vertAlign w:val="superscript"/>
              </w:rPr>
              <w:t>f</w:t>
            </w:r>
          </w:p>
        </w:tc>
        <w:tc>
          <w:tcPr>
            <w:tcW w:w="2337" w:type="dxa"/>
          </w:tcPr>
          <w:p w14:paraId="3E3B91F5"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42. </w:t>
            </w:r>
            <w:r w:rsidRPr="00291781">
              <w:rPr>
                <w:rFonts w:cs="Times New Roman"/>
                <w:sz w:val="20"/>
                <w:szCs w:val="20"/>
              </w:rPr>
              <w:t>(Taylor Stats) Tropical Nights</w:t>
            </w:r>
            <w:r w:rsidRPr="008B2773">
              <w:rPr>
                <w:rFonts w:cs="Times New Roman"/>
                <w:sz w:val="20"/>
                <w:szCs w:val="20"/>
                <w:vertAlign w:val="superscript"/>
              </w:rPr>
              <w:t>g</w:t>
            </w:r>
          </w:p>
        </w:tc>
        <w:tc>
          <w:tcPr>
            <w:tcW w:w="2338" w:type="dxa"/>
          </w:tcPr>
          <w:p w14:paraId="0E5B3C33"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43. </w:t>
            </w:r>
            <w:r w:rsidRPr="00291781">
              <w:rPr>
                <w:rFonts w:cs="Times New Roman"/>
                <w:sz w:val="20"/>
                <w:szCs w:val="20"/>
              </w:rPr>
              <w:t>(Taylor Stats) Frost Days</w:t>
            </w:r>
            <w:r w:rsidRPr="008B2773">
              <w:rPr>
                <w:rFonts w:cs="Times New Roman"/>
                <w:sz w:val="20"/>
                <w:szCs w:val="20"/>
                <w:vertAlign w:val="superscript"/>
              </w:rPr>
              <w:t>h</w:t>
            </w:r>
          </w:p>
        </w:tc>
        <w:tc>
          <w:tcPr>
            <w:tcW w:w="2338" w:type="dxa"/>
          </w:tcPr>
          <w:p w14:paraId="5D212A5F"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44. </w:t>
            </w:r>
            <w:r w:rsidRPr="00291781">
              <w:rPr>
                <w:rFonts w:cs="Times New Roman"/>
                <w:sz w:val="20"/>
                <w:szCs w:val="20"/>
              </w:rPr>
              <w:t>Dispersion</w:t>
            </w:r>
            <w:r>
              <w:rPr>
                <w:rFonts w:cs="Times New Roman"/>
                <w:sz w:val="20"/>
                <w:szCs w:val="20"/>
                <w:vertAlign w:val="superscript"/>
              </w:rPr>
              <w:t>i</w:t>
            </w:r>
            <w:r w:rsidRPr="00291781">
              <w:rPr>
                <w:rFonts w:cs="Times New Roman"/>
                <w:sz w:val="20"/>
                <w:szCs w:val="20"/>
              </w:rPr>
              <w:t xml:space="preserve"> P</w:t>
            </w:r>
          </w:p>
        </w:tc>
      </w:tr>
      <w:tr w:rsidR="00F92A57" w:rsidRPr="00291781" w14:paraId="7DFF935C"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6B8EB75D" w14:textId="77777777" w:rsidR="00F92A57" w:rsidRPr="00291781" w:rsidRDefault="00F92A57" w:rsidP="00F92A57">
            <w:pPr>
              <w:spacing w:before="0" w:after="0" w:line="240" w:lineRule="auto"/>
              <w:ind w:firstLine="0"/>
              <w:jc w:val="center"/>
              <w:rPr>
                <w:rFonts w:cs="Times New Roman"/>
                <w:sz w:val="20"/>
                <w:szCs w:val="20"/>
              </w:rPr>
            </w:pPr>
            <w:r w:rsidRPr="00DC41A2">
              <w:rPr>
                <w:sz w:val="20"/>
                <w:szCs w:val="20"/>
              </w:rPr>
              <w:t>4</w:t>
            </w:r>
            <w:r>
              <w:rPr>
                <w:sz w:val="20"/>
                <w:szCs w:val="20"/>
              </w:rPr>
              <w:t>5</w:t>
            </w:r>
            <w:r w:rsidRPr="00DC41A2">
              <w:rPr>
                <w:sz w:val="20"/>
                <w:szCs w:val="20"/>
              </w:rPr>
              <w:t>.</w:t>
            </w:r>
            <w:r>
              <w:rPr>
                <w:b w:val="0"/>
                <w:bCs w:val="0"/>
                <w:sz w:val="20"/>
                <w:szCs w:val="20"/>
              </w:rPr>
              <w:t xml:space="preserve"> </w:t>
            </w:r>
            <w:r w:rsidRPr="00DC41A2">
              <w:rPr>
                <w:rFonts w:cs="Times New Roman"/>
                <w:b w:val="0"/>
                <w:bCs w:val="0"/>
                <w:sz w:val="20"/>
                <w:szCs w:val="20"/>
              </w:rPr>
              <w:t>Dispersion T</w:t>
            </w:r>
          </w:p>
        </w:tc>
        <w:tc>
          <w:tcPr>
            <w:tcW w:w="2337" w:type="dxa"/>
          </w:tcPr>
          <w:p w14:paraId="5D1D58DA"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46. </w:t>
            </w:r>
            <w:r w:rsidRPr="00291781">
              <w:rPr>
                <w:rFonts w:cs="Times New Roman"/>
                <w:sz w:val="20"/>
                <w:szCs w:val="20"/>
              </w:rPr>
              <w:t>Dispersion Tmin</w:t>
            </w:r>
          </w:p>
        </w:tc>
        <w:tc>
          <w:tcPr>
            <w:tcW w:w="2338" w:type="dxa"/>
          </w:tcPr>
          <w:p w14:paraId="49E69CF4"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47. </w:t>
            </w:r>
            <w:r w:rsidRPr="00291781">
              <w:rPr>
                <w:rFonts w:cs="Times New Roman"/>
                <w:sz w:val="20"/>
                <w:szCs w:val="20"/>
              </w:rPr>
              <w:t>Dispersion Tmax</w:t>
            </w:r>
          </w:p>
        </w:tc>
        <w:tc>
          <w:tcPr>
            <w:tcW w:w="2338" w:type="dxa"/>
          </w:tcPr>
          <w:p w14:paraId="2F201CDA"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b/>
                <w:bCs/>
                <w:sz w:val="20"/>
                <w:szCs w:val="20"/>
              </w:rPr>
              <w:t xml:space="preserve">48. </w:t>
            </w:r>
            <w:r w:rsidRPr="00DC41A2">
              <w:rPr>
                <w:sz w:val="20"/>
                <w:szCs w:val="20"/>
              </w:rPr>
              <w:t>ENSO Amplitude</w:t>
            </w:r>
          </w:p>
        </w:tc>
      </w:tr>
      <w:tr w:rsidR="00F92A57" w:rsidRPr="00291781" w14:paraId="6E9C97CA"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0C52B27" w14:textId="77777777" w:rsidR="00F92A57" w:rsidRPr="00291781" w:rsidRDefault="00F92A57" w:rsidP="00F92A57">
            <w:pPr>
              <w:spacing w:before="0" w:after="0" w:line="240" w:lineRule="auto"/>
              <w:ind w:firstLine="0"/>
              <w:jc w:val="center"/>
              <w:rPr>
                <w:rFonts w:cs="Times New Roman"/>
                <w:sz w:val="20"/>
                <w:szCs w:val="20"/>
              </w:rPr>
            </w:pPr>
            <w:r>
              <w:rPr>
                <w:sz w:val="20"/>
                <w:szCs w:val="20"/>
              </w:rPr>
              <w:t xml:space="preserve">49. </w:t>
            </w:r>
            <w:r w:rsidRPr="00DC41A2">
              <w:rPr>
                <w:b w:val="0"/>
                <w:bCs w:val="0"/>
                <w:sz w:val="20"/>
                <w:szCs w:val="20"/>
              </w:rPr>
              <w:t>PDO Pattern</w:t>
            </w:r>
          </w:p>
        </w:tc>
        <w:tc>
          <w:tcPr>
            <w:tcW w:w="2337" w:type="dxa"/>
          </w:tcPr>
          <w:p w14:paraId="37156563"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50. </w:t>
            </w:r>
            <w:r>
              <w:rPr>
                <w:sz w:val="20"/>
                <w:szCs w:val="20"/>
              </w:rPr>
              <w:t>NAO Pattern</w:t>
            </w:r>
          </w:p>
        </w:tc>
        <w:tc>
          <w:tcPr>
            <w:tcW w:w="2338" w:type="dxa"/>
          </w:tcPr>
          <w:p w14:paraId="4ADF6839"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51. </w:t>
            </w:r>
            <w:r>
              <w:rPr>
                <w:sz w:val="20"/>
                <w:szCs w:val="20"/>
              </w:rPr>
              <w:t>NAO Correlation with DJF P</w:t>
            </w:r>
          </w:p>
        </w:tc>
        <w:tc>
          <w:tcPr>
            <w:tcW w:w="2338" w:type="dxa"/>
          </w:tcPr>
          <w:p w14:paraId="77AE23B4"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b/>
                <w:bCs/>
                <w:sz w:val="20"/>
                <w:szCs w:val="20"/>
              </w:rPr>
              <w:t xml:space="preserve">52. </w:t>
            </w:r>
            <w:r w:rsidRPr="00DC41A2">
              <w:rPr>
                <w:sz w:val="20"/>
                <w:szCs w:val="20"/>
              </w:rPr>
              <w:t>NAO Correlation with DJF T</w:t>
            </w:r>
          </w:p>
        </w:tc>
      </w:tr>
      <w:tr w:rsidR="00F92A57" w:rsidRPr="00291781" w14:paraId="5C7EEB5B" w14:textId="77777777" w:rsidTr="00470A83">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666666" w:themeColor="text1" w:themeTint="99"/>
            </w:tcBorders>
          </w:tcPr>
          <w:p w14:paraId="087813B4" w14:textId="77777777" w:rsidR="00F92A57" w:rsidRDefault="00F92A57" w:rsidP="00F92A57">
            <w:pPr>
              <w:spacing w:before="0" w:after="0" w:line="240" w:lineRule="auto"/>
              <w:ind w:firstLine="0"/>
              <w:jc w:val="center"/>
              <w:rPr>
                <w:sz w:val="20"/>
                <w:szCs w:val="20"/>
              </w:rPr>
            </w:pPr>
            <w:r>
              <w:rPr>
                <w:sz w:val="20"/>
                <w:szCs w:val="20"/>
              </w:rPr>
              <w:t xml:space="preserve">53. </w:t>
            </w:r>
            <w:r w:rsidRPr="00DC41A2">
              <w:rPr>
                <w:b w:val="0"/>
                <w:bCs w:val="0"/>
                <w:sz w:val="20"/>
                <w:szCs w:val="20"/>
              </w:rPr>
              <w:t>PDO Correlation with DJF P</w:t>
            </w:r>
          </w:p>
        </w:tc>
        <w:tc>
          <w:tcPr>
            <w:tcW w:w="2337" w:type="dxa"/>
            <w:tcBorders>
              <w:bottom w:val="single" w:sz="4" w:space="0" w:color="666666" w:themeColor="text1" w:themeTint="99"/>
            </w:tcBorders>
          </w:tcPr>
          <w:p w14:paraId="0198827D" w14:textId="77777777" w:rsidR="00F92A57"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 xml:space="preserve">54. </w:t>
            </w:r>
            <w:r>
              <w:rPr>
                <w:sz w:val="20"/>
                <w:szCs w:val="20"/>
              </w:rPr>
              <w:t>PDO Correlation with DJF T</w:t>
            </w:r>
          </w:p>
        </w:tc>
        <w:tc>
          <w:tcPr>
            <w:tcW w:w="2338" w:type="dxa"/>
            <w:tcBorders>
              <w:bottom w:val="single" w:sz="4" w:space="0" w:color="666666" w:themeColor="text1" w:themeTint="99"/>
            </w:tcBorders>
          </w:tcPr>
          <w:p w14:paraId="52D29B53" w14:textId="77777777" w:rsidR="00F92A57"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 xml:space="preserve">55. </w:t>
            </w:r>
            <w:r>
              <w:rPr>
                <w:sz w:val="20"/>
                <w:szCs w:val="20"/>
              </w:rPr>
              <w:t>ENSO Correlation with DJF P</w:t>
            </w:r>
          </w:p>
        </w:tc>
        <w:tc>
          <w:tcPr>
            <w:tcW w:w="2338" w:type="dxa"/>
            <w:tcBorders>
              <w:bottom w:val="single" w:sz="4" w:space="0" w:color="666666" w:themeColor="text1" w:themeTint="99"/>
            </w:tcBorders>
          </w:tcPr>
          <w:p w14:paraId="749D958B" w14:textId="77777777" w:rsidR="00F92A57"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 xml:space="preserve">56. </w:t>
            </w:r>
            <w:r w:rsidRPr="00DC41A2">
              <w:rPr>
                <w:sz w:val="20"/>
                <w:szCs w:val="20"/>
              </w:rPr>
              <w:t>ENSO Correlation with DJF T</w:t>
            </w:r>
          </w:p>
        </w:tc>
      </w:tr>
      <w:tr w:rsidR="00F92A57" w:rsidRPr="00291781" w14:paraId="2D7FA600"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C17F7A0" w14:textId="77777777" w:rsidR="00F92A57" w:rsidRDefault="00F92A57" w:rsidP="00F92A57">
            <w:pPr>
              <w:spacing w:before="0" w:after="0" w:line="240" w:lineRule="auto"/>
              <w:ind w:firstLine="0"/>
              <w:jc w:val="center"/>
              <w:rPr>
                <w:sz w:val="20"/>
                <w:szCs w:val="20"/>
              </w:rPr>
            </w:pPr>
            <w:r>
              <w:rPr>
                <w:sz w:val="20"/>
                <w:szCs w:val="20"/>
              </w:rPr>
              <w:t xml:space="preserve">57. </w:t>
            </w:r>
            <w:r w:rsidRPr="00DC41A2">
              <w:rPr>
                <w:rFonts w:cs="Times New Roman"/>
                <w:b w:val="0"/>
                <w:bCs w:val="0"/>
                <w:sz w:val="20"/>
                <w:szCs w:val="20"/>
              </w:rPr>
              <w:t>(Taylor Stats)</w:t>
            </w:r>
            <w:r w:rsidRPr="00DC41A2">
              <w:rPr>
                <w:b w:val="0"/>
                <w:bCs w:val="0"/>
                <w:sz w:val="20"/>
                <w:szCs w:val="20"/>
              </w:rPr>
              <w:t xml:space="preserve"> 500mb Geopotential Height DJF</w:t>
            </w:r>
          </w:p>
        </w:tc>
        <w:tc>
          <w:tcPr>
            <w:tcW w:w="2337" w:type="dxa"/>
          </w:tcPr>
          <w:p w14:paraId="0E836861" w14:textId="77777777" w:rsidR="00F92A57"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58. </w:t>
            </w:r>
            <w:r w:rsidRPr="00291781">
              <w:rPr>
                <w:rFonts w:cs="Times New Roman"/>
                <w:sz w:val="20"/>
                <w:szCs w:val="20"/>
              </w:rPr>
              <w:t>(Taylor Stats)</w:t>
            </w:r>
            <w:r>
              <w:rPr>
                <w:sz w:val="20"/>
                <w:szCs w:val="20"/>
              </w:rPr>
              <w:t xml:space="preserve"> 500mb Geopotential Height JJA</w:t>
            </w:r>
          </w:p>
        </w:tc>
        <w:tc>
          <w:tcPr>
            <w:tcW w:w="2338" w:type="dxa"/>
          </w:tcPr>
          <w:p w14:paraId="62480E01" w14:textId="77777777" w:rsidR="00F92A57"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59. </w:t>
            </w:r>
            <w:r w:rsidRPr="00291781">
              <w:rPr>
                <w:rFonts w:cs="Times New Roman"/>
                <w:sz w:val="20"/>
                <w:szCs w:val="20"/>
              </w:rPr>
              <w:t>(Taylor Stats)</w:t>
            </w:r>
            <w:r>
              <w:rPr>
                <w:sz w:val="20"/>
                <w:szCs w:val="20"/>
              </w:rPr>
              <w:t xml:space="preserve"> Sea Level Pressure DJF</w:t>
            </w:r>
          </w:p>
        </w:tc>
        <w:tc>
          <w:tcPr>
            <w:tcW w:w="2338" w:type="dxa"/>
          </w:tcPr>
          <w:p w14:paraId="014E221F" w14:textId="77777777" w:rsidR="00F92A57"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 xml:space="preserve">60. </w:t>
            </w:r>
            <w:r w:rsidRPr="00DC41A2">
              <w:rPr>
                <w:rFonts w:cs="Times New Roman"/>
                <w:sz w:val="20"/>
                <w:szCs w:val="20"/>
              </w:rPr>
              <w:t>(Taylor Stats)</w:t>
            </w:r>
            <w:r w:rsidRPr="00DC41A2">
              <w:rPr>
                <w:sz w:val="20"/>
                <w:szCs w:val="20"/>
              </w:rPr>
              <w:t xml:space="preserve"> Sea Level Pressure JJA</w:t>
            </w:r>
          </w:p>
        </w:tc>
      </w:tr>
      <w:tr w:rsidR="00F92A57" w:rsidRPr="00291781" w14:paraId="274E265C" w14:textId="77777777" w:rsidTr="00470A83">
        <w:tc>
          <w:tcPr>
            <w:cnfStyle w:val="001000000000" w:firstRow="0" w:lastRow="0" w:firstColumn="1" w:lastColumn="0" w:oddVBand="0" w:evenVBand="0" w:oddHBand="0" w:evenHBand="0" w:firstRowFirstColumn="0" w:firstRowLastColumn="0" w:lastRowFirstColumn="0" w:lastRowLastColumn="0"/>
            <w:tcW w:w="9350" w:type="dxa"/>
            <w:gridSpan w:val="4"/>
          </w:tcPr>
          <w:p w14:paraId="15102452" w14:textId="77777777" w:rsidR="00F92A57" w:rsidRPr="00291781" w:rsidRDefault="00F92A57" w:rsidP="00F92A57">
            <w:pPr>
              <w:spacing w:before="0" w:after="0" w:line="240" w:lineRule="auto"/>
              <w:ind w:firstLine="0"/>
              <w:rPr>
                <w:rFonts w:cs="Times New Roman"/>
                <w:sz w:val="20"/>
                <w:szCs w:val="20"/>
              </w:rPr>
            </w:pPr>
            <w:r w:rsidRPr="00291781">
              <w:rPr>
                <w:rFonts w:cs="Times New Roman"/>
                <w:sz w:val="20"/>
                <w:szCs w:val="20"/>
              </w:rPr>
              <w:t>Taylor Stats</w:t>
            </w:r>
          </w:p>
        </w:tc>
      </w:tr>
      <w:tr w:rsidR="00F92A57" w:rsidRPr="00291781" w14:paraId="576411F5"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C225AF7" w14:textId="639BE128" w:rsidR="00F92A57" w:rsidRPr="00291781" w:rsidRDefault="008C3834" w:rsidP="00F92A57">
            <w:pPr>
              <w:spacing w:before="0" w:after="0" w:line="240" w:lineRule="auto"/>
              <w:ind w:firstLine="0"/>
              <w:jc w:val="center"/>
              <w:rPr>
                <w:rFonts w:cs="Times New Roman"/>
                <w:sz w:val="20"/>
                <w:szCs w:val="20"/>
              </w:rPr>
            </w:pPr>
            <w:r>
              <w:rPr>
                <w:rFonts w:cs="Times New Roman"/>
                <w:b w:val="0"/>
                <w:bCs w:val="0"/>
                <w:sz w:val="20"/>
                <w:szCs w:val="20"/>
              </w:rPr>
              <w:t>RMSE</w:t>
            </w:r>
          </w:p>
        </w:tc>
        <w:tc>
          <w:tcPr>
            <w:tcW w:w="2337" w:type="dxa"/>
          </w:tcPr>
          <w:p w14:paraId="4D08BF7C"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Bias</w:t>
            </w:r>
          </w:p>
        </w:tc>
        <w:tc>
          <w:tcPr>
            <w:tcW w:w="2338" w:type="dxa"/>
          </w:tcPr>
          <w:p w14:paraId="63A6E31E"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Pattern Correlation</w:t>
            </w:r>
          </w:p>
        </w:tc>
        <w:tc>
          <w:tcPr>
            <w:tcW w:w="2338" w:type="dxa"/>
          </w:tcPr>
          <w:p w14:paraId="1463E565"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r>
      <w:tr w:rsidR="00F92A57" w:rsidRPr="00291781" w14:paraId="04597CE5" w14:textId="77777777" w:rsidTr="00470A83">
        <w:tc>
          <w:tcPr>
            <w:cnfStyle w:val="001000000000" w:firstRow="0" w:lastRow="0" w:firstColumn="1" w:lastColumn="0" w:oddVBand="0" w:evenVBand="0" w:oddHBand="0" w:evenHBand="0" w:firstRowFirstColumn="0" w:firstRowLastColumn="0" w:lastRowFirstColumn="0" w:lastRowLastColumn="0"/>
            <w:tcW w:w="9350" w:type="dxa"/>
            <w:gridSpan w:val="4"/>
          </w:tcPr>
          <w:p w14:paraId="3511BBAC" w14:textId="77777777" w:rsidR="00F92A57" w:rsidRPr="00291781" w:rsidRDefault="00F92A57" w:rsidP="00F92A57">
            <w:pPr>
              <w:spacing w:before="0" w:after="0" w:line="240" w:lineRule="auto"/>
              <w:ind w:firstLine="0"/>
              <w:rPr>
                <w:rFonts w:cs="Times New Roman"/>
                <w:sz w:val="20"/>
                <w:szCs w:val="20"/>
              </w:rPr>
            </w:pPr>
            <w:r w:rsidRPr="00291781">
              <w:rPr>
                <w:rFonts w:cs="Times New Roman"/>
                <w:sz w:val="20"/>
                <w:szCs w:val="20"/>
              </w:rPr>
              <w:t>Dispersion (based on 1-dimesnional time series of time x latitude x longitude)</w:t>
            </w:r>
          </w:p>
        </w:tc>
      </w:tr>
      <w:tr w:rsidR="00F92A57" w:rsidRPr="00291781" w14:paraId="02F597A0"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81914A3" w14:textId="77777777" w:rsidR="00F92A57" w:rsidRPr="00291781" w:rsidRDefault="00F92A57" w:rsidP="00F92A57">
            <w:pPr>
              <w:spacing w:before="0" w:after="0" w:line="240" w:lineRule="auto"/>
              <w:ind w:firstLine="0"/>
              <w:jc w:val="center"/>
              <w:rPr>
                <w:rFonts w:cs="Times New Roman"/>
                <w:sz w:val="20"/>
                <w:szCs w:val="20"/>
              </w:rPr>
            </w:pPr>
            <w:r w:rsidRPr="00291781">
              <w:rPr>
                <w:rFonts w:cs="Times New Roman"/>
                <w:b w:val="0"/>
                <w:bCs w:val="0"/>
                <w:sz w:val="20"/>
                <w:szCs w:val="20"/>
              </w:rPr>
              <w:t>Lower Octile</w:t>
            </w:r>
          </w:p>
        </w:tc>
        <w:tc>
          <w:tcPr>
            <w:tcW w:w="2337" w:type="dxa"/>
          </w:tcPr>
          <w:p w14:paraId="75399AF0"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Lower Sextile</w:t>
            </w:r>
          </w:p>
        </w:tc>
        <w:tc>
          <w:tcPr>
            <w:tcW w:w="2338" w:type="dxa"/>
          </w:tcPr>
          <w:p w14:paraId="3DF9CE6B"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Lower Quartile</w:t>
            </w:r>
          </w:p>
        </w:tc>
        <w:tc>
          <w:tcPr>
            <w:tcW w:w="2338" w:type="dxa"/>
          </w:tcPr>
          <w:p w14:paraId="3370A1A2"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Lower Tritile</w:t>
            </w:r>
          </w:p>
        </w:tc>
      </w:tr>
      <w:tr w:rsidR="00F92A57" w:rsidRPr="00291781" w14:paraId="6FF0BEE1"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22C68B73" w14:textId="77777777" w:rsidR="00F92A57" w:rsidRPr="00291781" w:rsidRDefault="00F92A57" w:rsidP="00F92A57">
            <w:pPr>
              <w:spacing w:before="0" w:after="0" w:line="240" w:lineRule="auto"/>
              <w:ind w:firstLine="0"/>
              <w:jc w:val="center"/>
              <w:rPr>
                <w:rFonts w:cs="Times New Roman"/>
                <w:sz w:val="20"/>
                <w:szCs w:val="20"/>
              </w:rPr>
            </w:pPr>
            <w:r w:rsidRPr="00291781">
              <w:rPr>
                <w:rFonts w:cs="Times New Roman"/>
                <w:b w:val="0"/>
                <w:bCs w:val="0"/>
                <w:sz w:val="20"/>
                <w:szCs w:val="20"/>
              </w:rPr>
              <w:t>Median</w:t>
            </w:r>
          </w:p>
        </w:tc>
        <w:tc>
          <w:tcPr>
            <w:tcW w:w="2337" w:type="dxa"/>
          </w:tcPr>
          <w:p w14:paraId="35E088B5"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91781">
              <w:rPr>
                <w:rFonts w:cs="Times New Roman"/>
                <w:sz w:val="20"/>
                <w:szCs w:val="20"/>
              </w:rPr>
              <w:t>Upper Tritile</w:t>
            </w:r>
          </w:p>
        </w:tc>
        <w:tc>
          <w:tcPr>
            <w:tcW w:w="2338" w:type="dxa"/>
          </w:tcPr>
          <w:p w14:paraId="01E94EA4"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91781">
              <w:rPr>
                <w:rFonts w:cs="Times New Roman"/>
                <w:sz w:val="20"/>
                <w:szCs w:val="20"/>
              </w:rPr>
              <w:t>Upper Quartile</w:t>
            </w:r>
          </w:p>
        </w:tc>
        <w:tc>
          <w:tcPr>
            <w:tcW w:w="2338" w:type="dxa"/>
          </w:tcPr>
          <w:p w14:paraId="6E7A969C"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91781">
              <w:rPr>
                <w:rFonts w:cs="Times New Roman"/>
                <w:sz w:val="20"/>
                <w:szCs w:val="20"/>
              </w:rPr>
              <w:t>Upper Sextile</w:t>
            </w:r>
          </w:p>
        </w:tc>
      </w:tr>
      <w:tr w:rsidR="00F92A57" w:rsidRPr="00291781" w14:paraId="7CF7177A"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1D7B75A" w14:textId="77777777" w:rsidR="00F92A57" w:rsidRPr="00291781" w:rsidRDefault="00F92A57" w:rsidP="00F92A57">
            <w:pPr>
              <w:spacing w:before="0" w:after="0" w:line="240" w:lineRule="auto"/>
              <w:ind w:firstLine="0"/>
              <w:jc w:val="center"/>
              <w:rPr>
                <w:rFonts w:cs="Times New Roman"/>
                <w:sz w:val="20"/>
                <w:szCs w:val="20"/>
              </w:rPr>
            </w:pPr>
            <w:r w:rsidRPr="00291781">
              <w:rPr>
                <w:rFonts w:cs="Times New Roman"/>
                <w:b w:val="0"/>
                <w:bCs w:val="0"/>
                <w:sz w:val="20"/>
                <w:szCs w:val="20"/>
              </w:rPr>
              <w:t>Upper Octile</w:t>
            </w:r>
          </w:p>
        </w:tc>
        <w:tc>
          <w:tcPr>
            <w:tcW w:w="2337" w:type="dxa"/>
          </w:tcPr>
          <w:p w14:paraId="4BA1A3AE"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Upper Dectile</w:t>
            </w:r>
          </w:p>
        </w:tc>
        <w:tc>
          <w:tcPr>
            <w:tcW w:w="2338" w:type="dxa"/>
          </w:tcPr>
          <w:p w14:paraId="13111598"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Maximum</w:t>
            </w:r>
          </w:p>
        </w:tc>
        <w:tc>
          <w:tcPr>
            <w:tcW w:w="2338" w:type="dxa"/>
          </w:tcPr>
          <w:p w14:paraId="1176285C"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Range</w:t>
            </w:r>
          </w:p>
        </w:tc>
      </w:tr>
      <w:tr w:rsidR="00F92A57" w:rsidRPr="00291781" w14:paraId="59A1D723" w14:textId="77777777" w:rsidTr="00470A83">
        <w:tc>
          <w:tcPr>
            <w:cnfStyle w:val="001000000000" w:firstRow="0" w:lastRow="0" w:firstColumn="1" w:lastColumn="0" w:oddVBand="0" w:evenVBand="0" w:oddHBand="0" w:evenHBand="0" w:firstRowFirstColumn="0" w:firstRowLastColumn="0" w:lastRowFirstColumn="0" w:lastRowLastColumn="0"/>
            <w:tcW w:w="2337" w:type="dxa"/>
          </w:tcPr>
          <w:p w14:paraId="2E4C9D28" w14:textId="77777777" w:rsidR="00F92A57" w:rsidRPr="00291781" w:rsidRDefault="00F92A57" w:rsidP="00F92A57">
            <w:pPr>
              <w:spacing w:before="0" w:after="0" w:line="240" w:lineRule="auto"/>
              <w:ind w:firstLine="0"/>
              <w:jc w:val="center"/>
              <w:rPr>
                <w:rFonts w:cs="Times New Roman"/>
                <w:sz w:val="20"/>
                <w:szCs w:val="20"/>
              </w:rPr>
            </w:pPr>
            <w:r w:rsidRPr="00291781">
              <w:rPr>
                <w:rFonts w:cs="Times New Roman"/>
                <w:b w:val="0"/>
                <w:bCs w:val="0"/>
                <w:sz w:val="20"/>
                <w:szCs w:val="20"/>
              </w:rPr>
              <w:t>0.1</w:t>
            </w:r>
            <w:r w:rsidRPr="00291781">
              <w:rPr>
                <w:rFonts w:cs="Times New Roman"/>
                <w:sz w:val="20"/>
                <w:szCs w:val="20"/>
                <w:vertAlign w:val="superscript"/>
              </w:rPr>
              <w:t>st</w:t>
            </w:r>
            <w:r w:rsidRPr="00291781">
              <w:rPr>
                <w:rFonts w:cs="Times New Roman"/>
                <w:b w:val="0"/>
                <w:bCs w:val="0"/>
                <w:sz w:val="20"/>
                <w:szCs w:val="20"/>
              </w:rPr>
              <w:t xml:space="preserve"> Percentile</w:t>
            </w:r>
          </w:p>
        </w:tc>
        <w:tc>
          <w:tcPr>
            <w:tcW w:w="2337" w:type="dxa"/>
          </w:tcPr>
          <w:p w14:paraId="4C35C87E" w14:textId="77777777"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91781">
              <w:rPr>
                <w:rFonts w:cs="Times New Roman"/>
                <w:sz w:val="20"/>
                <w:szCs w:val="20"/>
              </w:rPr>
              <w:t>1</w:t>
            </w:r>
            <w:r w:rsidRPr="00291781">
              <w:rPr>
                <w:rFonts w:cs="Times New Roman"/>
                <w:sz w:val="20"/>
                <w:szCs w:val="20"/>
                <w:vertAlign w:val="superscript"/>
              </w:rPr>
              <w:t>st</w:t>
            </w:r>
            <w:r w:rsidRPr="00291781">
              <w:rPr>
                <w:rFonts w:cs="Times New Roman"/>
                <w:sz w:val="20"/>
                <w:szCs w:val="20"/>
              </w:rPr>
              <w:t xml:space="preserve"> Percentile</w:t>
            </w:r>
          </w:p>
        </w:tc>
        <w:tc>
          <w:tcPr>
            <w:tcW w:w="2338" w:type="dxa"/>
          </w:tcPr>
          <w:p w14:paraId="4659761F" w14:textId="0E1AD670"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91781">
              <w:rPr>
                <w:rFonts w:cs="Times New Roman"/>
                <w:sz w:val="20"/>
                <w:szCs w:val="20"/>
              </w:rPr>
              <w:t>5</w:t>
            </w:r>
            <w:r w:rsidR="00FA458A" w:rsidRPr="00FA458A">
              <w:rPr>
                <w:rFonts w:cs="Times New Roman"/>
                <w:sz w:val="20"/>
                <w:szCs w:val="20"/>
              </w:rPr>
              <w:t>th</w:t>
            </w:r>
            <w:r w:rsidRPr="00291781">
              <w:rPr>
                <w:rFonts w:cs="Times New Roman"/>
                <w:sz w:val="20"/>
                <w:szCs w:val="20"/>
              </w:rPr>
              <w:t xml:space="preserve"> Percentile</w:t>
            </w:r>
          </w:p>
        </w:tc>
        <w:tc>
          <w:tcPr>
            <w:tcW w:w="2338" w:type="dxa"/>
          </w:tcPr>
          <w:p w14:paraId="71154FC3" w14:textId="6426F912" w:rsidR="00F92A57" w:rsidRPr="00291781" w:rsidRDefault="00F92A57" w:rsidP="00F92A5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95</w:t>
            </w:r>
            <w:r w:rsidR="00FA458A" w:rsidRPr="00FA458A">
              <w:rPr>
                <w:rFonts w:cs="Times New Roman"/>
                <w:sz w:val="20"/>
                <w:szCs w:val="20"/>
              </w:rPr>
              <w:t>th</w:t>
            </w:r>
            <w:r>
              <w:rPr>
                <w:rFonts w:cs="Times New Roman"/>
                <w:sz w:val="20"/>
                <w:szCs w:val="20"/>
              </w:rPr>
              <w:t xml:space="preserve"> </w:t>
            </w:r>
            <w:r w:rsidRPr="00291781">
              <w:rPr>
                <w:rFonts w:cs="Times New Roman"/>
                <w:sz w:val="20"/>
                <w:szCs w:val="20"/>
              </w:rPr>
              <w:t>Percentile</w:t>
            </w:r>
          </w:p>
        </w:tc>
      </w:tr>
      <w:tr w:rsidR="00F92A57" w:rsidRPr="00291781" w14:paraId="14A2A44B" w14:textId="77777777" w:rsidTr="0047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0C737C0" w14:textId="72C320AF" w:rsidR="00F92A57" w:rsidRPr="00291781" w:rsidRDefault="00F92A57" w:rsidP="00F92A57">
            <w:pPr>
              <w:spacing w:before="0" w:after="0" w:line="240" w:lineRule="auto"/>
              <w:ind w:firstLine="0"/>
              <w:jc w:val="center"/>
              <w:rPr>
                <w:rFonts w:cs="Times New Roman"/>
                <w:sz w:val="20"/>
                <w:szCs w:val="20"/>
              </w:rPr>
            </w:pPr>
            <w:r w:rsidRPr="00291781">
              <w:rPr>
                <w:rFonts w:cs="Times New Roman"/>
                <w:b w:val="0"/>
                <w:bCs w:val="0"/>
                <w:sz w:val="20"/>
                <w:szCs w:val="20"/>
              </w:rPr>
              <w:t>99</w:t>
            </w:r>
            <w:r w:rsidR="00FA458A" w:rsidRPr="00FA458A">
              <w:rPr>
                <w:rFonts w:cs="Times New Roman"/>
                <w:b w:val="0"/>
                <w:bCs w:val="0"/>
                <w:sz w:val="20"/>
                <w:szCs w:val="20"/>
              </w:rPr>
              <w:t>th</w:t>
            </w:r>
            <w:r w:rsidRPr="00291781">
              <w:rPr>
                <w:rFonts w:cs="Times New Roman"/>
                <w:b w:val="0"/>
                <w:bCs w:val="0"/>
                <w:sz w:val="20"/>
                <w:szCs w:val="20"/>
              </w:rPr>
              <w:t xml:space="preserve"> Percentile</w:t>
            </w:r>
          </w:p>
        </w:tc>
        <w:tc>
          <w:tcPr>
            <w:tcW w:w="2337" w:type="dxa"/>
          </w:tcPr>
          <w:p w14:paraId="65B29903" w14:textId="5563D113"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99.9</w:t>
            </w:r>
            <w:r w:rsidR="00FA458A" w:rsidRPr="00FA458A">
              <w:rPr>
                <w:rFonts w:cs="Times New Roman"/>
                <w:sz w:val="20"/>
                <w:szCs w:val="20"/>
              </w:rPr>
              <w:t>th</w:t>
            </w:r>
            <w:r w:rsidRPr="00291781">
              <w:rPr>
                <w:rFonts w:cs="Times New Roman"/>
                <w:sz w:val="20"/>
                <w:szCs w:val="20"/>
              </w:rPr>
              <w:t xml:space="preserve"> Percentile</w:t>
            </w:r>
          </w:p>
        </w:tc>
        <w:tc>
          <w:tcPr>
            <w:tcW w:w="2338" w:type="dxa"/>
          </w:tcPr>
          <w:p w14:paraId="0FA5073F"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Skewness</w:t>
            </w:r>
          </w:p>
        </w:tc>
        <w:tc>
          <w:tcPr>
            <w:tcW w:w="2338" w:type="dxa"/>
          </w:tcPr>
          <w:p w14:paraId="4913B8BA" w14:textId="77777777" w:rsidR="00F92A57" w:rsidRPr="00291781" w:rsidRDefault="00F92A57" w:rsidP="00F92A5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91781">
              <w:rPr>
                <w:rFonts w:cs="Times New Roman"/>
                <w:sz w:val="20"/>
                <w:szCs w:val="20"/>
              </w:rPr>
              <w:t>Kurtosis</w:t>
            </w:r>
          </w:p>
        </w:tc>
      </w:tr>
      <w:tr w:rsidR="00F92A57" w:rsidRPr="00291781" w14:paraId="3DCB1E7B" w14:textId="77777777" w:rsidTr="00470A83">
        <w:tc>
          <w:tcPr>
            <w:cnfStyle w:val="001000000000" w:firstRow="0" w:lastRow="0" w:firstColumn="1" w:lastColumn="0" w:oddVBand="0" w:evenVBand="0" w:oddHBand="0" w:evenHBand="0" w:firstRowFirstColumn="0" w:firstRowLastColumn="0" w:lastRowFirstColumn="0" w:lastRowLastColumn="0"/>
            <w:tcW w:w="9350" w:type="dxa"/>
            <w:gridSpan w:val="4"/>
          </w:tcPr>
          <w:p w14:paraId="3E859A3A"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1</w:t>
            </w:r>
            <w:r w:rsidRPr="000D37B8">
              <w:rPr>
                <w:rFonts w:cs="Times New Roman"/>
                <w:b w:val="0"/>
                <w:bCs w:val="0"/>
                <w:sz w:val="19"/>
                <w:szCs w:val="19"/>
              </w:rPr>
              <w:t xml:space="preserve">P = Precipitation, </w:t>
            </w:r>
            <w:r w:rsidRPr="000D37B8">
              <w:rPr>
                <w:rFonts w:cs="Times New Roman"/>
                <w:b w:val="0"/>
                <w:bCs w:val="0"/>
                <w:sz w:val="19"/>
                <w:szCs w:val="19"/>
                <w:vertAlign w:val="superscript"/>
              </w:rPr>
              <w:t>2</w:t>
            </w:r>
            <w:r w:rsidRPr="000D37B8">
              <w:rPr>
                <w:rFonts w:cs="Times New Roman"/>
                <w:b w:val="0"/>
                <w:bCs w:val="0"/>
                <w:sz w:val="19"/>
                <w:szCs w:val="19"/>
              </w:rPr>
              <w:t xml:space="preserve">T = Temperature, </w:t>
            </w:r>
            <w:r w:rsidRPr="000D37B8">
              <w:rPr>
                <w:rFonts w:cs="Times New Roman"/>
                <w:b w:val="0"/>
                <w:bCs w:val="0"/>
                <w:sz w:val="19"/>
                <w:szCs w:val="19"/>
                <w:vertAlign w:val="superscript"/>
              </w:rPr>
              <w:t>3</w:t>
            </w:r>
            <w:r w:rsidRPr="000D37B8">
              <w:rPr>
                <w:rFonts w:cs="Times New Roman"/>
                <w:b w:val="0"/>
                <w:bCs w:val="0"/>
                <w:sz w:val="19"/>
                <w:szCs w:val="19"/>
              </w:rPr>
              <w:t xml:space="preserve">Tmax = Maximum Temperature, </w:t>
            </w:r>
            <w:r w:rsidRPr="000D37B8">
              <w:rPr>
                <w:rFonts w:cs="Times New Roman"/>
                <w:b w:val="0"/>
                <w:bCs w:val="0"/>
                <w:sz w:val="19"/>
                <w:szCs w:val="19"/>
                <w:vertAlign w:val="superscript"/>
              </w:rPr>
              <w:t>4</w:t>
            </w:r>
            <w:r w:rsidRPr="000D37B8">
              <w:rPr>
                <w:rFonts w:cs="Times New Roman"/>
                <w:b w:val="0"/>
                <w:bCs w:val="0"/>
                <w:sz w:val="19"/>
                <w:szCs w:val="19"/>
              </w:rPr>
              <w:t xml:space="preserve">Tmin = Minimum Temperature, </w:t>
            </w:r>
            <w:r w:rsidRPr="000D37B8">
              <w:rPr>
                <w:rFonts w:cs="Times New Roman"/>
                <w:b w:val="0"/>
                <w:bCs w:val="0"/>
                <w:sz w:val="19"/>
                <w:szCs w:val="19"/>
                <w:vertAlign w:val="superscript"/>
              </w:rPr>
              <w:t>5</w:t>
            </w:r>
            <w:r w:rsidRPr="000D37B8">
              <w:rPr>
                <w:rFonts w:cs="Times New Roman"/>
                <w:b w:val="0"/>
                <w:bCs w:val="0"/>
                <w:sz w:val="19"/>
                <w:szCs w:val="19"/>
              </w:rPr>
              <w:t xml:space="preserve">DJF = December-January-February, </w:t>
            </w:r>
            <w:r w:rsidRPr="000D37B8">
              <w:rPr>
                <w:rFonts w:cs="Times New Roman"/>
                <w:b w:val="0"/>
                <w:bCs w:val="0"/>
                <w:sz w:val="19"/>
                <w:szCs w:val="19"/>
                <w:vertAlign w:val="superscript"/>
              </w:rPr>
              <w:t>6</w:t>
            </w:r>
            <w:r w:rsidRPr="000D37B8">
              <w:rPr>
                <w:rFonts w:cs="Times New Roman"/>
                <w:b w:val="0"/>
                <w:bCs w:val="0"/>
                <w:sz w:val="19"/>
                <w:szCs w:val="19"/>
              </w:rPr>
              <w:t xml:space="preserve">MAM = March-April-May, </w:t>
            </w:r>
            <w:r w:rsidRPr="000D37B8">
              <w:rPr>
                <w:rFonts w:cs="Times New Roman"/>
                <w:b w:val="0"/>
                <w:bCs w:val="0"/>
                <w:sz w:val="19"/>
                <w:szCs w:val="19"/>
                <w:vertAlign w:val="superscript"/>
              </w:rPr>
              <w:t>7</w:t>
            </w:r>
            <w:r w:rsidRPr="000D37B8">
              <w:rPr>
                <w:rFonts w:cs="Times New Roman"/>
                <w:b w:val="0"/>
                <w:bCs w:val="0"/>
                <w:sz w:val="19"/>
                <w:szCs w:val="19"/>
              </w:rPr>
              <w:t xml:space="preserve">JJA = June-July-August, </w:t>
            </w:r>
            <w:r w:rsidRPr="000D37B8">
              <w:rPr>
                <w:rFonts w:cs="Times New Roman"/>
                <w:b w:val="0"/>
                <w:bCs w:val="0"/>
                <w:sz w:val="19"/>
                <w:szCs w:val="19"/>
                <w:vertAlign w:val="superscript"/>
              </w:rPr>
              <w:t>8</w:t>
            </w:r>
            <w:r w:rsidRPr="000D37B8">
              <w:rPr>
                <w:rFonts w:cs="Times New Roman"/>
                <w:b w:val="0"/>
                <w:bCs w:val="0"/>
                <w:sz w:val="19"/>
                <w:szCs w:val="19"/>
              </w:rPr>
              <w:t xml:space="preserve">SON = September-October-November, </w:t>
            </w:r>
            <w:r w:rsidRPr="000D37B8">
              <w:rPr>
                <w:rFonts w:cs="Times New Roman"/>
                <w:b w:val="0"/>
                <w:bCs w:val="0"/>
                <w:sz w:val="19"/>
                <w:szCs w:val="19"/>
                <w:vertAlign w:val="superscript"/>
              </w:rPr>
              <w:t>9</w:t>
            </w:r>
            <w:r w:rsidRPr="000D37B8">
              <w:rPr>
                <w:rFonts w:cs="Times New Roman"/>
                <w:b w:val="0"/>
                <w:bCs w:val="0"/>
                <w:sz w:val="19"/>
                <w:szCs w:val="19"/>
              </w:rPr>
              <w:t xml:space="preserve">ENSO = El Niño-Southern Oscillation), </w:t>
            </w:r>
            <w:r w:rsidRPr="000D37B8">
              <w:rPr>
                <w:rFonts w:cs="Times New Roman"/>
                <w:b w:val="0"/>
                <w:bCs w:val="0"/>
                <w:sz w:val="19"/>
                <w:szCs w:val="19"/>
                <w:vertAlign w:val="superscript"/>
              </w:rPr>
              <w:t>10</w:t>
            </w:r>
            <w:r w:rsidRPr="000D37B8">
              <w:rPr>
                <w:rFonts w:cs="Times New Roman"/>
                <w:b w:val="0"/>
                <w:bCs w:val="0"/>
                <w:sz w:val="19"/>
                <w:szCs w:val="19"/>
              </w:rPr>
              <w:t xml:space="preserve">PDO = Pacific Decadal Oscillation, </w:t>
            </w:r>
            <w:r w:rsidRPr="000D37B8">
              <w:rPr>
                <w:rFonts w:cs="Times New Roman"/>
                <w:b w:val="0"/>
                <w:bCs w:val="0"/>
                <w:sz w:val="19"/>
                <w:szCs w:val="19"/>
                <w:vertAlign w:val="superscript"/>
              </w:rPr>
              <w:t>11</w:t>
            </w:r>
            <w:r w:rsidRPr="000D37B8">
              <w:rPr>
                <w:rFonts w:cs="Times New Roman"/>
                <w:b w:val="0"/>
                <w:bCs w:val="0"/>
                <w:sz w:val="19"/>
                <w:szCs w:val="19"/>
              </w:rPr>
              <w:t>NAO = North Atlantic Oscillation</w:t>
            </w:r>
          </w:p>
          <w:p w14:paraId="267A79C4"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a</w:t>
            </w:r>
            <w:r w:rsidRPr="000D37B8">
              <w:rPr>
                <w:rFonts w:cs="Times New Roman"/>
                <w:b w:val="0"/>
                <w:bCs w:val="0"/>
                <w:sz w:val="19"/>
                <w:szCs w:val="19"/>
              </w:rPr>
              <w:t xml:space="preserve">Amplitude = Difference between maximum and minimum in a monthly annual cycle </w:t>
            </w:r>
          </w:p>
          <w:p w14:paraId="439E0DC0"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b</w:t>
            </w:r>
            <w:r w:rsidRPr="000D37B8">
              <w:rPr>
                <w:rFonts w:cs="Times New Roman"/>
                <w:b w:val="0"/>
                <w:bCs w:val="0"/>
                <w:sz w:val="19"/>
                <w:szCs w:val="19"/>
              </w:rPr>
              <w:t>Timing = Month Index with the maximum of the annual cycle</w:t>
            </w:r>
          </w:p>
          <w:p w14:paraId="21824569" w14:textId="3ACB8779"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c</w:t>
            </w:r>
            <w:r w:rsidRPr="000D37B8">
              <w:rPr>
                <w:rFonts w:cs="Times New Roman"/>
                <w:b w:val="0"/>
                <w:bCs w:val="0"/>
                <w:sz w:val="19"/>
                <w:szCs w:val="19"/>
              </w:rPr>
              <w:t>Inter-quartile range = Difference between the 75</w:t>
            </w:r>
            <w:r w:rsidR="00FA458A" w:rsidRPr="00FA458A">
              <w:rPr>
                <w:rFonts w:cs="Times New Roman"/>
                <w:b w:val="0"/>
                <w:bCs w:val="0"/>
                <w:sz w:val="19"/>
                <w:szCs w:val="19"/>
              </w:rPr>
              <w:t>th</w:t>
            </w:r>
            <w:r w:rsidRPr="000D37B8">
              <w:rPr>
                <w:rFonts w:cs="Times New Roman"/>
                <w:b w:val="0"/>
                <w:bCs w:val="0"/>
                <w:sz w:val="19"/>
                <w:szCs w:val="19"/>
              </w:rPr>
              <w:t xml:space="preserve"> and 25</w:t>
            </w:r>
            <w:r w:rsidR="00FA458A" w:rsidRPr="00FA458A">
              <w:rPr>
                <w:rFonts w:cs="Times New Roman"/>
                <w:b w:val="0"/>
                <w:bCs w:val="0"/>
                <w:sz w:val="19"/>
                <w:szCs w:val="19"/>
              </w:rPr>
              <w:t>th</w:t>
            </w:r>
            <w:r w:rsidRPr="000D37B8">
              <w:rPr>
                <w:rFonts w:cs="Times New Roman"/>
                <w:b w:val="0"/>
                <w:bCs w:val="0"/>
                <w:sz w:val="19"/>
                <w:szCs w:val="19"/>
              </w:rPr>
              <w:t xml:space="preserve"> percentile of daily values in a year</w:t>
            </w:r>
          </w:p>
          <w:p w14:paraId="1DAD8BA3"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d</w:t>
            </w:r>
            <w:r w:rsidRPr="000D37B8">
              <w:rPr>
                <w:rFonts w:cs="Times New Roman"/>
                <w:b w:val="0"/>
                <w:bCs w:val="0"/>
                <w:sz w:val="19"/>
                <w:szCs w:val="19"/>
              </w:rPr>
              <w:t>Wet days = Days with accumulated P ≥ 1.0 mm</w:t>
            </w:r>
          </w:p>
          <w:p w14:paraId="25D2B26D"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e</w:t>
            </w:r>
            <w:r w:rsidRPr="000D37B8">
              <w:rPr>
                <w:rFonts w:cs="Times New Roman"/>
                <w:b w:val="0"/>
                <w:bCs w:val="0"/>
                <w:sz w:val="19"/>
                <w:szCs w:val="19"/>
              </w:rPr>
              <w:t>Summer days = Days with T ≥ 25 °C (77 °F)</w:t>
            </w:r>
          </w:p>
          <w:p w14:paraId="1F13BAA5"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f</w:t>
            </w:r>
            <w:r w:rsidRPr="000D37B8">
              <w:rPr>
                <w:rFonts w:cs="Times New Roman"/>
                <w:b w:val="0"/>
                <w:bCs w:val="0"/>
                <w:sz w:val="19"/>
                <w:szCs w:val="19"/>
              </w:rPr>
              <w:t>Ice days = Days with Tmax &lt; 0 °C</w:t>
            </w:r>
          </w:p>
          <w:p w14:paraId="52EC0483" w14:textId="77777777" w:rsidR="00F92A57" w:rsidRPr="000D37B8" w:rsidRDefault="00F92A57" w:rsidP="00F92A57">
            <w:pPr>
              <w:spacing w:before="0" w:after="0" w:line="240" w:lineRule="auto"/>
              <w:ind w:firstLine="0"/>
              <w:rPr>
                <w:rFonts w:cs="Times New Roman"/>
                <w:b w:val="0"/>
                <w:bCs w:val="0"/>
                <w:sz w:val="19"/>
                <w:szCs w:val="19"/>
              </w:rPr>
            </w:pPr>
            <w:r w:rsidRPr="000D37B8">
              <w:rPr>
                <w:rFonts w:cs="Times New Roman"/>
                <w:b w:val="0"/>
                <w:bCs w:val="0"/>
                <w:sz w:val="19"/>
                <w:szCs w:val="19"/>
                <w:vertAlign w:val="superscript"/>
              </w:rPr>
              <w:t>g</w:t>
            </w:r>
            <w:r w:rsidRPr="000D37B8">
              <w:rPr>
                <w:rFonts w:cs="Times New Roman"/>
                <w:b w:val="0"/>
                <w:bCs w:val="0"/>
                <w:sz w:val="19"/>
                <w:szCs w:val="19"/>
              </w:rPr>
              <w:t>Tropical nights = Days with Tmin &gt; 20 °C (68 °F)</w:t>
            </w:r>
          </w:p>
          <w:p w14:paraId="4375F4C0" w14:textId="77777777" w:rsidR="00F92A57" w:rsidRPr="000D37B8" w:rsidRDefault="00F92A57" w:rsidP="00F92A57">
            <w:pPr>
              <w:spacing w:before="0" w:after="0" w:line="240" w:lineRule="auto"/>
              <w:ind w:firstLine="0"/>
              <w:rPr>
                <w:rFonts w:cs="Times New Roman"/>
                <w:sz w:val="19"/>
                <w:szCs w:val="19"/>
              </w:rPr>
            </w:pPr>
            <w:r w:rsidRPr="000D37B8">
              <w:rPr>
                <w:rFonts w:cs="Times New Roman"/>
                <w:b w:val="0"/>
                <w:bCs w:val="0"/>
                <w:sz w:val="19"/>
                <w:szCs w:val="19"/>
                <w:vertAlign w:val="superscript"/>
              </w:rPr>
              <w:t>h</w:t>
            </w:r>
            <w:r w:rsidRPr="000D37B8">
              <w:rPr>
                <w:rFonts w:cs="Times New Roman"/>
                <w:b w:val="0"/>
                <w:bCs w:val="0"/>
                <w:sz w:val="19"/>
                <w:szCs w:val="19"/>
              </w:rPr>
              <w:t>Frost days = Days with Tmin &lt; 0 °C</w:t>
            </w:r>
          </w:p>
          <w:p w14:paraId="1F3B3774" w14:textId="77777777" w:rsidR="00F92A57" w:rsidRPr="00430947" w:rsidRDefault="00F92A57" w:rsidP="00F92A57">
            <w:pPr>
              <w:spacing w:before="0" w:after="0" w:line="240" w:lineRule="auto"/>
              <w:ind w:firstLine="0"/>
              <w:rPr>
                <w:rFonts w:cs="Times New Roman"/>
                <w:b w:val="0"/>
                <w:bCs w:val="0"/>
                <w:sz w:val="20"/>
                <w:szCs w:val="20"/>
              </w:rPr>
            </w:pPr>
            <w:r w:rsidRPr="000D37B8">
              <w:rPr>
                <w:rFonts w:cs="Times New Roman"/>
                <w:b w:val="0"/>
                <w:bCs w:val="0"/>
                <w:sz w:val="19"/>
                <w:szCs w:val="19"/>
                <w:vertAlign w:val="superscript"/>
              </w:rPr>
              <w:t>h</w:t>
            </w:r>
            <w:r w:rsidRPr="000D37B8">
              <w:rPr>
                <w:rFonts w:cs="Times New Roman"/>
                <w:b w:val="0"/>
                <w:bCs w:val="0"/>
                <w:sz w:val="19"/>
                <w:szCs w:val="19"/>
              </w:rPr>
              <w:t>Dispersion = Spatiotemporal distribution of monthly data, calculated as an average of the Taylor score of 20 indices</w:t>
            </w:r>
          </w:p>
        </w:tc>
      </w:tr>
    </w:tbl>
    <w:p w14:paraId="3C720C8F" w14:textId="77777777" w:rsidR="00F92A57" w:rsidRPr="00654866" w:rsidRDefault="00F92A57" w:rsidP="00654866">
      <w:pPr>
        <w:pStyle w:val="BodyText"/>
        <w:rPr>
          <w:snapToGrid/>
        </w:rPr>
      </w:pPr>
    </w:p>
    <w:p w14:paraId="12BD5A09" w14:textId="0B8E4958" w:rsidR="00830105" w:rsidRDefault="008A795E" w:rsidP="00F23DBD">
      <w:pPr>
        <w:pStyle w:val="FIGUREposition"/>
        <w:rPr>
          <w:snapToGrid/>
        </w:rPr>
      </w:pPr>
      <w:r>
        <w:rPr>
          <w:noProof/>
        </w:rPr>
        <w:lastRenderedPageBreak/>
        <w:drawing>
          <wp:inline distT="0" distB="0" distL="0" distR="0" wp14:anchorId="6CA078ED" wp14:editId="5731AE0F">
            <wp:extent cx="5943600" cy="5042535"/>
            <wp:effectExtent l="0" t="0" r="0" b="5715"/>
            <wp:docPr id="86" name="Picture 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scatter chart&#10;&#10;Description automatically generated"/>
                    <pic:cNvPicPr/>
                  </pic:nvPicPr>
                  <pic:blipFill>
                    <a:blip r:embed="rId437"/>
                    <a:stretch>
                      <a:fillRect/>
                    </a:stretch>
                  </pic:blipFill>
                  <pic:spPr>
                    <a:xfrm>
                      <a:off x="0" y="0"/>
                      <a:ext cx="5943600" cy="5042535"/>
                    </a:xfrm>
                    <a:prstGeom prst="rect">
                      <a:avLst/>
                    </a:prstGeom>
                  </pic:spPr>
                </pic:pic>
              </a:graphicData>
            </a:graphic>
          </wp:inline>
        </w:drawing>
      </w:r>
    </w:p>
    <w:p w14:paraId="3A61F977" w14:textId="7ACF7F6C" w:rsidR="00F23DBD" w:rsidRPr="00F23DBD" w:rsidRDefault="004C7E17" w:rsidP="00667AF7">
      <w:pPr>
        <w:pStyle w:val="AppendixFigureCaption"/>
        <w:rPr>
          <w:vanish/>
          <w:specVanish/>
        </w:rPr>
      </w:pPr>
      <w:r>
        <w:t xml:space="preserve">Figure </w:t>
      </w:r>
      <w:fldSimple w:instr=" STYLEREF 9 \s ">
        <w:r w:rsidR="00EE0BF5">
          <w:rPr>
            <w:noProof/>
          </w:rPr>
          <w:t>C</w:t>
        </w:r>
      </w:fldSimple>
      <w:r>
        <w:t>.</w:t>
      </w:r>
      <w:fldSimple w:instr=" SEQ Figure_Apx \* ARABIC \s 9 ">
        <w:r w:rsidR="00EE0BF5">
          <w:rPr>
            <w:noProof/>
          </w:rPr>
          <w:t>2</w:t>
        </w:r>
      </w:fldSimple>
      <w:r w:rsidRPr="006869CA">
        <w:rPr>
          <w:lang w:eastAsia="zh-TW"/>
        </w:rPr>
        <w:t xml:space="preserve">. </w:t>
      </w:r>
      <w:r w:rsidR="008A795E">
        <w:t xml:space="preserve">The pairwise metrics correlation (bottom triangle) and the corresponding similarity score (top triangle) over the </w:t>
      </w:r>
      <w:r w:rsidR="00CC6433">
        <w:t>e</w:t>
      </w:r>
      <w:r w:rsidR="008A795E">
        <w:t>ast</w:t>
      </w:r>
      <w:r w:rsidR="00CC6433">
        <w:t>ern United States</w:t>
      </w:r>
      <w:r w:rsidR="008A795E">
        <w:t xml:space="preserve">. </w:t>
      </w:r>
    </w:p>
    <w:p w14:paraId="01884506" w14:textId="3E28EA42" w:rsidR="0024009D" w:rsidRPr="006869CA" w:rsidRDefault="008A795E" w:rsidP="00F23DBD">
      <w:pPr>
        <w:pStyle w:val="FigureCaptionSeparator"/>
      </w:pPr>
      <w:r>
        <w:t xml:space="preserve">Metrics with high correlations exhibit a high similarity score and are </w:t>
      </w:r>
      <w:r w:rsidR="00CF6EA8">
        <w:t>down-weighted</w:t>
      </w:r>
      <w:r>
        <w:t xml:space="preserve">. </w:t>
      </w:r>
      <w:r w:rsidRPr="00825529">
        <w:rPr>
          <w:lang w:bidi="en-US"/>
        </w:rPr>
        <w:t>The line plot on the right shows the overall weight for each metric</w:t>
      </w:r>
      <w:r w:rsidR="0024009D" w:rsidRPr="00706985">
        <w:t>.</w:t>
      </w:r>
    </w:p>
    <w:p w14:paraId="4E863678" w14:textId="77777777" w:rsidR="00654866" w:rsidRDefault="00654866" w:rsidP="00654866">
      <w:pPr>
        <w:pStyle w:val="BodyText"/>
        <w:rPr>
          <w:snapToGrid/>
        </w:rPr>
      </w:pPr>
    </w:p>
    <w:p w14:paraId="303FF37F" w14:textId="0CB2910F" w:rsidR="00830105" w:rsidRDefault="00742E31" w:rsidP="00F23DBD">
      <w:pPr>
        <w:pStyle w:val="FIGUREposition"/>
        <w:rPr>
          <w:snapToGrid/>
        </w:rPr>
      </w:pPr>
      <w:r>
        <w:rPr>
          <w:noProof/>
        </w:rPr>
        <w:lastRenderedPageBreak/>
        <w:drawing>
          <wp:inline distT="0" distB="0" distL="0" distR="0" wp14:anchorId="39739ECD" wp14:editId="445B4D00">
            <wp:extent cx="5943600" cy="5042535"/>
            <wp:effectExtent l="0" t="0" r="0" b="5715"/>
            <wp:docPr id="85" name="Picture 8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scatter chart&#10;&#10;Description automatically generated"/>
                    <pic:cNvPicPr/>
                  </pic:nvPicPr>
                  <pic:blipFill>
                    <a:blip r:embed="rId438"/>
                    <a:stretch>
                      <a:fillRect/>
                    </a:stretch>
                  </pic:blipFill>
                  <pic:spPr>
                    <a:xfrm>
                      <a:off x="0" y="0"/>
                      <a:ext cx="5943600" cy="5042535"/>
                    </a:xfrm>
                    <a:prstGeom prst="rect">
                      <a:avLst/>
                    </a:prstGeom>
                  </pic:spPr>
                </pic:pic>
              </a:graphicData>
            </a:graphic>
          </wp:inline>
        </w:drawing>
      </w:r>
    </w:p>
    <w:p w14:paraId="02C0DD15" w14:textId="483C24B5" w:rsidR="00F23DBD" w:rsidRPr="00F23DBD" w:rsidRDefault="004C7E17" w:rsidP="008A795E">
      <w:pPr>
        <w:pStyle w:val="AppendixFigureCaption"/>
        <w:rPr>
          <w:vanish/>
          <w:specVanish/>
        </w:rPr>
      </w:pPr>
      <w:r>
        <w:t xml:space="preserve">Figure </w:t>
      </w:r>
      <w:fldSimple w:instr=" STYLEREF 9 \s ">
        <w:r w:rsidR="00EE0BF5">
          <w:rPr>
            <w:noProof/>
          </w:rPr>
          <w:t>C</w:t>
        </w:r>
      </w:fldSimple>
      <w:r>
        <w:t>.</w:t>
      </w:r>
      <w:fldSimple w:instr=" SEQ Figure_Apx \* ARABIC \s 9 ">
        <w:r w:rsidR="00EE0BF5">
          <w:rPr>
            <w:noProof/>
          </w:rPr>
          <w:t>3</w:t>
        </w:r>
      </w:fldSimple>
      <w:r w:rsidRPr="006869CA">
        <w:rPr>
          <w:lang w:eastAsia="zh-TW"/>
        </w:rPr>
        <w:t xml:space="preserve">. </w:t>
      </w:r>
      <w:r w:rsidR="00742E31">
        <w:t xml:space="preserve">The pairwise metrics correlation (bottom triangle) and the corresponding similarity score (top triangle) over the </w:t>
      </w:r>
      <w:r w:rsidR="00CC6433">
        <w:t>w</w:t>
      </w:r>
      <w:r w:rsidR="00742E31">
        <w:t>est</w:t>
      </w:r>
      <w:r w:rsidR="00CC6433">
        <w:t>ern United States</w:t>
      </w:r>
      <w:r w:rsidR="00742E31">
        <w:t xml:space="preserve">. </w:t>
      </w:r>
    </w:p>
    <w:p w14:paraId="6B79DB0E" w14:textId="691CC097" w:rsidR="008A795E" w:rsidRPr="006869CA" w:rsidRDefault="00742E31" w:rsidP="00F23DBD">
      <w:pPr>
        <w:pStyle w:val="FigureCaptionSeparator"/>
      </w:pPr>
      <w:r>
        <w:t xml:space="preserve">Metrics with high correlations exhibit a high similarity score and are </w:t>
      </w:r>
      <w:r w:rsidR="00CF6EA8">
        <w:t>down-weighted</w:t>
      </w:r>
      <w:r>
        <w:t xml:space="preserve">. </w:t>
      </w:r>
      <w:r w:rsidRPr="00825529">
        <w:rPr>
          <w:lang w:bidi="en-US"/>
        </w:rPr>
        <w:t>The line plot on the right shows the overall weight for each metric</w:t>
      </w:r>
      <w:r w:rsidR="008A795E" w:rsidRPr="00706985">
        <w:t>.</w:t>
      </w:r>
    </w:p>
    <w:p w14:paraId="71B882FE" w14:textId="77777777" w:rsidR="00654866" w:rsidRDefault="00654866" w:rsidP="00654866">
      <w:pPr>
        <w:pStyle w:val="BodyText"/>
        <w:rPr>
          <w:snapToGrid/>
        </w:rPr>
      </w:pPr>
    </w:p>
    <w:p w14:paraId="5D67A034" w14:textId="77DE1BAF" w:rsidR="008A795E" w:rsidRDefault="004B00FE" w:rsidP="00F23DBD">
      <w:pPr>
        <w:pStyle w:val="FIGUREposition"/>
        <w:rPr>
          <w:snapToGrid/>
        </w:rPr>
      </w:pPr>
      <w:r>
        <w:rPr>
          <w:noProof/>
        </w:rPr>
        <w:lastRenderedPageBreak/>
        <w:drawing>
          <wp:inline distT="0" distB="0" distL="0" distR="0" wp14:anchorId="1ED903AF" wp14:editId="2C2A7051">
            <wp:extent cx="5943600" cy="5042535"/>
            <wp:effectExtent l="0" t="0" r="0" b="5715"/>
            <wp:docPr id="87" name="Picture 8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scatter chart&#10;&#10;Description automatically generated"/>
                    <pic:cNvPicPr/>
                  </pic:nvPicPr>
                  <pic:blipFill>
                    <a:blip r:embed="rId439"/>
                    <a:stretch>
                      <a:fillRect/>
                    </a:stretch>
                  </pic:blipFill>
                  <pic:spPr>
                    <a:xfrm>
                      <a:off x="0" y="0"/>
                      <a:ext cx="5943600" cy="5042535"/>
                    </a:xfrm>
                    <a:prstGeom prst="rect">
                      <a:avLst/>
                    </a:prstGeom>
                  </pic:spPr>
                </pic:pic>
              </a:graphicData>
            </a:graphic>
          </wp:inline>
        </w:drawing>
      </w:r>
    </w:p>
    <w:p w14:paraId="555BD459" w14:textId="7442F06F" w:rsidR="00F23DBD" w:rsidRPr="00F23DBD" w:rsidRDefault="004C7E17" w:rsidP="008A795E">
      <w:pPr>
        <w:pStyle w:val="AppendixFigureCaption"/>
        <w:rPr>
          <w:vanish/>
          <w:specVanish/>
        </w:rPr>
      </w:pPr>
      <w:r>
        <w:t xml:space="preserve">Figure </w:t>
      </w:r>
      <w:fldSimple w:instr=" STYLEREF 9 \s ">
        <w:r w:rsidR="00EE0BF5">
          <w:rPr>
            <w:noProof/>
          </w:rPr>
          <w:t>C</w:t>
        </w:r>
      </w:fldSimple>
      <w:r>
        <w:t>.</w:t>
      </w:r>
      <w:fldSimple w:instr=" SEQ Figure_Apx \* ARABIC \s 9 ">
        <w:r w:rsidR="00EE0BF5">
          <w:rPr>
            <w:noProof/>
          </w:rPr>
          <w:t>4</w:t>
        </w:r>
      </w:fldSimple>
      <w:r w:rsidRPr="006869CA">
        <w:rPr>
          <w:lang w:eastAsia="zh-TW"/>
        </w:rPr>
        <w:t xml:space="preserve">. </w:t>
      </w:r>
      <w:r w:rsidR="004B00FE">
        <w:t xml:space="preserve">The pairwise metrics correlation (bottom triangle) and the corresponding similarity score (top triangle) over the </w:t>
      </w:r>
      <w:r w:rsidR="00CC6433">
        <w:t>s</w:t>
      </w:r>
      <w:r w:rsidR="004B00FE">
        <w:t>outh</w:t>
      </w:r>
      <w:r w:rsidR="00CC6433">
        <w:t>ern United States</w:t>
      </w:r>
      <w:r w:rsidR="004B00FE">
        <w:t xml:space="preserve">. </w:t>
      </w:r>
    </w:p>
    <w:p w14:paraId="523687AD" w14:textId="3FCF49ED" w:rsidR="008A795E" w:rsidRPr="006869CA" w:rsidRDefault="004B00FE" w:rsidP="00F23DBD">
      <w:pPr>
        <w:pStyle w:val="FigureCaptionSeparator"/>
      </w:pPr>
      <w:r>
        <w:t xml:space="preserve">Metrics with high correlations exhibit a high similarity score and are </w:t>
      </w:r>
      <w:r w:rsidR="00CF6EA8">
        <w:t>down-weighted</w:t>
      </w:r>
      <w:r>
        <w:t xml:space="preserve">. </w:t>
      </w:r>
      <w:r w:rsidRPr="00825529">
        <w:rPr>
          <w:lang w:bidi="en-US"/>
        </w:rPr>
        <w:t>The line plot on the right shows the overall weight for each metric</w:t>
      </w:r>
      <w:r w:rsidR="008A795E" w:rsidRPr="00706985">
        <w:t>.</w:t>
      </w:r>
    </w:p>
    <w:p w14:paraId="6849C932" w14:textId="77777777" w:rsidR="00654866" w:rsidRDefault="00654866" w:rsidP="00654866">
      <w:pPr>
        <w:pStyle w:val="BodyText"/>
        <w:rPr>
          <w:snapToGrid/>
        </w:rPr>
      </w:pPr>
    </w:p>
    <w:p w14:paraId="6B2A561D" w14:textId="1886F080" w:rsidR="008A795E" w:rsidRDefault="002A078A" w:rsidP="00F23DBD">
      <w:pPr>
        <w:pStyle w:val="FIGUREposition"/>
        <w:rPr>
          <w:snapToGrid/>
        </w:rPr>
      </w:pPr>
      <w:r>
        <w:rPr>
          <w:noProof/>
          <w:snapToGrid/>
        </w:rPr>
        <w:lastRenderedPageBreak/>
        <w:drawing>
          <wp:inline distT="0" distB="0" distL="0" distR="0" wp14:anchorId="0BC52C94" wp14:editId="3F63989E">
            <wp:extent cx="5943600" cy="5226050"/>
            <wp:effectExtent l="0" t="0" r="0" b="0"/>
            <wp:docPr id="102" name="Picture 102" descr="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agram, histogram&#10;&#10;Description automatically generated"/>
                    <pic:cNvPicPr/>
                  </pic:nvPicPr>
                  <pic:blipFill>
                    <a:blip r:embed="rId440"/>
                    <a:stretch>
                      <a:fillRect/>
                    </a:stretch>
                  </pic:blipFill>
                  <pic:spPr>
                    <a:xfrm>
                      <a:off x="0" y="0"/>
                      <a:ext cx="5943600" cy="5226050"/>
                    </a:xfrm>
                    <a:prstGeom prst="rect">
                      <a:avLst/>
                    </a:prstGeom>
                  </pic:spPr>
                </pic:pic>
              </a:graphicData>
            </a:graphic>
          </wp:inline>
        </w:drawing>
      </w:r>
    </w:p>
    <w:p w14:paraId="0678B8E5" w14:textId="6C667ABB" w:rsidR="00F23DBD" w:rsidRPr="00F23DBD" w:rsidRDefault="004C7E17" w:rsidP="008A795E">
      <w:pPr>
        <w:pStyle w:val="AppendixFigureCaption"/>
        <w:rPr>
          <w:bCs/>
          <w:vanish/>
          <w:specVanish/>
        </w:rPr>
      </w:pPr>
      <w:r>
        <w:t xml:space="preserve">Figure </w:t>
      </w:r>
      <w:fldSimple w:instr=" STYLEREF 9 \s ">
        <w:r w:rsidR="00EE0BF5">
          <w:rPr>
            <w:noProof/>
          </w:rPr>
          <w:t>C</w:t>
        </w:r>
      </w:fldSimple>
      <w:r>
        <w:t>.</w:t>
      </w:r>
      <w:fldSimple w:instr=" SEQ Figure_Apx \* ARABIC \s 9 ">
        <w:r w:rsidR="00EE0BF5">
          <w:rPr>
            <w:noProof/>
          </w:rPr>
          <w:t>5</w:t>
        </w:r>
      </w:fldSimple>
      <w:r w:rsidRPr="006869CA">
        <w:rPr>
          <w:lang w:eastAsia="zh-TW"/>
        </w:rPr>
        <w:t xml:space="preserve">. </w:t>
      </w:r>
      <w:r w:rsidR="002A078A" w:rsidRPr="00470A83">
        <w:rPr>
          <w:bCs/>
        </w:rPr>
        <w:t>Metrics independence weights (</w:t>
      </w:r>
      <m:oMath>
        <m:sSup>
          <m:sSupPr>
            <m:ctrlPr>
              <w:rPr>
                <w:rFonts w:ascii="Cambria Math" w:hAnsi="Cambria Math"/>
                <w:bCs/>
                <w:i/>
              </w:rPr>
            </m:ctrlPr>
          </m:sSupPr>
          <m:e>
            <m:d>
              <m:dPr>
                <m:ctrlPr>
                  <w:rPr>
                    <w:rFonts w:ascii="Cambria Math" w:hAnsi="Cambria Math"/>
                    <w:bCs/>
                    <w:i/>
                  </w:rPr>
                </m:ctrlPr>
              </m:dPr>
              <m:e>
                <m:sSub>
                  <m:sSubPr>
                    <m:ctrlPr>
                      <w:rPr>
                        <w:rFonts w:ascii="Cambria Math" w:hAnsi="Cambria Math"/>
                        <w:bCs/>
                        <w:i/>
                      </w:rPr>
                    </m:ctrlPr>
                  </m:sSubPr>
                  <m:e>
                    <m:r>
                      <m:rPr>
                        <m:sty m:val="bi"/>
                      </m:rPr>
                      <w:rPr>
                        <w:rFonts w:ascii="Cambria Math" w:hAnsi="Cambria Math"/>
                      </w:rPr>
                      <m:t>ER</m:t>
                    </m:r>
                  </m:e>
                  <m:sub>
                    <m:r>
                      <m:rPr>
                        <m:sty m:val="bi"/>
                      </m:rPr>
                      <w:rPr>
                        <w:rFonts w:ascii="Cambria Math" w:hAnsi="Cambria Math"/>
                      </w:rPr>
                      <m:t>i</m:t>
                    </m:r>
                  </m:sub>
                </m:sSub>
              </m:e>
            </m:d>
          </m:e>
          <m:sup>
            <m:r>
              <m:rPr>
                <m:sty m:val="bi"/>
              </m:rPr>
              <w:rPr>
                <w:rFonts w:ascii="Cambria Math" w:hAnsi="Cambria Math"/>
              </w:rPr>
              <m:t>-1</m:t>
            </m:r>
          </m:sup>
        </m:sSup>
        <m:r>
          <m:rPr>
            <m:sty m:val="bi"/>
          </m:rPr>
          <w:rPr>
            <w:rFonts w:ascii="Cambria Math" w:hAnsi="Cambria Math"/>
          </w:rPr>
          <m:t>)</m:t>
        </m:r>
      </m:oMath>
      <w:r w:rsidR="00F23DBD">
        <w:t xml:space="preserve"> </w:t>
      </w:r>
      <w:r w:rsidR="002A078A" w:rsidRPr="00470A83">
        <w:rPr>
          <w:bCs/>
        </w:rPr>
        <w:t>as a function of the radius of their similarity (</w:t>
      </w:r>
      <w:r w:rsidR="002A078A" w:rsidRPr="00470A83">
        <w:rPr>
          <w:bCs/>
          <w:i/>
          <w:iCs/>
        </w:rPr>
        <w:t>D</w:t>
      </w:r>
      <w:r w:rsidR="002A078A" w:rsidRPr="00470A83">
        <w:rPr>
          <w:rFonts w:cs="Times New Roman (Body CS)"/>
          <w:bCs/>
          <w:i/>
          <w:iCs/>
          <w:vertAlign w:val="subscript"/>
        </w:rPr>
        <w:t>x</w:t>
      </w:r>
      <w:r w:rsidR="002A078A" w:rsidRPr="00470A83">
        <w:rPr>
          <w:bCs/>
        </w:rPr>
        <w:t xml:space="preserve">). </w:t>
      </w:r>
    </w:p>
    <w:p w14:paraId="766AB050" w14:textId="2EA494D8" w:rsidR="008A795E" w:rsidRPr="006869CA" w:rsidRDefault="002A078A" w:rsidP="00F23DBD">
      <w:pPr>
        <w:pStyle w:val="FigureCaptionSeparator"/>
      </w:pPr>
      <w:r w:rsidRPr="00470A83">
        <w:t xml:space="preserve">The </w:t>
      </w:r>
      <w:r w:rsidR="00654E57">
        <w:t xml:space="preserve">gray </w:t>
      </w:r>
      <w:r w:rsidRPr="00470A83">
        <w:t xml:space="preserve">vertical line represents the value of </w:t>
      </w:r>
      <w:r w:rsidRPr="00470A83">
        <w:rPr>
          <w:i/>
          <w:iCs/>
        </w:rPr>
        <w:t>D</w:t>
      </w:r>
      <w:r w:rsidRPr="00470A83">
        <w:rPr>
          <w:rFonts w:cs="Times New Roman (Body CS)"/>
          <w:i/>
          <w:iCs/>
          <w:vertAlign w:val="subscript"/>
        </w:rPr>
        <w:t>x</w:t>
      </w:r>
      <w:r w:rsidRPr="00470A83">
        <w:rPr>
          <w:rFonts w:cs="Times New Roman (Body CS)"/>
        </w:rPr>
        <w:t xml:space="preserve"> used in the calculation of similarity scores</w:t>
      </w:r>
      <w:r w:rsidR="008A795E" w:rsidRPr="00706985">
        <w:t>.</w:t>
      </w:r>
    </w:p>
    <w:p w14:paraId="02D96023" w14:textId="77777777" w:rsidR="00654866" w:rsidRDefault="00654866" w:rsidP="00654866">
      <w:pPr>
        <w:pStyle w:val="BodyText"/>
        <w:rPr>
          <w:snapToGrid/>
        </w:rPr>
      </w:pPr>
    </w:p>
    <w:p w14:paraId="42BA0BFD" w14:textId="50D9E8A5" w:rsidR="008A795E" w:rsidRDefault="007206E4" w:rsidP="00F23DBD">
      <w:pPr>
        <w:pStyle w:val="FIGUREposition"/>
        <w:rPr>
          <w:snapToGrid/>
        </w:rPr>
      </w:pPr>
      <w:r>
        <w:rPr>
          <w:noProof/>
          <w:snapToGrid/>
        </w:rPr>
        <w:lastRenderedPageBreak/>
        <w:drawing>
          <wp:inline distT="0" distB="0" distL="0" distR="0" wp14:anchorId="52BEE66B" wp14:editId="3CC8EA82">
            <wp:extent cx="5943600" cy="4875810"/>
            <wp:effectExtent l="0" t="0" r="0" b="127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10;&#10;Description automatically generated"/>
                    <pic:cNvPicPr/>
                  </pic:nvPicPr>
                  <pic:blipFill>
                    <a:blip r:embed="rId441"/>
                    <a:stretch>
                      <a:fillRect/>
                    </a:stretch>
                  </pic:blipFill>
                  <pic:spPr>
                    <a:xfrm>
                      <a:off x="0" y="0"/>
                      <a:ext cx="5943600" cy="4875810"/>
                    </a:xfrm>
                    <a:prstGeom prst="rect">
                      <a:avLst/>
                    </a:prstGeom>
                  </pic:spPr>
                </pic:pic>
              </a:graphicData>
            </a:graphic>
          </wp:inline>
        </w:drawing>
      </w:r>
    </w:p>
    <w:p w14:paraId="1987CF4A" w14:textId="4A2A70BE" w:rsidR="00F23DBD" w:rsidRPr="00F23DBD" w:rsidRDefault="004C7E17" w:rsidP="008A795E">
      <w:pPr>
        <w:pStyle w:val="AppendixFigureCaption"/>
        <w:rPr>
          <w:vanish/>
          <w:specVanish/>
        </w:rPr>
      </w:pPr>
      <w:r>
        <w:t xml:space="preserve">Figure </w:t>
      </w:r>
      <w:fldSimple w:instr=" STYLEREF 9 \s ">
        <w:r w:rsidR="00EE0BF5">
          <w:rPr>
            <w:noProof/>
          </w:rPr>
          <w:t>C</w:t>
        </w:r>
      </w:fldSimple>
      <w:r>
        <w:t>.</w:t>
      </w:r>
      <w:fldSimple w:instr=" SEQ Figure_Apx \* ARABIC \s 9 ">
        <w:r w:rsidR="00EE0BF5">
          <w:rPr>
            <w:noProof/>
          </w:rPr>
          <w:t>6</w:t>
        </w:r>
      </w:fldSimple>
      <w:r w:rsidRPr="006869CA">
        <w:rPr>
          <w:lang w:eastAsia="zh-TW"/>
        </w:rPr>
        <w:t xml:space="preserve">. </w:t>
      </w:r>
      <w:r w:rsidR="007206E4">
        <w:t xml:space="preserve">The change in the ranking of GCMs at different truncation levels in EOF analyses. </w:t>
      </w:r>
    </w:p>
    <w:p w14:paraId="6753F78B" w14:textId="4AE92967" w:rsidR="008A795E" w:rsidRPr="006869CA" w:rsidRDefault="007206E4" w:rsidP="00F23DBD">
      <w:pPr>
        <w:pStyle w:val="FigureCaptionSeparator"/>
      </w:pPr>
      <w:r>
        <w:t xml:space="preserve">The </w:t>
      </w:r>
      <w:r w:rsidR="00654E57">
        <w:t xml:space="preserve">gray </w:t>
      </w:r>
      <w:r>
        <w:t>vertical line indicates the selected truncation level in these analyses</w:t>
      </w:r>
      <w:r w:rsidR="008A795E" w:rsidRPr="00706985">
        <w:t>.</w:t>
      </w:r>
    </w:p>
    <w:p w14:paraId="25EA610E" w14:textId="77777777" w:rsidR="00654866" w:rsidRDefault="00654866" w:rsidP="00654866">
      <w:pPr>
        <w:pStyle w:val="BodyText"/>
        <w:rPr>
          <w:snapToGrid/>
        </w:rPr>
      </w:pPr>
    </w:p>
    <w:p w14:paraId="37057486" w14:textId="00EB1C16" w:rsidR="008A795E" w:rsidRDefault="007206E4" w:rsidP="00F23DBD">
      <w:pPr>
        <w:pStyle w:val="FIGUREposition"/>
        <w:rPr>
          <w:snapToGrid/>
        </w:rPr>
      </w:pPr>
      <w:r>
        <w:rPr>
          <w:noProof/>
          <w:snapToGrid/>
        </w:rPr>
        <w:lastRenderedPageBreak/>
        <w:drawing>
          <wp:inline distT="0" distB="0" distL="0" distR="0" wp14:anchorId="56A13189" wp14:editId="5D9AC957">
            <wp:extent cx="5943600" cy="5806440"/>
            <wp:effectExtent l="0" t="0" r="0" b="3810"/>
            <wp:docPr id="103" name="Picture 1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Diagram&#10;&#10;Description automatically generated"/>
                    <pic:cNvPicPr/>
                  </pic:nvPicPr>
                  <pic:blipFill>
                    <a:blip r:embed="rId442"/>
                    <a:stretch>
                      <a:fillRect/>
                    </a:stretch>
                  </pic:blipFill>
                  <pic:spPr>
                    <a:xfrm>
                      <a:off x="0" y="0"/>
                      <a:ext cx="5943600" cy="5806440"/>
                    </a:xfrm>
                    <a:prstGeom prst="rect">
                      <a:avLst/>
                    </a:prstGeom>
                  </pic:spPr>
                </pic:pic>
              </a:graphicData>
            </a:graphic>
          </wp:inline>
        </w:drawing>
      </w:r>
    </w:p>
    <w:p w14:paraId="6597B733" w14:textId="6EFCAD3D" w:rsidR="008A795E" w:rsidRPr="006869CA" w:rsidRDefault="004C7E17" w:rsidP="008A795E">
      <w:pPr>
        <w:pStyle w:val="AppendixFigureCaption"/>
      </w:pPr>
      <w:r>
        <w:t xml:space="preserve">Figure </w:t>
      </w:r>
      <w:fldSimple w:instr=" STYLEREF 9 \s ">
        <w:r w:rsidR="00EE0BF5">
          <w:rPr>
            <w:noProof/>
          </w:rPr>
          <w:t>C</w:t>
        </w:r>
      </w:fldSimple>
      <w:r>
        <w:t>.</w:t>
      </w:r>
      <w:fldSimple w:instr=" SEQ Figure_Apx \* ARABIC \s 9 ">
        <w:r w:rsidR="00EE0BF5">
          <w:rPr>
            <w:noProof/>
          </w:rPr>
          <w:t>7</w:t>
        </w:r>
      </w:fldSimple>
      <w:r w:rsidRPr="006869CA">
        <w:rPr>
          <w:lang w:eastAsia="zh-TW"/>
        </w:rPr>
        <w:t xml:space="preserve">. </w:t>
      </w:r>
      <w:r w:rsidR="007206E4" w:rsidRPr="00470A83">
        <w:rPr>
          <w:bCs/>
          <w:lang w:bidi="en-US"/>
        </w:rPr>
        <w:t xml:space="preserve">The normalized relative disagreement of GCMs from the observations over the </w:t>
      </w:r>
      <w:r w:rsidR="00CC6433">
        <w:rPr>
          <w:bCs/>
          <w:lang w:bidi="en-US"/>
        </w:rPr>
        <w:t>e</w:t>
      </w:r>
      <w:r w:rsidR="007206E4">
        <w:rPr>
          <w:bCs/>
          <w:lang w:bidi="en-US"/>
        </w:rPr>
        <w:t>ast</w:t>
      </w:r>
      <w:r w:rsidR="00CC6433">
        <w:t>ern United States</w:t>
      </w:r>
      <w:r w:rsidR="007206E4" w:rsidRPr="00470A83">
        <w:rPr>
          <w:bCs/>
          <w:lang w:bidi="en-US"/>
        </w:rPr>
        <w:t xml:space="preserve"> for each metric (left) and their overall standard deviation across evaluated GCMs (right)</w:t>
      </w:r>
      <w:r w:rsidR="008A795E" w:rsidRPr="00706985">
        <w:rPr>
          <w:lang w:eastAsia="zh-TW"/>
        </w:rPr>
        <w:t>.</w:t>
      </w:r>
    </w:p>
    <w:p w14:paraId="2BA64D25" w14:textId="77777777" w:rsidR="00654866" w:rsidRDefault="00654866" w:rsidP="00654866">
      <w:pPr>
        <w:pStyle w:val="BodyText"/>
        <w:rPr>
          <w:snapToGrid/>
        </w:rPr>
      </w:pPr>
    </w:p>
    <w:p w14:paraId="5FB95FA9" w14:textId="5AC3EF2E" w:rsidR="008A795E" w:rsidRDefault="00654866" w:rsidP="00F23DBD">
      <w:pPr>
        <w:pStyle w:val="FIGUREposition"/>
        <w:rPr>
          <w:snapToGrid/>
        </w:rPr>
      </w:pPr>
      <w:r>
        <w:rPr>
          <w:noProof/>
          <w:snapToGrid/>
        </w:rPr>
        <w:lastRenderedPageBreak/>
        <w:drawing>
          <wp:inline distT="0" distB="0" distL="0" distR="0" wp14:anchorId="29BB924D" wp14:editId="6E77508F">
            <wp:extent cx="5943600" cy="6098540"/>
            <wp:effectExtent l="0" t="0" r="0" b="0"/>
            <wp:docPr id="106" name="Picture 10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Diagram&#10;&#10;Description automatically generated with medium confidence"/>
                    <pic:cNvPicPr/>
                  </pic:nvPicPr>
                  <pic:blipFill>
                    <a:blip r:embed="rId443"/>
                    <a:stretch>
                      <a:fillRect/>
                    </a:stretch>
                  </pic:blipFill>
                  <pic:spPr>
                    <a:xfrm>
                      <a:off x="0" y="0"/>
                      <a:ext cx="5943600" cy="6098540"/>
                    </a:xfrm>
                    <a:prstGeom prst="rect">
                      <a:avLst/>
                    </a:prstGeom>
                  </pic:spPr>
                </pic:pic>
              </a:graphicData>
            </a:graphic>
          </wp:inline>
        </w:drawing>
      </w:r>
    </w:p>
    <w:p w14:paraId="17FFAFA2" w14:textId="2EBFFF55" w:rsidR="008A795E" w:rsidRPr="006869CA" w:rsidRDefault="004C7E17" w:rsidP="008A795E">
      <w:pPr>
        <w:pStyle w:val="AppendixFigureCaption"/>
      </w:pPr>
      <w:r>
        <w:t xml:space="preserve">Figure </w:t>
      </w:r>
      <w:fldSimple w:instr=" STYLEREF 9 \s ">
        <w:r w:rsidR="00EE0BF5">
          <w:rPr>
            <w:noProof/>
          </w:rPr>
          <w:t>C</w:t>
        </w:r>
      </w:fldSimple>
      <w:r>
        <w:t>.</w:t>
      </w:r>
      <w:fldSimple w:instr=" SEQ Figure_Apx \* ARABIC \s 9 ">
        <w:r w:rsidR="00EE0BF5">
          <w:rPr>
            <w:noProof/>
          </w:rPr>
          <w:t>8</w:t>
        </w:r>
      </w:fldSimple>
      <w:r w:rsidRPr="006869CA">
        <w:rPr>
          <w:lang w:eastAsia="zh-TW"/>
        </w:rPr>
        <w:t xml:space="preserve">. </w:t>
      </w:r>
      <w:r w:rsidR="00654866" w:rsidRPr="00470A83">
        <w:rPr>
          <w:bCs/>
          <w:lang w:bidi="en-US"/>
        </w:rPr>
        <w:t xml:space="preserve">The normalized relative disagreement of GCMs from the observations over the </w:t>
      </w:r>
      <w:r w:rsidR="00CC6433">
        <w:rPr>
          <w:bCs/>
          <w:lang w:bidi="en-US"/>
        </w:rPr>
        <w:t>w</w:t>
      </w:r>
      <w:r w:rsidR="00654866">
        <w:rPr>
          <w:bCs/>
          <w:lang w:bidi="en-US"/>
        </w:rPr>
        <w:t>est</w:t>
      </w:r>
      <w:r w:rsidR="00CC6433">
        <w:t>ern United States</w:t>
      </w:r>
      <w:r w:rsidR="00654866" w:rsidRPr="00470A83">
        <w:rPr>
          <w:bCs/>
          <w:lang w:bidi="en-US"/>
        </w:rPr>
        <w:t xml:space="preserve"> for each metric (left) and their overall standard deviation across evaluated GCMs (right)</w:t>
      </w:r>
      <w:r w:rsidR="00654866" w:rsidRPr="00706985">
        <w:rPr>
          <w:lang w:eastAsia="zh-TW"/>
        </w:rPr>
        <w:t>.</w:t>
      </w:r>
    </w:p>
    <w:p w14:paraId="0ADF17F2" w14:textId="77777777" w:rsidR="00654866" w:rsidRDefault="00654866" w:rsidP="00654866">
      <w:pPr>
        <w:pStyle w:val="BodyText"/>
        <w:rPr>
          <w:snapToGrid/>
        </w:rPr>
      </w:pPr>
    </w:p>
    <w:p w14:paraId="4F62AFD0" w14:textId="49E531A4" w:rsidR="008A795E" w:rsidRDefault="00654866" w:rsidP="00F23DBD">
      <w:pPr>
        <w:pStyle w:val="FIGUREposition"/>
        <w:rPr>
          <w:snapToGrid/>
        </w:rPr>
      </w:pPr>
      <w:r>
        <w:rPr>
          <w:noProof/>
          <w:snapToGrid/>
        </w:rPr>
        <w:lastRenderedPageBreak/>
        <w:drawing>
          <wp:inline distT="0" distB="0" distL="0" distR="0" wp14:anchorId="78AE4F9E" wp14:editId="3875EFC7">
            <wp:extent cx="5943600" cy="6098540"/>
            <wp:effectExtent l="0" t="0" r="0" b="0"/>
            <wp:docPr id="107" name="Picture 10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10;&#10;Description automatically generated with medium confidence"/>
                    <pic:cNvPicPr/>
                  </pic:nvPicPr>
                  <pic:blipFill>
                    <a:blip r:embed="rId444"/>
                    <a:stretch>
                      <a:fillRect/>
                    </a:stretch>
                  </pic:blipFill>
                  <pic:spPr>
                    <a:xfrm>
                      <a:off x="0" y="0"/>
                      <a:ext cx="5943600" cy="6098540"/>
                    </a:xfrm>
                    <a:prstGeom prst="rect">
                      <a:avLst/>
                    </a:prstGeom>
                  </pic:spPr>
                </pic:pic>
              </a:graphicData>
            </a:graphic>
          </wp:inline>
        </w:drawing>
      </w:r>
    </w:p>
    <w:p w14:paraId="6C89CC78" w14:textId="1F5D65A3" w:rsidR="008A795E" w:rsidRPr="006869CA" w:rsidRDefault="004C7E17" w:rsidP="008A795E">
      <w:pPr>
        <w:pStyle w:val="AppendixFigureCaption"/>
      </w:pPr>
      <w:r>
        <w:t xml:space="preserve">Figure </w:t>
      </w:r>
      <w:fldSimple w:instr=" STYLEREF 9 \s ">
        <w:r w:rsidR="00EE0BF5">
          <w:rPr>
            <w:noProof/>
          </w:rPr>
          <w:t>C</w:t>
        </w:r>
      </w:fldSimple>
      <w:r>
        <w:t>.</w:t>
      </w:r>
      <w:fldSimple w:instr=" SEQ Figure_Apx \* ARABIC \s 9 ">
        <w:r w:rsidR="00EE0BF5">
          <w:rPr>
            <w:noProof/>
          </w:rPr>
          <w:t>9</w:t>
        </w:r>
      </w:fldSimple>
      <w:r w:rsidRPr="006869CA">
        <w:rPr>
          <w:lang w:eastAsia="zh-TW"/>
        </w:rPr>
        <w:t xml:space="preserve">. </w:t>
      </w:r>
      <w:r w:rsidR="00654866" w:rsidRPr="00470A83">
        <w:rPr>
          <w:bCs/>
          <w:lang w:bidi="en-US"/>
        </w:rPr>
        <w:t xml:space="preserve">The normalized relative disagreement of GCMs from the observations over the </w:t>
      </w:r>
      <w:r w:rsidR="00CC6433">
        <w:rPr>
          <w:bCs/>
          <w:lang w:bidi="en-US"/>
        </w:rPr>
        <w:t>s</w:t>
      </w:r>
      <w:r w:rsidR="00654866">
        <w:rPr>
          <w:bCs/>
          <w:lang w:bidi="en-US"/>
        </w:rPr>
        <w:t>outh</w:t>
      </w:r>
      <w:r w:rsidR="00CC6433">
        <w:rPr>
          <w:bCs/>
          <w:lang w:bidi="en-US"/>
        </w:rPr>
        <w:t>ern United States</w:t>
      </w:r>
      <w:r w:rsidR="00654866" w:rsidRPr="00470A83">
        <w:rPr>
          <w:bCs/>
          <w:lang w:bidi="en-US"/>
        </w:rPr>
        <w:t xml:space="preserve"> for each metric (left) and their overall standard deviation across evaluated GCMs (right)</w:t>
      </w:r>
      <w:r w:rsidR="00654866" w:rsidRPr="00706985">
        <w:rPr>
          <w:lang w:eastAsia="zh-TW"/>
        </w:rPr>
        <w:t>.</w:t>
      </w:r>
    </w:p>
    <w:p w14:paraId="620F954A" w14:textId="77777777" w:rsidR="00654866" w:rsidRDefault="00654866" w:rsidP="00654866">
      <w:pPr>
        <w:pStyle w:val="BodyText"/>
        <w:rPr>
          <w:snapToGrid/>
        </w:rPr>
      </w:pPr>
    </w:p>
    <w:p w14:paraId="22247ADA" w14:textId="53578790" w:rsidR="008A795E" w:rsidRDefault="00654866" w:rsidP="00F23DBD">
      <w:pPr>
        <w:pStyle w:val="FIGUREposition"/>
        <w:rPr>
          <w:snapToGrid/>
        </w:rPr>
      </w:pPr>
      <w:r>
        <w:rPr>
          <w:noProof/>
          <w:snapToGrid/>
        </w:rPr>
        <w:lastRenderedPageBreak/>
        <w:drawing>
          <wp:inline distT="0" distB="0" distL="0" distR="0" wp14:anchorId="5FF87661" wp14:editId="39F75F4B">
            <wp:extent cx="5943600" cy="3733282"/>
            <wp:effectExtent l="0" t="0" r="0" b="635"/>
            <wp:docPr id="111" name="Picture 1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hart, line chart&#10;&#10;Description automatically generated"/>
                    <pic:cNvPicPr/>
                  </pic:nvPicPr>
                  <pic:blipFill>
                    <a:blip r:embed="rId445"/>
                    <a:stretch>
                      <a:fillRect/>
                    </a:stretch>
                  </pic:blipFill>
                  <pic:spPr>
                    <a:xfrm>
                      <a:off x="0" y="0"/>
                      <a:ext cx="5943600" cy="3733282"/>
                    </a:xfrm>
                    <a:prstGeom prst="rect">
                      <a:avLst/>
                    </a:prstGeom>
                  </pic:spPr>
                </pic:pic>
              </a:graphicData>
            </a:graphic>
          </wp:inline>
        </w:drawing>
      </w:r>
    </w:p>
    <w:p w14:paraId="1799A278" w14:textId="6088FAF1" w:rsidR="00F23DBD" w:rsidRPr="00F23DBD" w:rsidRDefault="004C7E17" w:rsidP="008A795E">
      <w:pPr>
        <w:pStyle w:val="AppendixFigureCaption"/>
        <w:rPr>
          <w:vanish/>
          <w:lang w:bidi="en-US"/>
          <w:specVanish/>
        </w:rPr>
      </w:pPr>
      <w:r>
        <w:t xml:space="preserve">Figure </w:t>
      </w:r>
      <w:fldSimple w:instr=" STYLEREF 9 \s ">
        <w:r w:rsidR="00EE0BF5">
          <w:rPr>
            <w:noProof/>
          </w:rPr>
          <w:t>C</w:t>
        </w:r>
      </w:fldSimple>
      <w:r>
        <w:t>.</w:t>
      </w:r>
      <w:fldSimple w:instr=" SEQ Figure_Apx \* ARABIC \s 9 ">
        <w:r w:rsidR="00EE0BF5">
          <w:rPr>
            <w:noProof/>
          </w:rPr>
          <w:t>10</w:t>
        </w:r>
      </w:fldSimple>
      <w:r w:rsidRPr="006869CA">
        <w:rPr>
          <w:lang w:eastAsia="zh-TW"/>
        </w:rPr>
        <w:t xml:space="preserve">. </w:t>
      </w:r>
      <w:r w:rsidR="00654866" w:rsidRPr="00154E06">
        <w:rPr>
          <w:lang w:bidi="en-US"/>
        </w:rPr>
        <w:t xml:space="preserve">The ranking of GCMs using the </w:t>
      </w:r>
      <w:r w:rsidR="00654866">
        <w:rPr>
          <w:lang w:bidi="en-US"/>
        </w:rPr>
        <w:t>EOF analyses</w:t>
      </w:r>
      <w:r w:rsidR="00654866" w:rsidRPr="00154E06">
        <w:rPr>
          <w:lang w:bidi="en-US"/>
        </w:rPr>
        <w:t xml:space="preserve">. </w:t>
      </w:r>
    </w:p>
    <w:p w14:paraId="7C432A21" w14:textId="545B2331" w:rsidR="008A795E" w:rsidRPr="006869CA" w:rsidRDefault="00654866" w:rsidP="00F23DBD">
      <w:pPr>
        <w:pStyle w:val="FigureCaptionSeparator"/>
      </w:pPr>
      <w:r w:rsidRPr="00154E06">
        <w:t>The bold font represents GCMs that have data available for dynamical downscaling and green represents the selected GCMs</w:t>
      </w:r>
      <w:r w:rsidR="008A795E" w:rsidRPr="00706985">
        <w:t>.</w:t>
      </w:r>
    </w:p>
    <w:p w14:paraId="64E345E9" w14:textId="77777777" w:rsidR="00654866" w:rsidRDefault="00654866" w:rsidP="00654866">
      <w:pPr>
        <w:pStyle w:val="BodyText"/>
        <w:rPr>
          <w:snapToGrid/>
        </w:rPr>
      </w:pPr>
    </w:p>
    <w:p w14:paraId="31BEB56F" w14:textId="63F5B850" w:rsidR="008A795E" w:rsidRDefault="00654866" w:rsidP="00F23DBD">
      <w:pPr>
        <w:pStyle w:val="FIGUREposition"/>
        <w:rPr>
          <w:snapToGrid/>
        </w:rPr>
      </w:pPr>
      <w:r>
        <w:rPr>
          <w:noProof/>
          <w:snapToGrid/>
        </w:rPr>
        <w:lastRenderedPageBreak/>
        <w:drawing>
          <wp:inline distT="0" distB="0" distL="0" distR="0" wp14:anchorId="64ACBF4F" wp14:editId="577B0666">
            <wp:extent cx="5943600" cy="6014568"/>
            <wp:effectExtent l="0" t="0" r="0" b="5715"/>
            <wp:docPr id="109" name="Picture 109"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bar chart&#10;&#10;Description automatically generated"/>
                    <pic:cNvPicPr/>
                  </pic:nvPicPr>
                  <pic:blipFill>
                    <a:blip r:embed="rId446"/>
                    <a:stretch>
                      <a:fillRect/>
                    </a:stretch>
                  </pic:blipFill>
                  <pic:spPr>
                    <a:xfrm>
                      <a:off x="0" y="0"/>
                      <a:ext cx="5943600" cy="6014568"/>
                    </a:xfrm>
                    <a:prstGeom prst="rect">
                      <a:avLst/>
                    </a:prstGeom>
                  </pic:spPr>
                </pic:pic>
              </a:graphicData>
            </a:graphic>
          </wp:inline>
        </w:drawing>
      </w:r>
    </w:p>
    <w:p w14:paraId="785875E1" w14:textId="523746DE" w:rsidR="00F23DBD" w:rsidRPr="00F23DBD" w:rsidRDefault="004C7E17" w:rsidP="008A795E">
      <w:pPr>
        <w:pStyle w:val="AppendixFigureCaption"/>
        <w:rPr>
          <w:vanish/>
          <w:specVanish/>
        </w:rPr>
      </w:pPr>
      <w:r>
        <w:t xml:space="preserve">Figure </w:t>
      </w:r>
      <w:fldSimple w:instr=" STYLEREF 9 \s ">
        <w:r w:rsidR="00EE0BF5">
          <w:rPr>
            <w:noProof/>
          </w:rPr>
          <w:t>C</w:t>
        </w:r>
      </w:fldSimple>
      <w:r>
        <w:t>.</w:t>
      </w:r>
      <w:fldSimple w:instr=" SEQ Figure_Apx \* ARABIC \s 9 ">
        <w:r w:rsidR="00EE0BF5">
          <w:rPr>
            <w:noProof/>
          </w:rPr>
          <w:t>11</w:t>
        </w:r>
      </w:fldSimple>
      <w:r w:rsidRPr="006869CA">
        <w:rPr>
          <w:lang w:eastAsia="zh-TW"/>
        </w:rPr>
        <w:t xml:space="preserve">. </w:t>
      </w:r>
      <w:r w:rsidR="00654866">
        <w:t xml:space="preserve">The normalized scatter plot of PC1 and PC2 that explains that models from same institute tend to cluster in same area in the PC space. </w:t>
      </w:r>
    </w:p>
    <w:p w14:paraId="672CA9EA" w14:textId="7555A97B" w:rsidR="008A795E" w:rsidRPr="006869CA" w:rsidRDefault="00654866" w:rsidP="00F23DBD">
      <w:pPr>
        <w:pStyle w:val="FigureCaptionSeparator"/>
      </w:pPr>
      <w:r>
        <w:t>Relatively more spread along x-axis reflects that PC1 explains more variance (23.7%) than PC2 (15.8%). Models from same institute are shown in same color</w:t>
      </w:r>
      <w:r w:rsidRPr="00706985">
        <w:t>.</w:t>
      </w:r>
    </w:p>
    <w:p w14:paraId="1903AF1A" w14:textId="3D614373" w:rsidR="00830105" w:rsidRDefault="00830105" w:rsidP="007E4A31">
      <w:pPr>
        <w:pStyle w:val="BodyText"/>
        <w:rPr>
          <w:snapToGrid/>
        </w:rPr>
      </w:pPr>
    </w:p>
    <w:p w14:paraId="55D091A5" w14:textId="77777777" w:rsidR="007E4A31" w:rsidRDefault="007E4A31" w:rsidP="007E4A31">
      <w:pPr>
        <w:pStyle w:val="BodyText"/>
        <w:rPr>
          <w:snapToGrid/>
        </w:rPr>
      </w:pPr>
    </w:p>
    <w:p w14:paraId="3D70383D" w14:textId="77777777" w:rsidR="007E4A31" w:rsidRDefault="007E4A31" w:rsidP="007E4A31">
      <w:pPr>
        <w:pStyle w:val="BodyText"/>
        <w:rPr>
          <w:snapToGrid/>
        </w:rPr>
        <w:sectPr w:rsidR="007E4A31" w:rsidSect="00CC3514">
          <w:footerReference w:type="default" r:id="rId447"/>
          <w:pgSz w:w="12240" w:h="15840" w:code="1"/>
          <w:pgMar w:top="1440" w:right="1440" w:bottom="1440" w:left="1440" w:header="720" w:footer="720" w:gutter="0"/>
          <w:pgNumType w:start="1" w:chapStyle="9"/>
          <w:cols w:space="720"/>
          <w:docGrid w:linePitch="360"/>
        </w:sectPr>
      </w:pPr>
    </w:p>
    <w:p w14:paraId="08D70865" w14:textId="1B965D4F" w:rsidR="007E4A31" w:rsidRPr="00737A01" w:rsidRDefault="00B3583E" w:rsidP="007E4A31">
      <w:pPr>
        <w:pStyle w:val="Heading9"/>
      </w:pPr>
      <w:bookmarkStart w:id="620" w:name="_Ref81815154"/>
      <w:bookmarkStart w:id="621" w:name="_Toc113380857"/>
      <w:r>
        <w:lastRenderedPageBreak/>
        <w:t>EVALUATION OF DOWNSCALED CLIMATE PROJECTIONS</w:t>
      </w:r>
      <w:bookmarkEnd w:id="620"/>
      <w:bookmarkEnd w:id="621"/>
    </w:p>
    <w:p w14:paraId="6DC2702D" w14:textId="2EE1FC62" w:rsidR="00B3583E" w:rsidRPr="00485D84" w:rsidRDefault="00DF1929" w:rsidP="00DF1929">
      <w:pPr>
        <w:pStyle w:val="AppendixTableCaption"/>
        <w:rPr>
          <w:rFonts w:eastAsia="PMingLiU"/>
          <w:lang w:bidi="en-US"/>
        </w:rPr>
      </w:pPr>
      <w:r>
        <w:t xml:space="preserve">Table </w:t>
      </w:r>
      <w:fldSimple w:instr=" STYLEREF 9 \s ">
        <w:r w:rsidR="00EE0BF5">
          <w:rPr>
            <w:noProof/>
          </w:rPr>
          <w:t>D</w:t>
        </w:r>
      </w:fldSimple>
      <w:r>
        <w:t>.</w:t>
      </w:r>
      <w:fldSimple w:instr=" SEQ Table_Apx \* ARABIC \s 9 ">
        <w:r w:rsidR="00EE0BF5">
          <w:rPr>
            <w:noProof/>
          </w:rPr>
          <w:t>1</w:t>
        </w:r>
      </w:fldSimple>
      <w:r w:rsidR="00B3583E" w:rsidRPr="00485D84">
        <w:rPr>
          <w:rFonts w:eastAsia="PMingLiU"/>
          <w:lang w:bidi="en-US"/>
        </w:rPr>
        <w:t xml:space="preserve">. </w:t>
      </w:r>
      <w:r w:rsidR="00E51234" w:rsidRPr="00E51234">
        <w:rPr>
          <w:rFonts w:eastAsiaTheme="minorEastAsia"/>
          <w:lang w:eastAsia="zh-TW"/>
        </w:rPr>
        <w:t>Pattern correlation with respect to Daymet</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A0555D" w:rsidRPr="00A0555D" w14:paraId="2767720E" w14:textId="2163D36D" w:rsidTr="00BD0EBA">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1944D7EA"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11BED33" w14:textId="3C07B77F" w:rsidR="00A0555D" w:rsidRPr="00A0555D" w:rsidRDefault="00BD0EBA" w:rsidP="00A0555D">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 (°F)</w:t>
            </w:r>
          </w:p>
        </w:tc>
        <w:tc>
          <w:tcPr>
            <w:tcW w:w="3883" w:type="dxa"/>
            <w:gridSpan w:val="5"/>
            <w:tcBorders>
              <w:top w:val="single" w:sz="4" w:space="0" w:color="auto"/>
              <w:left w:val="nil"/>
              <w:bottom w:val="single" w:sz="4" w:space="0" w:color="auto"/>
            </w:tcBorders>
          </w:tcPr>
          <w:p w14:paraId="0DB2BB2B" w14:textId="79499F09" w:rsidR="00A0555D" w:rsidRPr="00A0555D" w:rsidRDefault="00BD0EBA" w:rsidP="00A0555D">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 (°F)</w:t>
            </w:r>
          </w:p>
        </w:tc>
      </w:tr>
      <w:tr w:rsidR="00896F29" w:rsidRPr="00A0555D" w14:paraId="1A5E0982" w14:textId="1CC30770"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468F433A" w14:textId="77777777" w:rsidR="00A0555D" w:rsidRPr="00A0555D" w:rsidRDefault="00A0555D" w:rsidP="00A0555D">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0112D9A2"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4B33D7A5"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1EE4ACD6"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45C74F28" w14:textId="77777777" w:rsidR="00A0555D" w:rsidRPr="00A0555D" w:rsidRDefault="00A0555D" w:rsidP="00A0555D">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0A347AF7"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77443A83" w14:textId="1D2CD81F"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0F85A94E" w14:textId="5C6BEFE8"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15BCD69A" w14:textId="33DF7E89"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08818D71" w14:textId="20060CC9" w:rsidR="00A0555D" w:rsidRPr="00A0555D" w:rsidRDefault="00A0555D" w:rsidP="00A0555D">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01010A9D" w14:textId="23254BA5" w:rsidR="00A0555D" w:rsidRPr="00A0555D" w:rsidRDefault="00A0555D" w:rsidP="00A0555D">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A0555D" w:rsidRPr="00A0555D" w14:paraId="3A836756" w14:textId="2000E1FC" w:rsidTr="00A13B8D">
        <w:trPr>
          <w:trHeight w:val="144"/>
        </w:trPr>
        <w:tc>
          <w:tcPr>
            <w:tcW w:w="1610" w:type="dxa"/>
            <w:tcBorders>
              <w:top w:val="nil"/>
              <w:left w:val="nil"/>
              <w:bottom w:val="nil"/>
              <w:right w:val="single" w:sz="4" w:space="0" w:color="auto"/>
            </w:tcBorders>
            <w:shd w:val="clear" w:color="auto" w:fill="auto"/>
            <w:noWrap/>
            <w:vAlign w:val="bottom"/>
            <w:hideMark/>
          </w:tcPr>
          <w:p w14:paraId="249F8769" w14:textId="77777777" w:rsidR="00A0555D" w:rsidRPr="00A0555D" w:rsidRDefault="00A0555D" w:rsidP="00A0555D">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171A900D" w14:textId="7D54990C"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71151272" w14:textId="166D61FB"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50718371" w14:textId="7C1A4246"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2DCC72C6" w14:textId="55F03B28"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175BDEEA" w14:textId="1387A5CC"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0EFA54C7"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34930EA4"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08A573D6"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4E598C71" w14:textId="77777777" w:rsidR="00A0555D" w:rsidRPr="00A0555D" w:rsidRDefault="00A0555D" w:rsidP="00A0555D">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5CEA35D2" w14:textId="64F7BC29" w:rsidR="00A0555D" w:rsidRPr="00A0555D" w:rsidRDefault="00A0555D" w:rsidP="00A0555D">
            <w:pPr>
              <w:spacing w:before="0" w:after="0" w:line="240" w:lineRule="auto"/>
              <w:ind w:firstLine="0"/>
              <w:jc w:val="center"/>
              <w:rPr>
                <w:rFonts w:eastAsia="Times New Roman"/>
                <w:b/>
                <w:bCs/>
                <w:color w:val="000000"/>
                <w:sz w:val="16"/>
                <w:szCs w:val="16"/>
                <w:lang w:bidi="ar-SA"/>
              </w:rPr>
            </w:pPr>
          </w:p>
        </w:tc>
      </w:tr>
      <w:tr w:rsidR="00BE2878" w:rsidRPr="00A0555D" w14:paraId="7E01CECE" w14:textId="201FA440" w:rsidTr="00A13B8D">
        <w:trPr>
          <w:trHeight w:val="144"/>
        </w:trPr>
        <w:tc>
          <w:tcPr>
            <w:tcW w:w="1610" w:type="dxa"/>
            <w:tcBorders>
              <w:top w:val="nil"/>
              <w:left w:val="nil"/>
              <w:bottom w:val="nil"/>
              <w:right w:val="single" w:sz="4" w:space="0" w:color="auto"/>
            </w:tcBorders>
            <w:shd w:val="clear" w:color="auto" w:fill="auto"/>
            <w:noWrap/>
            <w:vAlign w:val="bottom"/>
            <w:hideMark/>
          </w:tcPr>
          <w:p w14:paraId="5E202E26"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hideMark/>
          </w:tcPr>
          <w:p w14:paraId="139754D4" w14:textId="67AC3CC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0.946</w:t>
            </w:r>
          </w:p>
        </w:tc>
        <w:tc>
          <w:tcPr>
            <w:tcW w:w="774" w:type="dxa"/>
            <w:tcBorders>
              <w:top w:val="nil"/>
              <w:left w:val="nil"/>
              <w:bottom w:val="nil"/>
              <w:right w:val="nil"/>
            </w:tcBorders>
            <w:shd w:val="clear" w:color="auto" w:fill="auto"/>
            <w:noWrap/>
            <w:vAlign w:val="bottom"/>
            <w:hideMark/>
          </w:tcPr>
          <w:p w14:paraId="2F9E0782" w14:textId="231CF0F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0.968</w:t>
            </w:r>
          </w:p>
        </w:tc>
        <w:tc>
          <w:tcPr>
            <w:tcW w:w="773" w:type="dxa"/>
            <w:tcBorders>
              <w:top w:val="nil"/>
              <w:left w:val="nil"/>
              <w:bottom w:val="nil"/>
              <w:right w:val="nil"/>
            </w:tcBorders>
            <w:shd w:val="clear" w:color="auto" w:fill="auto"/>
            <w:noWrap/>
            <w:vAlign w:val="bottom"/>
            <w:hideMark/>
          </w:tcPr>
          <w:p w14:paraId="5C92CC6F" w14:textId="4F9D7F0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0.938</w:t>
            </w:r>
          </w:p>
        </w:tc>
        <w:tc>
          <w:tcPr>
            <w:tcW w:w="845" w:type="dxa"/>
            <w:tcBorders>
              <w:top w:val="nil"/>
              <w:left w:val="nil"/>
              <w:bottom w:val="nil"/>
              <w:right w:val="nil"/>
            </w:tcBorders>
            <w:shd w:val="clear" w:color="auto" w:fill="auto"/>
            <w:noWrap/>
            <w:vAlign w:val="bottom"/>
            <w:hideMark/>
          </w:tcPr>
          <w:p w14:paraId="06B99FBC" w14:textId="0CAEA42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0.842</w:t>
            </w:r>
          </w:p>
        </w:tc>
        <w:tc>
          <w:tcPr>
            <w:tcW w:w="702" w:type="dxa"/>
            <w:tcBorders>
              <w:top w:val="nil"/>
              <w:left w:val="nil"/>
              <w:bottom w:val="nil"/>
              <w:right w:val="single" w:sz="4" w:space="0" w:color="auto"/>
            </w:tcBorders>
            <w:shd w:val="clear" w:color="auto" w:fill="auto"/>
            <w:noWrap/>
            <w:vAlign w:val="bottom"/>
            <w:hideMark/>
          </w:tcPr>
          <w:p w14:paraId="1A31A7DF" w14:textId="5895B00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0.948</w:t>
            </w:r>
          </w:p>
        </w:tc>
        <w:tc>
          <w:tcPr>
            <w:tcW w:w="774" w:type="dxa"/>
            <w:tcBorders>
              <w:left w:val="nil"/>
            </w:tcBorders>
            <w:vAlign w:val="bottom"/>
          </w:tcPr>
          <w:p w14:paraId="4B6DDAAC" w14:textId="790C9C0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0.946</w:t>
            </w:r>
          </w:p>
        </w:tc>
        <w:tc>
          <w:tcPr>
            <w:tcW w:w="773" w:type="dxa"/>
            <w:vAlign w:val="bottom"/>
          </w:tcPr>
          <w:p w14:paraId="506ACB48" w14:textId="438B8FC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0.939</w:t>
            </w:r>
          </w:p>
        </w:tc>
        <w:tc>
          <w:tcPr>
            <w:tcW w:w="774" w:type="dxa"/>
            <w:vAlign w:val="bottom"/>
          </w:tcPr>
          <w:p w14:paraId="2C0557FB" w14:textId="74DDF3F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0.949</w:t>
            </w:r>
          </w:p>
        </w:tc>
        <w:tc>
          <w:tcPr>
            <w:tcW w:w="847" w:type="dxa"/>
            <w:vAlign w:val="bottom"/>
          </w:tcPr>
          <w:p w14:paraId="640D1551" w14:textId="4663E6BF"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0.933</w:t>
            </w:r>
          </w:p>
        </w:tc>
        <w:tc>
          <w:tcPr>
            <w:tcW w:w="715" w:type="dxa"/>
            <w:vAlign w:val="bottom"/>
          </w:tcPr>
          <w:p w14:paraId="78ECFD12" w14:textId="3FA50CE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0.951</w:t>
            </w:r>
          </w:p>
        </w:tc>
      </w:tr>
      <w:tr w:rsidR="00BE2878" w:rsidRPr="00A0555D" w14:paraId="1A82801C" w14:textId="36B582DE" w:rsidTr="00A13B8D">
        <w:trPr>
          <w:trHeight w:val="144"/>
        </w:trPr>
        <w:tc>
          <w:tcPr>
            <w:tcW w:w="1610" w:type="dxa"/>
            <w:tcBorders>
              <w:top w:val="nil"/>
              <w:left w:val="nil"/>
              <w:bottom w:val="nil"/>
              <w:right w:val="single" w:sz="4" w:space="0" w:color="auto"/>
            </w:tcBorders>
            <w:shd w:val="clear" w:color="auto" w:fill="auto"/>
            <w:noWrap/>
            <w:vAlign w:val="bottom"/>
            <w:hideMark/>
          </w:tcPr>
          <w:p w14:paraId="2667A8E7"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hideMark/>
          </w:tcPr>
          <w:p w14:paraId="71C76754" w14:textId="3F41FAD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0.934</w:t>
            </w:r>
          </w:p>
        </w:tc>
        <w:tc>
          <w:tcPr>
            <w:tcW w:w="774" w:type="dxa"/>
            <w:tcBorders>
              <w:top w:val="nil"/>
              <w:left w:val="nil"/>
              <w:bottom w:val="nil"/>
              <w:right w:val="nil"/>
            </w:tcBorders>
            <w:shd w:val="clear" w:color="auto" w:fill="auto"/>
            <w:noWrap/>
            <w:vAlign w:val="bottom"/>
            <w:hideMark/>
          </w:tcPr>
          <w:p w14:paraId="09D3F150" w14:textId="29A2562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0.970</w:t>
            </w:r>
          </w:p>
        </w:tc>
        <w:tc>
          <w:tcPr>
            <w:tcW w:w="773" w:type="dxa"/>
            <w:tcBorders>
              <w:top w:val="nil"/>
              <w:left w:val="nil"/>
              <w:bottom w:val="nil"/>
              <w:right w:val="nil"/>
            </w:tcBorders>
            <w:shd w:val="clear" w:color="auto" w:fill="auto"/>
            <w:noWrap/>
            <w:vAlign w:val="bottom"/>
            <w:hideMark/>
          </w:tcPr>
          <w:p w14:paraId="22DD3DD7" w14:textId="63CB43E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0.931</w:t>
            </w:r>
          </w:p>
        </w:tc>
        <w:tc>
          <w:tcPr>
            <w:tcW w:w="845" w:type="dxa"/>
            <w:tcBorders>
              <w:top w:val="nil"/>
              <w:left w:val="nil"/>
              <w:bottom w:val="nil"/>
              <w:right w:val="nil"/>
            </w:tcBorders>
            <w:shd w:val="clear" w:color="auto" w:fill="auto"/>
            <w:noWrap/>
            <w:vAlign w:val="bottom"/>
            <w:hideMark/>
          </w:tcPr>
          <w:p w14:paraId="1C9A284A" w14:textId="5259659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0.809</w:t>
            </w:r>
          </w:p>
        </w:tc>
        <w:tc>
          <w:tcPr>
            <w:tcW w:w="702" w:type="dxa"/>
            <w:tcBorders>
              <w:top w:val="nil"/>
              <w:left w:val="nil"/>
              <w:bottom w:val="nil"/>
              <w:right w:val="single" w:sz="4" w:space="0" w:color="auto"/>
            </w:tcBorders>
            <w:shd w:val="clear" w:color="auto" w:fill="auto"/>
            <w:noWrap/>
            <w:vAlign w:val="bottom"/>
            <w:hideMark/>
          </w:tcPr>
          <w:p w14:paraId="610867C9" w14:textId="5C6FDDB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0.935</w:t>
            </w:r>
          </w:p>
        </w:tc>
        <w:tc>
          <w:tcPr>
            <w:tcW w:w="774" w:type="dxa"/>
            <w:tcBorders>
              <w:left w:val="nil"/>
            </w:tcBorders>
            <w:vAlign w:val="bottom"/>
          </w:tcPr>
          <w:p w14:paraId="6B284AB3" w14:textId="6895FD6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0.943</w:t>
            </w:r>
          </w:p>
        </w:tc>
        <w:tc>
          <w:tcPr>
            <w:tcW w:w="773" w:type="dxa"/>
            <w:vAlign w:val="bottom"/>
          </w:tcPr>
          <w:p w14:paraId="03C6AA98" w14:textId="3E36BF6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0.958</w:t>
            </w:r>
          </w:p>
        </w:tc>
        <w:tc>
          <w:tcPr>
            <w:tcW w:w="774" w:type="dxa"/>
            <w:vAlign w:val="bottom"/>
          </w:tcPr>
          <w:p w14:paraId="778B3C8B" w14:textId="71A452E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0.944</w:t>
            </w:r>
          </w:p>
        </w:tc>
        <w:tc>
          <w:tcPr>
            <w:tcW w:w="847" w:type="dxa"/>
            <w:vAlign w:val="bottom"/>
          </w:tcPr>
          <w:p w14:paraId="339E8A98" w14:textId="617B1B61"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0.896</w:t>
            </w:r>
          </w:p>
        </w:tc>
        <w:tc>
          <w:tcPr>
            <w:tcW w:w="715" w:type="dxa"/>
            <w:vAlign w:val="bottom"/>
          </w:tcPr>
          <w:p w14:paraId="6C6A44B4" w14:textId="19067B8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0.941</w:t>
            </w:r>
          </w:p>
        </w:tc>
      </w:tr>
      <w:tr w:rsidR="00BE2878" w:rsidRPr="00A0555D" w14:paraId="7788EA76" w14:textId="43DAA739" w:rsidTr="00A13B8D">
        <w:trPr>
          <w:trHeight w:val="144"/>
        </w:trPr>
        <w:tc>
          <w:tcPr>
            <w:tcW w:w="1610" w:type="dxa"/>
            <w:tcBorders>
              <w:top w:val="nil"/>
              <w:left w:val="nil"/>
              <w:bottom w:val="nil"/>
              <w:right w:val="single" w:sz="4" w:space="0" w:color="auto"/>
            </w:tcBorders>
            <w:shd w:val="clear" w:color="auto" w:fill="auto"/>
            <w:noWrap/>
            <w:vAlign w:val="bottom"/>
            <w:hideMark/>
          </w:tcPr>
          <w:p w14:paraId="1B796FD7"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hideMark/>
          </w:tcPr>
          <w:p w14:paraId="1CC45164" w14:textId="7B67F74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0.921</w:t>
            </w:r>
          </w:p>
        </w:tc>
        <w:tc>
          <w:tcPr>
            <w:tcW w:w="774" w:type="dxa"/>
            <w:tcBorders>
              <w:top w:val="nil"/>
              <w:left w:val="nil"/>
              <w:bottom w:val="nil"/>
              <w:right w:val="nil"/>
            </w:tcBorders>
            <w:shd w:val="clear" w:color="auto" w:fill="auto"/>
            <w:noWrap/>
            <w:vAlign w:val="bottom"/>
            <w:hideMark/>
          </w:tcPr>
          <w:p w14:paraId="32732B57" w14:textId="491883E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0.958</w:t>
            </w:r>
          </w:p>
        </w:tc>
        <w:tc>
          <w:tcPr>
            <w:tcW w:w="773" w:type="dxa"/>
            <w:tcBorders>
              <w:top w:val="nil"/>
              <w:left w:val="nil"/>
              <w:bottom w:val="nil"/>
              <w:right w:val="nil"/>
            </w:tcBorders>
            <w:shd w:val="clear" w:color="auto" w:fill="auto"/>
            <w:noWrap/>
            <w:vAlign w:val="bottom"/>
            <w:hideMark/>
          </w:tcPr>
          <w:p w14:paraId="0752836C" w14:textId="71646D2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0.902</w:t>
            </w:r>
          </w:p>
        </w:tc>
        <w:tc>
          <w:tcPr>
            <w:tcW w:w="845" w:type="dxa"/>
            <w:tcBorders>
              <w:top w:val="nil"/>
              <w:left w:val="nil"/>
              <w:bottom w:val="nil"/>
              <w:right w:val="nil"/>
            </w:tcBorders>
            <w:shd w:val="clear" w:color="auto" w:fill="auto"/>
            <w:noWrap/>
            <w:vAlign w:val="bottom"/>
            <w:hideMark/>
          </w:tcPr>
          <w:p w14:paraId="03887F69" w14:textId="27316EB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0.815</w:t>
            </w:r>
          </w:p>
        </w:tc>
        <w:tc>
          <w:tcPr>
            <w:tcW w:w="702" w:type="dxa"/>
            <w:tcBorders>
              <w:top w:val="nil"/>
              <w:left w:val="nil"/>
              <w:bottom w:val="nil"/>
              <w:right w:val="single" w:sz="4" w:space="0" w:color="auto"/>
            </w:tcBorders>
            <w:shd w:val="clear" w:color="auto" w:fill="auto"/>
            <w:noWrap/>
            <w:vAlign w:val="bottom"/>
            <w:hideMark/>
          </w:tcPr>
          <w:p w14:paraId="268C82F6" w14:textId="3968BCA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0.931</w:t>
            </w:r>
          </w:p>
        </w:tc>
        <w:tc>
          <w:tcPr>
            <w:tcW w:w="774" w:type="dxa"/>
            <w:tcBorders>
              <w:left w:val="nil"/>
            </w:tcBorders>
            <w:vAlign w:val="bottom"/>
          </w:tcPr>
          <w:p w14:paraId="28D87AB6" w14:textId="38768D2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0.947</w:t>
            </w:r>
          </w:p>
        </w:tc>
        <w:tc>
          <w:tcPr>
            <w:tcW w:w="773" w:type="dxa"/>
            <w:vAlign w:val="bottom"/>
          </w:tcPr>
          <w:p w14:paraId="13E85483" w14:textId="1E94F40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c>
          <w:tcPr>
            <w:tcW w:w="774" w:type="dxa"/>
            <w:vAlign w:val="bottom"/>
          </w:tcPr>
          <w:p w14:paraId="52FEE880" w14:textId="5B7F114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0.947</w:t>
            </w:r>
          </w:p>
        </w:tc>
        <w:tc>
          <w:tcPr>
            <w:tcW w:w="847" w:type="dxa"/>
            <w:vAlign w:val="bottom"/>
          </w:tcPr>
          <w:p w14:paraId="182A5836" w14:textId="633FB8F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0.919</w:t>
            </w:r>
          </w:p>
        </w:tc>
        <w:tc>
          <w:tcPr>
            <w:tcW w:w="715" w:type="dxa"/>
            <w:vAlign w:val="bottom"/>
          </w:tcPr>
          <w:p w14:paraId="364E1D09" w14:textId="07E3AB2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0.957</w:t>
            </w:r>
          </w:p>
        </w:tc>
      </w:tr>
      <w:tr w:rsidR="00BE2878" w:rsidRPr="00A0555D" w14:paraId="1E9886AD" w14:textId="6DBCA840" w:rsidTr="00A13B8D">
        <w:trPr>
          <w:trHeight w:val="144"/>
        </w:trPr>
        <w:tc>
          <w:tcPr>
            <w:tcW w:w="1610" w:type="dxa"/>
            <w:tcBorders>
              <w:top w:val="nil"/>
              <w:left w:val="nil"/>
              <w:bottom w:val="nil"/>
              <w:right w:val="single" w:sz="4" w:space="0" w:color="auto"/>
            </w:tcBorders>
            <w:shd w:val="clear" w:color="auto" w:fill="auto"/>
            <w:noWrap/>
            <w:vAlign w:val="bottom"/>
            <w:hideMark/>
          </w:tcPr>
          <w:p w14:paraId="5A979B90"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hideMark/>
          </w:tcPr>
          <w:p w14:paraId="0537D655" w14:textId="6ED16F3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0.952</w:t>
            </w:r>
          </w:p>
        </w:tc>
        <w:tc>
          <w:tcPr>
            <w:tcW w:w="774" w:type="dxa"/>
            <w:tcBorders>
              <w:top w:val="nil"/>
              <w:left w:val="nil"/>
              <w:bottom w:val="nil"/>
              <w:right w:val="nil"/>
            </w:tcBorders>
            <w:shd w:val="clear" w:color="auto" w:fill="auto"/>
            <w:noWrap/>
            <w:vAlign w:val="bottom"/>
            <w:hideMark/>
          </w:tcPr>
          <w:p w14:paraId="4A262763" w14:textId="614CEE8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0.978</w:t>
            </w:r>
          </w:p>
        </w:tc>
        <w:tc>
          <w:tcPr>
            <w:tcW w:w="773" w:type="dxa"/>
            <w:tcBorders>
              <w:top w:val="nil"/>
              <w:left w:val="nil"/>
              <w:bottom w:val="nil"/>
              <w:right w:val="nil"/>
            </w:tcBorders>
            <w:shd w:val="clear" w:color="auto" w:fill="auto"/>
            <w:noWrap/>
            <w:vAlign w:val="bottom"/>
            <w:hideMark/>
          </w:tcPr>
          <w:p w14:paraId="34C1D6C2" w14:textId="2C90DB5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0.946</w:t>
            </w:r>
          </w:p>
        </w:tc>
        <w:tc>
          <w:tcPr>
            <w:tcW w:w="845" w:type="dxa"/>
            <w:tcBorders>
              <w:top w:val="nil"/>
              <w:left w:val="nil"/>
              <w:bottom w:val="nil"/>
              <w:right w:val="nil"/>
            </w:tcBorders>
            <w:shd w:val="clear" w:color="auto" w:fill="auto"/>
            <w:noWrap/>
            <w:vAlign w:val="bottom"/>
            <w:hideMark/>
          </w:tcPr>
          <w:p w14:paraId="0B58A97F" w14:textId="75087BB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0.865</w:t>
            </w:r>
          </w:p>
        </w:tc>
        <w:tc>
          <w:tcPr>
            <w:tcW w:w="702" w:type="dxa"/>
            <w:tcBorders>
              <w:top w:val="nil"/>
              <w:left w:val="nil"/>
              <w:bottom w:val="nil"/>
              <w:right w:val="single" w:sz="4" w:space="0" w:color="auto"/>
            </w:tcBorders>
            <w:shd w:val="clear" w:color="auto" w:fill="auto"/>
            <w:noWrap/>
            <w:vAlign w:val="bottom"/>
            <w:hideMark/>
          </w:tcPr>
          <w:p w14:paraId="636B1885" w14:textId="0FB8E69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0.953</w:t>
            </w:r>
          </w:p>
        </w:tc>
        <w:tc>
          <w:tcPr>
            <w:tcW w:w="774" w:type="dxa"/>
            <w:tcBorders>
              <w:left w:val="nil"/>
            </w:tcBorders>
            <w:vAlign w:val="bottom"/>
          </w:tcPr>
          <w:p w14:paraId="07A4BD3F" w14:textId="46A7776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0.956</w:t>
            </w:r>
          </w:p>
        </w:tc>
        <w:tc>
          <w:tcPr>
            <w:tcW w:w="773" w:type="dxa"/>
            <w:vAlign w:val="bottom"/>
          </w:tcPr>
          <w:p w14:paraId="55FCC4D2" w14:textId="0671CFE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0.960</w:t>
            </w:r>
          </w:p>
        </w:tc>
        <w:tc>
          <w:tcPr>
            <w:tcW w:w="774" w:type="dxa"/>
            <w:vAlign w:val="bottom"/>
          </w:tcPr>
          <w:p w14:paraId="5D178933" w14:textId="611742C9"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0.960</w:t>
            </w:r>
          </w:p>
        </w:tc>
        <w:tc>
          <w:tcPr>
            <w:tcW w:w="847" w:type="dxa"/>
            <w:vAlign w:val="bottom"/>
          </w:tcPr>
          <w:p w14:paraId="6AF74C5B" w14:textId="0256F3E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0.926</w:t>
            </w:r>
          </w:p>
        </w:tc>
        <w:tc>
          <w:tcPr>
            <w:tcW w:w="715" w:type="dxa"/>
            <w:vAlign w:val="bottom"/>
          </w:tcPr>
          <w:p w14:paraId="798F921D" w14:textId="65579B9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0.959</w:t>
            </w:r>
          </w:p>
        </w:tc>
      </w:tr>
      <w:tr w:rsidR="00BE2878" w:rsidRPr="00A0555D" w14:paraId="6A52CCFF" w14:textId="13E54DE9" w:rsidTr="00A13B8D">
        <w:trPr>
          <w:trHeight w:val="144"/>
        </w:trPr>
        <w:tc>
          <w:tcPr>
            <w:tcW w:w="1610" w:type="dxa"/>
            <w:tcBorders>
              <w:top w:val="nil"/>
              <w:left w:val="nil"/>
              <w:bottom w:val="nil"/>
              <w:right w:val="single" w:sz="4" w:space="0" w:color="auto"/>
            </w:tcBorders>
            <w:shd w:val="clear" w:color="auto" w:fill="auto"/>
            <w:noWrap/>
            <w:vAlign w:val="bottom"/>
            <w:hideMark/>
          </w:tcPr>
          <w:p w14:paraId="5C7364F3"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hideMark/>
          </w:tcPr>
          <w:p w14:paraId="51F4B0C4" w14:textId="0CA3DB0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0.943</w:t>
            </w:r>
          </w:p>
        </w:tc>
        <w:tc>
          <w:tcPr>
            <w:tcW w:w="774" w:type="dxa"/>
            <w:tcBorders>
              <w:top w:val="nil"/>
              <w:left w:val="nil"/>
              <w:bottom w:val="nil"/>
              <w:right w:val="nil"/>
            </w:tcBorders>
            <w:shd w:val="clear" w:color="auto" w:fill="auto"/>
            <w:noWrap/>
            <w:vAlign w:val="bottom"/>
            <w:hideMark/>
          </w:tcPr>
          <w:p w14:paraId="332E3E06" w14:textId="6D1D699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0.954</w:t>
            </w:r>
          </w:p>
        </w:tc>
        <w:tc>
          <w:tcPr>
            <w:tcW w:w="773" w:type="dxa"/>
            <w:tcBorders>
              <w:top w:val="nil"/>
              <w:left w:val="nil"/>
              <w:bottom w:val="nil"/>
              <w:right w:val="nil"/>
            </w:tcBorders>
            <w:shd w:val="clear" w:color="auto" w:fill="auto"/>
            <w:noWrap/>
            <w:vAlign w:val="bottom"/>
            <w:hideMark/>
          </w:tcPr>
          <w:p w14:paraId="100E3876" w14:textId="0916175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0.920</w:t>
            </w:r>
          </w:p>
        </w:tc>
        <w:tc>
          <w:tcPr>
            <w:tcW w:w="845" w:type="dxa"/>
            <w:tcBorders>
              <w:top w:val="nil"/>
              <w:left w:val="nil"/>
              <w:bottom w:val="nil"/>
              <w:right w:val="nil"/>
            </w:tcBorders>
            <w:shd w:val="clear" w:color="auto" w:fill="auto"/>
            <w:noWrap/>
            <w:vAlign w:val="bottom"/>
            <w:hideMark/>
          </w:tcPr>
          <w:p w14:paraId="0C98B6E6" w14:textId="5886E2F9"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0.860</w:t>
            </w:r>
          </w:p>
        </w:tc>
        <w:tc>
          <w:tcPr>
            <w:tcW w:w="702" w:type="dxa"/>
            <w:tcBorders>
              <w:top w:val="nil"/>
              <w:left w:val="nil"/>
              <w:bottom w:val="nil"/>
              <w:right w:val="single" w:sz="4" w:space="0" w:color="auto"/>
            </w:tcBorders>
            <w:shd w:val="clear" w:color="auto" w:fill="auto"/>
            <w:noWrap/>
            <w:vAlign w:val="bottom"/>
            <w:hideMark/>
          </w:tcPr>
          <w:p w14:paraId="59AD5997" w14:textId="262068D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0.956</w:t>
            </w:r>
          </w:p>
        </w:tc>
        <w:tc>
          <w:tcPr>
            <w:tcW w:w="774" w:type="dxa"/>
            <w:tcBorders>
              <w:left w:val="nil"/>
            </w:tcBorders>
            <w:vAlign w:val="bottom"/>
          </w:tcPr>
          <w:p w14:paraId="59C850C7" w14:textId="02B693F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0.959</w:t>
            </w:r>
          </w:p>
        </w:tc>
        <w:tc>
          <w:tcPr>
            <w:tcW w:w="773" w:type="dxa"/>
            <w:vAlign w:val="bottom"/>
          </w:tcPr>
          <w:p w14:paraId="74CFB5D6" w14:textId="109498E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0.938</w:t>
            </w:r>
          </w:p>
        </w:tc>
        <w:tc>
          <w:tcPr>
            <w:tcW w:w="774" w:type="dxa"/>
            <w:vAlign w:val="bottom"/>
          </w:tcPr>
          <w:p w14:paraId="5F7FC0E3" w14:textId="0B703FA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c>
          <w:tcPr>
            <w:tcW w:w="847" w:type="dxa"/>
            <w:vAlign w:val="bottom"/>
          </w:tcPr>
          <w:p w14:paraId="43179EE7" w14:textId="59DC775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0.949</w:t>
            </w:r>
          </w:p>
        </w:tc>
        <w:tc>
          <w:tcPr>
            <w:tcW w:w="715" w:type="dxa"/>
            <w:vAlign w:val="bottom"/>
          </w:tcPr>
          <w:p w14:paraId="5EEAA25C" w14:textId="077F4D4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0.963</w:t>
            </w:r>
          </w:p>
        </w:tc>
      </w:tr>
      <w:tr w:rsidR="00896F29" w:rsidRPr="00A0555D" w14:paraId="6D9ED3C6" w14:textId="6A637E88" w:rsidTr="00A13B8D">
        <w:trPr>
          <w:trHeight w:val="144"/>
        </w:trPr>
        <w:tc>
          <w:tcPr>
            <w:tcW w:w="1610" w:type="dxa"/>
            <w:tcBorders>
              <w:top w:val="nil"/>
              <w:left w:val="nil"/>
              <w:bottom w:val="nil"/>
              <w:right w:val="single" w:sz="4" w:space="0" w:color="auto"/>
            </w:tcBorders>
            <w:shd w:val="clear" w:color="auto" w:fill="auto"/>
            <w:noWrap/>
            <w:vAlign w:val="bottom"/>
            <w:hideMark/>
          </w:tcPr>
          <w:p w14:paraId="058F35FF"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hideMark/>
          </w:tcPr>
          <w:p w14:paraId="62172591" w14:textId="13FB7D6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0.946</w:t>
            </w:r>
          </w:p>
        </w:tc>
        <w:tc>
          <w:tcPr>
            <w:tcW w:w="774" w:type="dxa"/>
            <w:tcBorders>
              <w:top w:val="nil"/>
              <w:left w:val="nil"/>
              <w:bottom w:val="single" w:sz="4" w:space="0" w:color="auto"/>
              <w:right w:val="nil"/>
            </w:tcBorders>
            <w:shd w:val="clear" w:color="auto" w:fill="auto"/>
            <w:noWrap/>
            <w:vAlign w:val="bottom"/>
            <w:hideMark/>
          </w:tcPr>
          <w:p w14:paraId="2D0912C7" w14:textId="233F2F4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0.980</w:t>
            </w:r>
          </w:p>
        </w:tc>
        <w:tc>
          <w:tcPr>
            <w:tcW w:w="773" w:type="dxa"/>
            <w:tcBorders>
              <w:top w:val="nil"/>
              <w:left w:val="nil"/>
              <w:bottom w:val="single" w:sz="4" w:space="0" w:color="auto"/>
              <w:right w:val="nil"/>
            </w:tcBorders>
            <w:shd w:val="clear" w:color="auto" w:fill="auto"/>
            <w:noWrap/>
            <w:vAlign w:val="bottom"/>
            <w:hideMark/>
          </w:tcPr>
          <w:p w14:paraId="502233BC" w14:textId="40D8345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0.933</w:t>
            </w:r>
          </w:p>
        </w:tc>
        <w:tc>
          <w:tcPr>
            <w:tcW w:w="845" w:type="dxa"/>
            <w:tcBorders>
              <w:top w:val="nil"/>
              <w:left w:val="nil"/>
              <w:bottom w:val="single" w:sz="4" w:space="0" w:color="auto"/>
              <w:right w:val="nil"/>
            </w:tcBorders>
            <w:shd w:val="clear" w:color="auto" w:fill="auto"/>
            <w:noWrap/>
            <w:vAlign w:val="bottom"/>
            <w:hideMark/>
          </w:tcPr>
          <w:p w14:paraId="4B278C29" w14:textId="20FFDF3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0.807</w:t>
            </w:r>
          </w:p>
        </w:tc>
        <w:tc>
          <w:tcPr>
            <w:tcW w:w="702" w:type="dxa"/>
            <w:tcBorders>
              <w:top w:val="nil"/>
              <w:left w:val="nil"/>
              <w:bottom w:val="single" w:sz="4" w:space="0" w:color="auto"/>
              <w:right w:val="single" w:sz="4" w:space="0" w:color="auto"/>
            </w:tcBorders>
            <w:shd w:val="clear" w:color="auto" w:fill="auto"/>
            <w:noWrap/>
            <w:vAlign w:val="bottom"/>
            <w:hideMark/>
          </w:tcPr>
          <w:p w14:paraId="4738EB11" w14:textId="3549EE6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0.937</w:t>
            </w:r>
          </w:p>
        </w:tc>
        <w:tc>
          <w:tcPr>
            <w:tcW w:w="774" w:type="dxa"/>
            <w:tcBorders>
              <w:left w:val="nil"/>
              <w:bottom w:val="single" w:sz="4" w:space="0" w:color="auto"/>
            </w:tcBorders>
            <w:vAlign w:val="bottom"/>
          </w:tcPr>
          <w:p w14:paraId="2D9A8ACF" w14:textId="4E8679E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0.947</w:t>
            </w:r>
          </w:p>
        </w:tc>
        <w:tc>
          <w:tcPr>
            <w:tcW w:w="773" w:type="dxa"/>
            <w:tcBorders>
              <w:bottom w:val="single" w:sz="4" w:space="0" w:color="auto"/>
            </w:tcBorders>
            <w:vAlign w:val="bottom"/>
          </w:tcPr>
          <w:p w14:paraId="1CCBE159" w14:textId="2209568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0.966</w:t>
            </w:r>
          </w:p>
        </w:tc>
        <w:tc>
          <w:tcPr>
            <w:tcW w:w="774" w:type="dxa"/>
            <w:tcBorders>
              <w:bottom w:val="single" w:sz="4" w:space="0" w:color="auto"/>
            </w:tcBorders>
            <w:vAlign w:val="bottom"/>
          </w:tcPr>
          <w:p w14:paraId="5490C502" w14:textId="2B9804C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0.943</w:t>
            </w:r>
          </w:p>
        </w:tc>
        <w:tc>
          <w:tcPr>
            <w:tcW w:w="847" w:type="dxa"/>
            <w:tcBorders>
              <w:bottom w:val="single" w:sz="4" w:space="0" w:color="auto"/>
            </w:tcBorders>
            <w:vAlign w:val="bottom"/>
          </w:tcPr>
          <w:p w14:paraId="50E2C7F9" w14:textId="17DADD2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0.892</w:t>
            </w:r>
          </w:p>
        </w:tc>
        <w:tc>
          <w:tcPr>
            <w:tcW w:w="715" w:type="dxa"/>
            <w:tcBorders>
              <w:bottom w:val="single" w:sz="4" w:space="0" w:color="auto"/>
            </w:tcBorders>
            <w:vAlign w:val="bottom"/>
          </w:tcPr>
          <w:p w14:paraId="05FA22D1" w14:textId="647EE6DF"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0.944</w:t>
            </w:r>
          </w:p>
        </w:tc>
      </w:tr>
      <w:tr w:rsidR="00896F29" w:rsidRPr="00A0555D" w14:paraId="427AFE9E" w14:textId="6816659E"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012F42A7" w14:textId="77777777" w:rsidR="009355EE" w:rsidRPr="00A0555D" w:rsidRDefault="009355EE" w:rsidP="009355EE">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0D1CAD8E" w14:textId="5D2BB568" w:rsidR="009355EE" w:rsidRPr="00A0555D" w:rsidRDefault="009355EE" w:rsidP="009355EE">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203ACC7F" w14:textId="72310222" w:rsidR="009355EE" w:rsidRPr="00A0555D" w:rsidRDefault="009355EE" w:rsidP="009355EE">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0AC3F40D" w14:textId="3550A75A" w:rsidR="009355EE" w:rsidRPr="00A0555D" w:rsidRDefault="009355EE" w:rsidP="009355EE">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1A7652A1" w14:textId="569BE297" w:rsidR="009355EE" w:rsidRPr="00A0555D" w:rsidRDefault="009355EE" w:rsidP="009355EE">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484CB9A6" w14:textId="17D80DF3" w:rsidR="009355EE" w:rsidRPr="00A0555D" w:rsidRDefault="009355EE" w:rsidP="009355EE">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0E5A2BDF" w14:textId="13ED7617" w:rsidR="009355EE" w:rsidRPr="006016B0" w:rsidRDefault="009355EE"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3451D29E" w14:textId="5A308F11" w:rsidR="009355EE" w:rsidRPr="006016B0" w:rsidRDefault="009355EE"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4209D19D" w14:textId="77DC5187" w:rsidR="009355EE" w:rsidRPr="006016B0" w:rsidRDefault="009355EE"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0DBB4230" w14:textId="5441B57D" w:rsidR="009355EE" w:rsidRPr="006016B0" w:rsidRDefault="009355EE"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3E45595B" w14:textId="11A3CED0" w:rsidR="009355EE" w:rsidRPr="006016B0" w:rsidRDefault="009355EE" w:rsidP="006016B0">
            <w:pPr>
              <w:tabs>
                <w:tab w:val="decimal" w:pos="256"/>
              </w:tabs>
              <w:spacing w:before="0" w:after="0" w:line="240" w:lineRule="auto"/>
              <w:ind w:firstLine="0"/>
              <w:rPr>
                <w:color w:val="000000"/>
                <w:sz w:val="16"/>
                <w:szCs w:val="16"/>
              </w:rPr>
            </w:pPr>
          </w:p>
        </w:tc>
      </w:tr>
      <w:tr w:rsidR="00BE2878" w:rsidRPr="00A0555D" w14:paraId="4BECD2FC" w14:textId="0581D4AD" w:rsidTr="00A13B8D">
        <w:trPr>
          <w:trHeight w:val="144"/>
        </w:trPr>
        <w:tc>
          <w:tcPr>
            <w:tcW w:w="1610" w:type="dxa"/>
            <w:tcBorders>
              <w:top w:val="nil"/>
              <w:left w:val="nil"/>
              <w:bottom w:val="nil"/>
              <w:right w:val="single" w:sz="4" w:space="0" w:color="auto"/>
            </w:tcBorders>
            <w:shd w:val="clear" w:color="auto" w:fill="auto"/>
            <w:noWrap/>
            <w:vAlign w:val="bottom"/>
            <w:hideMark/>
          </w:tcPr>
          <w:p w14:paraId="0386C560"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hideMark/>
          </w:tcPr>
          <w:p w14:paraId="644E9C69" w14:textId="6B2633C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0.927</w:t>
            </w:r>
          </w:p>
        </w:tc>
        <w:tc>
          <w:tcPr>
            <w:tcW w:w="774" w:type="dxa"/>
            <w:tcBorders>
              <w:top w:val="nil"/>
              <w:left w:val="nil"/>
              <w:bottom w:val="nil"/>
              <w:right w:val="nil"/>
            </w:tcBorders>
            <w:shd w:val="clear" w:color="auto" w:fill="auto"/>
            <w:noWrap/>
            <w:vAlign w:val="bottom"/>
            <w:hideMark/>
          </w:tcPr>
          <w:p w14:paraId="36D34C40" w14:textId="593FBEB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0.927</w:t>
            </w:r>
          </w:p>
        </w:tc>
        <w:tc>
          <w:tcPr>
            <w:tcW w:w="773" w:type="dxa"/>
            <w:tcBorders>
              <w:top w:val="nil"/>
              <w:left w:val="nil"/>
              <w:bottom w:val="nil"/>
              <w:right w:val="nil"/>
            </w:tcBorders>
            <w:shd w:val="clear" w:color="auto" w:fill="auto"/>
            <w:noWrap/>
            <w:vAlign w:val="bottom"/>
            <w:hideMark/>
          </w:tcPr>
          <w:p w14:paraId="63210080" w14:textId="3A02AA6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0.900</w:t>
            </w:r>
          </w:p>
        </w:tc>
        <w:tc>
          <w:tcPr>
            <w:tcW w:w="845" w:type="dxa"/>
            <w:tcBorders>
              <w:top w:val="nil"/>
              <w:left w:val="nil"/>
              <w:bottom w:val="nil"/>
              <w:right w:val="nil"/>
            </w:tcBorders>
            <w:shd w:val="clear" w:color="auto" w:fill="auto"/>
            <w:noWrap/>
            <w:vAlign w:val="bottom"/>
            <w:hideMark/>
          </w:tcPr>
          <w:p w14:paraId="041D12C2" w14:textId="20AA85A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0.882</w:t>
            </w:r>
          </w:p>
        </w:tc>
        <w:tc>
          <w:tcPr>
            <w:tcW w:w="702" w:type="dxa"/>
            <w:tcBorders>
              <w:top w:val="nil"/>
              <w:left w:val="nil"/>
              <w:bottom w:val="nil"/>
              <w:right w:val="single" w:sz="4" w:space="0" w:color="auto"/>
            </w:tcBorders>
            <w:shd w:val="clear" w:color="auto" w:fill="auto"/>
            <w:noWrap/>
            <w:vAlign w:val="bottom"/>
            <w:hideMark/>
          </w:tcPr>
          <w:p w14:paraId="6A65514C" w14:textId="2EF0235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0.937</w:t>
            </w:r>
          </w:p>
        </w:tc>
        <w:tc>
          <w:tcPr>
            <w:tcW w:w="774" w:type="dxa"/>
            <w:tcBorders>
              <w:left w:val="nil"/>
            </w:tcBorders>
            <w:vAlign w:val="bottom"/>
          </w:tcPr>
          <w:p w14:paraId="543F4A05" w14:textId="0D40919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0.963</w:t>
            </w:r>
          </w:p>
        </w:tc>
        <w:tc>
          <w:tcPr>
            <w:tcW w:w="773" w:type="dxa"/>
            <w:vAlign w:val="bottom"/>
          </w:tcPr>
          <w:p w14:paraId="1B0776CA" w14:textId="75C17B9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0.953</w:t>
            </w:r>
          </w:p>
        </w:tc>
        <w:tc>
          <w:tcPr>
            <w:tcW w:w="774" w:type="dxa"/>
            <w:vAlign w:val="bottom"/>
          </w:tcPr>
          <w:p w14:paraId="0864D61D" w14:textId="48E5DCB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0.959</w:t>
            </w:r>
          </w:p>
        </w:tc>
        <w:tc>
          <w:tcPr>
            <w:tcW w:w="847" w:type="dxa"/>
            <w:vAlign w:val="bottom"/>
          </w:tcPr>
          <w:p w14:paraId="1F76C8E4" w14:textId="1EFD515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0.943</w:t>
            </w:r>
          </w:p>
        </w:tc>
        <w:tc>
          <w:tcPr>
            <w:tcW w:w="715" w:type="dxa"/>
            <w:vAlign w:val="bottom"/>
          </w:tcPr>
          <w:p w14:paraId="60C89171" w14:textId="231A281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0.938</w:t>
            </w:r>
          </w:p>
        </w:tc>
      </w:tr>
      <w:tr w:rsidR="00BE2878" w:rsidRPr="00A0555D" w14:paraId="6194153D" w14:textId="0980766B" w:rsidTr="00A13B8D">
        <w:trPr>
          <w:trHeight w:val="144"/>
        </w:trPr>
        <w:tc>
          <w:tcPr>
            <w:tcW w:w="1610" w:type="dxa"/>
            <w:tcBorders>
              <w:top w:val="nil"/>
              <w:left w:val="nil"/>
              <w:bottom w:val="nil"/>
              <w:right w:val="single" w:sz="4" w:space="0" w:color="auto"/>
            </w:tcBorders>
            <w:shd w:val="clear" w:color="auto" w:fill="auto"/>
            <w:noWrap/>
            <w:vAlign w:val="bottom"/>
            <w:hideMark/>
          </w:tcPr>
          <w:p w14:paraId="5766E97C"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hideMark/>
          </w:tcPr>
          <w:p w14:paraId="22180F05" w14:textId="2D12A00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0.929</w:t>
            </w:r>
          </w:p>
        </w:tc>
        <w:tc>
          <w:tcPr>
            <w:tcW w:w="774" w:type="dxa"/>
            <w:tcBorders>
              <w:top w:val="nil"/>
              <w:left w:val="nil"/>
              <w:bottom w:val="nil"/>
              <w:right w:val="nil"/>
            </w:tcBorders>
            <w:shd w:val="clear" w:color="auto" w:fill="auto"/>
            <w:noWrap/>
            <w:vAlign w:val="bottom"/>
            <w:hideMark/>
          </w:tcPr>
          <w:p w14:paraId="1004E58C" w14:textId="1628132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0.955</w:t>
            </w:r>
          </w:p>
        </w:tc>
        <w:tc>
          <w:tcPr>
            <w:tcW w:w="773" w:type="dxa"/>
            <w:tcBorders>
              <w:top w:val="nil"/>
              <w:left w:val="nil"/>
              <w:bottom w:val="nil"/>
              <w:right w:val="nil"/>
            </w:tcBorders>
            <w:shd w:val="clear" w:color="auto" w:fill="auto"/>
            <w:noWrap/>
            <w:vAlign w:val="bottom"/>
            <w:hideMark/>
          </w:tcPr>
          <w:p w14:paraId="26E6DE37" w14:textId="6C27249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0.916</w:t>
            </w:r>
          </w:p>
        </w:tc>
        <w:tc>
          <w:tcPr>
            <w:tcW w:w="845" w:type="dxa"/>
            <w:tcBorders>
              <w:top w:val="nil"/>
              <w:left w:val="nil"/>
              <w:bottom w:val="nil"/>
              <w:right w:val="nil"/>
            </w:tcBorders>
            <w:shd w:val="clear" w:color="auto" w:fill="auto"/>
            <w:noWrap/>
            <w:vAlign w:val="bottom"/>
            <w:hideMark/>
          </w:tcPr>
          <w:p w14:paraId="01E799DC" w14:textId="17B8A89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0.882</w:t>
            </w:r>
          </w:p>
        </w:tc>
        <w:tc>
          <w:tcPr>
            <w:tcW w:w="702" w:type="dxa"/>
            <w:tcBorders>
              <w:top w:val="nil"/>
              <w:left w:val="nil"/>
              <w:bottom w:val="nil"/>
              <w:right w:val="single" w:sz="4" w:space="0" w:color="auto"/>
            </w:tcBorders>
            <w:shd w:val="clear" w:color="auto" w:fill="auto"/>
            <w:noWrap/>
            <w:vAlign w:val="bottom"/>
            <w:hideMark/>
          </w:tcPr>
          <w:p w14:paraId="2D06310A" w14:textId="6761067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0.925</w:t>
            </w:r>
          </w:p>
        </w:tc>
        <w:tc>
          <w:tcPr>
            <w:tcW w:w="774" w:type="dxa"/>
            <w:tcBorders>
              <w:left w:val="nil"/>
            </w:tcBorders>
            <w:vAlign w:val="bottom"/>
          </w:tcPr>
          <w:p w14:paraId="25DEA6CD" w14:textId="3EDDEB0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0.971</w:t>
            </w:r>
          </w:p>
        </w:tc>
        <w:tc>
          <w:tcPr>
            <w:tcW w:w="773" w:type="dxa"/>
            <w:vAlign w:val="bottom"/>
          </w:tcPr>
          <w:p w14:paraId="69B1D3B9" w14:textId="20F5C7A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0.973</w:t>
            </w:r>
          </w:p>
        </w:tc>
        <w:tc>
          <w:tcPr>
            <w:tcW w:w="774" w:type="dxa"/>
            <w:vAlign w:val="bottom"/>
          </w:tcPr>
          <w:p w14:paraId="66144476" w14:textId="703E8AB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0.969</w:t>
            </w:r>
          </w:p>
        </w:tc>
        <w:tc>
          <w:tcPr>
            <w:tcW w:w="847" w:type="dxa"/>
            <w:vAlign w:val="bottom"/>
          </w:tcPr>
          <w:p w14:paraId="32933E0E" w14:textId="22FB9FB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0.951</w:t>
            </w:r>
          </w:p>
        </w:tc>
        <w:tc>
          <w:tcPr>
            <w:tcW w:w="715" w:type="dxa"/>
            <w:vAlign w:val="bottom"/>
          </w:tcPr>
          <w:p w14:paraId="204B9C99" w14:textId="3E67CBE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r>
      <w:tr w:rsidR="00BE2878" w:rsidRPr="00A0555D" w14:paraId="5A43BF6F" w14:textId="0FC35621" w:rsidTr="00A13B8D">
        <w:trPr>
          <w:trHeight w:val="144"/>
        </w:trPr>
        <w:tc>
          <w:tcPr>
            <w:tcW w:w="1610" w:type="dxa"/>
            <w:tcBorders>
              <w:top w:val="nil"/>
              <w:left w:val="nil"/>
              <w:bottom w:val="nil"/>
              <w:right w:val="single" w:sz="4" w:space="0" w:color="auto"/>
            </w:tcBorders>
            <w:shd w:val="clear" w:color="auto" w:fill="auto"/>
            <w:noWrap/>
            <w:vAlign w:val="bottom"/>
            <w:hideMark/>
          </w:tcPr>
          <w:p w14:paraId="08FFB661"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hideMark/>
          </w:tcPr>
          <w:p w14:paraId="55046C52" w14:textId="0AF9AB41"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0.885</w:t>
            </w:r>
          </w:p>
        </w:tc>
        <w:tc>
          <w:tcPr>
            <w:tcW w:w="774" w:type="dxa"/>
            <w:tcBorders>
              <w:top w:val="nil"/>
              <w:left w:val="nil"/>
              <w:bottom w:val="nil"/>
              <w:right w:val="nil"/>
            </w:tcBorders>
            <w:shd w:val="clear" w:color="auto" w:fill="auto"/>
            <w:noWrap/>
            <w:vAlign w:val="bottom"/>
            <w:hideMark/>
          </w:tcPr>
          <w:p w14:paraId="25BC71C3" w14:textId="4D6EB21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0.947</w:t>
            </w:r>
          </w:p>
        </w:tc>
        <w:tc>
          <w:tcPr>
            <w:tcW w:w="773" w:type="dxa"/>
            <w:tcBorders>
              <w:top w:val="nil"/>
              <w:left w:val="nil"/>
              <w:bottom w:val="nil"/>
              <w:right w:val="nil"/>
            </w:tcBorders>
            <w:shd w:val="clear" w:color="auto" w:fill="auto"/>
            <w:noWrap/>
            <w:vAlign w:val="bottom"/>
            <w:hideMark/>
          </w:tcPr>
          <w:p w14:paraId="496515DD" w14:textId="2B06B71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0.867</w:t>
            </w:r>
          </w:p>
        </w:tc>
        <w:tc>
          <w:tcPr>
            <w:tcW w:w="845" w:type="dxa"/>
            <w:tcBorders>
              <w:top w:val="nil"/>
              <w:left w:val="nil"/>
              <w:bottom w:val="nil"/>
              <w:right w:val="nil"/>
            </w:tcBorders>
            <w:shd w:val="clear" w:color="auto" w:fill="auto"/>
            <w:noWrap/>
            <w:vAlign w:val="bottom"/>
            <w:hideMark/>
          </w:tcPr>
          <w:p w14:paraId="460498D3" w14:textId="232129E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0.770</w:t>
            </w:r>
          </w:p>
        </w:tc>
        <w:tc>
          <w:tcPr>
            <w:tcW w:w="702" w:type="dxa"/>
            <w:tcBorders>
              <w:top w:val="nil"/>
              <w:left w:val="nil"/>
              <w:bottom w:val="nil"/>
              <w:right w:val="single" w:sz="4" w:space="0" w:color="auto"/>
            </w:tcBorders>
            <w:shd w:val="clear" w:color="auto" w:fill="auto"/>
            <w:noWrap/>
            <w:vAlign w:val="bottom"/>
            <w:hideMark/>
          </w:tcPr>
          <w:p w14:paraId="3967B2D1" w14:textId="22653A2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0.888</w:t>
            </w:r>
          </w:p>
        </w:tc>
        <w:tc>
          <w:tcPr>
            <w:tcW w:w="774" w:type="dxa"/>
            <w:tcBorders>
              <w:left w:val="nil"/>
            </w:tcBorders>
            <w:vAlign w:val="bottom"/>
          </w:tcPr>
          <w:p w14:paraId="71E9AA28" w14:textId="270F530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0.963</w:t>
            </w:r>
          </w:p>
        </w:tc>
        <w:tc>
          <w:tcPr>
            <w:tcW w:w="773" w:type="dxa"/>
            <w:vAlign w:val="bottom"/>
          </w:tcPr>
          <w:p w14:paraId="2C31B32C" w14:textId="76706F6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0.966</w:t>
            </w:r>
          </w:p>
        </w:tc>
        <w:tc>
          <w:tcPr>
            <w:tcW w:w="774" w:type="dxa"/>
            <w:vAlign w:val="bottom"/>
          </w:tcPr>
          <w:p w14:paraId="09B37588" w14:textId="26E6EA8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c>
          <w:tcPr>
            <w:tcW w:w="847" w:type="dxa"/>
            <w:vAlign w:val="bottom"/>
          </w:tcPr>
          <w:p w14:paraId="44B08E04" w14:textId="6E3163E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0.951</w:t>
            </w:r>
          </w:p>
        </w:tc>
        <w:tc>
          <w:tcPr>
            <w:tcW w:w="715" w:type="dxa"/>
            <w:vAlign w:val="bottom"/>
          </w:tcPr>
          <w:p w14:paraId="53CBDA79" w14:textId="79FC8299"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0.945</w:t>
            </w:r>
          </w:p>
        </w:tc>
      </w:tr>
      <w:tr w:rsidR="00BE2878" w:rsidRPr="00A0555D" w14:paraId="1CD9BEC5" w14:textId="4E892D6C" w:rsidTr="00A13B8D">
        <w:trPr>
          <w:trHeight w:val="144"/>
        </w:trPr>
        <w:tc>
          <w:tcPr>
            <w:tcW w:w="1610" w:type="dxa"/>
            <w:tcBorders>
              <w:top w:val="nil"/>
              <w:left w:val="nil"/>
              <w:bottom w:val="nil"/>
              <w:right w:val="single" w:sz="4" w:space="0" w:color="auto"/>
            </w:tcBorders>
            <w:shd w:val="clear" w:color="auto" w:fill="auto"/>
            <w:noWrap/>
            <w:vAlign w:val="bottom"/>
            <w:hideMark/>
          </w:tcPr>
          <w:p w14:paraId="7413F869"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hideMark/>
          </w:tcPr>
          <w:p w14:paraId="3D2DD459" w14:textId="7ED88DC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0.948</w:t>
            </w:r>
          </w:p>
        </w:tc>
        <w:tc>
          <w:tcPr>
            <w:tcW w:w="774" w:type="dxa"/>
            <w:tcBorders>
              <w:top w:val="nil"/>
              <w:left w:val="nil"/>
              <w:bottom w:val="nil"/>
              <w:right w:val="nil"/>
            </w:tcBorders>
            <w:shd w:val="clear" w:color="auto" w:fill="auto"/>
            <w:noWrap/>
            <w:vAlign w:val="bottom"/>
            <w:hideMark/>
          </w:tcPr>
          <w:p w14:paraId="22382C15" w14:textId="1A3D4A7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0.961</w:t>
            </w:r>
          </w:p>
        </w:tc>
        <w:tc>
          <w:tcPr>
            <w:tcW w:w="773" w:type="dxa"/>
            <w:tcBorders>
              <w:top w:val="nil"/>
              <w:left w:val="nil"/>
              <w:bottom w:val="nil"/>
              <w:right w:val="nil"/>
            </w:tcBorders>
            <w:shd w:val="clear" w:color="auto" w:fill="auto"/>
            <w:noWrap/>
            <w:vAlign w:val="bottom"/>
            <w:hideMark/>
          </w:tcPr>
          <w:p w14:paraId="5FFFDB9F" w14:textId="13774B2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0.921</w:t>
            </w:r>
          </w:p>
        </w:tc>
        <w:tc>
          <w:tcPr>
            <w:tcW w:w="845" w:type="dxa"/>
            <w:tcBorders>
              <w:top w:val="nil"/>
              <w:left w:val="nil"/>
              <w:bottom w:val="nil"/>
              <w:right w:val="nil"/>
            </w:tcBorders>
            <w:shd w:val="clear" w:color="auto" w:fill="auto"/>
            <w:noWrap/>
            <w:vAlign w:val="bottom"/>
            <w:hideMark/>
          </w:tcPr>
          <w:p w14:paraId="7599533A" w14:textId="6A34DA7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0.917</w:t>
            </w:r>
          </w:p>
        </w:tc>
        <w:tc>
          <w:tcPr>
            <w:tcW w:w="702" w:type="dxa"/>
            <w:tcBorders>
              <w:top w:val="nil"/>
              <w:left w:val="nil"/>
              <w:bottom w:val="nil"/>
              <w:right w:val="single" w:sz="4" w:space="0" w:color="auto"/>
            </w:tcBorders>
            <w:shd w:val="clear" w:color="auto" w:fill="auto"/>
            <w:noWrap/>
            <w:vAlign w:val="bottom"/>
            <w:hideMark/>
          </w:tcPr>
          <w:p w14:paraId="161ACA90" w14:textId="2A73C34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0.945</w:t>
            </w:r>
          </w:p>
        </w:tc>
        <w:tc>
          <w:tcPr>
            <w:tcW w:w="774" w:type="dxa"/>
            <w:tcBorders>
              <w:left w:val="nil"/>
            </w:tcBorders>
            <w:vAlign w:val="bottom"/>
          </w:tcPr>
          <w:p w14:paraId="4C9F64CD" w14:textId="2F57614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0.964</w:t>
            </w:r>
          </w:p>
        </w:tc>
        <w:tc>
          <w:tcPr>
            <w:tcW w:w="773" w:type="dxa"/>
            <w:vAlign w:val="bottom"/>
          </w:tcPr>
          <w:p w14:paraId="19EADE39" w14:textId="6F0E64C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0.969</w:t>
            </w:r>
          </w:p>
        </w:tc>
        <w:tc>
          <w:tcPr>
            <w:tcW w:w="774" w:type="dxa"/>
            <w:vAlign w:val="bottom"/>
          </w:tcPr>
          <w:p w14:paraId="625BEAB3" w14:textId="6C0AAED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0.959</w:t>
            </w:r>
          </w:p>
        </w:tc>
        <w:tc>
          <w:tcPr>
            <w:tcW w:w="847" w:type="dxa"/>
            <w:vAlign w:val="bottom"/>
          </w:tcPr>
          <w:p w14:paraId="7B47C57E" w14:textId="5744E9BF"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0.944</w:t>
            </w:r>
          </w:p>
        </w:tc>
        <w:tc>
          <w:tcPr>
            <w:tcW w:w="715" w:type="dxa"/>
            <w:vAlign w:val="bottom"/>
          </w:tcPr>
          <w:p w14:paraId="7FA05D6D" w14:textId="5EF1551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0.942</w:t>
            </w:r>
          </w:p>
        </w:tc>
      </w:tr>
      <w:tr w:rsidR="00896F29" w:rsidRPr="00A0555D" w14:paraId="299BFD56" w14:textId="462D0C98" w:rsidTr="00A13B8D">
        <w:trPr>
          <w:trHeight w:val="144"/>
        </w:trPr>
        <w:tc>
          <w:tcPr>
            <w:tcW w:w="1610" w:type="dxa"/>
            <w:tcBorders>
              <w:top w:val="nil"/>
              <w:left w:val="nil"/>
              <w:bottom w:val="nil"/>
              <w:right w:val="single" w:sz="4" w:space="0" w:color="auto"/>
            </w:tcBorders>
            <w:shd w:val="clear" w:color="auto" w:fill="auto"/>
            <w:noWrap/>
            <w:vAlign w:val="bottom"/>
            <w:hideMark/>
          </w:tcPr>
          <w:p w14:paraId="687857D7"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hideMark/>
          </w:tcPr>
          <w:p w14:paraId="6BCECFDC" w14:textId="75D0C18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0.930</w:t>
            </w:r>
          </w:p>
        </w:tc>
        <w:tc>
          <w:tcPr>
            <w:tcW w:w="774" w:type="dxa"/>
            <w:tcBorders>
              <w:top w:val="nil"/>
              <w:left w:val="nil"/>
              <w:bottom w:val="nil"/>
              <w:right w:val="nil"/>
            </w:tcBorders>
            <w:shd w:val="clear" w:color="auto" w:fill="auto"/>
            <w:noWrap/>
            <w:vAlign w:val="bottom"/>
            <w:hideMark/>
          </w:tcPr>
          <w:p w14:paraId="78091551" w14:textId="23F6428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0.950</w:t>
            </w:r>
          </w:p>
        </w:tc>
        <w:tc>
          <w:tcPr>
            <w:tcW w:w="773" w:type="dxa"/>
            <w:tcBorders>
              <w:top w:val="nil"/>
              <w:left w:val="nil"/>
              <w:bottom w:val="nil"/>
              <w:right w:val="nil"/>
            </w:tcBorders>
            <w:shd w:val="clear" w:color="auto" w:fill="auto"/>
            <w:noWrap/>
            <w:vAlign w:val="bottom"/>
            <w:hideMark/>
          </w:tcPr>
          <w:p w14:paraId="0F83C1EF" w14:textId="4F43A45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0.907</w:t>
            </w:r>
          </w:p>
        </w:tc>
        <w:tc>
          <w:tcPr>
            <w:tcW w:w="845" w:type="dxa"/>
            <w:tcBorders>
              <w:top w:val="nil"/>
              <w:left w:val="nil"/>
              <w:bottom w:val="nil"/>
              <w:right w:val="nil"/>
            </w:tcBorders>
            <w:shd w:val="clear" w:color="auto" w:fill="auto"/>
            <w:noWrap/>
            <w:vAlign w:val="bottom"/>
            <w:hideMark/>
          </w:tcPr>
          <w:p w14:paraId="4CB3AAE4" w14:textId="79E7C6A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0.880</w:t>
            </w:r>
          </w:p>
        </w:tc>
        <w:tc>
          <w:tcPr>
            <w:tcW w:w="702" w:type="dxa"/>
            <w:tcBorders>
              <w:top w:val="nil"/>
              <w:left w:val="nil"/>
              <w:bottom w:val="nil"/>
              <w:right w:val="single" w:sz="4" w:space="0" w:color="auto"/>
            </w:tcBorders>
            <w:shd w:val="clear" w:color="auto" w:fill="auto"/>
            <w:noWrap/>
            <w:vAlign w:val="bottom"/>
            <w:hideMark/>
          </w:tcPr>
          <w:p w14:paraId="23AFC818" w14:textId="00BBC81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0.935</w:t>
            </w:r>
          </w:p>
        </w:tc>
        <w:tc>
          <w:tcPr>
            <w:tcW w:w="774" w:type="dxa"/>
            <w:tcBorders>
              <w:left w:val="nil"/>
            </w:tcBorders>
            <w:vAlign w:val="bottom"/>
          </w:tcPr>
          <w:p w14:paraId="6EA4976F" w14:textId="1B0329D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0.964</w:t>
            </w:r>
          </w:p>
        </w:tc>
        <w:tc>
          <w:tcPr>
            <w:tcW w:w="773" w:type="dxa"/>
            <w:vAlign w:val="bottom"/>
          </w:tcPr>
          <w:p w14:paraId="3B5274B0" w14:textId="34E04791"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c>
          <w:tcPr>
            <w:tcW w:w="774" w:type="dxa"/>
            <w:vAlign w:val="bottom"/>
          </w:tcPr>
          <w:p w14:paraId="65535096" w14:textId="2B788DA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0.967</w:t>
            </w:r>
          </w:p>
        </w:tc>
        <w:tc>
          <w:tcPr>
            <w:tcW w:w="847" w:type="dxa"/>
            <w:vAlign w:val="bottom"/>
          </w:tcPr>
          <w:p w14:paraId="484783BA" w14:textId="40EC90B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0.963</w:t>
            </w:r>
          </w:p>
        </w:tc>
        <w:tc>
          <w:tcPr>
            <w:tcW w:w="715" w:type="dxa"/>
            <w:vAlign w:val="bottom"/>
          </w:tcPr>
          <w:p w14:paraId="4948EF92" w14:textId="6C15A35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0.950</w:t>
            </w:r>
          </w:p>
        </w:tc>
      </w:tr>
      <w:tr w:rsidR="00896F29" w:rsidRPr="00A0555D" w14:paraId="448F0C20" w14:textId="0E1B916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6052A40E"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hideMark/>
          </w:tcPr>
          <w:p w14:paraId="5D6CA8CB" w14:textId="54AA1A6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0.932</w:t>
            </w:r>
          </w:p>
        </w:tc>
        <w:tc>
          <w:tcPr>
            <w:tcW w:w="774" w:type="dxa"/>
            <w:tcBorders>
              <w:top w:val="nil"/>
              <w:left w:val="nil"/>
              <w:bottom w:val="single" w:sz="4" w:space="0" w:color="auto"/>
              <w:right w:val="nil"/>
            </w:tcBorders>
            <w:shd w:val="clear" w:color="auto" w:fill="auto"/>
            <w:noWrap/>
            <w:vAlign w:val="bottom"/>
            <w:hideMark/>
          </w:tcPr>
          <w:p w14:paraId="2C944951" w14:textId="081C692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0.953</w:t>
            </w:r>
          </w:p>
        </w:tc>
        <w:tc>
          <w:tcPr>
            <w:tcW w:w="773" w:type="dxa"/>
            <w:tcBorders>
              <w:top w:val="nil"/>
              <w:left w:val="nil"/>
              <w:bottom w:val="single" w:sz="4" w:space="0" w:color="auto"/>
              <w:right w:val="nil"/>
            </w:tcBorders>
            <w:shd w:val="clear" w:color="auto" w:fill="auto"/>
            <w:noWrap/>
            <w:vAlign w:val="bottom"/>
            <w:hideMark/>
          </w:tcPr>
          <w:p w14:paraId="4FCD6C89" w14:textId="7BF3DD99"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0.925</w:t>
            </w:r>
          </w:p>
        </w:tc>
        <w:tc>
          <w:tcPr>
            <w:tcW w:w="845" w:type="dxa"/>
            <w:tcBorders>
              <w:top w:val="nil"/>
              <w:left w:val="nil"/>
              <w:bottom w:val="single" w:sz="4" w:space="0" w:color="auto"/>
              <w:right w:val="nil"/>
            </w:tcBorders>
            <w:shd w:val="clear" w:color="auto" w:fill="auto"/>
            <w:noWrap/>
            <w:vAlign w:val="bottom"/>
            <w:hideMark/>
          </w:tcPr>
          <w:p w14:paraId="16C9A1E2" w14:textId="0B18F96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0.856</w:t>
            </w:r>
          </w:p>
        </w:tc>
        <w:tc>
          <w:tcPr>
            <w:tcW w:w="702" w:type="dxa"/>
            <w:tcBorders>
              <w:top w:val="nil"/>
              <w:left w:val="nil"/>
              <w:bottom w:val="single" w:sz="4" w:space="0" w:color="auto"/>
              <w:right w:val="single" w:sz="4" w:space="0" w:color="auto"/>
            </w:tcBorders>
            <w:shd w:val="clear" w:color="auto" w:fill="auto"/>
            <w:noWrap/>
            <w:vAlign w:val="bottom"/>
            <w:hideMark/>
          </w:tcPr>
          <w:p w14:paraId="505413F9" w14:textId="369554B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0.931</w:t>
            </w:r>
          </w:p>
        </w:tc>
        <w:tc>
          <w:tcPr>
            <w:tcW w:w="774" w:type="dxa"/>
            <w:tcBorders>
              <w:left w:val="nil"/>
              <w:bottom w:val="single" w:sz="4" w:space="0" w:color="auto"/>
            </w:tcBorders>
            <w:vAlign w:val="bottom"/>
          </w:tcPr>
          <w:p w14:paraId="3E691AEC" w14:textId="1E1597D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0.955</w:t>
            </w:r>
          </w:p>
        </w:tc>
        <w:tc>
          <w:tcPr>
            <w:tcW w:w="773" w:type="dxa"/>
            <w:tcBorders>
              <w:bottom w:val="single" w:sz="4" w:space="0" w:color="auto"/>
            </w:tcBorders>
            <w:vAlign w:val="bottom"/>
          </w:tcPr>
          <w:p w14:paraId="613AA84C" w14:textId="7584A24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0.965</w:t>
            </w:r>
          </w:p>
        </w:tc>
        <w:tc>
          <w:tcPr>
            <w:tcW w:w="774" w:type="dxa"/>
            <w:tcBorders>
              <w:bottom w:val="single" w:sz="4" w:space="0" w:color="auto"/>
            </w:tcBorders>
            <w:vAlign w:val="bottom"/>
          </w:tcPr>
          <w:p w14:paraId="22576046" w14:textId="7CC5215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0.960</w:t>
            </w:r>
          </w:p>
        </w:tc>
        <w:tc>
          <w:tcPr>
            <w:tcW w:w="847" w:type="dxa"/>
            <w:tcBorders>
              <w:bottom w:val="single" w:sz="4" w:space="0" w:color="auto"/>
            </w:tcBorders>
            <w:vAlign w:val="bottom"/>
          </w:tcPr>
          <w:p w14:paraId="0D153027" w14:textId="09E2DC0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0.913</w:t>
            </w:r>
          </w:p>
        </w:tc>
        <w:tc>
          <w:tcPr>
            <w:tcW w:w="715" w:type="dxa"/>
            <w:tcBorders>
              <w:bottom w:val="single" w:sz="4" w:space="0" w:color="auto"/>
            </w:tcBorders>
            <w:vAlign w:val="bottom"/>
          </w:tcPr>
          <w:p w14:paraId="52A5DC55" w14:textId="4EE2D11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0.933</w:t>
            </w:r>
          </w:p>
        </w:tc>
      </w:tr>
      <w:tr w:rsidR="00896F29" w:rsidRPr="00A0555D" w14:paraId="3A15C139" w14:textId="57F79285"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3B048286" w14:textId="13BF7D59" w:rsidR="00896F29" w:rsidRPr="009355EE" w:rsidRDefault="00896F29" w:rsidP="00E51234">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sidR="0070792B">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0291D3D7" w14:textId="77777777" w:rsidR="00896F29" w:rsidRPr="006016B0" w:rsidRDefault="00896F29"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7CD6E1FC" w14:textId="77777777" w:rsidR="00896F29" w:rsidRPr="006016B0" w:rsidRDefault="00896F29"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189DFB05" w14:textId="77777777" w:rsidR="00896F29" w:rsidRPr="006016B0" w:rsidRDefault="00896F29"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20386C86" w14:textId="77777777" w:rsidR="00896F29" w:rsidRPr="006016B0" w:rsidRDefault="00896F29"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4FBCD6BA" w14:textId="77777777" w:rsidR="00896F29" w:rsidRPr="006016B0" w:rsidRDefault="00896F29" w:rsidP="006016B0">
            <w:pPr>
              <w:tabs>
                <w:tab w:val="decimal" w:pos="256"/>
              </w:tabs>
              <w:spacing w:before="0" w:after="0" w:line="240" w:lineRule="auto"/>
              <w:ind w:firstLine="0"/>
              <w:rPr>
                <w:color w:val="000000"/>
                <w:sz w:val="16"/>
                <w:szCs w:val="16"/>
              </w:rPr>
            </w:pPr>
          </w:p>
        </w:tc>
      </w:tr>
      <w:tr w:rsidR="00896F29" w:rsidRPr="00A0555D" w14:paraId="37111CAF" w14:textId="371034BC" w:rsidTr="00A13B8D">
        <w:trPr>
          <w:trHeight w:val="144"/>
        </w:trPr>
        <w:tc>
          <w:tcPr>
            <w:tcW w:w="1610" w:type="dxa"/>
            <w:tcBorders>
              <w:left w:val="nil"/>
              <w:bottom w:val="nil"/>
              <w:right w:val="single" w:sz="4" w:space="0" w:color="auto"/>
            </w:tcBorders>
            <w:shd w:val="clear" w:color="auto" w:fill="auto"/>
            <w:noWrap/>
            <w:vAlign w:val="bottom"/>
            <w:hideMark/>
          </w:tcPr>
          <w:p w14:paraId="6FA28C68"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hideMark/>
          </w:tcPr>
          <w:p w14:paraId="49F176C7" w14:textId="2EB15579"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bottom w:val="nil"/>
              <w:right w:val="nil"/>
            </w:tcBorders>
            <w:shd w:val="clear" w:color="auto" w:fill="auto"/>
            <w:noWrap/>
            <w:vAlign w:val="bottom"/>
            <w:hideMark/>
          </w:tcPr>
          <w:p w14:paraId="4F669A04" w14:textId="0BDCB01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left w:val="nil"/>
              <w:bottom w:val="nil"/>
              <w:right w:val="nil"/>
            </w:tcBorders>
            <w:shd w:val="clear" w:color="auto" w:fill="auto"/>
            <w:noWrap/>
            <w:vAlign w:val="bottom"/>
            <w:hideMark/>
          </w:tcPr>
          <w:p w14:paraId="2E2F709C" w14:textId="0B1698E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left w:val="nil"/>
              <w:bottom w:val="nil"/>
              <w:right w:val="nil"/>
            </w:tcBorders>
            <w:shd w:val="clear" w:color="auto" w:fill="auto"/>
            <w:noWrap/>
            <w:vAlign w:val="bottom"/>
            <w:hideMark/>
          </w:tcPr>
          <w:p w14:paraId="6CFFCC63" w14:textId="4420D741"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left w:val="nil"/>
              <w:bottom w:val="nil"/>
              <w:right w:val="single" w:sz="4" w:space="0" w:color="auto"/>
            </w:tcBorders>
            <w:shd w:val="clear" w:color="auto" w:fill="auto"/>
            <w:noWrap/>
            <w:vAlign w:val="bottom"/>
            <w:hideMark/>
          </w:tcPr>
          <w:p w14:paraId="2C50E941" w14:textId="721E5F5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0B795628" w14:textId="5649958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48EB04FD" w14:textId="7FB7A16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7B2B2A2F" w14:textId="287B595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41FE49D4" w14:textId="2DF0558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03C3D2EA" w14:textId="67F5BED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2C0B8787" w14:textId="0A7EFA7B" w:rsidTr="00A13B8D">
        <w:trPr>
          <w:trHeight w:val="144"/>
        </w:trPr>
        <w:tc>
          <w:tcPr>
            <w:tcW w:w="1610" w:type="dxa"/>
            <w:tcBorders>
              <w:top w:val="nil"/>
              <w:left w:val="nil"/>
              <w:bottom w:val="nil"/>
              <w:right w:val="single" w:sz="4" w:space="0" w:color="auto"/>
            </w:tcBorders>
            <w:shd w:val="clear" w:color="auto" w:fill="auto"/>
            <w:noWrap/>
            <w:vAlign w:val="bottom"/>
            <w:hideMark/>
          </w:tcPr>
          <w:p w14:paraId="268636A6"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hideMark/>
          </w:tcPr>
          <w:p w14:paraId="05EB4651" w14:textId="01C31AB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2DF533E5" w14:textId="438BC9F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32D4A0F3" w14:textId="17CEDA3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222F4C11" w14:textId="2535857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0B85EE16" w14:textId="5E922DA9"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505AA76E" w14:textId="61F6B99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40D616FB" w14:textId="521A20D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703C63DD" w14:textId="618621B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57CFF677" w14:textId="56C3F805"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445BFF40" w14:textId="4BA535F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1DE2A2B8" w14:textId="185C076E" w:rsidTr="00A13B8D">
        <w:trPr>
          <w:trHeight w:val="144"/>
        </w:trPr>
        <w:tc>
          <w:tcPr>
            <w:tcW w:w="1610" w:type="dxa"/>
            <w:tcBorders>
              <w:top w:val="nil"/>
              <w:left w:val="nil"/>
              <w:bottom w:val="nil"/>
              <w:right w:val="single" w:sz="4" w:space="0" w:color="auto"/>
            </w:tcBorders>
            <w:shd w:val="clear" w:color="auto" w:fill="auto"/>
            <w:noWrap/>
            <w:vAlign w:val="bottom"/>
            <w:hideMark/>
          </w:tcPr>
          <w:p w14:paraId="515B0F19"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hideMark/>
          </w:tcPr>
          <w:p w14:paraId="2D5F0FBE" w14:textId="5BCE95F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32EBC7D0" w14:textId="0BB9B5D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1A5D3D99" w14:textId="6541134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0610D18E" w14:textId="1A3D039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4E43E630" w14:textId="08E6D5F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7D0C24DA" w14:textId="07B3D44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55EEC491" w14:textId="4F12768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43F7D4CE" w14:textId="0689BC8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15ABAC6B" w14:textId="49D5423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1D95BDE3" w14:textId="1EA0428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2F0AC58B" w14:textId="14A2666A" w:rsidTr="00A13B8D">
        <w:trPr>
          <w:trHeight w:val="144"/>
        </w:trPr>
        <w:tc>
          <w:tcPr>
            <w:tcW w:w="1610" w:type="dxa"/>
            <w:tcBorders>
              <w:top w:val="nil"/>
              <w:left w:val="nil"/>
              <w:bottom w:val="nil"/>
              <w:right w:val="single" w:sz="4" w:space="0" w:color="auto"/>
            </w:tcBorders>
            <w:shd w:val="clear" w:color="auto" w:fill="auto"/>
            <w:noWrap/>
            <w:vAlign w:val="bottom"/>
            <w:hideMark/>
          </w:tcPr>
          <w:p w14:paraId="1A893A2C"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hideMark/>
          </w:tcPr>
          <w:p w14:paraId="1D896ED9" w14:textId="1E9E5CD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3C6E2B89" w14:textId="155A904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69890327" w14:textId="27D382C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484AEDF2" w14:textId="53C7C54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7D9743A3" w14:textId="189B2AF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2DB78C8B" w14:textId="1CC688F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75976910" w14:textId="044E4F9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4CA69056" w14:textId="79F6D4C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2CFC0118" w14:textId="159C89D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353FA5C8" w14:textId="7BA7355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3D03F157" w14:textId="65C7C91D" w:rsidTr="00A13B8D">
        <w:trPr>
          <w:trHeight w:val="144"/>
        </w:trPr>
        <w:tc>
          <w:tcPr>
            <w:tcW w:w="1610" w:type="dxa"/>
            <w:tcBorders>
              <w:top w:val="nil"/>
              <w:left w:val="nil"/>
              <w:bottom w:val="nil"/>
              <w:right w:val="single" w:sz="4" w:space="0" w:color="auto"/>
            </w:tcBorders>
            <w:shd w:val="clear" w:color="auto" w:fill="auto"/>
            <w:noWrap/>
            <w:vAlign w:val="bottom"/>
            <w:hideMark/>
          </w:tcPr>
          <w:p w14:paraId="4B492CC1"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hideMark/>
          </w:tcPr>
          <w:p w14:paraId="5146B7FC" w14:textId="69F5589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210D3084" w14:textId="3FF31E6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120AF5FF" w14:textId="53491F2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498BFA66" w14:textId="29EBC80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1A11EED4" w14:textId="45B50C3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4FD91201" w14:textId="052F71D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55947F1D" w14:textId="2CB310D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3CDD51B4" w14:textId="6B579AB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11943BE3" w14:textId="50F6CCB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3C7B471C" w14:textId="0FABCBED"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896F29" w:rsidRPr="00A0555D" w14:paraId="232F4AD2" w14:textId="6063D463"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5B4E6488"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hideMark/>
          </w:tcPr>
          <w:p w14:paraId="69738BA6" w14:textId="3C2A903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single" w:sz="4" w:space="0" w:color="auto"/>
              <w:right w:val="nil"/>
            </w:tcBorders>
            <w:shd w:val="clear" w:color="auto" w:fill="auto"/>
            <w:noWrap/>
            <w:vAlign w:val="bottom"/>
            <w:hideMark/>
          </w:tcPr>
          <w:p w14:paraId="10C13BC5" w14:textId="346C7F3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single" w:sz="4" w:space="0" w:color="auto"/>
              <w:right w:val="nil"/>
            </w:tcBorders>
            <w:shd w:val="clear" w:color="auto" w:fill="auto"/>
            <w:noWrap/>
            <w:vAlign w:val="bottom"/>
            <w:hideMark/>
          </w:tcPr>
          <w:p w14:paraId="601EAD96" w14:textId="1B9C092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single" w:sz="4" w:space="0" w:color="auto"/>
              <w:right w:val="nil"/>
            </w:tcBorders>
            <w:shd w:val="clear" w:color="auto" w:fill="auto"/>
            <w:noWrap/>
            <w:vAlign w:val="bottom"/>
            <w:hideMark/>
          </w:tcPr>
          <w:p w14:paraId="13F6361A" w14:textId="361C916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single" w:sz="4" w:space="0" w:color="auto"/>
              <w:right w:val="single" w:sz="4" w:space="0" w:color="auto"/>
            </w:tcBorders>
            <w:shd w:val="clear" w:color="auto" w:fill="auto"/>
            <w:noWrap/>
            <w:vAlign w:val="bottom"/>
            <w:hideMark/>
          </w:tcPr>
          <w:p w14:paraId="6786386B" w14:textId="55E257A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bottom w:val="single" w:sz="4" w:space="0" w:color="auto"/>
            </w:tcBorders>
            <w:vAlign w:val="bottom"/>
          </w:tcPr>
          <w:p w14:paraId="5A60A2B1" w14:textId="057950E1"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tcBorders>
              <w:bottom w:val="single" w:sz="4" w:space="0" w:color="auto"/>
            </w:tcBorders>
            <w:vAlign w:val="bottom"/>
          </w:tcPr>
          <w:p w14:paraId="484E3FD6" w14:textId="6CA4ED5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tcBorders>
              <w:bottom w:val="single" w:sz="4" w:space="0" w:color="auto"/>
            </w:tcBorders>
            <w:vAlign w:val="bottom"/>
          </w:tcPr>
          <w:p w14:paraId="7CF3BEEB" w14:textId="155996E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tcBorders>
              <w:bottom w:val="single" w:sz="4" w:space="0" w:color="auto"/>
            </w:tcBorders>
            <w:vAlign w:val="bottom"/>
          </w:tcPr>
          <w:p w14:paraId="2DF036D5" w14:textId="7219DA46"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tcBorders>
              <w:bottom w:val="single" w:sz="4" w:space="0" w:color="auto"/>
            </w:tcBorders>
            <w:vAlign w:val="bottom"/>
          </w:tcPr>
          <w:p w14:paraId="70D7C449" w14:textId="3FF59CF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896F29" w:rsidRPr="00A0555D" w14:paraId="5B1862CD" w14:textId="7C57FAF2"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2024CFB7" w14:textId="66B3E47F" w:rsidR="00896F29" w:rsidRPr="009355EE" w:rsidRDefault="00896F29" w:rsidP="00E51234">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 xml:space="preserve">by </w:t>
            </w:r>
            <w:r w:rsidR="0070792B">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54DAA32F" w14:textId="77777777" w:rsidR="00896F29" w:rsidRPr="006016B0" w:rsidRDefault="00896F29"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156013DB" w14:textId="77777777" w:rsidR="00896F29" w:rsidRPr="006016B0" w:rsidRDefault="00896F29"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782CFB5A" w14:textId="77777777" w:rsidR="00896F29" w:rsidRPr="006016B0" w:rsidRDefault="00896F29"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6AB86355" w14:textId="77777777" w:rsidR="00896F29" w:rsidRPr="006016B0" w:rsidRDefault="00896F29"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564301A9" w14:textId="77777777" w:rsidR="00896F29" w:rsidRPr="006016B0" w:rsidRDefault="00896F29" w:rsidP="006016B0">
            <w:pPr>
              <w:tabs>
                <w:tab w:val="decimal" w:pos="256"/>
              </w:tabs>
              <w:spacing w:before="0" w:after="0" w:line="240" w:lineRule="auto"/>
              <w:ind w:firstLine="0"/>
              <w:rPr>
                <w:color w:val="000000"/>
                <w:sz w:val="16"/>
                <w:szCs w:val="16"/>
              </w:rPr>
            </w:pPr>
          </w:p>
        </w:tc>
      </w:tr>
      <w:tr w:rsidR="00896F29" w:rsidRPr="00A0555D" w14:paraId="19E41B9D" w14:textId="3F415AF9" w:rsidTr="00A13B8D">
        <w:trPr>
          <w:trHeight w:val="144"/>
        </w:trPr>
        <w:tc>
          <w:tcPr>
            <w:tcW w:w="1610" w:type="dxa"/>
            <w:tcBorders>
              <w:left w:val="nil"/>
              <w:bottom w:val="nil"/>
              <w:right w:val="single" w:sz="4" w:space="0" w:color="auto"/>
            </w:tcBorders>
            <w:shd w:val="clear" w:color="auto" w:fill="auto"/>
            <w:noWrap/>
            <w:vAlign w:val="bottom"/>
            <w:hideMark/>
          </w:tcPr>
          <w:p w14:paraId="51933F6B"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hideMark/>
          </w:tcPr>
          <w:p w14:paraId="18F4C9C2" w14:textId="7AFA75B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bottom w:val="nil"/>
              <w:right w:val="nil"/>
            </w:tcBorders>
            <w:shd w:val="clear" w:color="auto" w:fill="auto"/>
            <w:noWrap/>
            <w:vAlign w:val="bottom"/>
            <w:hideMark/>
          </w:tcPr>
          <w:p w14:paraId="01ECE1CF" w14:textId="1E432E1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left w:val="nil"/>
              <w:bottom w:val="nil"/>
              <w:right w:val="nil"/>
            </w:tcBorders>
            <w:shd w:val="clear" w:color="auto" w:fill="auto"/>
            <w:noWrap/>
            <w:vAlign w:val="bottom"/>
            <w:hideMark/>
          </w:tcPr>
          <w:p w14:paraId="779F7CDD" w14:textId="1ACBFCB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left w:val="nil"/>
              <w:bottom w:val="nil"/>
              <w:right w:val="nil"/>
            </w:tcBorders>
            <w:shd w:val="clear" w:color="auto" w:fill="auto"/>
            <w:noWrap/>
            <w:vAlign w:val="bottom"/>
            <w:hideMark/>
          </w:tcPr>
          <w:p w14:paraId="3C86331B" w14:textId="295F382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left w:val="nil"/>
              <w:bottom w:val="nil"/>
              <w:right w:val="single" w:sz="4" w:space="0" w:color="auto"/>
            </w:tcBorders>
            <w:shd w:val="clear" w:color="auto" w:fill="auto"/>
            <w:noWrap/>
            <w:vAlign w:val="bottom"/>
            <w:hideMark/>
          </w:tcPr>
          <w:p w14:paraId="0363774B" w14:textId="58DD36E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0A4E04E0" w14:textId="70F7198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6E1DB45A" w14:textId="45E7E12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049CDCA1" w14:textId="3E366DA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10C8D0C0" w14:textId="760E8B9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494BE4D6" w14:textId="51F3C06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896F29" w:rsidRPr="00A0555D" w14:paraId="567BA01D" w14:textId="7F96D289" w:rsidTr="00A13B8D">
        <w:trPr>
          <w:trHeight w:val="144"/>
        </w:trPr>
        <w:tc>
          <w:tcPr>
            <w:tcW w:w="1610" w:type="dxa"/>
            <w:tcBorders>
              <w:top w:val="nil"/>
              <w:left w:val="nil"/>
              <w:bottom w:val="nil"/>
              <w:right w:val="single" w:sz="4" w:space="0" w:color="auto"/>
            </w:tcBorders>
            <w:shd w:val="clear" w:color="auto" w:fill="auto"/>
            <w:noWrap/>
            <w:vAlign w:val="bottom"/>
            <w:hideMark/>
          </w:tcPr>
          <w:p w14:paraId="5F0425AF"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hideMark/>
          </w:tcPr>
          <w:p w14:paraId="3D2687A3" w14:textId="0D9518F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0A2E429F" w14:textId="74DECE24"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2BBE8F67" w14:textId="1B7A10FB"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48901A64" w14:textId="18D93831"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5B513C1A" w14:textId="17FF9D43"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6AF6AF61" w14:textId="0892FE0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14B319BF" w14:textId="14F8669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35EF7174" w14:textId="29C5C82A"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3DE04A67" w14:textId="4F897FD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5817C815" w14:textId="0C1A326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896F29" w:rsidRPr="00A0555D" w14:paraId="6A93EA17" w14:textId="2363A047" w:rsidTr="00A13B8D">
        <w:trPr>
          <w:trHeight w:val="144"/>
        </w:trPr>
        <w:tc>
          <w:tcPr>
            <w:tcW w:w="1610" w:type="dxa"/>
            <w:tcBorders>
              <w:top w:val="nil"/>
              <w:left w:val="nil"/>
              <w:bottom w:val="nil"/>
              <w:right w:val="single" w:sz="4" w:space="0" w:color="auto"/>
            </w:tcBorders>
            <w:shd w:val="clear" w:color="auto" w:fill="auto"/>
            <w:noWrap/>
            <w:vAlign w:val="bottom"/>
            <w:hideMark/>
          </w:tcPr>
          <w:p w14:paraId="5FBA5D3D"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hideMark/>
          </w:tcPr>
          <w:p w14:paraId="0B97CBCC" w14:textId="5FD38025"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59721465" w14:textId="131F359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088544E1" w14:textId="6B76BC96"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7BB02B93" w14:textId="04EDB1D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30849D51" w14:textId="3369764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0921DACD" w14:textId="1773C69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72D3B253" w14:textId="3B7C9169"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3E6D21C6" w14:textId="0D7C500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7BB57A13" w14:textId="5CDC894E"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400884AE" w14:textId="09DA369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0CFDB1FA" w14:textId="21D6EC97" w:rsidTr="00A13B8D">
        <w:trPr>
          <w:trHeight w:val="144"/>
        </w:trPr>
        <w:tc>
          <w:tcPr>
            <w:tcW w:w="1610" w:type="dxa"/>
            <w:tcBorders>
              <w:top w:val="nil"/>
              <w:left w:val="nil"/>
              <w:bottom w:val="nil"/>
              <w:right w:val="single" w:sz="4" w:space="0" w:color="auto"/>
            </w:tcBorders>
            <w:shd w:val="clear" w:color="auto" w:fill="auto"/>
            <w:noWrap/>
            <w:vAlign w:val="bottom"/>
            <w:hideMark/>
          </w:tcPr>
          <w:p w14:paraId="47886100"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hideMark/>
          </w:tcPr>
          <w:p w14:paraId="55FE2560" w14:textId="707B02F1"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11ECAEB1" w14:textId="645564C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3FF67579" w14:textId="2088D19C"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6D056D22" w14:textId="4F603AA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0438AAD0" w14:textId="41250A7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47F4F166" w14:textId="7A88AFF9"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1ADDAE19" w14:textId="2042653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456CB8F8" w14:textId="43853968"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7700CB4C" w14:textId="1134A9DC"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4D3F2D7A" w14:textId="3FD360F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1C34497F" w14:textId="0BC08C3F" w:rsidTr="00A13B8D">
        <w:trPr>
          <w:trHeight w:val="144"/>
        </w:trPr>
        <w:tc>
          <w:tcPr>
            <w:tcW w:w="1610" w:type="dxa"/>
            <w:tcBorders>
              <w:top w:val="nil"/>
              <w:left w:val="nil"/>
              <w:bottom w:val="nil"/>
              <w:right w:val="single" w:sz="4" w:space="0" w:color="auto"/>
            </w:tcBorders>
            <w:shd w:val="clear" w:color="auto" w:fill="auto"/>
            <w:noWrap/>
            <w:vAlign w:val="bottom"/>
            <w:hideMark/>
          </w:tcPr>
          <w:p w14:paraId="7BA17113"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hideMark/>
          </w:tcPr>
          <w:p w14:paraId="7B7BDB03" w14:textId="1E516F17"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nil"/>
              <w:right w:val="nil"/>
            </w:tcBorders>
            <w:shd w:val="clear" w:color="auto" w:fill="auto"/>
            <w:noWrap/>
            <w:vAlign w:val="bottom"/>
            <w:hideMark/>
          </w:tcPr>
          <w:p w14:paraId="598DFEB2" w14:textId="13517638"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nil"/>
              <w:right w:val="nil"/>
            </w:tcBorders>
            <w:shd w:val="clear" w:color="auto" w:fill="auto"/>
            <w:noWrap/>
            <w:vAlign w:val="bottom"/>
            <w:hideMark/>
          </w:tcPr>
          <w:p w14:paraId="3770CF34" w14:textId="6C112DE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nil"/>
              <w:right w:val="nil"/>
            </w:tcBorders>
            <w:shd w:val="clear" w:color="auto" w:fill="auto"/>
            <w:noWrap/>
            <w:vAlign w:val="bottom"/>
            <w:hideMark/>
          </w:tcPr>
          <w:p w14:paraId="7DC9BDE0" w14:textId="5268E430"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nil"/>
              <w:right w:val="single" w:sz="4" w:space="0" w:color="auto"/>
            </w:tcBorders>
            <w:shd w:val="clear" w:color="auto" w:fill="auto"/>
            <w:noWrap/>
            <w:vAlign w:val="bottom"/>
            <w:hideMark/>
          </w:tcPr>
          <w:p w14:paraId="3F863F39" w14:textId="2C4E915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tcBorders>
            <w:vAlign w:val="bottom"/>
          </w:tcPr>
          <w:p w14:paraId="37A882FB" w14:textId="56A94B2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vAlign w:val="bottom"/>
          </w:tcPr>
          <w:p w14:paraId="56B5AFBF" w14:textId="1FEB2D9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vAlign w:val="bottom"/>
          </w:tcPr>
          <w:p w14:paraId="1324270E" w14:textId="7D458DFF"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vAlign w:val="bottom"/>
          </w:tcPr>
          <w:p w14:paraId="6CFAF071" w14:textId="7F9170A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vAlign w:val="bottom"/>
          </w:tcPr>
          <w:p w14:paraId="74D10814" w14:textId="1F9ED9CB"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r w:rsidR="00BE2878" w:rsidRPr="00A0555D" w14:paraId="1DE5CFE5" w14:textId="122FD424"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1CF4542C" w14:textId="77777777" w:rsidR="00BE2878" w:rsidRPr="00A0555D" w:rsidRDefault="00BE2878" w:rsidP="00BE2878">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hideMark/>
          </w:tcPr>
          <w:p w14:paraId="644DD6F3" w14:textId="614F9FFD"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top w:val="nil"/>
              <w:left w:val="nil"/>
              <w:bottom w:val="single" w:sz="4" w:space="0" w:color="auto"/>
              <w:right w:val="nil"/>
            </w:tcBorders>
            <w:shd w:val="clear" w:color="auto" w:fill="auto"/>
            <w:noWrap/>
            <w:vAlign w:val="bottom"/>
            <w:hideMark/>
          </w:tcPr>
          <w:p w14:paraId="193C269C" w14:textId="5A477952"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3" w:type="dxa"/>
            <w:tcBorders>
              <w:top w:val="nil"/>
              <w:left w:val="nil"/>
              <w:bottom w:val="single" w:sz="4" w:space="0" w:color="auto"/>
              <w:right w:val="nil"/>
            </w:tcBorders>
            <w:shd w:val="clear" w:color="auto" w:fill="auto"/>
            <w:noWrap/>
            <w:vAlign w:val="bottom"/>
            <w:hideMark/>
          </w:tcPr>
          <w:p w14:paraId="33A1EB97" w14:textId="1DF9B27F"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845" w:type="dxa"/>
            <w:tcBorders>
              <w:top w:val="nil"/>
              <w:left w:val="nil"/>
              <w:bottom w:val="single" w:sz="4" w:space="0" w:color="auto"/>
              <w:right w:val="nil"/>
            </w:tcBorders>
            <w:shd w:val="clear" w:color="auto" w:fill="auto"/>
            <w:noWrap/>
            <w:vAlign w:val="bottom"/>
            <w:hideMark/>
          </w:tcPr>
          <w:p w14:paraId="65D7CD2E" w14:textId="5CC9EADA"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02" w:type="dxa"/>
            <w:tcBorders>
              <w:top w:val="nil"/>
              <w:left w:val="nil"/>
              <w:bottom w:val="single" w:sz="4" w:space="0" w:color="auto"/>
              <w:right w:val="single" w:sz="4" w:space="0" w:color="auto"/>
            </w:tcBorders>
            <w:shd w:val="clear" w:color="auto" w:fill="auto"/>
            <w:noWrap/>
            <w:vAlign w:val="bottom"/>
            <w:hideMark/>
          </w:tcPr>
          <w:p w14:paraId="22E748EF" w14:textId="420FCE5E" w:rsidR="00BE2878" w:rsidRPr="005D66A1" w:rsidRDefault="00BE2878" w:rsidP="005D66A1">
            <w:pPr>
              <w:tabs>
                <w:tab w:val="decimal" w:pos="172"/>
              </w:tabs>
              <w:spacing w:before="0" w:after="0" w:line="240" w:lineRule="auto"/>
              <w:ind w:firstLine="0"/>
              <w:rPr>
                <w:color w:val="000000"/>
                <w:sz w:val="16"/>
                <w:szCs w:val="16"/>
              </w:rPr>
            </w:pPr>
            <w:r w:rsidRPr="00BE2878">
              <w:rPr>
                <w:color w:val="000000"/>
                <w:sz w:val="16"/>
                <w:szCs w:val="16"/>
              </w:rPr>
              <w:t>1.000</w:t>
            </w:r>
          </w:p>
        </w:tc>
        <w:tc>
          <w:tcPr>
            <w:tcW w:w="774" w:type="dxa"/>
            <w:tcBorders>
              <w:left w:val="nil"/>
              <w:bottom w:val="single" w:sz="4" w:space="0" w:color="auto"/>
            </w:tcBorders>
            <w:vAlign w:val="bottom"/>
          </w:tcPr>
          <w:p w14:paraId="4E9492F0" w14:textId="2FA0C4D3"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3" w:type="dxa"/>
            <w:tcBorders>
              <w:bottom w:val="single" w:sz="4" w:space="0" w:color="auto"/>
            </w:tcBorders>
            <w:vAlign w:val="bottom"/>
          </w:tcPr>
          <w:p w14:paraId="34D5E06C" w14:textId="636A4D72"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74" w:type="dxa"/>
            <w:tcBorders>
              <w:bottom w:val="single" w:sz="4" w:space="0" w:color="auto"/>
            </w:tcBorders>
            <w:vAlign w:val="bottom"/>
          </w:tcPr>
          <w:p w14:paraId="0C0F63E8" w14:textId="67FB5B04"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847" w:type="dxa"/>
            <w:tcBorders>
              <w:bottom w:val="single" w:sz="4" w:space="0" w:color="auto"/>
            </w:tcBorders>
            <w:vAlign w:val="bottom"/>
          </w:tcPr>
          <w:p w14:paraId="4578787F" w14:textId="0EEE99C0"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c>
          <w:tcPr>
            <w:tcW w:w="715" w:type="dxa"/>
            <w:tcBorders>
              <w:bottom w:val="single" w:sz="4" w:space="0" w:color="auto"/>
            </w:tcBorders>
            <w:vAlign w:val="bottom"/>
          </w:tcPr>
          <w:p w14:paraId="4FEA19B5" w14:textId="26DAEA97" w:rsidR="00BE2878" w:rsidRPr="006016B0" w:rsidRDefault="00BE2878" w:rsidP="006016B0">
            <w:pPr>
              <w:tabs>
                <w:tab w:val="decimal" w:pos="256"/>
              </w:tabs>
              <w:spacing w:before="0" w:after="0" w:line="240" w:lineRule="auto"/>
              <w:ind w:firstLine="0"/>
              <w:rPr>
                <w:color w:val="000000"/>
                <w:sz w:val="16"/>
                <w:szCs w:val="16"/>
              </w:rPr>
            </w:pPr>
            <w:r w:rsidRPr="00BE2878">
              <w:rPr>
                <w:color w:val="000000"/>
                <w:sz w:val="16"/>
                <w:szCs w:val="16"/>
              </w:rPr>
              <w:t>1.000</w:t>
            </w:r>
          </w:p>
        </w:tc>
      </w:tr>
    </w:tbl>
    <w:p w14:paraId="6C905CDA" w14:textId="30F2A966" w:rsidR="007E69F2" w:rsidRPr="009D4948" w:rsidRDefault="007E69F2" w:rsidP="009D4948">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808"/>
        <w:gridCol w:w="740"/>
        <w:gridCol w:w="880"/>
      </w:tblGrid>
      <w:tr w:rsidR="005447C1" w:rsidRPr="00A0555D" w14:paraId="5AF510DF" w14:textId="77777777" w:rsidTr="00BD0EBA">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20FF9D72"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0947ED51" w14:textId="6098E07F" w:rsidR="005447C1" w:rsidRPr="00A0555D" w:rsidRDefault="00BD0EBA" w:rsidP="005447C1">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 (in./day)</w:t>
            </w:r>
          </w:p>
        </w:tc>
        <w:tc>
          <w:tcPr>
            <w:tcW w:w="774" w:type="dxa"/>
            <w:tcBorders>
              <w:top w:val="single" w:sz="4" w:space="0" w:color="auto"/>
              <w:left w:val="nil"/>
              <w:bottom w:val="single" w:sz="4" w:space="0" w:color="auto"/>
              <w:right w:val="single" w:sz="4" w:space="0" w:color="auto"/>
            </w:tcBorders>
            <w:vAlign w:val="bottom"/>
          </w:tcPr>
          <w:p w14:paraId="6938DC85" w14:textId="4D3DFD2B" w:rsidR="005447C1" w:rsidRPr="005447C1" w:rsidRDefault="00BD0EBA" w:rsidP="005447C1">
            <w:pPr>
              <w:spacing w:before="0" w:after="0" w:line="240" w:lineRule="auto"/>
              <w:ind w:firstLine="0"/>
              <w:jc w:val="center"/>
              <w:rPr>
                <w:rFonts w:eastAsia="Times New Roman"/>
                <w:b/>
                <w:bCs/>
                <w:color w:val="000000"/>
                <w:sz w:val="16"/>
                <w:szCs w:val="16"/>
                <w:lang w:bidi="ar-SA"/>
              </w:rPr>
            </w:pPr>
            <w:r>
              <w:rPr>
                <w:b/>
                <w:bCs/>
                <w:color w:val="000000"/>
                <w:sz w:val="16"/>
                <w:szCs w:val="16"/>
              </w:rPr>
              <w:t>T95 (°F)</w:t>
            </w:r>
          </w:p>
        </w:tc>
        <w:tc>
          <w:tcPr>
            <w:tcW w:w="774" w:type="dxa"/>
            <w:tcBorders>
              <w:top w:val="single" w:sz="4" w:space="0" w:color="auto"/>
              <w:left w:val="single" w:sz="4" w:space="0" w:color="auto"/>
              <w:bottom w:val="single" w:sz="4" w:space="0" w:color="auto"/>
              <w:right w:val="single" w:sz="4" w:space="0" w:color="auto"/>
            </w:tcBorders>
            <w:vAlign w:val="bottom"/>
          </w:tcPr>
          <w:p w14:paraId="4570BCC6" w14:textId="74B1DA61" w:rsidR="005447C1" w:rsidRPr="005447C1" w:rsidRDefault="00BD0EBA" w:rsidP="005447C1">
            <w:pPr>
              <w:spacing w:before="0" w:after="0" w:line="240" w:lineRule="auto"/>
              <w:ind w:firstLine="0"/>
              <w:jc w:val="center"/>
              <w:rPr>
                <w:rFonts w:eastAsia="Times New Roman"/>
                <w:b/>
                <w:bCs/>
                <w:color w:val="000000"/>
                <w:sz w:val="16"/>
                <w:szCs w:val="16"/>
                <w:lang w:bidi="ar-SA"/>
              </w:rPr>
            </w:pPr>
            <w:r>
              <w:rPr>
                <w:b/>
                <w:bCs/>
                <w:color w:val="000000"/>
                <w:sz w:val="16"/>
                <w:szCs w:val="16"/>
              </w:rPr>
              <w:t>T05 (°F)</w:t>
            </w:r>
          </w:p>
        </w:tc>
        <w:tc>
          <w:tcPr>
            <w:tcW w:w="808" w:type="dxa"/>
            <w:tcBorders>
              <w:top w:val="single" w:sz="4" w:space="0" w:color="auto"/>
              <w:left w:val="single" w:sz="4" w:space="0" w:color="auto"/>
              <w:bottom w:val="single" w:sz="4" w:space="0" w:color="auto"/>
              <w:right w:val="single" w:sz="4" w:space="0" w:color="auto"/>
            </w:tcBorders>
            <w:vAlign w:val="bottom"/>
          </w:tcPr>
          <w:p w14:paraId="1106C555" w14:textId="4CBB0B67" w:rsidR="005447C1" w:rsidRPr="005447C1" w:rsidRDefault="005447C1" w:rsidP="005447C1">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P95</w:t>
            </w:r>
            <w:r w:rsidR="00BD0EBA">
              <w:t xml:space="preserve"> </w:t>
            </w:r>
            <w:r w:rsidR="00BD0EBA" w:rsidRPr="00BD0EBA">
              <w:rPr>
                <w:b/>
                <w:bCs/>
                <w:color w:val="000000"/>
                <w:sz w:val="16"/>
                <w:szCs w:val="16"/>
              </w:rPr>
              <w:t>(in./day)</w:t>
            </w:r>
          </w:p>
        </w:tc>
        <w:tc>
          <w:tcPr>
            <w:tcW w:w="740" w:type="dxa"/>
            <w:tcBorders>
              <w:top w:val="single" w:sz="4" w:space="0" w:color="auto"/>
              <w:left w:val="single" w:sz="4" w:space="0" w:color="auto"/>
              <w:bottom w:val="single" w:sz="4" w:space="0" w:color="auto"/>
              <w:right w:val="single" w:sz="4" w:space="0" w:color="auto"/>
            </w:tcBorders>
            <w:vAlign w:val="bottom"/>
          </w:tcPr>
          <w:p w14:paraId="4BCD19B5" w14:textId="74D34C0F" w:rsidR="005447C1" w:rsidRPr="005447C1" w:rsidRDefault="005447C1" w:rsidP="005447C1">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bottom"/>
          </w:tcPr>
          <w:p w14:paraId="2767FA2B" w14:textId="6919C206" w:rsidR="005447C1" w:rsidRPr="005447C1" w:rsidRDefault="005447C1" w:rsidP="005447C1">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155671" w:rsidRPr="00A0555D" w14:paraId="56B41FE4" w14:textId="77777777" w:rsidTr="00BD0EBA">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06951F45" w14:textId="77777777" w:rsidR="005447C1" w:rsidRPr="00A0555D" w:rsidRDefault="005447C1" w:rsidP="005447C1">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21DD4EE5"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42285CD7"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217E800B"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0D02FAF8" w14:textId="77777777" w:rsidR="005447C1" w:rsidRPr="00A0555D" w:rsidRDefault="005447C1" w:rsidP="005447C1">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4662AED2"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52D98701" w14:textId="7777777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7E1D0D99" w14:textId="39426B47"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808" w:type="dxa"/>
            <w:tcBorders>
              <w:top w:val="single" w:sz="4" w:space="0" w:color="auto"/>
              <w:left w:val="single" w:sz="4" w:space="0" w:color="auto"/>
              <w:bottom w:val="single" w:sz="4" w:space="0" w:color="auto"/>
              <w:right w:val="single" w:sz="4" w:space="0" w:color="auto"/>
            </w:tcBorders>
          </w:tcPr>
          <w:p w14:paraId="3B9F976D" w14:textId="41666FC6"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40" w:type="dxa"/>
            <w:tcBorders>
              <w:top w:val="single" w:sz="4" w:space="0" w:color="auto"/>
              <w:left w:val="single" w:sz="4" w:space="0" w:color="auto"/>
              <w:bottom w:val="single" w:sz="4" w:space="0" w:color="auto"/>
              <w:right w:val="single" w:sz="4" w:space="0" w:color="auto"/>
            </w:tcBorders>
          </w:tcPr>
          <w:p w14:paraId="7480F95A" w14:textId="15A65920" w:rsidR="005447C1" w:rsidRPr="00A0555D" w:rsidRDefault="005447C1" w:rsidP="005447C1">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12EAD9D9" w14:textId="4325F21F" w:rsidR="005447C1" w:rsidRPr="00A0555D" w:rsidRDefault="005447C1" w:rsidP="005447C1">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1B0E04" w:rsidRPr="00A0555D" w14:paraId="5AF2706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738414C" w14:textId="77777777" w:rsidR="009D4948" w:rsidRPr="00A0555D" w:rsidRDefault="009D494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242DE7CA" w14:textId="27A07553"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1021E86F" w14:textId="7B3E7F24"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7FDE98B4" w14:textId="372E0339"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19951BF1" w14:textId="7BFD157B"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085DAB6B" w14:textId="56970DE6"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0C85EA90" w14:textId="77777777"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08843CC1" w14:textId="77777777"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808" w:type="dxa"/>
            <w:tcBorders>
              <w:top w:val="single" w:sz="4" w:space="0" w:color="auto"/>
              <w:left w:val="single" w:sz="4" w:space="0" w:color="auto"/>
              <w:right w:val="single" w:sz="4" w:space="0" w:color="auto"/>
            </w:tcBorders>
          </w:tcPr>
          <w:p w14:paraId="541B728E" w14:textId="77777777"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740" w:type="dxa"/>
            <w:tcBorders>
              <w:top w:val="single" w:sz="4" w:space="0" w:color="auto"/>
              <w:left w:val="single" w:sz="4" w:space="0" w:color="auto"/>
              <w:right w:val="single" w:sz="4" w:space="0" w:color="auto"/>
            </w:tcBorders>
          </w:tcPr>
          <w:p w14:paraId="3C06A580" w14:textId="77777777" w:rsidR="009D4948" w:rsidRPr="00A0555D" w:rsidRDefault="009D4948"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6607F943" w14:textId="77777777" w:rsidR="009D4948" w:rsidRPr="00A0555D" w:rsidRDefault="009D4948" w:rsidP="00874FCF">
            <w:pPr>
              <w:spacing w:before="0" w:after="0" w:line="240" w:lineRule="auto"/>
              <w:ind w:firstLine="0"/>
              <w:jc w:val="center"/>
              <w:rPr>
                <w:rFonts w:eastAsia="Times New Roman"/>
                <w:b/>
                <w:bCs/>
                <w:color w:val="000000"/>
                <w:sz w:val="16"/>
                <w:szCs w:val="16"/>
                <w:lang w:bidi="ar-SA"/>
              </w:rPr>
            </w:pPr>
          </w:p>
        </w:tc>
      </w:tr>
      <w:tr w:rsidR="00DF22D5" w:rsidRPr="00A0555D" w14:paraId="68ADE9ED"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21CF234B"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hideMark/>
          </w:tcPr>
          <w:p w14:paraId="2289C219" w14:textId="517B5B79"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0.852</w:t>
            </w:r>
          </w:p>
        </w:tc>
        <w:tc>
          <w:tcPr>
            <w:tcW w:w="774" w:type="dxa"/>
            <w:tcBorders>
              <w:top w:val="nil"/>
              <w:left w:val="nil"/>
              <w:bottom w:val="nil"/>
              <w:right w:val="nil"/>
            </w:tcBorders>
            <w:shd w:val="clear" w:color="auto" w:fill="auto"/>
            <w:noWrap/>
            <w:hideMark/>
          </w:tcPr>
          <w:p w14:paraId="19E8085C" w14:textId="7FBDC585"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0.864</w:t>
            </w:r>
          </w:p>
        </w:tc>
        <w:tc>
          <w:tcPr>
            <w:tcW w:w="773" w:type="dxa"/>
            <w:tcBorders>
              <w:top w:val="nil"/>
              <w:left w:val="nil"/>
              <w:bottom w:val="nil"/>
              <w:right w:val="nil"/>
            </w:tcBorders>
            <w:shd w:val="clear" w:color="auto" w:fill="auto"/>
            <w:noWrap/>
            <w:hideMark/>
          </w:tcPr>
          <w:p w14:paraId="75956BA3" w14:textId="398E7211"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0.811</w:t>
            </w:r>
          </w:p>
        </w:tc>
        <w:tc>
          <w:tcPr>
            <w:tcW w:w="843" w:type="dxa"/>
            <w:tcBorders>
              <w:top w:val="nil"/>
              <w:left w:val="nil"/>
              <w:bottom w:val="nil"/>
              <w:right w:val="nil"/>
            </w:tcBorders>
            <w:shd w:val="clear" w:color="auto" w:fill="auto"/>
            <w:noWrap/>
            <w:hideMark/>
          </w:tcPr>
          <w:p w14:paraId="004F5197" w14:textId="1FABB392"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0.773</w:t>
            </w:r>
          </w:p>
        </w:tc>
        <w:tc>
          <w:tcPr>
            <w:tcW w:w="704" w:type="dxa"/>
            <w:tcBorders>
              <w:top w:val="nil"/>
              <w:left w:val="nil"/>
              <w:bottom w:val="nil"/>
              <w:right w:val="single" w:sz="4" w:space="0" w:color="auto"/>
            </w:tcBorders>
            <w:shd w:val="clear" w:color="auto" w:fill="auto"/>
            <w:noWrap/>
            <w:hideMark/>
          </w:tcPr>
          <w:p w14:paraId="7DF9CD9E" w14:textId="484B355B"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0.869</w:t>
            </w:r>
          </w:p>
        </w:tc>
        <w:tc>
          <w:tcPr>
            <w:tcW w:w="774" w:type="dxa"/>
            <w:tcBorders>
              <w:left w:val="nil"/>
              <w:right w:val="single" w:sz="4" w:space="0" w:color="auto"/>
            </w:tcBorders>
          </w:tcPr>
          <w:p w14:paraId="73521657" w14:textId="364A1364"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0.777</w:t>
            </w:r>
          </w:p>
        </w:tc>
        <w:tc>
          <w:tcPr>
            <w:tcW w:w="774" w:type="dxa"/>
            <w:tcBorders>
              <w:left w:val="single" w:sz="4" w:space="0" w:color="auto"/>
              <w:right w:val="single" w:sz="4" w:space="0" w:color="auto"/>
            </w:tcBorders>
          </w:tcPr>
          <w:p w14:paraId="2F2FFE12" w14:textId="12E1CF45"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0.929</w:t>
            </w:r>
          </w:p>
        </w:tc>
        <w:tc>
          <w:tcPr>
            <w:tcW w:w="808" w:type="dxa"/>
            <w:tcBorders>
              <w:left w:val="single" w:sz="4" w:space="0" w:color="auto"/>
              <w:right w:val="single" w:sz="4" w:space="0" w:color="auto"/>
            </w:tcBorders>
          </w:tcPr>
          <w:p w14:paraId="5F32B2C2" w14:textId="5ABE50C6"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0.797</w:t>
            </w:r>
          </w:p>
        </w:tc>
        <w:tc>
          <w:tcPr>
            <w:tcW w:w="740" w:type="dxa"/>
            <w:tcBorders>
              <w:left w:val="single" w:sz="4" w:space="0" w:color="auto"/>
              <w:right w:val="single" w:sz="4" w:space="0" w:color="auto"/>
            </w:tcBorders>
          </w:tcPr>
          <w:p w14:paraId="37009B7D" w14:textId="3E2186D6"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0.812</w:t>
            </w:r>
          </w:p>
        </w:tc>
        <w:tc>
          <w:tcPr>
            <w:tcW w:w="880" w:type="dxa"/>
            <w:tcBorders>
              <w:left w:val="single" w:sz="4" w:space="0" w:color="auto"/>
            </w:tcBorders>
          </w:tcPr>
          <w:p w14:paraId="2D59CA2D" w14:textId="2751BDE8"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0.932</w:t>
            </w:r>
          </w:p>
        </w:tc>
      </w:tr>
      <w:tr w:rsidR="00DF22D5" w:rsidRPr="00A0555D" w14:paraId="2639442B"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72F4112C"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hideMark/>
          </w:tcPr>
          <w:p w14:paraId="1843AA4A" w14:textId="450A1EA5"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0.781</w:t>
            </w:r>
          </w:p>
        </w:tc>
        <w:tc>
          <w:tcPr>
            <w:tcW w:w="774" w:type="dxa"/>
            <w:tcBorders>
              <w:top w:val="nil"/>
              <w:left w:val="nil"/>
              <w:bottom w:val="nil"/>
              <w:right w:val="nil"/>
            </w:tcBorders>
            <w:shd w:val="clear" w:color="auto" w:fill="auto"/>
            <w:noWrap/>
            <w:hideMark/>
          </w:tcPr>
          <w:p w14:paraId="76E8A289" w14:textId="19C94A32"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0.774</w:t>
            </w:r>
          </w:p>
        </w:tc>
        <w:tc>
          <w:tcPr>
            <w:tcW w:w="773" w:type="dxa"/>
            <w:tcBorders>
              <w:top w:val="nil"/>
              <w:left w:val="nil"/>
              <w:bottom w:val="nil"/>
              <w:right w:val="nil"/>
            </w:tcBorders>
            <w:shd w:val="clear" w:color="auto" w:fill="auto"/>
            <w:noWrap/>
            <w:hideMark/>
          </w:tcPr>
          <w:p w14:paraId="55B050D0" w14:textId="017F8B7A"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0.766</w:t>
            </w:r>
          </w:p>
        </w:tc>
        <w:tc>
          <w:tcPr>
            <w:tcW w:w="843" w:type="dxa"/>
            <w:tcBorders>
              <w:top w:val="nil"/>
              <w:left w:val="nil"/>
              <w:bottom w:val="nil"/>
              <w:right w:val="nil"/>
            </w:tcBorders>
            <w:shd w:val="clear" w:color="auto" w:fill="auto"/>
            <w:noWrap/>
            <w:hideMark/>
          </w:tcPr>
          <w:p w14:paraId="68191CE4" w14:textId="1C6B9F06"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0.783</w:t>
            </w:r>
          </w:p>
        </w:tc>
        <w:tc>
          <w:tcPr>
            <w:tcW w:w="704" w:type="dxa"/>
            <w:tcBorders>
              <w:top w:val="nil"/>
              <w:left w:val="nil"/>
              <w:bottom w:val="nil"/>
              <w:right w:val="single" w:sz="4" w:space="0" w:color="auto"/>
            </w:tcBorders>
            <w:shd w:val="clear" w:color="auto" w:fill="auto"/>
            <w:noWrap/>
            <w:hideMark/>
          </w:tcPr>
          <w:p w14:paraId="26765529" w14:textId="5BE1616B"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0.801</w:t>
            </w:r>
          </w:p>
        </w:tc>
        <w:tc>
          <w:tcPr>
            <w:tcW w:w="774" w:type="dxa"/>
            <w:tcBorders>
              <w:left w:val="nil"/>
              <w:right w:val="single" w:sz="4" w:space="0" w:color="auto"/>
            </w:tcBorders>
          </w:tcPr>
          <w:p w14:paraId="24ADC2D0" w14:textId="28901A97"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0.674</w:t>
            </w:r>
          </w:p>
        </w:tc>
        <w:tc>
          <w:tcPr>
            <w:tcW w:w="774" w:type="dxa"/>
            <w:tcBorders>
              <w:left w:val="single" w:sz="4" w:space="0" w:color="auto"/>
              <w:right w:val="single" w:sz="4" w:space="0" w:color="auto"/>
            </w:tcBorders>
          </w:tcPr>
          <w:p w14:paraId="391772E4" w14:textId="5921EC83"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0.954</w:t>
            </w:r>
          </w:p>
        </w:tc>
        <w:tc>
          <w:tcPr>
            <w:tcW w:w="808" w:type="dxa"/>
            <w:tcBorders>
              <w:left w:val="single" w:sz="4" w:space="0" w:color="auto"/>
              <w:right w:val="single" w:sz="4" w:space="0" w:color="auto"/>
            </w:tcBorders>
          </w:tcPr>
          <w:p w14:paraId="539F59B0" w14:textId="66E15C67"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0.696</w:t>
            </w:r>
          </w:p>
        </w:tc>
        <w:tc>
          <w:tcPr>
            <w:tcW w:w="740" w:type="dxa"/>
            <w:tcBorders>
              <w:left w:val="single" w:sz="4" w:space="0" w:color="auto"/>
              <w:right w:val="single" w:sz="4" w:space="0" w:color="auto"/>
            </w:tcBorders>
          </w:tcPr>
          <w:p w14:paraId="23408C02" w14:textId="74806618"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0.734</w:t>
            </w:r>
          </w:p>
        </w:tc>
        <w:tc>
          <w:tcPr>
            <w:tcW w:w="880" w:type="dxa"/>
            <w:tcBorders>
              <w:left w:val="single" w:sz="4" w:space="0" w:color="auto"/>
            </w:tcBorders>
          </w:tcPr>
          <w:p w14:paraId="7E47DEBF" w14:textId="408A2FA9"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0.926</w:t>
            </w:r>
          </w:p>
        </w:tc>
      </w:tr>
      <w:tr w:rsidR="00DF22D5" w:rsidRPr="00A0555D" w14:paraId="34F4BA7C"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7DF8E5FB"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hideMark/>
          </w:tcPr>
          <w:p w14:paraId="509BCF82" w14:textId="63F9994C"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0.836</w:t>
            </w:r>
          </w:p>
        </w:tc>
        <w:tc>
          <w:tcPr>
            <w:tcW w:w="774" w:type="dxa"/>
            <w:tcBorders>
              <w:top w:val="nil"/>
              <w:left w:val="nil"/>
              <w:bottom w:val="nil"/>
              <w:right w:val="nil"/>
            </w:tcBorders>
            <w:shd w:val="clear" w:color="auto" w:fill="auto"/>
            <w:noWrap/>
            <w:hideMark/>
          </w:tcPr>
          <w:p w14:paraId="04749BDA" w14:textId="78C88D5C"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0.838</w:t>
            </w:r>
          </w:p>
        </w:tc>
        <w:tc>
          <w:tcPr>
            <w:tcW w:w="773" w:type="dxa"/>
            <w:tcBorders>
              <w:top w:val="nil"/>
              <w:left w:val="nil"/>
              <w:bottom w:val="nil"/>
              <w:right w:val="nil"/>
            </w:tcBorders>
            <w:shd w:val="clear" w:color="auto" w:fill="auto"/>
            <w:noWrap/>
            <w:hideMark/>
          </w:tcPr>
          <w:p w14:paraId="088BA3B6" w14:textId="04069FBE"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0.838</w:t>
            </w:r>
          </w:p>
        </w:tc>
        <w:tc>
          <w:tcPr>
            <w:tcW w:w="843" w:type="dxa"/>
            <w:tcBorders>
              <w:top w:val="nil"/>
              <w:left w:val="nil"/>
              <w:bottom w:val="nil"/>
              <w:right w:val="nil"/>
            </w:tcBorders>
            <w:shd w:val="clear" w:color="auto" w:fill="auto"/>
            <w:noWrap/>
            <w:hideMark/>
          </w:tcPr>
          <w:p w14:paraId="7014225B" w14:textId="41360A10"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0.831</w:t>
            </w:r>
          </w:p>
        </w:tc>
        <w:tc>
          <w:tcPr>
            <w:tcW w:w="704" w:type="dxa"/>
            <w:tcBorders>
              <w:top w:val="nil"/>
              <w:left w:val="nil"/>
              <w:bottom w:val="nil"/>
              <w:right w:val="single" w:sz="4" w:space="0" w:color="auto"/>
            </w:tcBorders>
            <w:shd w:val="clear" w:color="auto" w:fill="auto"/>
            <w:noWrap/>
            <w:hideMark/>
          </w:tcPr>
          <w:p w14:paraId="4F76E176" w14:textId="41DC7536"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0.789</w:t>
            </w:r>
          </w:p>
        </w:tc>
        <w:tc>
          <w:tcPr>
            <w:tcW w:w="774" w:type="dxa"/>
            <w:tcBorders>
              <w:left w:val="nil"/>
              <w:right w:val="single" w:sz="4" w:space="0" w:color="auto"/>
            </w:tcBorders>
          </w:tcPr>
          <w:p w14:paraId="1EB454FE" w14:textId="50496C10"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0.803</w:t>
            </w:r>
          </w:p>
        </w:tc>
        <w:tc>
          <w:tcPr>
            <w:tcW w:w="774" w:type="dxa"/>
            <w:tcBorders>
              <w:left w:val="single" w:sz="4" w:space="0" w:color="auto"/>
              <w:right w:val="single" w:sz="4" w:space="0" w:color="auto"/>
            </w:tcBorders>
          </w:tcPr>
          <w:p w14:paraId="072D680C" w14:textId="0887C385"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0.944</w:t>
            </w:r>
          </w:p>
        </w:tc>
        <w:tc>
          <w:tcPr>
            <w:tcW w:w="808" w:type="dxa"/>
            <w:tcBorders>
              <w:left w:val="single" w:sz="4" w:space="0" w:color="auto"/>
              <w:right w:val="single" w:sz="4" w:space="0" w:color="auto"/>
            </w:tcBorders>
          </w:tcPr>
          <w:p w14:paraId="73FD4AAE" w14:textId="39D0E607"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0.823</w:t>
            </w:r>
          </w:p>
        </w:tc>
        <w:tc>
          <w:tcPr>
            <w:tcW w:w="740" w:type="dxa"/>
            <w:tcBorders>
              <w:left w:val="single" w:sz="4" w:space="0" w:color="auto"/>
              <w:right w:val="single" w:sz="4" w:space="0" w:color="auto"/>
            </w:tcBorders>
          </w:tcPr>
          <w:p w14:paraId="5726E980" w14:textId="394C77B2"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0.773</w:t>
            </w:r>
          </w:p>
        </w:tc>
        <w:tc>
          <w:tcPr>
            <w:tcW w:w="880" w:type="dxa"/>
            <w:tcBorders>
              <w:left w:val="single" w:sz="4" w:space="0" w:color="auto"/>
            </w:tcBorders>
          </w:tcPr>
          <w:p w14:paraId="0AD8A9BF" w14:textId="0E97F6CF"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0.949</w:t>
            </w:r>
          </w:p>
        </w:tc>
      </w:tr>
      <w:tr w:rsidR="00DF22D5" w:rsidRPr="00A0555D" w14:paraId="1EEE9EA4"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2BA3066F"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hideMark/>
          </w:tcPr>
          <w:p w14:paraId="283A8C91" w14:textId="273E1CE9"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0.861</w:t>
            </w:r>
          </w:p>
        </w:tc>
        <w:tc>
          <w:tcPr>
            <w:tcW w:w="774" w:type="dxa"/>
            <w:tcBorders>
              <w:top w:val="nil"/>
              <w:left w:val="nil"/>
              <w:bottom w:val="nil"/>
              <w:right w:val="nil"/>
            </w:tcBorders>
            <w:shd w:val="clear" w:color="auto" w:fill="auto"/>
            <w:noWrap/>
            <w:hideMark/>
          </w:tcPr>
          <w:p w14:paraId="692F7203" w14:textId="1D0DC43E"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0.823</w:t>
            </w:r>
          </w:p>
        </w:tc>
        <w:tc>
          <w:tcPr>
            <w:tcW w:w="773" w:type="dxa"/>
            <w:tcBorders>
              <w:top w:val="nil"/>
              <w:left w:val="nil"/>
              <w:bottom w:val="nil"/>
              <w:right w:val="nil"/>
            </w:tcBorders>
            <w:shd w:val="clear" w:color="auto" w:fill="auto"/>
            <w:noWrap/>
            <w:hideMark/>
          </w:tcPr>
          <w:p w14:paraId="5C35C709" w14:textId="6FDB86A5"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0.849</w:t>
            </w:r>
          </w:p>
        </w:tc>
        <w:tc>
          <w:tcPr>
            <w:tcW w:w="843" w:type="dxa"/>
            <w:tcBorders>
              <w:top w:val="nil"/>
              <w:left w:val="nil"/>
              <w:bottom w:val="nil"/>
              <w:right w:val="nil"/>
            </w:tcBorders>
            <w:shd w:val="clear" w:color="auto" w:fill="auto"/>
            <w:noWrap/>
            <w:hideMark/>
          </w:tcPr>
          <w:p w14:paraId="16219E55" w14:textId="705CA8CF"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0.878</w:t>
            </w:r>
          </w:p>
        </w:tc>
        <w:tc>
          <w:tcPr>
            <w:tcW w:w="704" w:type="dxa"/>
            <w:tcBorders>
              <w:top w:val="nil"/>
              <w:left w:val="nil"/>
              <w:bottom w:val="nil"/>
              <w:right w:val="single" w:sz="4" w:space="0" w:color="auto"/>
            </w:tcBorders>
            <w:shd w:val="clear" w:color="auto" w:fill="auto"/>
            <w:noWrap/>
            <w:hideMark/>
          </w:tcPr>
          <w:p w14:paraId="22C3D23C" w14:textId="76E5D0AF"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0.824</w:t>
            </w:r>
          </w:p>
        </w:tc>
        <w:tc>
          <w:tcPr>
            <w:tcW w:w="774" w:type="dxa"/>
            <w:tcBorders>
              <w:left w:val="nil"/>
              <w:right w:val="single" w:sz="4" w:space="0" w:color="auto"/>
            </w:tcBorders>
          </w:tcPr>
          <w:p w14:paraId="4D6519D8" w14:textId="7D70E52D"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0.814</w:t>
            </w:r>
          </w:p>
        </w:tc>
        <w:tc>
          <w:tcPr>
            <w:tcW w:w="774" w:type="dxa"/>
            <w:tcBorders>
              <w:left w:val="single" w:sz="4" w:space="0" w:color="auto"/>
              <w:right w:val="single" w:sz="4" w:space="0" w:color="auto"/>
            </w:tcBorders>
          </w:tcPr>
          <w:p w14:paraId="3A9D4956" w14:textId="0F457C6C"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0.949</w:t>
            </w:r>
          </w:p>
        </w:tc>
        <w:tc>
          <w:tcPr>
            <w:tcW w:w="808" w:type="dxa"/>
            <w:tcBorders>
              <w:left w:val="single" w:sz="4" w:space="0" w:color="auto"/>
              <w:right w:val="single" w:sz="4" w:space="0" w:color="auto"/>
            </w:tcBorders>
          </w:tcPr>
          <w:p w14:paraId="3F13483A" w14:textId="0BF091EE"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0.654</w:t>
            </w:r>
          </w:p>
        </w:tc>
        <w:tc>
          <w:tcPr>
            <w:tcW w:w="740" w:type="dxa"/>
            <w:tcBorders>
              <w:left w:val="single" w:sz="4" w:space="0" w:color="auto"/>
              <w:right w:val="single" w:sz="4" w:space="0" w:color="auto"/>
            </w:tcBorders>
          </w:tcPr>
          <w:p w14:paraId="61C6A6B2" w14:textId="55F7CE68"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0.899</w:t>
            </w:r>
          </w:p>
        </w:tc>
        <w:tc>
          <w:tcPr>
            <w:tcW w:w="880" w:type="dxa"/>
            <w:tcBorders>
              <w:left w:val="single" w:sz="4" w:space="0" w:color="auto"/>
            </w:tcBorders>
          </w:tcPr>
          <w:p w14:paraId="1CF5DB66" w14:textId="53A4DEE5"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0.952</w:t>
            </w:r>
          </w:p>
        </w:tc>
      </w:tr>
      <w:tr w:rsidR="00DF22D5" w:rsidRPr="00A0555D" w14:paraId="2E3BD8B9"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4348B11A"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hideMark/>
          </w:tcPr>
          <w:p w14:paraId="56BEFCC6" w14:textId="046ED49D"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0.806</w:t>
            </w:r>
          </w:p>
        </w:tc>
        <w:tc>
          <w:tcPr>
            <w:tcW w:w="774" w:type="dxa"/>
            <w:tcBorders>
              <w:top w:val="nil"/>
              <w:left w:val="nil"/>
              <w:bottom w:val="nil"/>
              <w:right w:val="nil"/>
            </w:tcBorders>
            <w:shd w:val="clear" w:color="auto" w:fill="auto"/>
            <w:noWrap/>
            <w:hideMark/>
          </w:tcPr>
          <w:p w14:paraId="77F418F5" w14:textId="51067DEB"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0.801</w:t>
            </w:r>
          </w:p>
        </w:tc>
        <w:tc>
          <w:tcPr>
            <w:tcW w:w="773" w:type="dxa"/>
            <w:tcBorders>
              <w:top w:val="nil"/>
              <w:left w:val="nil"/>
              <w:bottom w:val="nil"/>
              <w:right w:val="nil"/>
            </w:tcBorders>
            <w:shd w:val="clear" w:color="auto" w:fill="auto"/>
            <w:noWrap/>
            <w:hideMark/>
          </w:tcPr>
          <w:p w14:paraId="6A6E77D2" w14:textId="489D84DC"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0.740</w:t>
            </w:r>
          </w:p>
        </w:tc>
        <w:tc>
          <w:tcPr>
            <w:tcW w:w="843" w:type="dxa"/>
            <w:tcBorders>
              <w:top w:val="nil"/>
              <w:left w:val="nil"/>
              <w:bottom w:val="nil"/>
              <w:right w:val="nil"/>
            </w:tcBorders>
            <w:shd w:val="clear" w:color="auto" w:fill="auto"/>
            <w:noWrap/>
            <w:hideMark/>
          </w:tcPr>
          <w:p w14:paraId="2AF7A734" w14:textId="1199AB1E"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0.776</w:t>
            </w:r>
          </w:p>
        </w:tc>
        <w:tc>
          <w:tcPr>
            <w:tcW w:w="704" w:type="dxa"/>
            <w:tcBorders>
              <w:top w:val="nil"/>
              <w:left w:val="nil"/>
              <w:bottom w:val="nil"/>
              <w:right w:val="single" w:sz="4" w:space="0" w:color="auto"/>
            </w:tcBorders>
            <w:shd w:val="clear" w:color="auto" w:fill="auto"/>
            <w:noWrap/>
            <w:hideMark/>
          </w:tcPr>
          <w:p w14:paraId="79D64FA7" w14:textId="58EBB331"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0.851</w:t>
            </w:r>
          </w:p>
        </w:tc>
        <w:tc>
          <w:tcPr>
            <w:tcW w:w="774" w:type="dxa"/>
            <w:tcBorders>
              <w:left w:val="nil"/>
              <w:right w:val="single" w:sz="4" w:space="0" w:color="auto"/>
            </w:tcBorders>
          </w:tcPr>
          <w:p w14:paraId="2DBAAABC" w14:textId="525698FB"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0.814</w:t>
            </w:r>
          </w:p>
        </w:tc>
        <w:tc>
          <w:tcPr>
            <w:tcW w:w="774" w:type="dxa"/>
            <w:tcBorders>
              <w:left w:val="single" w:sz="4" w:space="0" w:color="auto"/>
              <w:right w:val="single" w:sz="4" w:space="0" w:color="auto"/>
            </w:tcBorders>
          </w:tcPr>
          <w:p w14:paraId="6D34CBE1" w14:textId="78CECD7E"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0.934</w:t>
            </w:r>
          </w:p>
        </w:tc>
        <w:tc>
          <w:tcPr>
            <w:tcW w:w="808" w:type="dxa"/>
            <w:tcBorders>
              <w:left w:val="single" w:sz="4" w:space="0" w:color="auto"/>
              <w:right w:val="single" w:sz="4" w:space="0" w:color="auto"/>
            </w:tcBorders>
          </w:tcPr>
          <w:p w14:paraId="1D7E71EC" w14:textId="299D74BF"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0.742</w:t>
            </w:r>
          </w:p>
        </w:tc>
        <w:tc>
          <w:tcPr>
            <w:tcW w:w="740" w:type="dxa"/>
            <w:tcBorders>
              <w:left w:val="single" w:sz="4" w:space="0" w:color="auto"/>
              <w:right w:val="single" w:sz="4" w:space="0" w:color="auto"/>
            </w:tcBorders>
          </w:tcPr>
          <w:p w14:paraId="16E535E4" w14:textId="1732B953"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0.683</w:t>
            </w:r>
          </w:p>
        </w:tc>
        <w:tc>
          <w:tcPr>
            <w:tcW w:w="880" w:type="dxa"/>
            <w:tcBorders>
              <w:left w:val="single" w:sz="4" w:space="0" w:color="auto"/>
            </w:tcBorders>
          </w:tcPr>
          <w:p w14:paraId="7251266B" w14:textId="606AB871"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0.907</w:t>
            </w:r>
          </w:p>
        </w:tc>
      </w:tr>
      <w:tr w:rsidR="00DF22D5" w:rsidRPr="00A0555D" w14:paraId="6A958913" w14:textId="77777777" w:rsidTr="00FC17E4">
        <w:trPr>
          <w:trHeight w:val="144"/>
        </w:trPr>
        <w:tc>
          <w:tcPr>
            <w:tcW w:w="1613" w:type="dxa"/>
            <w:tcBorders>
              <w:top w:val="nil"/>
              <w:left w:val="nil"/>
              <w:bottom w:val="nil"/>
              <w:right w:val="single" w:sz="4" w:space="0" w:color="auto"/>
            </w:tcBorders>
            <w:shd w:val="clear" w:color="auto" w:fill="auto"/>
            <w:noWrap/>
            <w:vAlign w:val="bottom"/>
            <w:hideMark/>
          </w:tcPr>
          <w:p w14:paraId="48F602CE"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hideMark/>
          </w:tcPr>
          <w:p w14:paraId="20D66B42" w14:textId="27E2AA87"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0.870</w:t>
            </w:r>
          </w:p>
        </w:tc>
        <w:tc>
          <w:tcPr>
            <w:tcW w:w="774" w:type="dxa"/>
            <w:tcBorders>
              <w:top w:val="nil"/>
              <w:left w:val="nil"/>
              <w:bottom w:val="single" w:sz="4" w:space="0" w:color="auto"/>
              <w:right w:val="nil"/>
            </w:tcBorders>
            <w:shd w:val="clear" w:color="auto" w:fill="auto"/>
            <w:noWrap/>
            <w:hideMark/>
          </w:tcPr>
          <w:p w14:paraId="5CDD9552" w14:textId="583AEC1B"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0.885</w:t>
            </w:r>
          </w:p>
        </w:tc>
        <w:tc>
          <w:tcPr>
            <w:tcW w:w="773" w:type="dxa"/>
            <w:tcBorders>
              <w:top w:val="nil"/>
              <w:left w:val="nil"/>
              <w:bottom w:val="single" w:sz="4" w:space="0" w:color="auto"/>
              <w:right w:val="nil"/>
            </w:tcBorders>
            <w:shd w:val="clear" w:color="auto" w:fill="auto"/>
            <w:noWrap/>
            <w:hideMark/>
          </w:tcPr>
          <w:p w14:paraId="3BB65C88" w14:textId="512CFC48"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0.853</w:t>
            </w:r>
          </w:p>
        </w:tc>
        <w:tc>
          <w:tcPr>
            <w:tcW w:w="843" w:type="dxa"/>
            <w:tcBorders>
              <w:top w:val="nil"/>
              <w:left w:val="nil"/>
              <w:bottom w:val="single" w:sz="4" w:space="0" w:color="auto"/>
              <w:right w:val="nil"/>
            </w:tcBorders>
            <w:shd w:val="clear" w:color="auto" w:fill="auto"/>
            <w:noWrap/>
            <w:hideMark/>
          </w:tcPr>
          <w:p w14:paraId="5E089CE7" w14:textId="6AA6E353"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0.845</w:t>
            </w:r>
          </w:p>
        </w:tc>
        <w:tc>
          <w:tcPr>
            <w:tcW w:w="704" w:type="dxa"/>
            <w:tcBorders>
              <w:top w:val="nil"/>
              <w:left w:val="nil"/>
              <w:bottom w:val="single" w:sz="4" w:space="0" w:color="auto"/>
              <w:right w:val="single" w:sz="4" w:space="0" w:color="auto"/>
            </w:tcBorders>
            <w:shd w:val="clear" w:color="auto" w:fill="auto"/>
            <w:noWrap/>
            <w:hideMark/>
          </w:tcPr>
          <w:p w14:paraId="0B783F69" w14:textId="0791F703" w:rsidR="00DF22D5" w:rsidRPr="00DF22D5" w:rsidRDefault="00DF22D5" w:rsidP="00DF22D5">
            <w:pPr>
              <w:tabs>
                <w:tab w:val="decimal" w:pos="172"/>
              </w:tabs>
              <w:spacing w:before="0" w:after="0" w:line="240" w:lineRule="auto"/>
              <w:ind w:firstLine="0"/>
              <w:rPr>
                <w:color w:val="000000"/>
                <w:sz w:val="16"/>
                <w:szCs w:val="16"/>
              </w:rPr>
            </w:pPr>
            <w:r w:rsidRPr="00DF22D5">
              <w:rPr>
                <w:sz w:val="16"/>
                <w:szCs w:val="16"/>
              </w:rPr>
              <w:t>0.850</w:t>
            </w:r>
          </w:p>
        </w:tc>
        <w:tc>
          <w:tcPr>
            <w:tcW w:w="774" w:type="dxa"/>
            <w:tcBorders>
              <w:left w:val="nil"/>
              <w:bottom w:val="single" w:sz="4" w:space="0" w:color="auto"/>
              <w:right w:val="single" w:sz="4" w:space="0" w:color="auto"/>
            </w:tcBorders>
          </w:tcPr>
          <w:p w14:paraId="1F254B6E" w14:textId="626073E1"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0.698</w:t>
            </w:r>
          </w:p>
        </w:tc>
        <w:tc>
          <w:tcPr>
            <w:tcW w:w="774" w:type="dxa"/>
            <w:tcBorders>
              <w:left w:val="single" w:sz="4" w:space="0" w:color="auto"/>
              <w:bottom w:val="single" w:sz="4" w:space="0" w:color="auto"/>
              <w:right w:val="single" w:sz="4" w:space="0" w:color="auto"/>
            </w:tcBorders>
          </w:tcPr>
          <w:p w14:paraId="74CB7BD9" w14:textId="251AED18"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0.959</w:t>
            </w:r>
          </w:p>
        </w:tc>
        <w:tc>
          <w:tcPr>
            <w:tcW w:w="808" w:type="dxa"/>
            <w:tcBorders>
              <w:left w:val="single" w:sz="4" w:space="0" w:color="auto"/>
              <w:bottom w:val="single" w:sz="4" w:space="0" w:color="auto"/>
              <w:right w:val="single" w:sz="4" w:space="0" w:color="auto"/>
            </w:tcBorders>
          </w:tcPr>
          <w:p w14:paraId="3D5B1936" w14:textId="33A9A6B7"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0.751</w:t>
            </w:r>
          </w:p>
        </w:tc>
        <w:tc>
          <w:tcPr>
            <w:tcW w:w="740" w:type="dxa"/>
            <w:tcBorders>
              <w:left w:val="single" w:sz="4" w:space="0" w:color="auto"/>
              <w:bottom w:val="single" w:sz="4" w:space="0" w:color="auto"/>
              <w:right w:val="single" w:sz="4" w:space="0" w:color="auto"/>
            </w:tcBorders>
          </w:tcPr>
          <w:p w14:paraId="6AE2FD50" w14:textId="18C98E8A"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0.823</w:t>
            </w:r>
          </w:p>
        </w:tc>
        <w:tc>
          <w:tcPr>
            <w:tcW w:w="880" w:type="dxa"/>
            <w:tcBorders>
              <w:left w:val="single" w:sz="4" w:space="0" w:color="auto"/>
              <w:bottom w:val="single" w:sz="4" w:space="0" w:color="auto"/>
            </w:tcBorders>
          </w:tcPr>
          <w:p w14:paraId="211CD7F5" w14:textId="21452766" w:rsidR="00DF22D5" w:rsidRPr="00DF22D5" w:rsidRDefault="00DF22D5" w:rsidP="00DF22D5">
            <w:pPr>
              <w:tabs>
                <w:tab w:val="decimal" w:pos="184"/>
              </w:tabs>
              <w:spacing w:before="0" w:after="0" w:line="240" w:lineRule="auto"/>
              <w:ind w:firstLine="0"/>
              <w:rPr>
                <w:color w:val="000000"/>
                <w:sz w:val="16"/>
                <w:szCs w:val="16"/>
              </w:rPr>
            </w:pPr>
            <w:r w:rsidRPr="00DF22D5">
              <w:rPr>
                <w:sz w:val="16"/>
                <w:szCs w:val="16"/>
              </w:rPr>
              <w:t>0.913</w:t>
            </w:r>
          </w:p>
        </w:tc>
      </w:tr>
      <w:tr w:rsidR="00155671" w:rsidRPr="00A0555D" w14:paraId="164E272A" w14:textId="77777777" w:rsidTr="00BD0EBA">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05B88B27" w14:textId="77777777" w:rsidR="009D4948" w:rsidRPr="00A0555D" w:rsidRDefault="009D494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13BF0434" w14:textId="492ECDED" w:rsidR="009D4948" w:rsidRPr="00A0555D" w:rsidRDefault="009D494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2210F8BD" w14:textId="670BC26D" w:rsidR="009D4948" w:rsidRPr="00A0555D" w:rsidRDefault="009D4948"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002326D5" w14:textId="353901ED" w:rsidR="009D4948" w:rsidRPr="00A0555D" w:rsidRDefault="009D4948"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5F956762" w14:textId="771D2C4A" w:rsidR="009D4948" w:rsidRPr="00A0555D" w:rsidRDefault="009D4948"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01AC08AD" w14:textId="4B181CFE" w:rsidR="009D4948" w:rsidRPr="00A0555D" w:rsidRDefault="009D494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3FD59031" w14:textId="7F611964" w:rsidR="009D4948" w:rsidRPr="006016B0" w:rsidRDefault="009D4948"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7F097C3E" w14:textId="2238FD7B" w:rsidR="009D4948" w:rsidRPr="006016B0" w:rsidRDefault="009D4948"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right w:val="single" w:sz="4" w:space="0" w:color="auto"/>
            </w:tcBorders>
            <w:vAlign w:val="bottom"/>
          </w:tcPr>
          <w:p w14:paraId="29F06291" w14:textId="3541391E" w:rsidR="009D4948" w:rsidRPr="006016B0" w:rsidRDefault="009D4948"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right w:val="single" w:sz="4" w:space="0" w:color="auto"/>
            </w:tcBorders>
            <w:vAlign w:val="bottom"/>
          </w:tcPr>
          <w:p w14:paraId="06021AE3" w14:textId="3714D522" w:rsidR="009D4948" w:rsidRPr="006016B0" w:rsidRDefault="009D4948"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19CE3183" w14:textId="6E2C5DBC" w:rsidR="009D4948" w:rsidRPr="006016B0" w:rsidRDefault="009D4948" w:rsidP="006016B0">
            <w:pPr>
              <w:tabs>
                <w:tab w:val="decimal" w:pos="184"/>
              </w:tabs>
              <w:spacing w:before="0" w:after="0" w:line="240" w:lineRule="auto"/>
              <w:ind w:firstLine="0"/>
              <w:rPr>
                <w:color w:val="000000"/>
                <w:sz w:val="16"/>
                <w:szCs w:val="16"/>
              </w:rPr>
            </w:pPr>
          </w:p>
        </w:tc>
      </w:tr>
      <w:tr w:rsidR="00DF22D5" w:rsidRPr="00A0555D" w14:paraId="5F042D8F"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F412F0E"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hideMark/>
          </w:tcPr>
          <w:p w14:paraId="12B6F9CA" w14:textId="1AB47397"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0.747</w:t>
            </w:r>
          </w:p>
        </w:tc>
        <w:tc>
          <w:tcPr>
            <w:tcW w:w="774" w:type="dxa"/>
            <w:tcBorders>
              <w:top w:val="nil"/>
              <w:left w:val="nil"/>
              <w:bottom w:val="nil"/>
              <w:right w:val="nil"/>
            </w:tcBorders>
            <w:shd w:val="clear" w:color="auto" w:fill="auto"/>
            <w:noWrap/>
            <w:vAlign w:val="bottom"/>
            <w:hideMark/>
          </w:tcPr>
          <w:p w14:paraId="10997BB9" w14:textId="3788A02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0.835</w:t>
            </w:r>
          </w:p>
        </w:tc>
        <w:tc>
          <w:tcPr>
            <w:tcW w:w="773" w:type="dxa"/>
            <w:tcBorders>
              <w:top w:val="nil"/>
              <w:left w:val="nil"/>
              <w:bottom w:val="nil"/>
              <w:right w:val="nil"/>
            </w:tcBorders>
            <w:shd w:val="clear" w:color="auto" w:fill="auto"/>
            <w:noWrap/>
            <w:vAlign w:val="bottom"/>
            <w:hideMark/>
          </w:tcPr>
          <w:p w14:paraId="6B2C2AAB" w14:textId="33920AD1"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0.719</w:t>
            </w:r>
          </w:p>
        </w:tc>
        <w:tc>
          <w:tcPr>
            <w:tcW w:w="843" w:type="dxa"/>
            <w:tcBorders>
              <w:top w:val="nil"/>
              <w:left w:val="nil"/>
              <w:bottom w:val="nil"/>
              <w:right w:val="nil"/>
            </w:tcBorders>
            <w:shd w:val="clear" w:color="auto" w:fill="auto"/>
            <w:noWrap/>
            <w:vAlign w:val="bottom"/>
            <w:hideMark/>
          </w:tcPr>
          <w:p w14:paraId="186DC062" w14:textId="4A7ECE1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0.668</w:t>
            </w:r>
          </w:p>
        </w:tc>
        <w:tc>
          <w:tcPr>
            <w:tcW w:w="704" w:type="dxa"/>
            <w:tcBorders>
              <w:top w:val="nil"/>
              <w:left w:val="nil"/>
              <w:bottom w:val="nil"/>
              <w:right w:val="single" w:sz="4" w:space="0" w:color="auto"/>
            </w:tcBorders>
            <w:shd w:val="clear" w:color="auto" w:fill="auto"/>
            <w:noWrap/>
            <w:vAlign w:val="bottom"/>
            <w:hideMark/>
          </w:tcPr>
          <w:p w14:paraId="457A368F" w14:textId="238FA7A8"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0.728</w:t>
            </w:r>
          </w:p>
        </w:tc>
        <w:tc>
          <w:tcPr>
            <w:tcW w:w="774" w:type="dxa"/>
            <w:tcBorders>
              <w:left w:val="nil"/>
              <w:right w:val="single" w:sz="4" w:space="0" w:color="auto"/>
            </w:tcBorders>
            <w:vAlign w:val="bottom"/>
          </w:tcPr>
          <w:p w14:paraId="7C8BE64F" w14:textId="2C2635A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0.841</w:t>
            </w:r>
          </w:p>
        </w:tc>
        <w:tc>
          <w:tcPr>
            <w:tcW w:w="774" w:type="dxa"/>
            <w:tcBorders>
              <w:left w:val="single" w:sz="4" w:space="0" w:color="auto"/>
              <w:right w:val="single" w:sz="4" w:space="0" w:color="auto"/>
            </w:tcBorders>
            <w:vAlign w:val="bottom"/>
          </w:tcPr>
          <w:p w14:paraId="1E0F6727" w14:textId="0434680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0.945</w:t>
            </w:r>
          </w:p>
        </w:tc>
        <w:tc>
          <w:tcPr>
            <w:tcW w:w="808" w:type="dxa"/>
            <w:tcBorders>
              <w:left w:val="single" w:sz="4" w:space="0" w:color="auto"/>
              <w:right w:val="single" w:sz="4" w:space="0" w:color="auto"/>
            </w:tcBorders>
            <w:vAlign w:val="bottom"/>
          </w:tcPr>
          <w:p w14:paraId="4FF4FFC9" w14:textId="0314884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0.740</w:t>
            </w:r>
          </w:p>
        </w:tc>
        <w:tc>
          <w:tcPr>
            <w:tcW w:w="740" w:type="dxa"/>
            <w:tcBorders>
              <w:left w:val="single" w:sz="4" w:space="0" w:color="auto"/>
              <w:right w:val="single" w:sz="4" w:space="0" w:color="auto"/>
            </w:tcBorders>
            <w:vAlign w:val="bottom"/>
          </w:tcPr>
          <w:p w14:paraId="050599D7" w14:textId="671BEBD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0.555</w:t>
            </w:r>
          </w:p>
        </w:tc>
        <w:tc>
          <w:tcPr>
            <w:tcW w:w="880" w:type="dxa"/>
            <w:tcBorders>
              <w:left w:val="single" w:sz="4" w:space="0" w:color="auto"/>
            </w:tcBorders>
            <w:vAlign w:val="bottom"/>
          </w:tcPr>
          <w:p w14:paraId="42EB7C16" w14:textId="1A907D3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0.944</w:t>
            </w:r>
          </w:p>
        </w:tc>
      </w:tr>
      <w:tr w:rsidR="00DF22D5" w:rsidRPr="00A0555D" w14:paraId="3E76DCDF"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E54B16C"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hideMark/>
          </w:tcPr>
          <w:p w14:paraId="52275A58" w14:textId="657253F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0.763</w:t>
            </w:r>
          </w:p>
        </w:tc>
        <w:tc>
          <w:tcPr>
            <w:tcW w:w="774" w:type="dxa"/>
            <w:tcBorders>
              <w:top w:val="nil"/>
              <w:left w:val="nil"/>
              <w:bottom w:val="nil"/>
              <w:right w:val="nil"/>
            </w:tcBorders>
            <w:shd w:val="clear" w:color="auto" w:fill="auto"/>
            <w:noWrap/>
            <w:vAlign w:val="bottom"/>
            <w:hideMark/>
          </w:tcPr>
          <w:p w14:paraId="4AC1C134" w14:textId="55C6268A"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0.799</w:t>
            </w:r>
          </w:p>
        </w:tc>
        <w:tc>
          <w:tcPr>
            <w:tcW w:w="773" w:type="dxa"/>
            <w:tcBorders>
              <w:top w:val="nil"/>
              <w:left w:val="nil"/>
              <w:bottom w:val="nil"/>
              <w:right w:val="nil"/>
            </w:tcBorders>
            <w:shd w:val="clear" w:color="auto" w:fill="auto"/>
            <w:noWrap/>
            <w:vAlign w:val="bottom"/>
            <w:hideMark/>
          </w:tcPr>
          <w:p w14:paraId="061DBC90" w14:textId="70701C12"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0.741</w:t>
            </w:r>
          </w:p>
        </w:tc>
        <w:tc>
          <w:tcPr>
            <w:tcW w:w="843" w:type="dxa"/>
            <w:tcBorders>
              <w:top w:val="nil"/>
              <w:left w:val="nil"/>
              <w:bottom w:val="nil"/>
              <w:right w:val="nil"/>
            </w:tcBorders>
            <w:shd w:val="clear" w:color="auto" w:fill="auto"/>
            <w:noWrap/>
            <w:vAlign w:val="bottom"/>
            <w:hideMark/>
          </w:tcPr>
          <w:p w14:paraId="3DD79D88" w14:textId="32600EC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0.722</w:t>
            </w:r>
          </w:p>
        </w:tc>
        <w:tc>
          <w:tcPr>
            <w:tcW w:w="704" w:type="dxa"/>
            <w:tcBorders>
              <w:top w:val="nil"/>
              <w:left w:val="nil"/>
              <w:bottom w:val="nil"/>
              <w:right w:val="single" w:sz="4" w:space="0" w:color="auto"/>
            </w:tcBorders>
            <w:shd w:val="clear" w:color="auto" w:fill="auto"/>
            <w:noWrap/>
            <w:vAlign w:val="bottom"/>
            <w:hideMark/>
          </w:tcPr>
          <w:p w14:paraId="13C32D3F" w14:textId="33A2C02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0.767</w:t>
            </w:r>
          </w:p>
        </w:tc>
        <w:tc>
          <w:tcPr>
            <w:tcW w:w="774" w:type="dxa"/>
            <w:tcBorders>
              <w:left w:val="nil"/>
              <w:right w:val="single" w:sz="4" w:space="0" w:color="auto"/>
            </w:tcBorders>
            <w:vAlign w:val="bottom"/>
          </w:tcPr>
          <w:p w14:paraId="41AB7E43" w14:textId="34F2E7FB"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0.854</w:t>
            </w:r>
          </w:p>
        </w:tc>
        <w:tc>
          <w:tcPr>
            <w:tcW w:w="774" w:type="dxa"/>
            <w:tcBorders>
              <w:left w:val="single" w:sz="4" w:space="0" w:color="auto"/>
              <w:right w:val="single" w:sz="4" w:space="0" w:color="auto"/>
            </w:tcBorders>
            <w:vAlign w:val="bottom"/>
          </w:tcPr>
          <w:p w14:paraId="6B17A8E7" w14:textId="36641EF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0.964</w:t>
            </w:r>
          </w:p>
        </w:tc>
        <w:tc>
          <w:tcPr>
            <w:tcW w:w="808" w:type="dxa"/>
            <w:tcBorders>
              <w:left w:val="single" w:sz="4" w:space="0" w:color="auto"/>
              <w:right w:val="single" w:sz="4" w:space="0" w:color="auto"/>
            </w:tcBorders>
            <w:vAlign w:val="bottom"/>
          </w:tcPr>
          <w:p w14:paraId="05B79A96" w14:textId="034E7EF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0.737</w:t>
            </w:r>
          </w:p>
        </w:tc>
        <w:tc>
          <w:tcPr>
            <w:tcW w:w="740" w:type="dxa"/>
            <w:tcBorders>
              <w:left w:val="single" w:sz="4" w:space="0" w:color="auto"/>
              <w:right w:val="single" w:sz="4" w:space="0" w:color="auto"/>
            </w:tcBorders>
            <w:vAlign w:val="bottom"/>
          </w:tcPr>
          <w:p w14:paraId="6FB218EC" w14:textId="5D8FE636"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0.692</w:t>
            </w:r>
          </w:p>
        </w:tc>
        <w:tc>
          <w:tcPr>
            <w:tcW w:w="880" w:type="dxa"/>
            <w:tcBorders>
              <w:left w:val="single" w:sz="4" w:space="0" w:color="auto"/>
            </w:tcBorders>
            <w:vAlign w:val="bottom"/>
          </w:tcPr>
          <w:p w14:paraId="1E730AED" w14:textId="5E8DCC0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0.955</w:t>
            </w:r>
          </w:p>
        </w:tc>
      </w:tr>
      <w:tr w:rsidR="00DF22D5" w:rsidRPr="00A0555D" w14:paraId="5B4B187B"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1042862"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hideMark/>
          </w:tcPr>
          <w:p w14:paraId="478E1B7B" w14:textId="26F9EDA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0.673</w:t>
            </w:r>
          </w:p>
        </w:tc>
        <w:tc>
          <w:tcPr>
            <w:tcW w:w="774" w:type="dxa"/>
            <w:tcBorders>
              <w:top w:val="nil"/>
              <w:left w:val="nil"/>
              <w:bottom w:val="nil"/>
              <w:right w:val="nil"/>
            </w:tcBorders>
            <w:shd w:val="clear" w:color="auto" w:fill="auto"/>
            <w:noWrap/>
            <w:vAlign w:val="bottom"/>
            <w:hideMark/>
          </w:tcPr>
          <w:p w14:paraId="31C11C78" w14:textId="2DE8DCA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0.828</w:t>
            </w:r>
          </w:p>
        </w:tc>
        <w:tc>
          <w:tcPr>
            <w:tcW w:w="773" w:type="dxa"/>
            <w:tcBorders>
              <w:top w:val="nil"/>
              <w:left w:val="nil"/>
              <w:bottom w:val="nil"/>
              <w:right w:val="nil"/>
            </w:tcBorders>
            <w:shd w:val="clear" w:color="auto" w:fill="auto"/>
            <w:noWrap/>
            <w:vAlign w:val="bottom"/>
            <w:hideMark/>
          </w:tcPr>
          <w:p w14:paraId="586DF8D1" w14:textId="5382FFE0"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0.665</w:t>
            </w:r>
          </w:p>
        </w:tc>
        <w:tc>
          <w:tcPr>
            <w:tcW w:w="843" w:type="dxa"/>
            <w:tcBorders>
              <w:top w:val="nil"/>
              <w:left w:val="nil"/>
              <w:bottom w:val="nil"/>
              <w:right w:val="nil"/>
            </w:tcBorders>
            <w:shd w:val="clear" w:color="auto" w:fill="auto"/>
            <w:noWrap/>
            <w:vAlign w:val="bottom"/>
            <w:hideMark/>
          </w:tcPr>
          <w:p w14:paraId="0DEF3FDF" w14:textId="6B01E258"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0.585</w:t>
            </w:r>
          </w:p>
        </w:tc>
        <w:tc>
          <w:tcPr>
            <w:tcW w:w="704" w:type="dxa"/>
            <w:tcBorders>
              <w:top w:val="nil"/>
              <w:left w:val="nil"/>
              <w:bottom w:val="nil"/>
              <w:right w:val="single" w:sz="4" w:space="0" w:color="auto"/>
            </w:tcBorders>
            <w:shd w:val="clear" w:color="auto" w:fill="auto"/>
            <w:noWrap/>
            <w:vAlign w:val="bottom"/>
            <w:hideMark/>
          </w:tcPr>
          <w:p w14:paraId="2E720E9A" w14:textId="5B1A022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0.589</w:t>
            </w:r>
          </w:p>
        </w:tc>
        <w:tc>
          <w:tcPr>
            <w:tcW w:w="774" w:type="dxa"/>
            <w:tcBorders>
              <w:left w:val="nil"/>
              <w:right w:val="single" w:sz="4" w:space="0" w:color="auto"/>
            </w:tcBorders>
            <w:vAlign w:val="bottom"/>
          </w:tcPr>
          <w:p w14:paraId="68A6F373" w14:textId="1808AF2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0.743</w:t>
            </w:r>
          </w:p>
        </w:tc>
        <w:tc>
          <w:tcPr>
            <w:tcW w:w="774" w:type="dxa"/>
            <w:tcBorders>
              <w:left w:val="single" w:sz="4" w:space="0" w:color="auto"/>
              <w:right w:val="single" w:sz="4" w:space="0" w:color="auto"/>
            </w:tcBorders>
            <w:vAlign w:val="bottom"/>
          </w:tcPr>
          <w:p w14:paraId="67D663E2" w14:textId="1ED867A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0.956</w:t>
            </w:r>
          </w:p>
        </w:tc>
        <w:tc>
          <w:tcPr>
            <w:tcW w:w="808" w:type="dxa"/>
            <w:tcBorders>
              <w:left w:val="single" w:sz="4" w:space="0" w:color="auto"/>
              <w:right w:val="single" w:sz="4" w:space="0" w:color="auto"/>
            </w:tcBorders>
            <w:vAlign w:val="bottom"/>
          </w:tcPr>
          <w:p w14:paraId="26C2BE87" w14:textId="7B647BA0"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0.739</w:t>
            </w:r>
          </w:p>
        </w:tc>
        <w:tc>
          <w:tcPr>
            <w:tcW w:w="740" w:type="dxa"/>
            <w:tcBorders>
              <w:left w:val="single" w:sz="4" w:space="0" w:color="auto"/>
              <w:right w:val="single" w:sz="4" w:space="0" w:color="auto"/>
            </w:tcBorders>
            <w:vAlign w:val="bottom"/>
          </w:tcPr>
          <w:p w14:paraId="18140A53" w14:textId="47E5297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0.516</w:t>
            </w:r>
          </w:p>
        </w:tc>
        <w:tc>
          <w:tcPr>
            <w:tcW w:w="880" w:type="dxa"/>
            <w:tcBorders>
              <w:left w:val="single" w:sz="4" w:space="0" w:color="auto"/>
            </w:tcBorders>
            <w:vAlign w:val="bottom"/>
          </w:tcPr>
          <w:p w14:paraId="53DCDE5B" w14:textId="2E8347EE"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0.948</w:t>
            </w:r>
          </w:p>
        </w:tc>
      </w:tr>
      <w:tr w:rsidR="00DF22D5" w:rsidRPr="00A0555D" w14:paraId="01F3BD3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AF71533"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hideMark/>
          </w:tcPr>
          <w:p w14:paraId="23F542A9" w14:textId="16D1458A"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0.837</w:t>
            </w:r>
          </w:p>
        </w:tc>
        <w:tc>
          <w:tcPr>
            <w:tcW w:w="774" w:type="dxa"/>
            <w:tcBorders>
              <w:top w:val="nil"/>
              <w:left w:val="nil"/>
              <w:bottom w:val="nil"/>
              <w:right w:val="nil"/>
            </w:tcBorders>
            <w:shd w:val="clear" w:color="auto" w:fill="auto"/>
            <w:noWrap/>
            <w:vAlign w:val="bottom"/>
            <w:hideMark/>
          </w:tcPr>
          <w:p w14:paraId="130B0E10" w14:textId="4FF05C1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0.782</w:t>
            </w:r>
          </w:p>
        </w:tc>
        <w:tc>
          <w:tcPr>
            <w:tcW w:w="773" w:type="dxa"/>
            <w:tcBorders>
              <w:top w:val="nil"/>
              <w:left w:val="nil"/>
              <w:bottom w:val="nil"/>
              <w:right w:val="nil"/>
            </w:tcBorders>
            <w:shd w:val="clear" w:color="auto" w:fill="auto"/>
            <w:noWrap/>
            <w:vAlign w:val="bottom"/>
            <w:hideMark/>
          </w:tcPr>
          <w:p w14:paraId="2A2725ED" w14:textId="2FDEF90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0.854</w:t>
            </w:r>
          </w:p>
        </w:tc>
        <w:tc>
          <w:tcPr>
            <w:tcW w:w="843" w:type="dxa"/>
            <w:tcBorders>
              <w:top w:val="nil"/>
              <w:left w:val="nil"/>
              <w:bottom w:val="nil"/>
              <w:right w:val="nil"/>
            </w:tcBorders>
            <w:shd w:val="clear" w:color="auto" w:fill="auto"/>
            <w:noWrap/>
            <w:vAlign w:val="bottom"/>
            <w:hideMark/>
          </w:tcPr>
          <w:p w14:paraId="3AE6ABB9" w14:textId="1F46253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0.798</w:t>
            </w:r>
          </w:p>
        </w:tc>
        <w:tc>
          <w:tcPr>
            <w:tcW w:w="704" w:type="dxa"/>
            <w:tcBorders>
              <w:top w:val="nil"/>
              <w:left w:val="nil"/>
              <w:bottom w:val="nil"/>
              <w:right w:val="single" w:sz="4" w:space="0" w:color="auto"/>
            </w:tcBorders>
            <w:shd w:val="clear" w:color="auto" w:fill="auto"/>
            <w:noWrap/>
            <w:vAlign w:val="bottom"/>
            <w:hideMark/>
          </w:tcPr>
          <w:p w14:paraId="3E569BA5" w14:textId="29C0120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0.801</w:t>
            </w:r>
          </w:p>
        </w:tc>
        <w:tc>
          <w:tcPr>
            <w:tcW w:w="774" w:type="dxa"/>
            <w:tcBorders>
              <w:left w:val="nil"/>
              <w:right w:val="single" w:sz="4" w:space="0" w:color="auto"/>
            </w:tcBorders>
            <w:vAlign w:val="bottom"/>
          </w:tcPr>
          <w:p w14:paraId="1B9DCEB4" w14:textId="221F83C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0.900</w:t>
            </w:r>
          </w:p>
        </w:tc>
        <w:tc>
          <w:tcPr>
            <w:tcW w:w="774" w:type="dxa"/>
            <w:tcBorders>
              <w:left w:val="single" w:sz="4" w:space="0" w:color="auto"/>
              <w:right w:val="single" w:sz="4" w:space="0" w:color="auto"/>
            </w:tcBorders>
            <w:vAlign w:val="bottom"/>
          </w:tcPr>
          <w:p w14:paraId="100F86FE" w14:textId="39AF5A8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0.959</w:t>
            </w:r>
          </w:p>
        </w:tc>
        <w:tc>
          <w:tcPr>
            <w:tcW w:w="808" w:type="dxa"/>
            <w:tcBorders>
              <w:left w:val="single" w:sz="4" w:space="0" w:color="auto"/>
              <w:right w:val="single" w:sz="4" w:space="0" w:color="auto"/>
            </w:tcBorders>
            <w:vAlign w:val="bottom"/>
          </w:tcPr>
          <w:p w14:paraId="3EBA6935" w14:textId="4C468D5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0.781</w:t>
            </w:r>
          </w:p>
        </w:tc>
        <w:tc>
          <w:tcPr>
            <w:tcW w:w="740" w:type="dxa"/>
            <w:tcBorders>
              <w:left w:val="single" w:sz="4" w:space="0" w:color="auto"/>
              <w:right w:val="single" w:sz="4" w:space="0" w:color="auto"/>
            </w:tcBorders>
            <w:vAlign w:val="bottom"/>
          </w:tcPr>
          <w:p w14:paraId="1062F32B" w14:textId="6D328C22"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0.790</w:t>
            </w:r>
          </w:p>
        </w:tc>
        <w:tc>
          <w:tcPr>
            <w:tcW w:w="880" w:type="dxa"/>
            <w:tcBorders>
              <w:left w:val="single" w:sz="4" w:space="0" w:color="auto"/>
            </w:tcBorders>
            <w:vAlign w:val="bottom"/>
          </w:tcPr>
          <w:p w14:paraId="3F177517" w14:textId="1FA49C1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0.949</w:t>
            </w:r>
          </w:p>
        </w:tc>
      </w:tr>
      <w:tr w:rsidR="00DF22D5" w:rsidRPr="00A0555D" w14:paraId="0F0C6F71"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EAF8461"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hideMark/>
          </w:tcPr>
          <w:p w14:paraId="2E76786D" w14:textId="3FACCC02"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0.779</w:t>
            </w:r>
          </w:p>
        </w:tc>
        <w:tc>
          <w:tcPr>
            <w:tcW w:w="774" w:type="dxa"/>
            <w:tcBorders>
              <w:top w:val="nil"/>
              <w:left w:val="nil"/>
              <w:bottom w:val="nil"/>
              <w:right w:val="nil"/>
            </w:tcBorders>
            <w:shd w:val="clear" w:color="auto" w:fill="auto"/>
            <w:noWrap/>
            <w:vAlign w:val="bottom"/>
            <w:hideMark/>
          </w:tcPr>
          <w:p w14:paraId="11F6A978" w14:textId="24E7481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0.775</w:t>
            </w:r>
          </w:p>
        </w:tc>
        <w:tc>
          <w:tcPr>
            <w:tcW w:w="773" w:type="dxa"/>
            <w:tcBorders>
              <w:top w:val="nil"/>
              <w:left w:val="nil"/>
              <w:bottom w:val="nil"/>
              <w:right w:val="nil"/>
            </w:tcBorders>
            <w:shd w:val="clear" w:color="auto" w:fill="auto"/>
            <w:noWrap/>
            <w:vAlign w:val="bottom"/>
            <w:hideMark/>
          </w:tcPr>
          <w:p w14:paraId="3ED01917" w14:textId="5E6C0B82"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0.695</w:t>
            </w:r>
          </w:p>
        </w:tc>
        <w:tc>
          <w:tcPr>
            <w:tcW w:w="843" w:type="dxa"/>
            <w:tcBorders>
              <w:top w:val="nil"/>
              <w:left w:val="nil"/>
              <w:bottom w:val="nil"/>
              <w:right w:val="nil"/>
            </w:tcBorders>
            <w:shd w:val="clear" w:color="auto" w:fill="auto"/>
            <w:noWrap/>
            <w:vAlign w:val="bottom"/>
            <w:hideMark/>
          </w:tcPr>
          <w:p w14:paraId="505F5F8C" w14:textId="61C6DAA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0.738</w:t>
            </w:r>
          </w:p>
        </w:tc>
        <w:tc>
          <w:tcPr>
            <w:tcW w:w="704" w:type="dxa"/>
            <w:tcBorders>
              <w:top w:val="nil"/>
              <w:left w:val="nil"/>
              <w:bottom w:val="nil"/>
              <w:right w:val="single" w:sz="4" w:space="0" w:color="auto"/>
            </w:tcBorders>
            <w:shd w:val="clear" w:color="auto" w:fill="auto"/>
            <w:noWrap/>
            <w:vAlign w:val="bottom"/>
            <w:hideMark/>
          </w:tcPr>
          <w:p w14:paraId="75E14FAE" w14:textId="5F3EF53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0.839</w:t>
            </w:r>
          </w:p>
        </w:tc>
        <w:tc>
          <w:tcPr>
            <w:tcW w:w="774" w:type="dxa"/>
            <w:tcBorders>
              <w:left w:val="nil"/>
              <w:right w:val="single" w:sz="4" w:space="0" w:color="auto"/>
            </w:tcBorders>
            <w:vAlign w:val="bottom"/>
          </w:tcPr>
          <w:p w14:paraId="5FBAAD89" w14:textId="4823C59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0.856</w:t>
            </w:r>
          </w:p>
        </w:tc>
        <w:tc>
          <w:tcPr>
            <w:tcW w:w="774" w:type="dxa"/>
            <w:tcBorders>
              <w:left w:val="single" w:sz="4" w:space="0" w:color="auto"/>
              <w:right w:val="single" w:sz="4" w:space="0" w:color="auto"/>
            </w:tcBorders>
            <w:vAlign w:val="bottom"/>
          </w:tcPr>
          <w:p w14:paraId="17A04D32" w14:textId="4D86406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0.946</w:t>
            </w:r>
          </w:p>
        </w:tc>
        <w:tc>
          <w:tcPr>
            <w:tcW w:w="808" w:type="dxa"/>
            <w:tcBorders>
              <w:left w:val="single" w:sz="4" w:space="0" w:color="auto"/>
              <w:right w:val="single" w:sz="4" w:space="0" w:color="auto"/>
            </w:tcBorders>
            <w:vAlign w:val="bottom"/>
          </w:tcPr>
          <w:p w14:paraId="7BBE2445" w14:textId="69DD29F2"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0.788</w:t>
            </w:r>
          </w:p>
        </w:tc>
        <w:tc>
          <w:tcPr>
            <w:tcW w:w="740" w:type="dxa"/>
            <w:tcBorders>
              <w:left w:val="single" w:sz="4" w:space="0" w:color="auto"/>
              <w:right w:val="single" w:sz="4" w:space="0" w:color="auto"/>
            </w:tcBorders>
            <w:vAlign w:val="bottom"/>
          </w:tcPr>
          <w:p w14:paraId="4882523E" w14:textId="48B9F86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0.700</w:t>
            </w:r>
          </w:p>
        </w:tc>
        <w:tc>
          <w:tcPr>
            <w:tcW w:w="880" w:type="dxa"/>
            <w:tcBorders>
              <w:left w:val="single" w:sz="4" w:space="0" w:color="auto"/>
            </w:tcBorders>
            <w:vAlign w:val="bottom"/>
          </w:tcPr>
          <w:p w14:paraId="4A99F302" w14:textId="289394B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0.935</w:t>
            </w:r>
          </w:p>
        </w:tc>
      </w:tr>
      <w:tr w:rsidR="00DF22D5" w:rsidRPr="00A0555D" w14:paraId="77A94500"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6B1C021D"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hideMark/>
          </w:tcPr>
          <w:p w14:paraId="2C89F7FD" w14:textId="3E814DD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0.831</w:t>
            </w:r>
          </w:p>
        </w:tc>
        <w:tc>
          <w:tcPr>
            <w:tcW w:w="774" w:type="dxa"/>
            <w:tcBorders>
              <w:top w:val="nil"/>
              <w:left w:val="nil"/>
              <w:bottom w:val="single" w:sz="4" w:space="0" w:color="auto"/>
              <w:right w:val="nil"/>
            </w:tcBorders>
            <w:shd w:val="clear" w:color="auto" w:fill="auto"/>
            <w:noWrap/>
            <w:vAlign w:val="bottom"/>
            <w:hideMark/>
          </w:tcPr>
          <w:p w14:paraId="43FB7CA7" w14:textId="2255F290"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0.862</w:t>
            </w:r>
          </w:p>
        </w:tc>
        <w:tc>
          <w:tcPr>
            <w:tcW w:w="773" w:type="dxa"/>
            <w:tcBorders>
              <w:top w:val="nil"/>
              <w:left w:val="nil"/>
              <w:bottom w:val="single" w:sz="4" w:space="0" w:color="auto"/>
              <w:right w:val="nil"/>
            </w:tcBorders>
            <w:shd w:val="clear" w:color="auto" w:fill="auto"/>
            <w:noWrap/>
            <w:vAlign w:val="bottom"/>
            <w:hideMark/>
          </w:tcPr>
          <w:p w14:paraId="21E9E10C" w14:textId="0425B15F"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0.797</w:t>
            </w:r>
          </w:p>
        </w:tc>
        <w:tc>
          <w:tcPr>
            <w:tcW w:w="843" w:type="dxa"/>
            <w:tcBorders>
              <w:top w:val="nil"/>
              <w:left w:val="nil"/>
              <w:bottom w:val="single" w:sz="4" w:space="0" w:color="auto"/>
              <w:right w:val="nil"/>
            </w:tcBorders>
            <w:shd w:val="clear" w:color="auto" w:fill="auto"/>
            <w:noWrap/>
            <w:vAlign w:val="bottom"/>
            <w:hideMark/>
          </w:tcPr>
          <w:p w14:paraId="246B3CB0" w14:textId="16FFAFF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0.785</w:t>
            </w:r>
          </w:p>
        </w:tc>
        <w:tc>
          <w:tcPr>
            <w:tcW w:w="704" w:type="dxa"/>
            <w:tcBorders>
              <w:top w:val="nil"/>
              <w:left w:val="nil"/>
              <w:bottom w:val="single" w:sz="4" w:space="0" w:color="auto"/>
              <w:right w:val="single" w:sz="4" w:space="0" w:color="auto"/>
            </w:tcBorders>
            <w:shd w:val="clear" w:color="auto" w:fill="auto"/>
            <w:noWrap/>
            <w:vAlign w:val="bottom"/>
            <w:hideMark/>
          </w:tcPr>
          <w:p w14:paraId="4103EFAC" w14:textId="6954B75C"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0.773</w:t>
            </w:r>
          </w:p>
        </w:tc>
        <w:tc>
          <w:tcPr>
            <w:tcW w:w="774" w:type="dxa"/>
            <w:tcBorders>
              <w:left w:val="nil"/>
              <w:bottom w:val="single" w:sz="4" w:space="0" w:color="auto"/>
              <w:right w:val="single" w:sz="4" w:space="0" w:color="auto"/>
            </w:tcBorders>
            <w:vAlign w:val="bottom"/>
          </w:tcPr>
          <w:p w14:paraId="4F0E7B1E" w14:textId="33073A4F"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0.809</w:t>
            </w:r>
          </w:p>
        </w:tc>
        <w:tc>
          <w:tcPr>
            <w:tcW w:w="774" w:type="dxa"/>
            <w:tcBorders>
              <w:left w:val="single" w:sz="4" w:space="0" w:color="auto"/>
              <w:bottom w:val="single" w:sz="4" w:space="0" w:color="auto"/>
              <w:right w:val="single" w:sz="4" w:space="0" w:color="auto"/>
            </w:tcBorders>
            <w:vAlign w:val="bottom"/>
          </w:tcPr>
          <w:p w14:paraId="7995FB5F" w14:textId="49C93907"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0.949</w:t>
            </w:r>
          </w:p>
        </w:tc>
        <w:tc>
          <w:tcPr>
            <w:tcW w:w="808" w:type="dxa"/>
            <w:tcBorders>
              <w:left w:val="single" w:sz="4" w:space="0" w:color="auto"/>
              <w:bottom w:val="single" w:sz="4" w:space="0" w:color="auto"/>
              <w:right w:val="single" w:sz="4" w:space="0" w:color="auto"/>
            </w:tcBorders>
            <w:vAlign w:val="bottom"/>
          </w:tcPr>
          <w:p w14:paraId="09D964AD" w14:textId="0658B98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0.797</w:t>
            </w:r>
          </w:p>
        </w:tc>
        <w:tc>
          <w:tcPr>
            <w:tcW w:w="740" w:type="dxa"/>
            <w:tcBorders>
              <w:left w:val="single" w:sz="4" w:space="0" w:color="auto"/>
              <w:bottom w:val="single" w:sz="4" w:space="0" w:color="auto"/>
              <w:right w:val="single" w:sz="4" w:space="0" w:color="auto"/>
            </w:tcBorders>
            <w:vAlign w:val="bottom"/>
          </w:tcPr>
          <w:p w14:paraId="73F7E962" w14:textId="4BE2F83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0.697</w:t>
            </w:r>
          </w:p>
        </w:tc>
        <w:tc>
          <w:tcPr>
            <w:tcW w:w="880" w:type="dxa"/>
            <w:tcBorders>
              <w:left w:val="single" w:sz="4" w:space="0" w:color="auto"/>
              <w:bottom w:val="single" w:sz="4" w:space="0" w:color="auto"/>
            </w:tcBorders>
            <w:vAlign w:val="bottom"/>
          </w:tcPr>
          <w:p w14:paraId="08C138B6" w14:textId="2D4AC64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0.946</w:t>
            </w:r>
          </w:p>
        </w:tc>
      </w:tr>
      <w:tr w:rsidR="001B0E04" w:rsidRPr="00A0555D" w14:paraId="453557BC" w14:textId="23A5AD8B" w:rsidTr="00BD0EBA">
        <w:trPr>
          <w:trHeight w:val="144"/>
        </w:trPr>
        <w:tc>
          <w:tcPr>
            <w:tcW w:w="5474" w:type="dxa"/>
            <w:gridSpan w:val="6"/>
            <w:tcBorders>
              <w:top w:val="single" w:sz="4" w:space="0" w:color="auto"/>
            </w:tcBorders>
            <w:shd w:val="clear" w:color="auto" w:fill="auto"/>
            <w:noWrap/>
            <w:vAlign w:val="bottom"/>
            <w:hideMark/>
          </w:tcPr>
          <w:p w14:paraId="33C91B9E" w14:textId="22026F49" w:rsidR="001B0E04" w:rsidRPr="009355EE" w:rsidRDefault="001B0E04"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sidR="0070792B">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64D06A9D" w14:textId="77777777" w:rsidR="001B0E04" w:rsidRPr="006016B0" w:rsidRDefault="001B0E04"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729533B" w14:textId="77777777" w:rsidR="001B0E04" w:rsidRPr="006016B0" w:rsidRDefault="001B0E04"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532A1D3C" w14:textId="77777777" w:rsidR="001B0E04" w:rsidRPr="006016B0" w:rsidRDefault="001B0E04"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7C2BD68A" w14:textId="77777777" w:rsidR="001B0E04" w:rsidRPr="006016B0" w:rsidRDefault="001B0E04"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25FF83F7" w14:textId="77777777" w:rsidR="001B0E04" w:rsidRPr="006016B0" w:rsidRDefault="001B0E04" w:rsidP="006016B0">
            <w:pPr>
              <w:tabs>
                <w:tab w:val="decimal" w:pos="184"/>
              </w:tabs>
              <w:spacing w:before="0" w:after="0" w:line="240" w:lineRule="auto"/>
              <w:ind w:firstLine="0"/>
              <w:rPr>
                <w:color w:val="000000"/>
                <w:sz w:val="16"/>
                <w:szCs w:val="16"/>
              </w:rPr>
            </w:pPr>
          </w:p>
        </w:tc>
      </w:tr>
      <w:tr w:rsidR="00DF22D5" w:rsidRPr="00A0555D" w14:paraId="777F919E"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2A73B13F"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hideMark/>
          </w:tcPr>
          <w:p w14:paraId="33639195" w14:textId="39298F0A"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left w:val="nil"/>
              <w:bottom w:val="nil"/>
              <w:right w:val="nil"/>
            </w:tcBorders>
            <w:shd w:val="clear" w:color="auto" w:fill="auto"/>
            <w:noWrap/>
            <w:vAlign w:val="bottom"/>
            <w:hideMark/>
          </w:tcPr>
          <w:p w14:paraId="0DD4D6DA" w14:textId="515AF428"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left w:val="nil"/>
              <w:bottom w:val="nil"/>
              <w:right w:val="nil"/>
            </w:tcBorders>
            <w:shd w:val="clear" w:color="auto" w:fill="auto"/>
            <w:noWrap/>
            <w:vAlign w:val="bottom"/>
            <w:hideMark/>
          </w:tcPr>
          <w:p w14:paraId="394314E1" w14:textId="4E1E4AD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left w:val="nil"/>
              <w:bottom w:val="nil"/>
              <w:right w:val="nil"/>
            </w:tcBorders>
            <w:shd w:val="clear" w:color="auto" w:fill="auto"/>
            <w:noWrap/>
            <w:vAlign w:val="bottom"/>
            <w:hideMark/>
          </w:tcPr>
          <w:p w14:paraId="5D84D19B" w14:textId="3ADB774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left w:val="nil"/>
              <w:bottom w:val="nil"/>
              <w:right w:val="single" w:sz="4" w:space="0" w:color="auto"/>
            </w:tcBorders>
            <w:shd w:val="clear" w:color="auto" w:fill="auto"/>
            <w:noWrap/>
            <w:vAlign w:val="bottom"/>
            <w:hideMark/>
          </w:tcPr>
          <w:p w14:paraId="4B6A074B" w14:textId="14E305E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3DA695DF" w14:textId="363ADF52"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3AD06CBF" w14:textId="1BADB0A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0.991</w:t>
            </w:r>
          </w:p>
        </w:tc>
        <w:tc>
          <w:tcPr>
            <w:tcW w:w="808" w:type="dxa"/>
            <w:tcBorders>
              <w:left w:val="single" w:sz="4" w:space="0" w:color="auto"/>
              <w:right w:val="single" w:sz="4" w:space="0" w:color="auto"/>
            </w:tcBorders>
            <w:vAlign w:val="bottom"/>
          </w:tcPr>
          <w:p w14:paraId="68E8A1F8" w14:textId="4CC25D1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3F9A84FB" w14:textId="6E1950D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25EC5B84" w14:textId="6C06167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0.995</w:t>
            </w:r>
          </w:p>
        </w:tc>
      </w:tr>
      <w:tr w:rsidR="00DF22D5" w:rsidRPr="00A0555D" w14:paraId="4FC07FA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4026337"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hideMark/>
          </w:tcPr>
          <w:p w14:paraId="1AA528E6" w14:textId="35580C3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4D1EB308" w14:textId="7F11410F"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2DC70B94" w14:textId="31F7B6D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48140628" w14:textId="087535DF"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433CFAC2" w14:textId="091A7FF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156CB03B" w14:textId="7D45381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05B1936A" w14:textId="29C8023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0.994</w:t>
            </w:r>
          </w:p>
        </w:tc>
        <w:tc>
          <w:tcPr>
            <w:tcW w:w="808" w:type="dxa"/>
            <w:tcBorders>
              <w:left w:val="single" w:sz="4" w:space="0" w:color="auto"/>
              <w:right w:val="single" w:sz="4" w:space="0" w:color="auto"/>
            </w:tcBorders>
            <w:vAlign w:val="bottom"/>
          </w:tcPr>
          <w:p w14:paraId="08710408" w14:textId="2687801F"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72B4550F" w14:textId="4EA5CE1B"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0B301C76" w14:textId="4E88959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r>
      <w:tr w:rsidR="00DF22D5" w:rsidRPr="00A0555D" w14:paraId="57AE4A9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6EE30FE"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hideMark/>
          </w:tcPr>
          <w:p w14:paraId="1ADA3566" w14:textId="6E3827AF"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403F5B94" w14:textId="6032958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59A90838" w14:textId="67F4870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44AD22D0" w14:textId="5061F623"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04" w:type="dxa"/>
            <w:tcBorders>
              <w:top w:val="nil"/>
              <w:left w:val="nil"/>
              <w:bottom w:val="nil"/>
              <w:right w:val="single" w:sz="4" w:space="0" w:color="auto"/>
            </w:tcBorders>
            <w:shd w:val="clear" w:color="auto" w:fill="auto"/>
            <w:noWrap/>
            <w:vAlign w:val="bottom"/>
            <w:hideMark/>
          </w:tcPr>
          <w:p w14:paraId="411D5091" w14:textId="1C39DB53"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1CA89DB3" w14:textId="7818282B"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0BB69966" w14:textId="4B62725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0.994</w:t>
            </w:r>
          </w:p>
        </w:tc>
        <w:tc>
          <w:tcPr>
            <w:tcW w:w="808" w:type="dxa"/>
            <w:tcBorders>
              <w:left w:val="single" w:sz="4" w:space="0" w:color="auto"/>
              <w:right w:val="single" w:sz="4" w:space="0" w:color="auto"/>
            </w:tcBorders>
            <w:vAlign w:val="bottom"/>
          </w:tcPr>
          <w:p w14:paraId="77278876" w14:textId="2BAC0A56"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42AB0FBA" w14:textId="07E7E61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37872BF6" w14:textId="410F138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r>
      <w:tr w:rsidR="00DF22D5" w:rsidRPr="00A0555D" w14:paraId="3A2A8AAE"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47074F8"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hideMark/>
          </w:tcPr>
          <w:p w14:paraId="7944406E" w14:textId="668BBA3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4A68C335" w14:textId="77CD4A2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30159CD9" w14:textId="0C79A97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482F0D71" w14:textId="2BCF2E9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5023955F" w14:textId="59FB2D47"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002637E1" w14:textId="18B935E1"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553A6876" w14:textId="11F78DC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0.993</w:t>
            </w:r>
          </w:p>
        </w:tc>
        <w:tc>
          <w:tcPr>
            <w:tcW w:w="808" w:type="dxa"/>
            <w:tcBorders>
              <w:left w:val="single" w:sz="4" w:space="0" w:color="auto"/>
              <w:right w:val="single" w:sz="4" w:space="0" w:color="auto"/>
            </w:tcBorders>
            <w:vAlign w:val="bottom"/>
          </w:tcPr>
          <w:p w14:paraId="3CC659C6" w14:textId="6190EF8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206EE02A" w14:textId="36E02750"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589A7FED" w14:textId="4BAC5027"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r>
      <w:tr w:rsidR="00DF22D5" w:rsidRPr="00A0555D" w14:paraId="7051E2D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D16F80D"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hideMark/>
          </w:tcPr>
          <w:p w14:paraId="4536BF19" w14:textId="0BA9955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604DFAA5" w14:textId="61E87C9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2A95809B" w14:textId="40D4DC80"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44738D08" w14:textId="6ADDC3B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1FF633C4" w14:textId="28D0B4A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432CA119" w14:textId="6F718C66"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222D0D15" w14:textId="6D6EA0E6"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0.994</w:t>
            </w:r>
          </w:p>
        </w:tc>
        <w:tc>
          <w:tcPr>
            <w:tcW w:w="808" w:type="dxa"/>
            <w:tcBorders>
              <w:left w:val="single" w:sz="4" w:space="0" w:color="auto"/>
              <w:right w:val="single" w:sz="4" w:space="0" w:color="auto"/>
            </w:tcBorders>
            <w:vAlign w:val="bottom"/>
          </w:tcPr>
          <w:p w14:paraId="355B9FAB" w14:textId="7DE2CCAB"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17093013" w14:textId="3186975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56861148" w14:textId="378C73F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0.997</w:t>
            </w:r>
          </w:p>
        </w:tc>
      </w:tr>
      <w:tr w:rsidR="00DF22D5" w:rsidRPr="00A0555D" w14:paraId="594F880F"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1077B988"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hideMark/>
          </w:tcPr>
          <w:p w14:paraId="5C155A11" w14:textId="208D2B6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single" w:sz="4" w:space="0" w:color="auto"/>
              <w:right w:val="nil"/>
            </w:tcBorders>
            <w:shd w:val="clear" w:color="auto" w:fill="auto"/>
            <w:noWrap/>
            <w:vAlign w:val="bottom"/>
            <w:hideMark/>
          </w:tcPr>
          <w:p w14:paraId="3A2D18D7" w14:textId="7005E142"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single" w:sz="4" w:space="0" w:color="auto"/>
              <w:right w:val="nil"/>
            </w:tcBorders>
            <w:shd w:val="clear" w:color="auto" w:fill="auto"/>
            <w:noWrap/>
            <w:vAlign w:val="bottom"/>
            <w:hideMark/>
          </w:tcPr>
          <w:p w14:paraId="6F1EC1B3" w14:textId="0341F01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single" w:sz="4" w:space="0" w:color="auto"/>
              <w:right w:val="nil"/>
            </w:tcBorders>
            <w:shd w:val="clear" w:color="auto" w:fill="auto"/>
            <w:noWrap/>
            <w:vAlign w:val="bottom"/>
            <w:hideMark/>
          </w:tcPr>
          <w:p w14:paraId="09F9E8D1" w14:textId="3027E0AA"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single" w:sz="4" w:space="0" w:color="auto"/>
              <w:right w:val="single" w:sz="4" w:space="0" w:color="auto"/>
            </w:tcBorders>
            <w:shd w:val="clear" w:color="auto" w:fill="auto"/>
            <w:noWrap/>
            <w:vAlign w:val="bottom"/>
            <w:hideMark/>
          </w:tcPr>
          <w:p w14:paraId="536545E8" w14:textId="073C0FD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bottom w:val="single" w:sz="4" w:space="0" w:color="auto"/>
              <w:right w:val="single" w:sz="4" w:space="0" w:color="auto"/>
            </w:tcBorders>
            <w:vAlign w:val="bottom"/>
          </w:tcPr>
          <w:p w14:paraId="6F37C705" w14:textId="49F6169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bottom w:val="single" w:sz="4" w:space="0" w:color="auto"/>
              <w:right w:val="single" w:sz="4" w:space="0" w:color="auto"/>
            </w:tcBorders>
            <w:vAlign w:val="bottom"/>
          </w:tcPr>
          <w:p w14:paraId="49DB00AE" w14:textId="5C8F3E92"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808" w:type="dxa"/>
            <w:tcBorders>
              <w:left w:val="single" w:sz="4" w:space="0" w:color="auto"/>
              <w:bottom w:val="single" w:sz="4" w:space="0" w:color="auto"/>
              <w:right w:val="single" w:sz="4" w:space="0" w:color="auto"/>
            </w:tcBorders>
            <w:vAlign w:val="bottom"/>
          </w:tcPr>
          <w:p w14:paraId="71B5E268" w14:textId="50ED2F1C"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bottom w:val="single" w:sz="4" w:space="0" w:color="auto"/>
              <w:right w:val="single" w:sz="4" w:space="0" w:color="auto"/>
            </w:tcBorders>
            <w:vAlign w:val="bottom"/>
          </w:tcPr>
          <w:p w14:paraId="69BBAFC2" w14:textId="3154EC5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bottom w:val="single" w:sz="4" w:space="0" w:color="auto"/>
            </w:tcBorders>
            <w:vAlign w:val="bottom"/>
          </w:tcPr>
          <w:p w14:paraId="6052889B" w14:textId="541C99A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0.997</w:t>
            </w:r>
          </w:p>
        </w:tc>
      </w:tr>
      <w:tr w:rsidR="001B0E04" w:rsidRPr="00A0555D" w14:paraId="7FFAD952" w14:textId="4AC9A4D5" w:rsidTr="00BD0EBA">
        <w:trPr>
          <w:trHeight w:val="144"/>
        </w:trPr>
        <w:tc>
          <w:tcPr>
            <w:tcW w:w="5474" w:type="dxa"/>
            <w:gridSpan w:val="6"/>
            <w:tcBorders>
              <w:top w:val="single" w:sz="4" w:space="0" w:color="auto"/>
            </w:tcBorders>
            <w:shd w:val="clear" w:color="auto" w:fill="auto"/>
            <w:noWrap/>
            <w:vAlign w:val="bottom"/>
            <w:hideMark/>
          </w:tcPr>
          <w:p w14:paraId="5B239AEA" w14:textId="1E51B9E0" w:rsidR="001B0E04" w:rsidRPr="009355EE" w:rsidRDefault="001B0E04"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 xml:space="preserve">by </w:t>
            </w:r>
            <w:r w:rsidR="0070792B">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6A15E8ED" w14:textId="77777777" w:rsidR="001B0E04" w:rsidRPr="006016B0" w:rsidRDefault="001B0E04"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F9A8E81" w14:textId="77777777" w:rsidR="001B0E04" w:rsidRPr="006016B0" w:rsidRDefault="001B0E04"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6733A5B8" w14:textId="77777777" w:rsidR="001B0E04" w:rsidRPr="006016B0" w:rsidRDefault="001B0E04"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1ABEFFB4" w14:textId="77777777" w:rsidR="001B0E04" w:rsidRPr="006016B0" w:rsidRDefault="001B0E04"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34C558C5" w14:textId="77777777" w:rsidR="001B0E04" w:rsidRPr="006016B0" w:rsidRDefault="001B0E04" w:rsidP="006016B0">
            <w:pPr>
              <w:tabs>
                <w:tab w:val="decimal" w:pos="184"/>
              </w:tabs>
              <w:spacing w:before="0" w:after="0" w:line="240" w:lineRule="auto"/>
              <w:ind w:firstLine="0"/>
              <w:rPr>
                <w:color w:val="000000"/>
                <w:sz w:val="16"/>
                <w:szCs w:val="16"/>
              </w:rPr>
            </w:pPr>
          </w:p>
        </w:tc>
      </w:tr>
      <w:tr w:rsidR="00DF22D5" w:rsidRPr="00A0555D" w14:paraId="4EA32CFD"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55702895"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hideMark/>
          </w:tcPr>
          <w:p w14:paraId="4AD1B777" w14:textId="1E66872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left w:val="nil"/>
              <w:bottom w:val="nil"/>
              <w:right w:val="nil"/>
            </w:tcBorders>
            <w:shd w:val="clear" w:color="auto" w:fill="auto"/>
            <w:noWrap/>
            <w:vAlign w:val="bottom"/>
            <w:hideMark/>
          </w:tcPr>
          <w:p w14:paraId="6A783A2D" w14:textId="0A0598F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left w:val="nil"/>
              <w:bottom w:val="nil"/>
              <w:right w:val="nil"/>
            </w:tcBorders>
            <w:shd w:val="clear" w:color="auto" w:fill="auto"/>
            <w:noWrap/>
            <w:vAlign w:val="bottom"/>
            <w:hideMark/>
          </w:tcPr>
          <w:p w14:paraId="215CCA68" w14:textId="3ADB09C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left w:val="nil"/>
              <w:bottom w:val="nil"/>
              <w:right w:val="nil"/>
            </w:tcBorders>
            <w:shd w:val="clear" w:color="auto" w:fill="auto"/>
            <w:noWrap/>
            <w:vAlign w:val="bottom"/>
            <w:hideMark/>
          </w:tcPr>
          <w:p w14:paraId="7FCDCD7F" w14:textId="159699F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left w:val="nil"/>
              <w:bottom w:val="nil"/>
              <w:right w:val="single" w:sz="4" w:space="0" w:color="auto"/>
            </w:tcBorders>
            <w:shd w:val="clear" w:color="auto" w:fill="auto"/>
            <w:noWrap/>
            <w:vAlign w:val="bottom"/>
            <w:hideMark/>
          </w:tcPr>
          <w:p w14:paraId="1551798D" w14:textId="2015368F"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71B0C5CD" w14:textId="2C95174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25A1306D" w14:textId="0FA92E8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0.998</w:t>
            </w:r>
          </w:p>
        </w:tc>
        <w:tc>
          <w:tcPr>
            <w:tcW w:w="808" w:type="dxa"/>
            <w:tcBorders>
              <w:left w:val="single" w:sz="4" w:space="0" w:color="auto"/>
              <w:right w:val="single" w:sz="4" w:space="0" w:color="auto"/>
            </w:tcBorders>
            <w:vAlign w:val="bottom"/>
          </w:tcPr>
          <w:p w14:paraId="33CB8F41" w14:textId="7044840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2343794C" w14:textId="3DC12052"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6E91136D" w14:textId="20E89B95"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r>
      <w:tr w:rsidR="00DF22D5" w:rsidRPr="00A0555D" w14:paraId="145D9859"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501D16E"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hideMark/>
          </w:tcPr>
          <w:p w14:paraId="11CC5BE7" w14:textId="640BBB0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67EE78D1" w14:textId="4607BE3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429DEA34" w14:textId="2161D58A"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3F2EA588" w14:textId="4AF4503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7B9127AC" w14:textId="70D996E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0AABE673" w14:textId="5D5736EC"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7FB49214" w14:textId="1984617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808" w:type="dxa"/>
            <w:tcBorders>
              <w:left w:val="single" w:sz="4" w:space="0" w:color="auto"/>
              <w:right w:val="single" w:sz="4" w:space="0" w:color="auto"/>
            </w:tcBorders>
            <w:vAlign w:val="bottom"/>
          </w:tcPr>
          <w:p w14:paraId="4D551455" w14:textId="0AA443C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53F9DF83" w14:textId="76A50CA1"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34008E3D" w14:textId="6BDCD1D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r>
      <w:tr w:rsidR="00DF22D5" w:rsidRPr="00A0555D" w14:paraId="159F86E5"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5AA4E2B"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hideMark/>
          </w:tcPr>
          <w:p w14:paraId="5185BE88" w14:textId="40A6752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12EB4B5D" w14:textId="4121B35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67B6EE19" w14:textId="75E6A84C"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6FD92193" w14:textId="468574C1"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77EA0533" w14:textId="1E1C2669"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67D67F05" w14:textId="74769EC8"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2AD3C8A5" w14:textId="4053906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0.998</w:t>
            </w:r>
          </w:p>
        </w:tc>
        <w:tc>
          <w:tcPr>
            <w:tcW w:w="808" w:type="dxa"/>
            <w:tcBorders>
              <w:left w:val="single" w:sz="4" w:space="0" w:color="auto"/>
              <w:right w:val="single" w:sz="4" w:space="0" w:color="auto"/>
            </w:tcBorders>
            <w:vAlign w:val="bottom"/>
          </w:tcPr>
          <w:p w14:paraId="19C53603" w14:textId="383C38A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3DB5E349" w14:textId="0DA5B6E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05DD4B54" w14:textId="4209D90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r>
      <w:tr w:rsidR="00DF22D5" w:rsidRPr="00A0555D" w14:paraId="60276FF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406CD92"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hideMark/>
          </w:tcPr>
          <w:p w14:paraId="34090D5E" w14:textId="75AC6384"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5A5292E2" w14:textId="59643B8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2CD9C9BC" w14:textId="3BEF742B"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3A1CFEC6" w14:textId="2E8A7A57"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0566C4BB" w14:textId="13855BD2"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5295E265" w14:textId="353C05B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5B1B19D3" w14:textId="51B49CF7"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808" w:type="dxa"/>
            <w:tcBorders>
              <w:left w:val="single" w:sz="4" w:space="0" w:color="auto"/>
              <w:right w:val="single" w:sz="4" w:space="0" w:color="auto"/>
            </w:tcBorders>
            <w:vAlign w:val="bottom"/>
          </w:tcPr>
          <w:p w14:paraId="39BAAB63" w14:textId="48C88C8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494DD8D8" w14:textId="775E9F2C"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4A84B52E" w14:textId="0F47D400"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r>
      <w:tr w:rsidR="00DF22D5" w:rsidRPr="00A0555D" w14:paraId="790E2259"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3FF30CB"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hideMark/>
          </w:tcPr>
          <w:p w14:paraId="4FFFC253" w14:textId="02578A98"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nil"/>
              <w:right w:val="nil"/>
            </w:tcBorders>
            <w:shd w:val="clear" w:color="auto" w:fill="auto"/>
            <w:noWrap/>
            <w:vAlign w:val="bottom"/>
            <w:hideMark/>
          </w:tcPr>
          <w:p w14:paraId="21CEB72E" w14:textId="2859CF20"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nil"/>
              <w:right w:val="nil"/>
            </w:tcBorders>
            <w:shd w:val="clear" w:color="auto" w:fill="auto"/>
            <w:noWrap/>
            <w:vAlign w:val="bottom"/>
            <w:hideMark/>
          </w:tcPr>
          <w:p w14:paraId="12562F10" w14:textId="79D83BD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nil"/>
              <w:right w:val="nil"/>
            </w:tcBorders>
            <w:shd w:val="clear" w:color="auto" w:fill="auto"/>
            <w:noWrap/>
            <w:vAlign w:val="bottom"/>
            <w:hideMark/>
          </w:tcPr>
          <w:p w14:paraId="0F583A01" w14:textId="2CB4409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nil"/>
              <w:right w:val="single" w:sz="4" w:space="0" w:color="auto"/>
            </w:tcBorders>
            <w:shd w:val="clear" w:color="auto" w:fill="auto"/>
            <w:noWrap/>
            <w:vAlign w:val="bottom"/>
            <w:hideMark/>
          </w:tcPr>
          <w:p w14:paraId="46B5ECE3" w14:textId="18DB7DE5"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right w:val="single" w:sz="4" w:space="0" w:color="auto"/>
            </w:tcBorders>
            <w:vAlign w:val="bottom"/>
          </w:tcPr>
          <w:p w14:paraId="4C4DA6F7" w14:textId="494B80F7"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right w:val="single" w:sz="4" w:space="0" w:color="auto"/>
            </w:tcBorders>
            <w:vAlign w:val="bottom"/>
          </w:tcPr>
          <w:p w14:paraId="5A0B3E27" w14:textId="2BD2C75A"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0.998</w:t>
            </w:r>
          </w:p>
        </w:tc>
        <w:tc>
          <w:tcPr>
            <w:tcW w:w="808" w:type="dxa"/>
            <w:tcBorders>
              <w:left w:val="single" w:sz="4" w:space="0" w:color="auto"/>
              <w:right w:val="single" w:sz="4" w:space="0" w:color="auto"/>
            </w:tcBorders>
            <w:vAlign w:val="bottom"/>
          </w:tcPr>
          <w:p w14:paraId="7C5C31A2" w14:textId="58E5ED3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right w:val="single" w:sz="4" w:space="0" w:color="auto"/>
            </w:tcBorders>
            <w:vAlign w:val="bottom"/>
          </w:tcPr>
          <w:p w14:paraId="77E92163" w14:textId="60E54796"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tcBorders>
            <w:vAlign w:val="bottom"/>
          </w:tcPr>
          <w:p w14:paraId="45B2D7D0" w14:textId="0C601D4E"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r>
      <w:tr w:rsidR="00DF22D5" w:rsidRPr="00A0555D" w14:paraId="555EC7B8"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2E489DBB" w14:textId="77777777" w:rsidR="00DF22D5" w:rsidRPr="00A0555D" w:rsidRDefault="00DF22D5" w:rsidP="00DF22D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hideMark/>
          </w:tcPr>
          <w:p w14:paraId="32D7C9E7" w14:textId="64FDD22D"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4" w:type="dxa"/>
            <w:tcBorders>
              <w:top w:val="nil"/>
              <w:left w:val="nil"/>
              <w:bottom w:val="single" w:sz="4" w:space="0" w:color="auto"/>
              <w:right w:val="nil"/>
            </w:tcBorders>
            <w:shd w:val="clear" w:color="auto" w:fill="auto"/>
            <w:noWrap/>
            <w:vAlign w:val="bottom"/>
            <w:hideMark/>
          </w:tcPr>
          <w:p w14:paraId="1B697AE3" w14:textId="3A3AF8E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1.000</w:t>
            </w:r>
          </w:p>
        </w:tc>
        <w:tc>
          <w:tcPr>
            <w:tcW w:w="773" w:type="dxa"/>
            <w:tcBorders>
              <w:top w:val="nil"/>
              <w:left w:val="nil"/>
              <w:bottom w:val="single" w:sz="4" w:space="0" w:color="auto"/>
              <w:right w:val="nil"/>
            </w:tcBorders>
            <w:shd w:val="clear" w:color="auto" w:fill="auto"/>
            <w:noWrap/>
            <w:vAlign w:val="bottom"/>
            <w:hideMark/>
          </w:tcPr>
          <w:p w14:paraId="389C1362" w14:textId="4A389F0E"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843" w:type="dxa"/>
            <w:tcBorders>
              <w:top w:val="nil"/>
              <w:left w:val="nil"/>
              <w:bottom w:val="single" w:sz="4" w:space="0" w:color="auto"/>
              <w:right w:val="nil"/>
            </w:tcBorders>
            <w:shd w:val="clear" w:color="auto" w:fill="auto"/>
            <w:noWrap/>
            <w:vAlign w:val="bottom"/>
            <w:hideMark/>
          </w:tcPr>
          <w:p w14:paraId="56A063ED" w14:textId="5ABE69A6"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04" w:type="dxa"/>
            <w:tcBorders>
              <w:top w:val="nil"/>
              <w:left w:val="nil"/>
              <w:bottom w:val="single" w:sz="4" w:space="0" w:color="auto"/>
              <w:right w:val="single" w:sz="4" w:space="0" w:color="auto"/>
            </w:tcBorders>
            <w:shd w:val="clear" w:color="auto" w:fill="auto"/>
            <w:noWrap/>
            <w:vAlign w:val="bottom"/>
            <w:hideMark/>
          </w:tcPr>
          <w:p w14:paraId="62266651" w14:textId="3F4533A0" w:rsidR="00DF22D5" w:rsidRPr="00DF22D5" w:rsidRDefault="00DF22D5" w:rsidP="00DF22D5">
            <w:pPr>
              <w:tabs>
                <w:tab w:val="decimal" w:pos="172"/>
              </w:tabs>
              <w:spacing w:before="0" w:after="0" w:line="240" w:lineRule="auto"/>
              <w:ind w:firstLine="0"/>
              <w:rPr>
                <w:color w:val="000000"/>
                <w:sz w:val="16"/>
                <w:szCs w:val="16"/>
              </w:rPr>
            </w:pPr>
            <w:r w:rsidRPr="00DF22D5">
              <w:rPr>
                <w:color w:val="000000"/>
                <w:sz w:val="16"/>
                <w:szCs w:val="16"/>
              </w:rPr>
              <w:t>0.999</w:t>
            </w:r>
          </w:p>
        </w:tc>
        <w:tc>
          <w:tcPr>
            <w:tcW w:w="774" w:type="dxa"/>
            <w:tcBorders>
              <w:left w:val="nil"/>
              <w:bottom w:val="single" w:sz="4" w:space="0" w:color="auto"/>
              <w:right w:val="single" w:sz="4" w:space="0" w:color="auto"/>
            </w:tcBorders>
            <w:vAlign w:val="bottom"/>
          </w:tcPr>
          <w:p w14:paraId="76302EDA" w14:textId="40144513"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0.999</w:t>
            </w:r>
          </w:p>
        </w:tc>
        <w:tc>
          <w:tcPr>
            <w:tcW w:w="774" w:type="dxa"/>
            <w:tcBorders>
              <w:left w:val="single" w:sz="4" w:space="0" w:color="auto"/>
              <w:bottom w:val="single" w:sz="4" w:space="0" w:color="auto"/>
              <w:right w:val="single" w:sz="4" w:space="0" w:color="auto"/>
            </w:tcBorders>
            <w:vAlign w:val="bottom"/>
          </w:tcPr>
          <w:p w14:paraId="318263F2" w14:textId="06749E14"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0.998</w:t>
            </w:r>
          </w:p>
        </w:tc>
        <w:tc>
          <w:tcPr>
            <w:tcW w:w="808" w:type="dxa"/>
            <w:tcBorders>
              <w:left w:val="single" w:sz="4" w:space="0" w:color="auto"/>
              <w:bottom w:val="single" w:sz="4" w:space="0" w:color="auto"/>
              <w:right w:val="single" w:sz="4" w:space="0" w:color="auto"/>
            </w:tcBorders>
            <w:vAlign w:val="bottom"/>
          </w:tcPr>
          <w:p w14:paraId="72411367" w14:textId="506243FD"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0.996</w:t>
            </w:r>
          </w:p>
        </w:tc>
        <w:tc>
          <w:tcPr>
            <w:tcW w:w="740" w:type="dxa"/>
            <w:tcBorders>
              <w:left w:val="single" w:sz="4" w:space="0" w:color="auto"/>
              <w:bottom w:val="single" w:sz="4" w:space="0" w:color="auto"/>
              <w:right w:val="single" w:sz="4" w:space="0" w:color="auto"/>
            </w:tcBorders>
            <w:vAlign w:val="bottom"/>
          </w:tcPr>
          <w:p w14:paraId="4592441D" w14:textId="2B860549"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1.000</w:t>
            </w:r>
          </w:p>
        </w:tc>
        <w:tc>
          <w:tcPr>
            <w:tcW w:w="880" w:type="dxa"/>
            <w:tcBorders>
              <w:left w:val="single" w:sz="4" w:space="0" w:color="auto"/>
              <w:bottom w:val="single" w:sz="4" w:space="0" w:color="auto"/>
            </w:tcBorders>
            <w:vAlign w:val="bottom"/>
          </w:tcPr>
          <w:p w14:paraId="174BE361" w14:textId="5110C7D7" w:rsidR="00DF22D5" w:rsidRPr="00DF22D5" w:rsidRDefault="00DF22D5" w:rsidP="00DF22D5">
            <w:pPr>
              <w:tabs>
                <w:tab w:val="decimal" w:pos="184"/>
              </w:tabs>
              <w:spacing w:before="0" w:after="0" w:line="240" w:lineRule="auto"/>
              <w:ind w:firstLine="0"/>
              <w:rPr>
                <w:color w:val="000000"/>
                <w:sz w:val="16"/>
                <w:szCs w:val="16"/>
              </w:rPr>
            </w:pPr>
            <w:r w:rsidRPr="00DF22D5">
              <w:rPr>
                <w:color w:val="000000"/>
                <w:sz w:val="16"/>
                <w:szCs w:val="16"/>
              </w:rPr>
              <w:t>0.998</w:t>
            </w:r>
          </w:p>
        </w:tc>
      </w:tr>
    </w:tbl>
    <w:p w14:paraId="685988B7" w14:textId="4DDECC71" w:rsidR="000E607E" w:rsidRDefault="000E607E" w:rsidP="007E69F2">
      <w:pPr>
        <w:pStyle w:val="BodyText"/>
        <w:rPr>
          <w:rFonts w:eastAsiaTheme="minorEastAsia"/>
          <w:lang w:eastAsia="zh-TW"/>
        </w:rPr>
      </w:pPr>
    </w:p>
    <w:p w14:paraId="05F2B850" w14:textId="7F107F10" w:rsidR="0070792B" w:rsidRPr="00485D84" w:rsidRDefault="00DF1929" w:rsidP="006016B0">
      <w:pPr>
        <w:pStyle w:val="AppendixFigureCaption"/>
        <w:keepNext/>
        <w:rPr>
          <w:rFonts w:eastAsia="PMingLiU"/>
          <w:lang w:bidi="en-US"/>
        </w:rPr>
      </w:pPr>
      <w:r>
        <w:lastRenderedPageBreak/>
        <w:t xml:space="preserve">Table </w:t>
      </w:r>
      <w:fldSimple w:instr=" STYLEREF 9 \s ">
        <w:r w:rsidR="00EE0BF5">
          <w:rPr>
            <w:noProof/>
          </w:rPr>
          <w:t>D</w:t>
        </w:r>
      </w:fldSimple>
      <w:r>
        <w:t>.</w:t>
      </w:r>
      <w:fldSimple w:instr=" SEQ Table_Apx \* ARABIC \s 9 ">
        <w:r w:rsidR="00EE0BF5">
          <w:rPr>
            <w:noProof/>
          </w:rPr>
          <w:t>2</w:t>
        </w:r>
      </w:fldSimple>
      <w:r w:rsidRPr="00485D84">
        <w:rPr>
          <w:rFonts w:eastAsia="PMingLiU"/>
          <w:lang w:bidi="en-US"/>
        </w:rPr>
        <w:t xml:space="preserve">. </w:t>
      </w:r>
      <w:r w:rsidR="0070792B" w:rsidRPr="00E51234">
        <w:rPr>
          <w:rFonts w:eastAsiaTheme="minorEastAsia"/>
          <w:lang w:eastAsia="zh-TW"/>
        </w:rPr>
        <w:t xml:space="preserve">Pattern correlation with respect to </w:t>
      </w:r>
      <w:r w:rsidR="0070792B">
        <w:rPr>
          <w:rFonts w:eastAsiaTheme="minorEastAsia"/>
          <w:lang w:eastAsia="zh-TW"/>
        </w:rPr>
        <w:t>Livneh</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70792B" w:rsidRPr="00A0555D" w14:paraId="461E103B" w14:textId="77777777" w:rsidTr="00135495">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4B958C36"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4330C178" w14:textId="0C2BED75" w:rsidR="0070792B"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 (°F)</w:t>
            </w:r>
          </w:p>
        </w:tc>
        <w:tc>
          <w:tcPr>
            <w:tcW w:w="3883" w:type="dxa"/>
            <w:gridSpan w:val="5"/>
            <w:tcBorders>
              <w:top w:val="single" w:sz="4" w:space="0" w:color="auto"/>
              <w:left w:val="nil"/>
              <w:bottom w:val="single" w:sz="4" w:space="0" w:color="auto"/>
            </w:tcBorders>
          </w:tcPr>
          <w:p w14:paraId="407AE7DE" w14:textId="47125BD3" w:rsidR="0070792B"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 (°F)</w:t>
            </w:r>
          </w:p>
        </w:tc>
      </w:tr>
      <w:tr w:rsidR="0070792B" w:rsidRPr="00A0555D" w14:paraId="4FD7F1D7" w14:textId="77777777"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0A618672" w14:textId="77777777" w:rsidR="0070792B" w:rsidRPr="00A0555D" w:rsidRDefault="0070792B" w:rsidP="00874FCF">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5A6F832D"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0308454B"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6F570FF5"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7A0C0F4E" w14:textId="77777777" w:rsidR="0070792B" w:rsidRPr="00A0555D" w:rsidRDefault="0070792B"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3BB42A6F"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09CCAAFC"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0BC8440A"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1CE6F9D8"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640B8E83" w14:textId="1A8831E9" w:rsidR="0070792B" w:rsidRPr="00A0555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2A671687"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70792B" w:rsidRPr="00A0555D" w14:paraId="6B5EF6C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A6592CF" w14:textId="77777777" w:rsidR="0070792B" w:rsidRPr="00A0555D" w:rsidRDefault="0070792B"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15BDD08A"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2DF60098"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5181A57A"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75B6267D"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67EF7C33"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697C94DB"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6B6777B6"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7B687F5E"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72EB3BE5"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4565BF0C"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r>
      <w:tr w:rsidR="00135495" w:rsidRPr="00A0555D" w14:paraId="246B8BA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52D9B04"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31A0ABD1" w14:textId="231590C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0.945</w:t>
            </w:r>
          </w:p>
        </w:tc>
        <w:tc>
          <w:tcPr>
            <w:tcW w:w="774" w:type="dxa"/>
            <w:tcBorders>
              <w:top w:val="nil"/>
              <w:left w:val="nil"/>
              <w:bottom w:val="nil"/>
              <w:right w:val="nil"/>
            </w:tcBorders>
            <w:shd w:val="clear" w:color="auto" w:fill="auto"/>
            <w:noWrap/>
            <w:vAlign w:val="bottom"/>
          </w:tcPr>
          <w:p w14:paraId="7BEC2FB6" w14:textId="0D5F56F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0.960</w:t>
            </w:r>
          </w:p>
        </w:tc>
        <w:tc>
          <w:tcPr>
            <w:tcW w:w="773" w:type="dxa"/>
            <w:tcBorders>
              <w:top w:val="nil"/>
              <w:left w:val="nil"/>
              <w:bottom w:val="nil"/>
              <w:right w:val="nil"/>
            </w:tcBorders>
            <w:shd w:val="clear" w:color="auto" w:fill="auto"/>
            <w:noWrap/>
            <w:vAlign w:val="bottom"/>
          </w:tcPr>
          <w:p w14:paraId="2EEF6190" w14:textId="1D99130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0.939</w:t>
            </w:r>
          </w:p>
        </w:tc>
        <w:tc>
          <w:tcPr>
            <w:tcW w:w="845" w:type="dxa"/>
            <w:tcBorders>
              <w:top w:val="nil"/>
              <w:left w:val="nil"/>
              <w:bottom w:val="nil"/>
              <w:right w:val="nil"/>
            </w:tcBorders>
            <w:shd w:val="clear" w:color="auto" w:fill="auto"/>
            <w:noWrap/>
            <w:vAlign w:val="bottom"/>
          </w:tcPr>
          <w:p w14:paraId="307EA250" w14:textId="147CF68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0.850</w:t>
            </w:r>
          </w:p>
        </w:tc>
        <w:tc>
          <w:tcPr>
            <w:tcW w:w="702" w:type="dxa"/>
            <w:tcBorders>
              <w:top w:val="nil"/>
              <w:left w:val="nil"/>
              <w:bottom w:val="nil"/>
              <w:right w:val="single" w:sz="4" w:space="0" w:color="auto"/>
            </w:tcBorders>
            <w:shd w:val="clear" w:color="auto" w:fill="auto"/>
            <w:noWrap/>
            <w:vAlign w:val="bottom"/>
          </w:tcPr>
          <w:p w14:paraId="0525981B" w14:textId="190B395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0.947</w:t>
            </w:r>
          </w:p>
        </w:tc>
        <w:tc>
          <w:tcPr>
            <w:tcW w:w="774" w:type="dxa"/>
            <w:tcBorders>
              <w:left w:val="nil"/>
            </w:tcBorders>
            <w:vAlign w:val="bottom"/>
          </w:tcPr>
          <w:p w14:paraId="0E48EA66" w14:textId="5EA4A33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0.929</w:t>
            </w:r>
          </w:p>
        </w:tc>
        <w:tc>
          <w:tcPr>
            <w:tcW w:w="773" w:type="dxa"/>
            <w:vAlign w:val="bottom"/>
          </w:tcPr>
          <w:p w14:paraId="1E551370" w14:textId="6D1552A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0.923</w:t>
            </w:r>
          </w:p>
        </w:tc>
        <w:tc>
          <w:tcPr>
            <w:tcW w:w="774" w:type="dxa"/>
            <w:vAlign w:val="bottom"/>
          </w:tcPr>
          <w:p w14:paraId="40D774FF" w14:textId="6611F32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0.938</w:t>
            </w:r>
          </w:p>
        </w:tc>
        <w:tc>
          <w:tcPr>
            <w:tcW w:w="847" w:type="dxa"/>
            <w:vAlign w:val="bottom"/>
          </w:tcPr>
          <w:p w14:paraId="24B03527" w14:textId="59A997C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0.919</w:t>
            </w:r>
          </w:p>
        </w:tc>
        <w:tc>
          <w:tcPr>
            <w:tcW w:w="715" w:type="dxa"/>
            <w:vAlign w:val="bottom"/>
          </w:tcPr>
          <w:p w14:paraId="16F3DCD5" w14:textId="5A2F7B4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0.930</w:t>
            </w:r>
          </w:p>
        </w:tc>
      </w:tr>
      <w:tr w:rsidR="00135495" w:rsidRPr="00A0555D" w14:paraId="7C33916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CDA63CF"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7133CE9E" w14:textId="6A98A35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0.934</w:t>
            </w:r>
          </w:p>
        </w:tc>
        <w:tc>
          <w:tcPr>
            <w:tcW w:w="774" w:type="dxa"/>
            <w:tcBorders>
              <w:top w:val="nil"/>
              <w:left w:val="nil"/>
              <w:bottom w:val="nil"/>
              <w:right w:val="nil"/>
            </w:tcBorders>
            <w:shd w:val="clear" w:color="auto" w:fill="auto"/>
            <w:noWrap/>
            <w:vAlign w:val="bottom"/>
          </w:tcPr>
          <w:p w14:paraId="6B8A7C1B" w14:textId="7CC0017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0.962</w:t>
            </w:r>
          </w:p>
        </w:tc>
        <w:tc>
          <w:tcPr>
            <w:tcW w:w="773" w:type="dxa"/>
            <w:tcBorders>
              <w:top w:val="nil"/>
              <w:left w:val="nil"/>
              <w:bottom w:val="nil"/>
              <w:right w:val="nil"/>
            </w:tcBorders>
            <w:shd w:val="clear" w:color="auto" w:fill="auto"/>
            <w:noWrap/>
            <w:vAlign w:val="bottom"/>
          </w:tcPr>
          <w:p w14:paraId="3AC809A0" w14:textId="6D046A5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0.931</w:t>
            </w:r>
          </w:p>
        </w:tc>
        <w:tc>
          <w:tcPr>
            <w:tcW w:w="845" w:type="dxa"/>
            <w:tcBorders>
              <w:top w:val="nil"/>
              <w:left w:val="nil"/>
              <w:bottom w:val="nil"/>
              <w:right w:val="nil"/>
            </w:tcBorders>
            <w:shd w:val="clear" w:color="auto" w:fill="auto"/>
            <w:noWrap/>
            <w:vAlign w:val="bottom"/>
          </w:tcPr>
          <w:p w14:paraId="272615AB" w14:textId="5D71B75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0.813</w:t>
            </w:r>
          </w:p>
        </w:tc>
        <w:tc>
          <w:tcPr>
            <w:tcW w:w="702" w:type="dxa"/>
            <w:tcBorders>
              <w:top w:val="nil"/>
              <w:left w:val="nil"/>
              <w:bottom w:val="nil"/>
              <w:right w:val="single" w:sz="4" w:space="0" w:color="auto"/>
            </w:tcBorders>
            <w:shd w:val="clear" w:color="auto" w:fill="auto"/>
            <w:noWrap/>
            <w:vAlign w:val="bottom"/>
          </w:tcPr>
          <w:p w14:paraId="7B1A1317" w14:textId="6E9490E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0.936</w:t>
            </w:r>
          </w:p>
        </w:tc>
        <w:tc>
          <w:tcPr>
            <w:tcW w:w="774" w:type="dxa"/>
            <w:tcBorders>
              <w:left w:val="nil"/>
            </w:tcBorders>
            <w:vAlign w:val="bottom"/>
          </w:tcPr>
          <w:p w14:paraId="325B4E9F" w14:textId="5487BC2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0.928</w:t>
            </w:r>
          </w:p>
        </w:tc>
        <w:tc>
          <w:tcPr>
            <w:tcW w:w="773" w:type="dxa"/>
            <w:vAlign w:val="bottom"/>
          </w:tcPr>
          <w:p w14:paraId="73E3E793" w14:textId="7649A33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0.938</w:t>
            </w:r>
          </w:p>
        </w:tc>
        <w:tc>
          <w:tcPr>
            <w:tcW w:w="774" w:type="dxa"/>
            <w:vAlign w:val="bottom"/>
          </w:tcPr>
          <w:p w14:paraId="0937ECFD" w14:textId="0206812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0.933</w:t>
            </w:r>
          </w:p>
        </w:tc>
        <w:tc>
          <w:tcPr>
            <w:tcW w:w="847" w:type="dxa"/>
            <w:vAlign w:val="bottom"/>
          </w:tcPr>
          <w:p w14:paraId="418B5FAE" w14:textId="4E95231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0.889</w:t>
            </w:r>
          </w:p>
        </w:tc>
        <w:tc>
          <w:tcPr>
            <w:tcW w:w="715" w:type="dxa"/>
            <w:vAlign w:val="bottom"/>
          </w:tcPr>
          <w:p w14:paraId="1AE271C7" w14:textId="4A70CBA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0.930</w:t>
            </w:r>
          </w:p>
        </w:tc>
      </w:tr>
      <w:tr w:rsidR="00135495" w:rsidRPr="00A0555D" w14:paraId="125E641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15EA390"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06B5C886" w14:textId="6440C3E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0.919</w:t>
            </w:r>
          </w:p>
        </w:tc>
        <w:tc>
          <w:tcPr>
            <w:tcW w:w="774" w:type="dxa"/>
            <w:tcBorders>
              <w:top w:val="nil"/>
              <w:left w:val="nil"/>
              <w:bottom w:val="nil"/>
              <w:right w:val="nil"/>
            </w:tcBorders>
            <w:shd w:val="clear" w:color="auto" w:fill="auto"/>
            <w:noWrap/>
            <w:vAlign w:val="bottom"/>
          </w:tcPr>
          <w:p w14:paraId="06DA5DCD" w14:textId="23A7EAF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0.951</w:t>
            </w:r>
          </w:p>
        </w:tc>
        <w:tc>
          <w:tcPr>
            <w:tcW w:w="773" w:type="dxa"/>
            <w:tcBorders>
              <w:top w:val="nil"/>
              <w:left w:val="nil"/>
              <w:bottom w:val="nil"/>
              <w:right w:val="nil"/>
            </w:tcBorders>
            <w:shd w:val="clear" w:color="auto" w:fill="auto"/>
            <w:noWrap/>
            <w:vAlign w:val="bottom"/>
          </w:tcPr>
          <w:p w14:paraId="024D3FE4" w14:textId="7BED666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0.899</w:t>
            </w:r>
          </w:p>
        </w:tc>
        <w:tc>
          <w:tcPr>
            <w:tcW w:w="845" w:type="dxa"/>
            <w:tcBorders>
              <w:top w:val="nil"/>
              <w:left w:val="nil"/>
              <w:bottom w:val="nil"/>
              <w:right w:val="nil"/>
            </w:tcBorders>
            <w:shd w:val="clear" w:color="auto" w:fill="auto"/>
            <w:noWrap/>
            <w:vAlign w:val="bottom"/>
          </w:tcPr>
          <w:p w14:paraId="6898CD11" w14:textId="5D7EA6D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0.810</w:t>
            </w:r>
          </w:p>
        </w:tc>
        <w:tc>
          <w:tcPr>
            <w:tcW w:w="702" w:type="dxa"/>
            <w:tcBorders>
              <w:top w:val="nil"/>
              <w:left w:val="nil"/>
              <w:bottom w:val="nil"/>
              <w:right w:val="single" w:sz="4" w:space="0" w:color="auto"/>
            </w:tcBorders>
            <w:shd w:val="clear" w:color="auto" w:fill="auto"/>
            <w:noWrap/>
            <w:vAlign w:val="bottom"/>
          </w:tcPr>
          <w:p w14:paraId="48FFEAB5" w14:textId="5ED3076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0.929</w:t>
            </w:r>
          </w:p>
        </w:tc>
        <w:tc>
          <w:tcPr>
            <w:tcW w:w="774" w:type="dxa"/>
            <w:tcBorders>
              <w:left w:val="nil"/>
            </w:tcBorders>
            <w:vAlign w:val="bottom"/>
          </w:tcPr>
          <w:p w14:paraId="1CDBF0F5" w14:textId="60CEF17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0.929</w:t>
            </w:r>
          </w:p>
        </w:tc>
        <w:tc>
          <w:tcPr>
            <w:tcW w:w="773" w:type="dxa"/>
            <w:vAlign w:val="bottom"/>
          </w:tcPr>
          <w:p w14:paraId="3CB79A41" w14:textId="7E11A11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0.937</w:t>
            </w:r>
          </w:p>
        </w:tc>
        <w:tc>
          <w:tcPr>
            <w:tcW w:w="774" w:type="dxa"/>
            <w:vAlign w:val="bottom"/>
          </w:tcPr>
          <w:p w14:paraId="6AA592BE" w14:textId="055EDBA9"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0.934</w:t>
            </w:r>
          </w:p>
        </w:tc>
        <w:tc>
          <w:tcPr>
            <w:tcW w:w="847" w:type="dxa"/>
            <w:vAlign w:val="bottom"/>
          </w:tcPr>
          <w:p w14:paraId="6CFB68C6" w14:textId="231D9B4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0.906</w:t>
            </w:r>
          </w:p>
        </w:tc>
        <w:tc>
          <w:tcPr>
            <w:tcW w:w="715" w:type="dxa"/>
            <w:vAlign w:val="bottom"/>
          </w:tcPr>
          <w:p w14:paraId="03EF6766" w14:textId="41DA545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0.935</w:t>
            </w:r>
          </w:p>
        </w:tc>
      </w:tr>
      <w:tr w:rsidR="00135495" w:rsidRPr="00A0555D" w14:paraId="5471BECF"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A326407"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0A3437B0" w14:textId="6FE3A41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0.953</w:t>
            </w:r>
          </w:p>
        </w:tc>
        <w:tc>
          <w:tcPr>
            <w:tcW w:w="774" w:type="dxa"/>
            <w:tcBorders>
              <w:top w:val="nil"/>
              <w:left w:val="nil"/>
              <w:bottom w:val="nil"/>
              <w:right w:val="nil"/>
            </w:tcBorders>
            <w:shd w:val="clear" w:color="auto" w:fill="auto"/>
            <w:noWrap/>
            <w:vAlign w:val="bottom"/>
          </w:tcPr>
          <w:p w14:paraId="104917EF" w14:textId="0B1AEF8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0.972</w:t>
            </w:r>
          </w:p>
        </w:tc>
        <w:tc>
          <w:tcPr>
            <w:tcW w:w="773" w:type="dxa"/>
            <w:tcBorders>
              <w:top w:val="nil"/>
              <w:left w:val="nil"/>
              <w:bottom w:val="nil"/>
              <w:right w:val="nil"/>
            </w:tcBorders>
            <w:shd w:val="clear" w:color="auto" w:fill="auto"/>
            <w:noWrap/>
            <w:vAlign w:val="bottom"/>
          </w:tcPr>
          <w:p w14:paraId="5F27D9C1" w14:textId="2364F55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0.949</w:t>
            </w:r>
          </w:p>
        </w:tc>
        <w:tc>
          <w:tcPr>
            <w:tcW w:w="845" w:type="dxa"/>
            <w:tcBorders>
              <w:top w:val="nil"/>
              <w:left w:val="nil"/>
              <w:bottom w:val="nil"/>
              <w:right w:val="nil"/>
            </w:tcBorders>
            <w:shd w:val="clear" w:color="auto" w:fill="auto"/>
            <w:noWrap/>
            <w:vAlign w:val="bottom"/>
          </w:tcPr>
          <w:p w14:paraId="16D9A838" w14:textId="732449B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0.881</w:t>
            </w:r>
          </w:p>
        </w:tc>
        <w:tc>
          <w:tcPr>
            <w:tcW w:w="702" w:type="dxa"/>
            <w:tcBorders>
              <w:top w:val="nil"/>
              <w:left w:val="nil"/>
              <w:bottom w:val="nil"/>
              <w:right w:val="single" w:sz="4" w:space="0" w:color="auto"/>
            </w:tcBorders>
            <w:shd w:val="clear" w:color="auto" w:fill="auto"/>
            <w:noWrap/>
            <w:vAlign w:val="bottom"/>
          </w:tcPr>
          <w:p w14:paraId="37171D6C" w14:textId="522CE62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0.955</w:t>
            </w:r>
          </w:p>
        </w:tc>
        <w:tc>
          <w:tcPr>
            <w:tcW w:w="774" w:type="dxa"/>
            <w:tcBorders>
              <w:left w:val="nil"/>
            </w:tcBorders>
            <w:vAlign w:val="bottom"/>
          </w:tcPr>
          <w:p w14:paraId="0CD0911A" w14:textId="1F85EC3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0.942</w:t>
            </w:r>
          </w:p>
        </w:tc>
        <w:tc>
          <w:tcPr>
            <w:tcW w:w="773" w:type="dxa"/>
            <w:vAlign w:val="bottom"/>
          </w:tcPr>
          <w:p w14:paraId="385B5642" w14:textId="6FC4AEF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0.947</w:t>
            </w:r>
          </w:p>
        </w:tc>
        <w:tc>
          <w:tcPr>
            <w:tcW w:w="774" w:type="dxa"/>
            <w:vAlign w:val="bottom"/>
          </w:tcPr>
          <w:p w14:paraId="2308E437" w14:textId="6779D6A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0.947</w:t>
            </w:r>
          </w:p>
        </w:tc>
        <w:tc>
          <w:tcPr>
            <w:tcW w:w="847" w:type="dxa"/>
            <w:vAlign w:val="bottom"/>
          </w:tcPr>
          <w:p w14:paraId="2727DB56" w14:textId="482DC90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0.914</w:t>
            </w:r>
          </w:p>
        </w:tc>
        <w:tc>
          <w:tcPr>
            <w:tcW w:w="715" w:type="dxa"/>
            <w:vAlign w:val="bottom"/>
          </w:tcPr>
          <w:p w14:paraId="3F16456A" w14:textId="1F85AFA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0.945</w:t>
            </w:r>
          </w:p>
        </w:tc>
      </w:tr>
      <w:tr w:rsidR="00135495" w:rsidRPr="00A0555D" w14:paraId="3C07714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AB1FA18"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08D43DF8" w14:textId="66B0E75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0.942</w:t>
            </w:r>
          </w:p>
        </w:tc>
        <w:tc>
          <w:tcPr>
            <w:tcW w:w="774" w:type="dxa"/>
            <w:tcBorders>
              <w:top w:val="nil"/>
              <w:left w:val="nil"/>
              <w:bottom w:val="nil"/>
              <w:right w:val="nil"/>
            </w:tcBorders>
            <w:shd w:val="clear" w:color="auto" w:fill="auto"/>
            <w:noWrap/>
            <w:vAlign w:val="bottom"/>
          </w:tcPr>
          <w:p w14:paraId="5159FF00" w14:textId="2BA80BF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0.950</w:t>
            </w:r>
          </w:p>
        </w:tc>
        <w:tc>
          <w:tcPr>
            <w:tcW w:w="773" w:type="dxa"/>
            <w:tcBorders>
              <w:top w:val="nil"/>
              <w:left w:val="nil"/>
              <w:bottom w:val="nil"/>
              <w:right w:val="nil"/>
            </w:tcBorders>
            <w:shd w:val="clear" w:color="auto" w:fill="auto"/>
            <w:noWrap/>
            <w:vAlign w:val="bottom"/>
          </w:tcPr>
          <w:p w14:paraId="04988DC7" w14:textId="68DFB2E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0.917</w:t>
            </w:r>
          </w:p>
        </w:tc>
        <w:tc>
          <w:tcPr>
            <w:tcW w:w="845" w:type="dxa"/>
            <w:tcBorders>
              <w:top w:val="nil"/>
              <w:left w:val="nil"/>
              <w:bottom w:val="nil"/>
              <w:right w:val="nil"/>
            </w:tcBorders>
            <w:shd w:val="clear" w:color="auto" w:fill="auto"/>
            <w:noWrap/>
            <w:vAlign w:val="bottom"/>
          </w:tcPr>
          <w:p w14:paraId="6B83B88C" w14:textId="68DF669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0.863</w:t>
            </w:r>
          </w:p>
        </w:tc>
        <w:tc>
          <w:tcPr>
            <w:tcW w:w="702" w:type="dxa"/>
            <w:tcBorders>
              <w:top w:val="nil"/>
              <w:left w:val="nil"/>
              <w:bottom w:val="nil"/>
              <w:right w:val="single" w:sz="4" w:space="0" w:color="auto"/>
            </w:tcBorders>
            <w:shd w:val="clear" w:color="auto" w:fill="auto"/>
            <w:noWrap/>
            <w:vAlign w:val="bottom"/>
          </w:tcPr>
          <w:p w14:paraId="374BC7F9" w14:textId="5D708A4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0.955</w:t>
            </w:r>
          </w:p>
        </w:tc>
        <w:tc>
          <w:tcPr>
            <w:tcW w:w="774" w:type="dxa"/>
            <w:tcBorders>
              <w:left w:val="nil"/>
            </w:tcBorders>
            <w:vAlign w:val="bottom"/>
          </w:tcPr>
          <w:p w14:paraId="714371B2" w14:textId="417669B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0.946</w:t>
            </w:r>
          </w:p>
        </w:tc>
        <w:tc>
          <w:tcPr>
            <w:tcW w:w="773" w:type="dxa"/>
            <w:vAlign w:val="bottom"/>
          </w:tcPr>
          <w:p w14:paraId="436DBC7D" w14:textId="76C25EB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0.924</w:t>
            </w:r>
          </w:p>
        </w:tc>
        <w:tc>
          <w:tcPr>
            <w:tcW w:w="774" w:type="dxa"/>
            <w:vAlign w:val="bottom"/>
          </w:tcPr>
          <w:p w14:paraId="63E4E6F1" w14:textId="19B9103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0.946</w:t>
            </w:r>
          </w:p>
        </w:tc>
        <w:tc>
          <w:tcPr>
            <w:tcW w:w="847" w:type="dxa"/>
            <w:vAlign w:val="bottom"/>
          </w:tcPr>
          <w:p w14:paraId="5F7C9C17" w14:textId="6BAEDCC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0.939</w:t>
            </w:r>
          </w:p>
        </w:tc>
        <w:tc>
          <w:tcPr>
            <w:tcW w:w="715" w:type="dxa"/>
            <w:vAlign w:val="bottom"/>
          </w:tcPr>
          <w:p w14:paraId="4A7D17D0" w14:textId="2E5881E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0.942</w:t>
            </w:r>
          </w:p>
        </w:tc>
      </w:tr>
      <w:tr w:rsidR="00135495" w:rsidRPr="00A0555D" w14:paraId="08E9512A"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490E3FF"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45875A25" w14:textId="147B689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0.947</w:t>
            </w:r>
          </w:p>
        </w:tc>
        <w:tc>
          <w:tcPr>
            <w:tcW w:w="774" w:type="dxa"/>
            <w:tcBorders>
              <w:top w:val="nil"/>
              <w:left w:val="nil"/>
              <w:bottom w:val="single" w:sz="4" w:space="0" w:color="auto"/>
              <w:right w:val="nil"/>
            </w:tcBorders>
            <w:shd w:val="clear" w:color="auto" w:fill="auto"/>
            <w:noWrap/>
            <w:vAlign w:val="bottom"/>
          </w:tcPr>
          <w:p w14:paraId="749A133B" w14:textId="5D67FFC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0.974</w:t>
            </w:r>
          </w:p>
        </w:tc>
        <w:tc>
          <w:tcPr>
            <w:tcW w:w="773" w:type="dxa"/>
            <w:tcBorders>
              <w:top w:val="nil"/>
              <w:left w:val="nil"/>
              <w:bottom w:val="single" w:sz="4" w:space="0" w:color="auto"/>
              <w:right w:val="nil"/>
            </w:tcBorders>
            <w:shd w:val="clear" w:color="auto" w:fill="auto"/>
            <w:noWrap/>
            <w:vAlign w:val="bottom"/>
          </w:tcPr>
          <w:p w14:paraId="55E0BDD0" w14:textId="79CC8BD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0.935</w:t>
            </w:r>
          </w:p>
        </w:tc>
        <w:tc>
          <w:tcPr>
            <w:tcW w:w="845" w:type="dxa"/>
            <w:tcBorders>
              <w:top w:val="nil"/>
              <w:left w:val="nil"/>
              <w:bottom w:val="single" w:sz="4" w:space="0" w:color="auto"/>
              <w:right w:val="nil"/>
            </w:tcBorders>
            <w:shd w:val="clear" w:color="auto" w:fill="auto"/>
            <w:noWrap/>
            <w:vAlign w:val="bottom"/>
          </w:tcPr>
          <w:p w14:paraId="29DEA650" w14:textId="371CF44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0.816</w:t>
            </w:r>
          </w:p>
        </w:tc>
        <w:tc>
          <w:tcPr>
            <w:tcW w:w="702" w:type="dxa"/>
            <w:tcBorders>
              <w:top w:val="nil"/>
              <w:left w:val="nil"/>
              <w:bottom w:val="single" w:sz="4" w:space="0" w:color="auto"/>
              <w:right w:val="single" w:sz="4" w:space="0" w:color="auto"/>
            </w:tcBorders>
            <w:shd w:val="clear" w:color="auto" w:fill="auto"/>
            <w:noWrap/>
            <w:vAlign w:val="bottom"/>
          </w:tcPr>
          <w:p w14:paraId="5D9F050E" w14:textId="6CD3D40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0.940</w:t>
            </w:r>
          </w:p>
        </w:tc>
        <w:tc>
          <w:tcPr>
            <w:tcW w:w="774" w:type="dxa"/>
            <w:tcBorders>
              <w:left w:val="nil"/>
              <w:bottom w:val="single" w:sz="4" w:space="0" w:color="auto"/>
            </w:tcBorders>
            <w:vAlign w:val="bottom"/>
          </w:tcPr>
          <w:p w14:paraId="3891DA8E" w14:textId="15791B8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0.926</w:t>
            </w:r>
          </w:p>
        </w:tc>
        <w:tc>
          <w:tcPr>
            <w:tcW w:w="773" w:type="dxa"/>
            <w:tcBorders>
              <w:bottom w:val="single" w:sz="4" w:space="0" w:color="auto"/>
            </w:tcBorders>
            <w:vAlign w:val="bottom"/>
          </w:tcPr>
          <w:p w14:paraId="4E7A45B6" w14:textId="6221087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0.946</w:t>
            </w:r>
          </w:p>
        </w:tc>
        <w:tc>
          <w:tcPr>
            <w:tcW w:w="774" w:type="dxa"/>
            <w:tcBorders>
              <w:bottom w:val="single" w:sz="4" w:space="0" w:color="auto"/>
            </w:tcBorders>
            <w:vAlign w:val="bottom"/>
          </w:tcPr>
          <w:p w14:paraId="43D145F0" w14:textId="284FA17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0.924</w:t>
            </w:r>
          </w:p>
        </w:tc>
        <w:tc>
          <w:tcPr>
            <w:tcW w:w="847" w:type="dxa"/>
            <w:tcBorders>
              <w:bottom w:val="single" w:sz="4" w:space="0" w:color="auto"/>
            </w:tcBorders>
            <w:vAlign w:val="bottom"/>
          </w:tcPr>
          <w:p w14:paraId="4E74D477" w14:textId="11F1337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0.878</w:t>
            </w:r>
          </w:p>
        </w:tc>
        <w:tc>
          <w:tcPr>
            <w:tcW w:w="715" w:type="dxa"/>
            <w:tcBorders>
              <w:bottom w:val="single" w:sz="4" w:space="0" w:color="auto"/>
            </w:tcBorders>
            <w:vAlign w:val="bottom"/>
          </w:tcPr>
          <w:p w14:paraId="7307AF9F" w14:textId="6D4FED5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0.929</w:t>
            </w:r>
          </w:p>
        </w:tc>
      </w:tr>
      <w:tr w:rsidR="0070792B" w:rsidRPr="00A0555D" w14:paraId="5018A8D9" w14:textId="77777777"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79DB6908" w14:textId="77777777" w:rsidR="0070792B" w:rsidRPr="00A0555D" w:rsidRDefault="0070792B"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7159619F" w14:textId="77777777"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0D030B93" w14:textId="77777777"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48DFAECA" w14:textId="77777777"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4841518D" w14:textId="77777777"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0CE263B8" w14:textId="77777777"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641846FC" w14:textId="77777777" w:rsidR="0070792B" w:rsidRPr="006016B0" w:rsidRDefault="0070792B"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126813C8" w14:textId="77777777" w:rsidR="0070792B" w:rsidRPr="006016B0" w:rsidRDefault="0070792B"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3DCB9827" w14:textId="77777777" w:rsidR="0070792B" w:rsidRPr="006016B0" w:rsidRDefault="0070792B"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4698E85C" w14:textId="77777777" w:rsidR="0070792B" w:rsidRPr="006016B0" w:rsidRDefault="0070792B"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7316E33E" w14:textId="77777777" w:rsidR="0070792B" w:rsidRPr="006016B0" w:rsidRDefault="0070792B" w:rsidP="006016B0">
            <w:pPr>
              <w:tabs>
                <w:tab w:val="decimal" w:pos="256"/>
              </w:tabs>
              <w:spacing w:before="0" w:after="0" w:line="240" w:lineRule="auto"/>
              <w:ind w:firstLine="0"/>
              <w:rPr>
                <w:color w:val="000000"/>
                <w:sz w:val="16"/>
                <w:szCs w:val="16"/>
              </w:rPr>
            </w:pPr>
          </w:p>
        </w:tc>
      </w:tr>
      <w:tr w:rsidR="00135495" w:rsidRPr="00A0555D" w14:paraId="0C9474E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D127940"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28C28616" w14:textId="357E561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0.923</w:t>
            </w:r>
          </w:p>
        </w:tc>
        <w:tc>
          <w:tcPr>
            <w:tcW w:w="774" w:type="dxa"/>
            <w:tcBorders>
              <w:top w:val="nil"/>
              <w:left w:val="nil"/>
              <w:bottom w:val="nil"/>
              <w:right w:val="nil"/>
            </w:tcBorders>
            <w:shd w:val="clear" w:color="auto" w:fill="auto"/>
            <w:noWrap/>
            <w:vAlign w:val="bottom"/>
          </w:tcPr>
          <w:p w14:paraId="499EBACE" w14:textId="4AB9E18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0.913</w:t>
            </w:r>
          </w:p>
        </w:tc>
        <w:tc>
          <w:tcPr>
            <w:tcW w:w="773" w:type="dxa"/>
            <w:tcBorders>
              <w:top w:val="nil"/>
              <w:left w:val="nil"/>
              <w:bottom w:val="nil"/>
              <w:right w:val="nil"/>
            </w:tcBorders>
            <w:shd w:val="clear" w:color="auto" w:fill="auto"/>
            <w:noWrap/>
            <w:vAlign w:val="bottom"/>
          </w:tcPr>
          <w:p w14:paraId="69714F3E" w14:textId="580F1B0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0.899</w:t>
            </w:r>
          </w:p>
        </w:tc>
        <w:tc>
          <w:tcPr>
            <w:tcW w:w="845" w:type="dxa"/>
            <w:tcBorders>
              <w:top w:val="nil"/>
              <w:left w:val="nil"/>
              <w:bottom w:val="nil"/>
              <w:right w:val="nil"/>
            </w:tcBorders>
            <w:shd w:val="clear" w:color="auto" w:fill="auto"/>
            <w:noWrap/>
            <w:vAlign w:val="bottom"/>
          </w:tcPr>
          <w:p w14:paraId="3AF9F8A2" w14:textId="568D44A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0.877</w:t>
            </w:r>
          </w:p>
        </w:tc>
        <w:tc>
          <w:tcPr>
            <w:tcW w:w="702" w:type="dxa"/>
            <w:tcBorders>
              <w:top w:val="nil"/>
              <w:left w:val="nil"/>
              <w:bottom w:val="nil"/>
              <w:right w:val="single" w:sz="4" w:space="0" w:color="auto"/>
            </w:tcBorders>
            <w:shd w:val="clear" w:color="auto" w:fill="auto"/>
            <w:noWrap/>
            <w:vAlign w:val="bottom"/>
          </w:tcPr>
          <w:p w14:paraId="22C4230A" w14:textId="048F4B0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0.932</w:t>
            </w:r>
          </w:p>
        </w:tc>
        <w:tc>
          <w:tcPr>
            <w:tcW w:w="774" w:type="dxa"/>
            <w:tcBorders>
              <w:left w:val="nil"/>
            </w:tcBorders>
            <w:vAlign w:val="bottom"/>
          </w:tcPr>
          <w:p w14:paraId="5980F559" w14:textId="083D2FC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0.945</w:t>
            </w:r>
          </w:p>
        </w:tc>
        <w:tc>
          <w:tcPr>
            <w:tcW w:w="773" w:type="dxa"/>
            <w:vAlign w:val="bottom"/>
          </w:tcPr>
          <w:p w14:paraId="43513272" w14:textId="2E5E5A3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0.925</w:t>
            </w:r>
          </w:p>
        </w:tc>
        <w:tc>
          <w:tcPr>
            <w:tcW w:w="774" w:type="dxa"/>
            <w:vAlign w:val="bottom"/>
          </w:tcPr>
          <w:p w14:paraId="1D091476" w14:textId="74B75B39"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0.947</w:t>
            </w:r>
          </w:p>
        </w:tc>
        <w:tc>
          <w:tcPr>
            <w:tcW w:w="847" w:type="dxa"/>
            <w:vAlign w:val="bottom"/>
          </w:tcPr>
          <w:p w14:paraId="0062AC91" w14:textId="39338DD9"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0.937</w:t>
            </w:r>
          </w:p>
        </w:tc>
        <w:tc>
          <w:tcPr>
            <w:tcW w:w="715" w:type="dxa"/>
            <w:vAlign w:val="bottom"/>
          </w:tcPr>
          <w:p w14:paraId="6482E4E8" w14:textId="09D5864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0.923</w:t>
            </w:r>
          </w:p>
        </w:tc>
      </w:tr>
      <w:tr w:rsidR="00135495" w:rsidRPr="00A0555D" w14:paraId="15BCA1B5"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6554A8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01193F58" w14:textId="5F8D912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0.927</w:t>
            </w:r>
          </w:p>
        </w:tc>
        <w:tc>
          <w:tcPr>
            <w:tcW w:w="774" w:type="dxa"/>
            <w:tcBorders>
              <w:top w:val="nil"/>
              <w:left w:val="nil"/>
              <w:bottom w:val="nil"/>
              <w:right w:val="nil"/>
            </w:tcBorders>
            <w:shd w:val="clear" w:color="auto" w:fill="auto"/>
            <w:noWrap/>
            <w:vAlign w:val="bottom"/>
          </w:tcPr>
          <w:p w14:paraId="409FB0B7" w14:textId="5506A84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0.949</w:t>
            </w:r>
          </w:p>
        </w:tc>
        <w:tc>
          <w:tcPr>
            <w:tcW w:w="773" w:type="dxa"/>
            <w:tcBorders>
              <w:top w:val="nil"/>
              <w:left w:val="nil"/>
              <w:bottom w:val="nil"/>
              <w:right w:val="nil"/>
            </w:tcBorders>
            <w:shd w:val="clear" w:color="auto" w:fill="auto"/>
            <w:noWrap/>
            <w:vAlign w:val="bottom"/>
          </w:tcPr>
          <w:p w14:paraId="494B3A97" w14:textId="7B72E2E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0.912</w:t>
            </w:r>
          </w:p>
        </w:tc>
        <w:tc>
          <w:tcPr>
            <w:tcW w:w="845" w:type="dxa"/>
            <w:tcBorders>
              <w:top w:val="nil"/>
              <w:left w:val="nil"/>
              <w:bottom w:val="nil"/>
              <w:right w:val="nil"/>
            </w:tcBorders>
            <w:shd w:val="clear" w:color="auto" w:fill="auto"/>
            <w:noWrap/>
            <w:vAlign w:val="bottom"/>
          </w:tcPr>
          <w:p w14:paraId="66139D8D" w14:textId="0178288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0.876</w:t>
            </w:r>
          </w:p>
        </w:tc>
        <w:tc>
          <w:tcPr>
            <w:tcW w:w="702" w:type="dxa"/>
            <w:tcBorders>
              <w:top w:val="nil"/>
              <w:left w:val="nil"/>
              <w:bottom w:val="nil"/>
              <w:right w:val="single" w:sz="4" w:space="0" w:color="auto"/>
            </w:tcBorders>
            <w:shd w:val="clear" w:color="auto" w:fill="auto"/>
            <w:noWrap/>
            <w:vAlign w:val="bottom"/>
          </w:tcPr>
          <w:p w14:paraId="19901D3E" w14:textId="79B70D0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0.923</w:t>
            </w:r>
          </w:p>
        </w:tc>
        <w:tc>
          <w:tcPr>
            <w:tcW w:w="774" w:type="dxa"/>
            <w:tcBorders>
              <w:left w:val="nil"/>
            </w:tcBorders>
            <w:vAlign w:val="bottom"/>
          </w:tcPr>
          <w:p w14:paraId="48BE8008" w14:textId="7E7B541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0.964</w:t>
            </w:r>
          </w:p>
        </w:tc>
        <w:tc>
          <w:tcPr>
            <w:tcW w:w="773" w:type="dxa"/>
            <w:vAlign w:val="bottom"/>
          </w:tcPr>
          <w:p w14:paraId="4F4288B3" w14:textId="5C5571C9"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0.963</w:t>
            </w:r>
          </w:p>
        </w:tc>
        <w:tc>
          <w:tcPr>
            <w:tcW w:w="774" w:type="dxa"/>
            <w:vAlign w:val="bottom"/>
          </w:tcPr>
          <w:p w14:paraId="4683140B" w14:textId="54FB02D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0.965</w:t>
            </w:r>
          </w:p>
        </w:tc>
        <w:tc>
          <w:tcPr>
            <w:tcW w:w="847" w:type="dxa"/>
            <w:vAlign w:val="bottom"/>
          </w:tcPr>
          <w:p w14:paraId="2DA4BBBF" w14:textId="3CA99FC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0.947</w:t>
            </w:r>
          </w:p>
        </w:tc>
        <w:tc>
          <w:tcPr>
            <w:tcW w:w="715" w:type="dxa"/>
            <w:vAlign w:val="bottom"/>
          </w:tcPr>
          <w:p w14:paraId="23C34862" w14:textId="526306F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0.953</w:t>
            </w:r>
          </w:p>
        </w:tc>
      </w:tr>
      <w:tr w:rsidR="00135495" w:rsidRPr="00A0555D" w14:paraId="0526356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09468E3"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58886E8E" w14:textId="3C0FB0C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0.881</w:t>
            </w:r>
          </w:p>
        </w:tc>
        <w:tc>
          <w:tcPr>
            <w:tcW w:w="774" w:type="dxa"/>
            <w:tcBorders>
              <w:top w:val="nil"/>
              <w:left w:val="nil"/>
              <w:bottom w:val="nil"/>
              <w:right w:val="nil"/>
            </w:tcBorders>
            <w:shd w:val="clear" w:color="auto" w:fill="auto"/>
            <w:noWrap/>
            <w:vAlign w:val="bottom"/>
          </w:tcPr>
          <w:p w14:paraId="0506303B" w14:textId="40FDF48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0.940</w:t>
            </w:r>
          </w:p>
        </w:tc>
        <w:tc>
          <w:tcPr>
            <w:tcW w:w="773" w:type="dxa"/>
            <w:tcBorders>
              <w:top w:val="nil"/>
              <w:left w:val="nil"/>
              <w:bottom w:val="nil"/>
              <w:right w:val="nil"/>
            </w:tcBorders>
            <w:shd w:val="clear" w:color="auto" w:fill="auto"/>
            <w:noWrap/>
            <w:vAlign w:val="bottom"/>
          </w:tcPr>
          <w:p w14:paraId="597502ED" w14:textId="699B7D6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0.862</w:t>
            </w:r>
          </w:p>
        </w:tc>
        <w:tc>
          <w:tcPr>
            <w:tcW w:w="845" w:type="dxa"/>
            <w:tcBorders>
              <w:top w:val="nil"/>
              <w:left w:val="nil"/>
              <w:bottom w:val="nil"/>
              <w:right w:val="nil"/>
            </w:tcBorders>
            <w:shd w:val="clear" w:color="auto" w:fill="auto"/>
            <w:noWrap/>
            <w:vAlign w:val="bottom"/>
          </w:tcPr>
          <w:p w14:paraId="78FE207A" w14:textId="0D27548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0.755</w:t>
            </w:r>
          </w:p>
        </w:tc>
        <w:tc>
          <w:tcPr>
            <w:tcW w:w="702" w:type="dxa"/>
            <w:tcBorders>
              <w:top w:val="nil"/>
              <w:left w:val="nil"/>
              <w:bottom w:val="nil"/>
              <w:right w:val="single" w:sz="4" w:space="0" w:color="auto"/>
            </w:tcBorders>
            <w:shd w:val="clear" w:color="auto" w:fill="auto"/>
            <w:noWrap/>
            <w:vAlign w:val="bottom"/>
          </w:tcPr>
          <w:p w14:paraId="4830D51E" w14:textId="38E3878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0.882</w:t>
            </w:r>
          </w:p>
        </w:tc>
        <w:tc>
          <w:tcPr>
            <w:tcW w:w="774" w:type="dxa"/>
            <w:tcBorders>
              <w:left w:val="nil"/>
            </w:tcBorders>
            <w:vAlign w:val="bottom"/>
          </w:tcPr>
          <w:p w14:paraId="146CAFDA" w14:textId="0BD32BE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0.954</w:t>
            </w:r>
          </w:p>
        </w:tc>
        <w:tc>
          <w:tcPr>
            <w:tcW w:w="773" w:type="dxa"/>
            <w:vAlign w:val="bottom"/>
          </w:tcPr>
          <w:p w14:paraId="28A2EA68" w14:textId="3F46DE1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0.953</w:t>
            </w:r>
          </w:p>
        </w:tc>
        <w:tc>
          <w:tcPr>
            <w:tcW w:w="774" w:type="dxa"/>
            <w:vAlign w:val="bottom"/>
          </w:tcPr>
          <w:p w14:paraId="0D0751B4" w14:textId="1CC29DD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0.950</w:t>
            </w:r>
          </w:p>
        </w:tc>
        <w:tc>
          <w:tcPr>
            <w:tcW w:w="847" w:type="dxa"/>
            <w:vAlign w:val="bottom"/>
          </w:tcPr>
          <w:p w14:paraId="6CD62986" w14:textId="712D8B7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0.949</w:t>
            </w:r>
          </w:p>
        </w:tc>
        <w:tc>
          <w:tcPr>
            <w:tcW w:w="715" w:type="dxa"/>
            <w:vAlign w:val="bottom"/>
          </w:tcPr>
          <w:p w14:paraId="6F03F04A" w14:textId="7B4BDF3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0.940</w:t>
            </w:r>
          </w:p>
        </w:tc>
      </w:tr>
      <w:tr w:rsidR="00135495" w:rsidRPr="00A0555D" w14:paraId="60CFF037"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5DB8743"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1E0DCD2" w14:textId="28C0425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0.946</w:t>
            </w:r>
          </w:p>
        </w:tc>
        <w:tc>
          <w:tcPr>
            <w:tcW w:w="774" w:type="dxa"/>
            <w:tcBorders>
              <w:top w:val="nil"/>
              <w:left w:val="nil"/>
              <w:bottom w:val="nil"/>
              <w:right w:val="nil"/>
            </w:tcBorders>
            <w:shd w:val="clear" w:color="auto" w:fill="auto"/>
            <w:noWrap/>
            <w:vAlign w:val="bottom"/>
          </w:tcPr>
          <w:p w14:paraId="5A844911" w14:textId="72BDBDF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0.952</w:t>
            </w:r>
          </w:p>
        </w:tc>
        <w:tc>
          <w:tcPr>
            <w:tcW w:w="773" w:type="dxa"/>
            <w:tcBorders>
              <w:top w:val="nil"/>
              <w:left w:val="nil"/>
              <w:bottom w:val="nil"/>
              <w:right w:val="nil"/>
            </w:tcBorders>
            <w:shd w:val="clear" w:color="auto" w:fill="auto"/>
            <w:noWrap/>
            <w:vAlign w:val="bottom"/>
          </w:tcPr>
          <w:p w14:paraId="1FF3F6DB" w14:textId="742DE66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0.921</w:t>
            </w:r>
          </w:p>
        </w:tc>
        <w:tc>
          <w:tcPr>
            <w:tcW w:w="845" w:type="dxa"/>
            <w:tcBorders>
              <w:top w:val="nil"/>
              <w:left w:val="nil"/>
              <w:bottom w:val="nil"/>
              <w:right w:val="nil"/>
            </w:tcBorders>
            <w:shd w:val="clear" w:color="auto" w:fill="auto"/>
            <w:noWrap/>
            <w:vAlign w:val="bottom"/>
          </w:tcPr>
          <w:p w14:paraId="6D51F5B0" w14:textId="1FECDB7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0.915</w:t>
            </w:r>
          </w:p>
        </w:tc>
        <w:tc>
          <w:tcPr>
            <w:tcW w:w="702" w:type="dxa"/>
            <w:tcBorders>
              <w:top w:val="nil"/>
              <w:left w:val="nil"/>
              <w:bottom w:val="nil"/>
              <w:right w:val="single" w:sz="4" w:space="0" w:color="auto"/>
            </w:tcBorders>
            <w:shd w:val="clear" w:color="auto" w:fill="auto"/>
            <w:noWrap/>
            <w:vAlign w:val="bottom"/>
          </w:tcPr>
          <w:p w14:paraId="7C4B61BC" w14:textId="5CABC97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0.942</w:t>
            </w:r>
          </w:p>
        </w:tc>
        <w:tc>
          <w:tcPr>
            <w:tcW w:w="774" w:type="dxa"/>
            <w:tcBorders>
              <w:left w:val="nil"/>
            </w:tcBorders>
            <w:vAlign w:val="bottom"/>
          </w:tcPr>
          <w:p w14:paraId="72F172CA" w14:textId="455D537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0.954</w:t>
            </w:r>
          </w:p>
        </w:tc>
        <w:tc>
          <w:tcPr>
            <w:tcW w:w="773" w:type="dxa"/>
            <w:vAlign w:val="bottom"/>
          </w:tcPr>
          <w:p w14:paraId="33CD9536" w14:textId="2856F52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0.954</w:t>
            </w:r>
          </w:p>
        </w:tc>
        <w:tc>
          <w:tcPr>
            <w:tcW w:w="774" w:type="dxa"/>
            <w:vAlign w:val="bottom"/>
          </w:tcPr>
          <w:p w14:paraId="70E20CC2" w14:textId="2B07067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0.949</w:t>
            </w:r>
          </w:p>
        </w:tc>
        <w:tc>
          <w:tcPr>
            <w:tcW w:w="847" w:type="dxa"/>
            <w:vAlign w:val="bottom"/>
          </w:tcPr>
          <w:p w14:paraId="2B106E02" w14:textId="478F2F3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0.942</w:t>
            </w:r>
          </w:p>
        </w:tc>
        <w:tc>
          <w:tcPr>
            <w:tcW w:w="715" w:type="dxa"/>
            <w:vAlign w:val="bottom"/>
          </w:tcPr>
          <w:p w14:paraId="3058FC33" w14:textId="5B13F93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0.937</w:t>
            </w:r>
          </w:p>
        </w:tc>
      </w:tr>
      <w:tr w:rsidR="00135495" w:rsidRPr="00A0555D" w14:paraId="5D5054D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43F56F5"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2CF7BAD7" w14:textId="284DC7A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0.928</w:t>
            </w:r>
          </w:p>
        </w:tc>
        <w:tc>
          <w:tcPr>
            <w:tcW w:w="774" w:type="dxa"/>
            <w:tcBorders>
              <w:top w:val="nil"/>
              <w:left w:val="nil"/>
              <w:bottom w:val="nil"/>
              <w:right w:val="nil"/>
            </w:tcBorders>
            <w:shd w:val="clear" w:color="auto" w:fill="auto"/>
            <w:noWrap/>
            <w:vAlign w:val="bottom"/>
          </w:tcPr>
          <w:p w14:paraId="36C788AC" w14:textId="4AF1C68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0.943</w:t>
            </w:r>
          </w:p>
        </w:tc>
        <w:tc>
          <w:tcPr>
            <w:tcW w:w="773" w:type="dxa"/>
            <w:tcBorders>
              <w:top w:val="nil"/>
              <w:left w:val="nil"/>
              <w:bottom w:val="nil"/>
              <w:right w:val="nil"/>
            </w:tcBorders>
            <w:shd w:val="clear" w:color="auto" w:fill="auto"/>
            <w:noWrap/>
            <w:vAlign w:val="bottom"/>
          </w:tcPr>
          <w:p w14:paraId="1FD2FBAA" w14:textId="385A405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0.903</w:t>
            </w:r>
          </w:p>
        </w:tc>
        <w:tc>
          <w:tcPr>
            <w:tcW w:w="845" w:type="dxa"/>
            <w:tcBorders>
              <w:top w:val="nil"/>
              <w:left w:val="nil"/>
              <w:bottom w:val="nil"/>
              <w:right w:val="nil"/>
            </w:tcBorders>
            <w:shd w:val="clear" w:color="auto" w:fill="auto"/>
            <w:noWrap/>
            <w:vAlign w:val="bottom"/>
          </w:tcPr>
          <w:p w14:paraId="7C0D5FAD" w14:textId="79627FB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0.874</w:t>
            </w:r>
          </w:p>
        </w:tc>
        <w:tc>
          <w:tcPr>
            <w:tcW w:w="702" w:type="dxa"/>
            <w:tcBorders>
              <w:top w:val="nil"/>
              <w:left w:val="nil"/>
              <w:bottom w:val="nil"/>
              <w:right w:val="single" w:sz="4" w:space="0" w:color="auto"/>
            </w:tcBorders>
            <w:shd w:val="clear" w:color="auto" w:fill="auto"/>
            <w:noWrap/>
            <w:vAlign w:val="bottom"/>
          </w:tcPr>
          <w:p w14:paraId="281C7586" w14:textId="52CAD8A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0.931</w:t>
            </w:r>
          </w:p>
        </w:tc>
        <w:tc>
          <w:tcPr>
            <w:tcW w:w="774" w:type="dxa"/>
            <w:tcBorders>
              <w:left w:val="nil"/>
            </w:tcBorders>
            <w:vAlign w:val="bottom"/>
          </w:tcPr>
          <w:p w14:paraId="66D54AF4" w14:textId="4AE6C05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0.956</w:t>
            </w:r>
          </w:p>
        </w:tc>
        <w:tc>
          <w:tcPr>
            <w:tcW w:w="773" w:type="dxa"/>
            <w:vAlign w:val="bottom"/>
          </w:tcPr>
          <w:p w14:paraId="1FA9521A" w14:textId="116E51A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0.941</w:t>
            </w:r>
          </w:p>
        </w:tc>
        <w:tc>
          <w:tcPr>
            <w:tcW w:w="774" w:type="dxa"/>
            <w:vAlign w:val="bottom"/>
          </w:tcPr>
          <w:p w14:paraId="3DBF72A8" w14:textId="503F516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0.960</w:t>
            </w:r>
          </w:p>
        </w:tc>
        <w:tc>
          <w:tcPr>
            <w:tcW w:w="847" w:type="dxa"/>
            <w:vAlign w:val="bottom"/>
          </w:tcPr>
          <w:p w14:paraId="749E6E3F" w14:textId="2822BF2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0.960</w:t>
            </w:r>
          </w:p>
        </w:tc>
        <w:tc>
          <w:tcPr>
            <w:tcW w:w="715" w:type="dxa"/>
            <w:vAlign w:val="bottom"/>
          </w:tcPr>
          <w:p w14:paraId="7CF85135" w14:textId="580CE44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0.942</w:t>
            </w:r>
          </w:p>
        </w:tc>
      </w:tr>
      <w:tr w:rsidR="00135495" w:rsidRPr="00A0555D" w14:paraId="517D687E"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6DD490CD"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0EC4059B" w14:textId="019D99B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0.930</w:t>
            </w:r>
          </w:p>
        </w:tc>
        <w:tc>
          <w:tcPr>
            <w:tcW w:w="774" w:type="dxa"/>
            <w:tcBorders>
              <w:top w:val="nil"/>
              <w:left w:val="nil"/>
              <w:bottom w:val="single" w:sz="4" w:space="0" w:color="auto"/>
              <w:right w:val="nil"/>
            </w:tcBorders>
            <w:shd w:val="clear" w:color="auto" w:fill="auto"/>
            <w:noWrap/>
            <w:vAlign w:val="bottom"/>
          </w:tcPr>
          <w:p w14:paraId="1117CBFA" w14:textId="161DA30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0.948</w:t>
            </w:r>
          </w:p>
        </w:tc>
        <w:tc>
          <w:tcPr>
            <w:tcW w:w="773" w:type="dxa"/>
            <w:tcBorders>
              <w:top w:val="nil"/>
              <w:left w:val="nil"/>
              <w:bottom w:val="single" w:sz="4" w:space="0" w:color="auto"/>
              <w:right w:val="nil"/>
            </w:tcBorders>
            <w:shd w:val="clear" w:color="auto" w:fill="auto"/>
            <w:noWrap/>
            <w:vAlign w:val="bottom"/>
          </w:tcPr>
          <w:p w14:paraId="58F8DFEE" w14:textId="0A03C57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0.922</w:t>
            </w:r>
          </w:p>
        </w:tc>
        <w:tc>
          <w:tcPr>
            <w:tcW w:w="845" w:type="dxa"/>
            <w:tcBorders>
              <w:top w:val="nil"/>
              <w:left w:val="nil"/>
              <w:bottom w:val="single" w:sz="4" w:space="0" w:color="auto"/>
              <w:right w:val="nil"/>
            </w:tcBorders>
            <w:shd w:val="clear" w:color="auto" w:fill="auto"/>
            <w:noWrap/>
            <w:vAlign w:val="bottom"/>
          </w:tcPr>
          <w:p w14:paraId="5EB38A72" w14:textId="4DBC4D7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0.851</w:t>
            </w:r>
          </w:p>
        </w:tc>
        <w:tc>
          <w:tcPr>
            <w:tcW w:w="702" w:type="dxa"/>
            <w:tcBorders>
              <w:top w:val="nil"/>
              <w:left w:val="nil"/>
              <w:bottom w:val="single" w:sz="4" w:space="0" w:color="auto"/>
              <w:right w:val="single" w:sz="4" w:space="0" w:color="auto"/>
            </w:tcBorders>
            <w:shd w:val="clear" w:color="auto" w:fill="auto"/>
            <w:noWrap/>
            <w:vAlign w:val="bottom"/>
          </w:tcPr>
          <w:p w14:paraId="28D32137" w14:textId="4BF5033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0.930</w:t>
            </w:r>
          </w:p>
        </w:tc>
        <w:tc>
          <w:tcPr>
            <w:tcW w:w="774" w:type="dxa"/>
            <w:tcBorders>
              <w:left w:val="nil"/>
              <w:bottom w:val="single" w:sz="4" w:space="0" w:color="auto"/>
            </w:tcBorders>
            <w:vAlign w:val="bottom"/>
          </w:tcPr>
          <w:p w14:paraId="46AE00BD" w14:textId="11895ED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0.953</w:t>
            </w:r>
          </w:p>
        </w:tc>
        <w:tc>
          <w:tcPr>
            <w:tcW w:w="773" w:type="dxa"/>
            <w:tcBorders>
              <w:bottom w:val="single" w:sz="4" w:space="0" w:color="auto"/>
            </w:tcBorders>
            <w:vAlign w:val="bottom"/>
          </w:tcPr>
          <w:p w14:paraId="1C5F309F" w14:textId="5E088D1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0.959</w:t>
            </w:r>
          </w:p>
        </w:tc>
        <w:tc>
          <w:tcPr>
            <w:tcW w:w="774" w:type="dxa"/>
            <w:tcBorders>
              <w:bottom w:val="single" w:sz="4" w:space="0" w:color="auto"/>
            </w:tcBorders>
            <w:vAlign w:val="bottom"/>
          </w:tcPr>
          <w:p w14:paraId="0AD91510" w14:textId="09187DA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0.959</w:t>
            </w:r>
          </w:p>
        </w:tc>
        <w:tc>
          <w:tcPr>
            <w:tcW w:w="847" w:type="dxa"/>
            <w:tcBorders>
              <w:bottom w:val="single" w:sz="4" w:space="0" w:color="auto"/>
            </w:tcBorders>
            <w:vAlign w:val="bottom"/>
          </w:tcPr>
          <w:p w14:paraId="4509BD5C" w14:textId="0B9A07A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0.914</w:t>
            </w:r>
          </w:p>
        </w:tc>
        <w:tc>
          <w:tcPr>
            <w:tcW w:w="715" w:type="dxa"/>
            <w:tcBorders>
              <w:bottom w:val="single" w:sz="4" w:space="0" w:color="auto"/>
            </w:tcBorders>
            <w:vAlign w:val="bottom"/>
          </w:tcPr>
          <w:p w14:paraId="21B25541" w14:textId="2F2549A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0.935</w:t>
            </w:r>
          </w:p>
        </w:tc>
      </w:tr>
      <w:tr w:rsidR="0070792B" w:rsidRPr="00A0555D" w14:paraId="77E8CE14"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531E875C" w14:textId="77777777" w:rsidR="0070792B" w:rsidRPr="009355EE" w:rsidRDefault="0070792B"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Livneh</w:t>
            </w:r>
          </w:p>
        </w:tc>
        <w:tc>
          <w:tcPr>
            <w:tcW w:w="774" w:type="dxa"/>
            <w:tcBorders>
              <w:top w:val="single" w:sz="4" w:space="0" w:color="auto"/>
              <w:left w:val="single" w:sz="4" w:space="0" w:color="auto"/>
            </w:tcBorders>
            <w:shd w:val="clear" w:color="auto" w:fill="auto"/>
            <w:vAlign w:val="bottom"/>
          </w:tcPr>
          <w:p w14:paraId="553BA93D" w14:textId="77777777" w:rsidR="0070792B" w:rsidRPr="006016B0" w:rsidRDefault="0070792B"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6CD87AAD" w14:textId="77777777" w:rsidR="0070792B" w:rsidRPr="006016B0" w:rsidRDefault="0070792B"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47E71FCE" w14:textId="77777777" w:rsidR="0070792B" w:rsidRPr="006016B0" w:rsidRDefault="0070792B"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08BBFD7A" w14:textId="77777777" w:rsidR="0070792B" w:rsidRPr="006016B0" w:rsidRDefault="0070792B"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2EF7EA6B" w14:textId="77777777" w:rsidR="0070792B" w:rsidRPr="006016B0" w:rsidRDefault="0070792B" w:rsidP="006016B0">
            <w:pPr>
              <w:tabs>
                <w:tab w:val="decimal" w:pos="256"/>
              </w:tabs>
              <w:spacing w:before="0" w:after="0" w:line="240" w:lineRule="auto"/>
              <w:ind w:firstLine="0"/>
              <w:rPr>
                <w:color w:val="000000"/>
                <w:sz w:val="16"/>
                <w:szCs w:val="16"/>
              </w:rPr>
            </w:pPr>
          </w:p>
        </w:tc>
      </w:tr>
      <w:tr w:rsidR="00135495" w:rsidRPr="00A0555D" w14:paraId="327E3406"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3936D2D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074392CC" w14:textId="05CF633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nil"/>
              <w:right w:val="nil"/>
            </w:tcBorders>
            <w:shd w:val="clear" w:color="auto" w:fill="auto"/>
            <w:noWrap/>
            <w:vAlign w:val="bottom"/>
          </w:tcPr>
          <w:p w14:paraId="466345EB" w14:textId="001DC9F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left w:val="nil"/>
              <w:bottom w:val="nil"/>
              <w:right w:val="nil"/>
            </w:tcBorders>
            <w:shd w:val="clear" w:color="auto" w:fill="auto"/>
            <w:noWrap/>
            <w:vAlign w:val="bottom"/>
          </w:tcPr>
          <w:p w14:paraId="697E2FD8" w14:textId="11D9B6D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left w:val="nil"/>
              <w:bottom w:val="nil"/>
              <w:right w:val="nil"/>
            </w:tcBorders>
            <w:shd w:val="clear" w:color="auto" w:fill="auto"/>
            <w:noWrap/>
            <w:vAlign w:val="bottom"/>
          </w:tcPr>
          <w:p w14:paraId="28FE6BC1" w14:textId="6847183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left w:val="nil"/>
              <w:bottom w:val="nil"/>
              <w:right w:val="single" w:sz="4" w:space="0" w:color="auto"/>
            </w:tcBorders>
            <w:shd w:val="clear" w:color="auto" w:fill="auto"/>
            <w:noWrap/>
            <w:vAlign w:val="bottom"/>
          </w:tcPr>
          <w:p w14:paraId="43788F60" w14:textId="0A79B9B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03211B90" w14:textId="7AD6F14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282B13F1" w14:textId="22F23EE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17A8D9F9" w14:textId="4263FA29"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43BEF2A2" w14:textId="1080D35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0F6F0E24" w14:textId="3939297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44DAA09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E9EA5D2"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174C2263" w14:textId="60F7B6A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5ECFF32D" w14:textId="1A27265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6AB0DC90" w14:textId="6AF7CE1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1E0A6AA3" w14:textId="3FAA68C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10A9BF64" w14:textId="0782701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5B202071" w14:textId="3212D50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7A8962F8" w14:textId="17827F7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03A6AEB9" w14:textId="0461255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2C898E9A" w14:textId="1DE15E8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343087E8" w14:textId="69F4538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3C85C34F"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24F2AAE"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022511AF" w14:textId="5D35773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63240A17" w14:textId="672BB85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8A3F1F1" w14:textId="134C04B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4485965F" w14:textId="665E179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53E6A309" w14:textId="42BC6C7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52097905" w14:textId="51995B2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50748C1B" w14:textId="0349FBA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222FD91A" w14:textId="4847D00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20A88680" w14:textId="06050D7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7C3C9DFC" w14:textId="0AE1718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0F3CA67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2A283CA"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5FA6D145" w14:textId="05CE35B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1DB72BB2" w14:textId="52EEB0B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17140729" w14:textId="29FE98D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76636BE9" w14:textId="273AAF6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5F2FB670" w14:textId="1167AB7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4476DD00" w14:textId="512A55D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1F091B93" w14:textId="602BEFD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3B739053" w14:textId="109E24E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5B748349" w14:textId="1DFA015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1FDD7E22" w14:textId="1B13320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779A5EB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4C9C020"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6ADC5042" w14:textId="4A72862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20FFDC81" w14:textId="2690DFE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12BB0354" w14:textId="1EE99B8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2B7B656A" w14:textId="0301176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37EE5A51" w14:textId="5BEBF0E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4E0BA1DA" w14:textId="0585E55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2F4D0C87" w14:textId="7CBC7BD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39E652D6" w14:textId="65E7F89D"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5404B3A2" w14:textId="0F3995A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536C2A2A" w14:textId="2F2EC96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0F026E55"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78300A3C"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6605A0E5" w14:textId="30F0AAC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00FA7033" w14:textId="1BD3E5D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single" w:sz="4" w:space="0" w:color="auto"/>
              <w:right w:val="nil"/>
            </w:tcBorders>
            <w:shd w:val="clear" w:color="auto" w:fill="auto"/>
            <w:noWrap/>
            <w:vAlign w:val="bottom"/>
          </w:tcPr>
          <w:p w14:paraId="22AF036F" w14:textId="2B252B4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single" w:sz="4" w:space="0" w:color="auto"/>
              <w:right w:val="nil"/>
            </w:tcBorders>
            <w:shd w:val="clear" w:color="auto" w:fill="auto"/>
            <w:noWrap/>
            <w:vAlign w:val="bottom"/>
          </w:tcPr>
          <w:p w14:paraId="2F2387ED" w14:textId="4BF9B87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single" w:sz="4" w:space="0" w:color="auto"/>
              <w:right w:val="single" w:sz="4" w:space="0" w:color="auto"/>
            </w:tcBorders>
            <w:shd w:val="clear" w:color="auto" w:fill="auto"/>
            <w:noWrap/>
            <w:vAlign w:val="bottom"/>
          </w:tcPr>
          <w:p w14:paraId="012262D6" w14:textId="4626116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single" w:sz="4" w:space="0" w:color="auto"/>
            </w:tcBorders>
            <w:vAlign w:val="bottom"/>
          </w:tcPr>
          <w:p w14:paraId="1F364B67" w14:textId="3D779A4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tcBorders>
              <w:bottom w:val="single" w:sz="4" w:space="0" w:color="auto"/>
            </w:tcBorders>
            <w:vAlign w:val="bottom"/>
          </w:tcPr>
          <w:p w14:paraId="00F76B3A" w14:textId="30657BAB"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tcBorders>
              <w:bottom w:val="single" w:sz="4" w:space="0" w:color="auto"/>
            </w:tcBorders>
            <w:vAlign w:val="bottom"/>
          </w:tcPr>
          <w:p w14:paraId="2ED94B44" w14:textId="4046109C"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tcBorders>
              <w:bottom w:val="single" w:sz="4" w:space="0" w:color="auto"/>
            </w:tcBorders>
            <w:vAlign w:val="bottom"/>
          </w:tcPr>
          <w:p w14:paraId="61293636" w14:textId="5AF8011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tcBorders>
              <w:bottom w:val="single" w:sz="4" w:space="0" w:color="auto"/>
            </w:tcBorders>
            <w:vAlign w:val="bottom"/>
          </w:tcPr>
          <w:p w14:paraId="0511980A" w14:textId="774DE58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70792B" w:rsidRPr="00A0555D" w14:paraId="79D2A665"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6B4F7D48" w14:textId="405482C4" w:rsidR="0070792B" w:rsidRPr="009355EE" w:rsidRDefault="0070792B"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 xml:space="preserve">by </w:t>
            </w:r>
            <w:r w:rsidRPr="00A0555D">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63861B28" w14:textId="77777777" w:rsidR="0070792B" w:rsidRPr="006016B0" w:rsidRDefault="0070792B"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2ACCABDE" w14:textId="77777777" w:rsidR="0070792B" w:rsidRPr="006016B0" w:rsidRDefault="0070792B"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08EA316D" w14:textId="77777777" w:rsidR="0070792B" w:rsidRPr="006016B0" w:rsidRDefault="0070792B"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1B76EAE8" w14:textId="77777777" w:rsidR="0070792B" w:rsidRPr="006016B0" w:rsidRDefault="0070792B"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3C1E849F" w14:textId="77777777" w:rsidR="0070792B" w:rsidRPr="006016B0" w:rsidRDefault="0070792B" w:rsidP="006016B0">
            <w:pPr>
              <w:tabs>
                <w:tab w:val="decimal" w:pos="256"/>
              </w:tabs>
              <w:spacing w:before="0" w:after="0" w:line="240" w:lineRule="auto"/>
              <w:ind w:firstLine="0"/>
              <w:rPr>
                <w:color w:val="000000"/>
                <w:sz w:val="16"/>
                <w:szCs w:val="16"/>
              </w:rPr>
            </w:pPr>
          </w:p>
        </w:tc>
      </w:tr>
      <w:tr w:rsidR="00135495" w:rsidRPr="00A0555D" w14:paraId="16FB1862"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21465A58"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230499F1" w14:textId="35E8E08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nil"/>
              <w:right w:val="nil"/>
            </w:tcBorders>
            <w:shd w:val="clear" w:color="auto" w:fill="auto"/>
            <w:noWrap/>
            <w:vAlign w:val="bottom"/>
          </w:tcPr>
          <w:p w14:paraId="02928055" w14:textId="41FACFF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left w:val="nil"/>
              <w:bottom w:val="nil"/>
              <w:right w:val="nil"/>
            </w:tcBorders>
            <w:shd w:val="clear" w:color="auto" w:fill="auto"/>
            <w:noWrap/>
            <w:vAlign w:val="bottom"/>
          </w:tcPr>
          <w:p w14:paraId="4951DED2" w14:textId="4E0A368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left w:val="nil"/>
              <w:bottom w:val="nil"/>
              <w:right w:val="nil"/>
            </w:tcBorders>
            <w:shd w:val="clear" w:color="auto" w:fill="auto"/>
            <w:noWrap/>
            <w:vAlign w:val="bottom"/>
          </w:tcPr>
          <w:p w14:paraId="64DE02FE" w14:textId="78DA275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left w:val="nil"/>
              <w:bottom w:val="nil"/>
              <w:right w:val="single" w:sz="4" w:space="0" w:color="auto"/>
            </w:tcBorders>
            <w:shd w:val="clear" w:color="auto" w:fill="auto"/>
            <w:noWrap/>
            <w:vAlign w:val="bottom"/>
          </w:tcPr>
          <w:p w14:paraId="3425BFE9" w14:textId="64250A9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27402E3B" w14:textId="7C13A9E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643A4614" w14:textId="1969F077"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2A9F5365" w14:textId="103ACE4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3D4F1345" w14:textId="3B08A42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1DA32625" w14:textId="558F547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3B104DE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9E33142"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5BE579A8" w14:textId="76A9798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0D790337" w14:textId="5EA837B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67D1F02" w14:textId="766F25B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391B7B40" w14:textId="21062E4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6E5412E6" w14:textId="052A232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2A65FACA" w14:textId="3C933BF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2552ED54" w14:textId="7770B11F"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7967701A" w14:textId="3947E12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10448551" w14:textId="15958EC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2FBB2F3F" w14:textId="25933A91"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4D7642A5"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B89F587"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769D2EFB" w14:textId="1C3A911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0720459A" w14:textId="0DDCCC9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C1AE681" w14:textId="6AA271C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2F09E098" w14:textId="74F4022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28F9F944" w14:textId="5004C0E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18DC7B93" w14:textId="616A4E0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5D7D7005" w14:textId="4640BED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303F63CF" w14:textId="3CE5CC1E"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0AE4B692" w14:textId="56D4737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033CC5A0" w14:textId="2F5E6A8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57967935"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CE7A4A3"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6DA3D2E2" w14:textId="5429B62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40DE27DB" w14:textId="5F3CD7D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25ABCADC" w14:textId="3C315AB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4A922CA4" w14:textId="4C72629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64C77DCC" w14:textId="5B3C3C1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5431DC5E" w14:textId="30D9983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17DFD326" w14:textId="26B164BA"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00B419D9" w14:textId="7E71F8E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1850406C" w14:textId="7565AA4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59C4379D" w14:textId="5841434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0EFF572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2B4CF74"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2D876FE1" w14:textId="5ABEAF2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3FDBE34E" w14:textId="6052DD2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1ABF5A2" w14:textId="65FC48B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nil"/>
              <w:right w:val="nil"/>
            </w:tcBorders>
            <w:shd w:val="clear" w:color="auto" w:fill="auto"/>
            <w:noWrap/>
            <w:vAlign w:val="bottom"/>
          </w:tcPr>
          <w:p w14:paraId="6CFB40EF" w14:textId="1A7F4D6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nil"/>
              <w:right w:val="single" w:sz="4" w:space="0" w:color="auto"/>
            </w:tcBorders>
            <w:shd w:val="clear" w:color="auto" w:fill="auto"/>
            <w:noWrap/>
            <w:vAlign w:val="bottom"/>
          </w:tcPr>
          <w:p w14:paraId="7DF6FF0A" w14:textId="20C8707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tcBorders>
            <w:vAlign w:val="bottom"/>
          </w:tcPr>
          <w:p w14:paraId="07A32A55" w14:textId="448F19C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vAlign w:val="bottom"/>
          </w:tcPr>
          <w:p w14:paraId="199BB08F" w14:textId="40DC1ED6"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vAlign w:val="bottom"/>
          </w:tcPr>
          <w:p w14:paraId="04D121D7" w14:textId="5797DF2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vAlign w:val="bottom"/>
          </w:tcPr>
          <w:p w14:paraId="660BD7F2" w14:textId="78585B64"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vAlign w:val="bottom"/>
          </w:tcPr>
          <w:p w14:paraId="6F684A82" w14:textId="70B6FA12"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r w:rsidR="00135495" w:rsidRPr="00A0555D" w14:paraId="2E2A1771"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74BEA191"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50493F4C" w14:textId="36A4705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250E17C2" w14:textId="5D7761F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single" w:sz="4" w:space="0" w:color="auto"/>
              <w:right w:val="nil"/>
            </w:tcBorders>
            <w:shd w:val="clear" w:color="auto" w:fill="auto"/>
            <w:noWrap/>
            <w:vAlign w:val="bottom"/>
          </w:tcPr>
          <w:p w14:paraId="28B23C74" w14:textId="47F569A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5" w:type="dxa"/>
            <w:tcBorders>
              <w:top w:val="nil"/>
              <w:left w:val="nil"/>
              <w:bottom w:val="single" w:sz="4" w:space="0" w:color="auto"/>
              <w:right w:val="nil"/>
            </w:tcBorders>
            <w:shd w:val="clear" w:color="auto" w:fill="auto"/>
            <w:noWrap/>
            <w:vAlign w:val="bottom"/>
          </w:tcPr>
          <w:p w14:paraId="58C5F2D9" w14:textId="2CE3760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02" w:type="dxa"/>
            <w:tcBorders>
              <w:top w:val="nil"/>
              <w:left w:val="nil"/>
              <w:bottom w:val="single" w:sz="4" w:space="0" w:color="auto"/>
              <w:right w:val="single" w:sz="4" w:space="0" w:color="auto"/>
            </w:tcBorders>
            <w:shd w:val="clear" w:color="auto" w:fill="auto"/>
            <w:noWrap/>
            <w:vAlign w:val="bottom"/>
          </w:tcPr>
          <w:p w14:paraId="3D025E53" w14:textId="2D349BA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single" w:sz="4" w:space="0" w:color="auto"/>
            </w:tcBorders>
            <w:vAlign w:val="bottom"/>
          </w:tcPr>
          <w:p w14:paraId="1EE97AC9" w14:textId="564421B8"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3" w:type="dxa"/>
            <w:tcBorders>
              <w:bottom w:val="single" w:sz="4" w:space="0" w:color="auto"/>
            </w:tcBorders>
            <w:vAlign w:val="bottom"/>
          </w:tcPr>
          <w:p w14:paraId="7E182252" w14:textId="0ECE77B3"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74" w:type="dxa"/>
            <w:tcBorders>
              <w:bottom w:val="single" w:sz="4" w:space="0" w:color="auto"/>
            </w:tcBorders>
            <w:vAlign w:val="bottom"/>
          </w:tcPr>
          <w:p w14:paraId="7EE9918E" w14:textId="21D2B81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847" w:type="dxa"/>
            <w:tcBorders>
              <w:bottom w:val="single" w:sz="4" w:space="0" w:color="auto"/>
            </w:tcBorders>
            <w:vAlign w:val="bottom"/>
          </w:tcPr>
          <w:p w14:paraId="6181F8D5" w14:textId="2BEC13D5"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c>
          <w:tcPr>
            <w:tcW w:w="715" w:type="dxa"/>
            <w:tcBorders>
              <w:bottom w:val="single" w:sz="4" w:space="0" w:color="auto"/>
            </w:tcBorders>
            <w:vAlign w:val="bottom"/>
          </w:tcPr>
          <w:p w14:paraId="5233F425" w14:textId="1AC199F0" w:rsidR="00135495" w:rsidRPr="006016B0" w:rsidRDefault="00135495" w:rsidP="006016B0">
            <w:pPr>
              <w:tabs>
                <w:tab w:val="decimal" w:pos="256"/>
              </w:tabs>
              <w:spacing w:before="0" w:after="0" w:line="240" w:lineRule="auto"/>
              <w:ind w:firstLine="0"/>
              <w:rPr>
                <w:color w:val="000000"/>
                <w:sz w:val="16"/>
                <w:szCs w:val="16"/>
              </w:rPr>
            </w:pPr>
            <w:r w:rsidRPr="00135495">
              <w:rPr>
                <w:color w:val="000000"/>
                <w:sz w:val="16"/>
                <w:szCs w:val="16"/>
              </w:rPr>
              <w:t>1.000</w:t>
            </w:r>
          </w:p>
        </w:tc>
      </w:tr>
    </w:tbl>
    <w:p w14:paraId="1FD22863" w14:textId="77777777" w:rsidR="0070792B" w:rsidRPr="009D4948" w:rsidRDefault="0070792B" w:rsidP="0070792B">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808"/>
        <w:gridCol w:w="740"/>
        <w:gridCol w:w="880"/>
      </w:tblGrid>
      <w:tr w:rsidR="0070792B" w:rsidRPr="00A0555D" w14:paraId="0B8592B0" w14:textId="77777777" w:rsidTr="00BD0EBA">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C642BBD"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09EEE055" w14:textId="06EB219E" w:rsidR="0070792B"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 (in./day)</w:t>
            </w:r>
          </w:p>
        </w:tc>
        <w:tc>
          <w:tcPr>
            <w:tcW w:w="774" w:type="dxa"/>
            <w:tcBorders>
              <w:top w:val="single" w:sz="4" w:space="0" w:color="auto"/>
              <w:left w:val="nil"/>
              <w:bottom w:val="single" w:sz="4" w:space="0" w:color="auto"/>
              <w:right w:val="single" w:sz="4" w:space="0" w:color="auto"/>
            </w:tcBorders>
            <w:vAlign w:val="bottom"/>
          </w:tcPr>
          <w:p w14:paraId="2C20DB39" w14:textId="7BA8D9AC" w:rsidR="0070792B"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T95 (°F)</w:t>
            </w:r>
          </w:p>
        </w:tc>
        <w:tc>
          <w:tcPr>
            <w:tcW w:w="774" w:type="dxa"/>
            <w:tcBorders>
              <w:top w:val="single" w:sz="4" w:space="0" w:color="auto"/>
              <w:left w:val="single" w:sz="4" w:space="0" w:color="auto"/>
              <w:bottom w:val="single" w:sz="4" w:space="0" w:color="auto"/>
              <w:right w:val="single" w:sz="4" w:space="0" w:color="auto"/>
            </w:tcBorders>
            <w:vAlign w:val="bottom"/>
          </w:tcPr>
          <w:p w14:paraId="0386D1FB" w14:textId="1CBA5F02" w:rsidR="0070792B"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T05 (°F)</w:t>
            </w:r>
          </w:p>
        </w:tc>
        <w:tc>
          <w:tcPr>
            <w:tcW w:w="808" w:type="dxa"/>
            <w:tcBorders>
              <w:top w:val="single" w:sz="4" w:space="0" w:color="auto"/>
              <w:left w:val="single" w:sz="4" w:space="0" w:color="auto"/>
              <w:bottom w:val="single" w:sz="4" w:space="0" w:color="auto"/>
              <w:right w:val="single" w:sz="4" w:space="0" w:color="auto"/>
            </w:tcBorders>
            <w:vAlign w:val="bottom"/>
          </w:tcPr>
          <w:p w14:paraId="66324D78" w14:textId="50B013C8" w:rsidR="0070792B" w:rsidRPr="005447C1" w:rsidRDefault="0070792B" w:rsidP="00874FCF">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P95</w:t>
            </w:r>
            <w:r w:rsidR="00BD0EBA">
              <w:rPr>
                <w:b/>
                <w:bCs/>
                <w:color w:val="000000"/>
                <w:sz w:val="16"/>
                <w:szCs w:val="16"/>
              </w:rPr>
              <w:t xml:space="preserve"> </w:t>
            </w:r>
            <w:r w:rsidR="00BD0EBA" w:rsidRPr="00BD0EBA">
              <w:rPr>
                <w:b/>
                <w:bCs/>
                <w:color w:val="000000"/>
                <w:sz w:val="16"/>
                <w:szCs w:val="16"/>
              </w:rPr>
              <w:t>(in./day)</w:t>
            </w:r>
          </w:p>
        </w:tc>
        <w:tc>
          <w:tcPr>
            <w:tcW w:w="740" w:type="dxa"/>
            <w:tcBorders>
              <w:top w:val="single" w:sz="4" w:space="0" w:color="auto"/>
              <w:left w:val="single" w:sz="4" w:space="0" w:color="auto"/>
              <w:bottom w:val="single" w:sz="4" w:space="0" w:color="auto"/>
              <w:right w:val="single" w:sz="4" w:space="0" w:color="auto"/>
            </w:tcBorders>
            <w:vAlign w:val="bottom"/>
          </w:tcPr>
          <w:p w14:paraId="32D2D2C8" w14:textId="77777777" w:rsidR="0070792B" w:rsidRPr="005447C1" w:rsidRDefault="0070792B"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bottom"/>
          </w:tcPr>
          <w:p w14:paraId="5CED027E" w14:textId="77777777" w:rsidR="0070792B" w:rsidRPr="005447C1" w:rsidRDefault="0070792B"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70792B" w:rsidRPr="00A0555D" w14:paraId="02E17D54" w14:textId="77777777" w:rsidTr="00BD0EBA">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1E592788" w14:textId="77777777" w:rsidR="0070792B" w:rsidRPr="00A0555D" w:rsidRDefault="0070792B" w:rsidP="00874FCF">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5D4E4BB8"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1FBBBE58"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0081EA0C"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12FC8B0E" w14:textId="77777777" w:rsidR="0070792B" w:rsidRPr="00A0555D" w:rsidRDefault="0070792B"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7D6F5081"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327067F4"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1D50B9E9"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808" w:type="dxa"/>
            <w:tcBorders>
              <w:top w:val="single" w:sz="4" w:space="0" w:color="auto"/>
              <w:left w:val="single" w:sz="4" w:space="0" w:color="auto"/>
              <w:bottom w:val="single" w:sz="4" w:space="0" w:color="auto"/>
              <w:right w:val="single" w:sz="4" w:space="0" w:color="auto"/>
            </w:tcBorders>
          </w:tcPr>
          <w:p w14:paraId="3CF8D0F3"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40" w:type="dxa"/>
            <w:tcBorders>
              <w:top w:val="single" w:sz="4" w:space="0" w:color="auto"/>
              <w:left w:val="single" w:sz="4" w:space="0" w:color="auto"/>
              <w:bottom w:val="single" w:sz="4" w:space="0" w:color="auto"/>
              <w:right w:val="single" w:sz="4" w:space="0" w:color="auto"/>
            </w:tcBorders>
          </w:tcPr>
          <w:p w14:paraId="3074C1AF" w14:textId="77777777" w:rsidR="0070792B" w:rsidRPr="00A0555D" w:rsidRDefault="0070792B" w:rsidP="00874FCF">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0A373463"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70792B" w:rsidRPr="00A0555D" w14:paraId="348598EC"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F91BE4F" w14:textId="77777777" w:rsidR="0070792B" w:rsidRPr="00A0555D" w:rsidRDefault="0070792B"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353E986C"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3D6A28CC"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CABF17A"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5B5BA737"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662AD746"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149180A8"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2D0179E9"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808" w:type="dxa"/>
            <w:tcBorders>
              <w:top w:val="single" w:sz="4" w:space="0" w:color="auto"/>
              <w:left w:val="single" w:sz="4" w:space="0" w:color="auto"/>
              <w:right w:val="single" w:sz="4" w:space="0" w:color="auto"/>
            </w:tcBorders>
          </w:tcPr>
          <w:p w14:paraId="2CAEA10F"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740" w:type="dxa"/>
            <w:tcBorders>
              <w:top w:val="single" w:sz="4" w:space="0" w:color="auto"/>
              <w:left w:val="single" w:sz="4" w:space="0" w:color="auto"/>
              <w:right w:val="single" w:sz="4" w:space="0" w:color="auto"/>
            </w:tcBorders>
          </w:tcPr>
          <w:p w14:paraId="426585E1"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4BCDE2E0" w14:textId="77777777" w:rsidR="0070792B" w:rsidRPr="00A0555D" w:rsidRDefault="0070792B" w:rsidP="00874FCF">
            <w:pPr>
              <w:spacing w:before="0" w:after="0" w:line="240" w:lineRule="auto"/>
              <w:ind w:firstLine="0"/>
              <w:jc w:val="center"/>
              <w:rPr>
                <w:rFonts w:eastAsia="Times New Roman"/>
                <w:b/>
                <w:bCs/>
                <w:color w:val="000000"/>
                <w:sz w:val="16"/>
                <w:szCs w:val="16"/>
                <w:lang w:bidi="ar-SA"/>
              </w:rPr>
            </w:pPr>
          </w:p>
        </w:tc>
      </w:tr>
      <w:tr w:rsidR="00135495" w:rsidRPr="00A0555D" w14:paraId="7B77BFDF"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4485EA5"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6763894D" w14:textId="53430FB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0.832</w:t>
            </w:r>
          </w:p>
        </w:tc>
        <w:tc>
          <w:tcPr>
            <w:tcW w:w="774" w:type="dxa"/>
            <w:tcBorders>
              <w:top w:val="nil"/>
              <w:left w:val="nil"/>
              <w:bottom w:val="nil"/>
              <w:right w:val="nil"/>
            </w:tcBorders>
            <w:shd w:val="clear" w:color="auto" w:fill="auto"/>
            <w:noWrap/>
            <w:vAlign w:val="bottom"/>
          </w:tcPr>
          <w:p w14:paraId="70973300" w14:textId="4EBDA73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0.838</w:t>
            </w:r>
          </w:p>
        </w:tc>
        <w:tc>
          <w:tcPr>
            <w:tcW w:w="773" w:type="dxa"/>
            <w:tcBorders>
              <w:top w:val="nil"/>
              <w:left w:val="nil"/>
              <w:bottom w:val="nil"/>
              <w:right w:val="nil"/>
            </w:tcBorders>
            <w:shd w:val="clear" w:color="auto" w:fill="auto"/>
            <w:noWrap/>
            <w:vAlign w:val="bottom"/>
          </w:tcPr>
          <w:p w14:paraId="738C73A5" w14:textId="5CC5698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0.785</w:t>
            </w:r>
          </w:p>
        </w:tc>
        <w:tc>
          <w:tcPr>
            <w:tcW w:w="843" w:type="dxa"/>
            <w:tcBorders>
              <w:top w:val="nil"/>
              <w:left w:val="nil"/>
              <w:bottom w:val="nil"/>
              <w:right w:val="nil"/>
            </w:tcBorders>
            <w:shd w:val="clear" w:color="auto" w:fill="auto"/>
            <w:noWrap/>
            <w:vAlign w:val="bottom"/>
          </w:tcPr>
          <w:p w14:paraId="6E3D6977" w14:textId="1C6E843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0.770</w:t>
            </w:r>
          </w:p>
        </w:tc>
        <w:tc>
          <w:tcPr>
            <w:tcW w:w="704" w:type="dxa"/>
            <w:tcBorders>
              <w:top w:val="nil"/>
              <w:left w:val="nil"/>
              <w:bottom w:val="nil"/>
              <w:right w:val="single" w:sz="4" w:space="0" w:color="auto"/>
            </w:tcBorders>
            <w:shd w:val="clear" w:color="auto" w:fill="auto"/>
            <w:noWrap/>
            <w:vAlign w:val="bottom"/>
          </w:tcPr>
          <w:p w14:paraId="4503E30E" w14:textId="56D2E47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0.849</w:t>
            </w:r>
          </w:p>
        </w:tc>
        <w:tc>
          <w:tcPr>
            <w:tcW w:w="774" w:type="dxa"/>
            <w:tcBorders>
              <w:left w:val="nil"/>
              <w:right w:val="single" w:sz="4" w:space="0" w:color="auto"/>
            </w:tcBorders>
            <w:vAlign w:val="bottom"/>
          </w:tcPr>
          <w:p w14:paraId="412A6E6C" w14:textId="73942CD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0.787</w:t>
            </w:r>
          </w:p>
        </w:tc>
        <w:tc>
          <w:tcPr>
            <w:tcW w:w="774" w:type="dxa"/>
            <w:tcBorders>
              <w:left w:val="single" w:sz="4" w:space="0" w:color="auto"/>
              <w:right w:val="single" w:sz="4" w:space="0" w:color="auto"/>
            </w:tcBorders>
            <w:vAlign w:val="bottom"/>
          </w:tcPr>
          <w:p w14:paraId="13DAF303" w14:textId="1689B62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0.918</w:t>
            </w:r>
          </w:p>
        </w:tc>
        <w:tc>
          <w:tcPr>
            <w:tcW w:w="808" w:type="dxa"/>
            <w:tcBorders>
              <w:left w:val="single" w:sz="4" w:space="0" w:color="auto"/>
              <w:right w:val="single" w:sz="4" w:space="0" w:color="auto"/>
            </w:tcBorders>
            <w:vAlign w:val="bottom"/>
          </w:tcPr>
          <w:p w14:paraId="51A98265" w14:textId="3C1E0C4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0.776</w:t>
            </w:r>
          </w:p>
        </w:tc>
        <w:tc>
          <w:tcPr>
            <w:tcW w:w="740" w:type="dxa"/>
            <w:tcBorders>
              <w:left w:val="single" w:sz="4" w:space="0" w:color="auto"/>
              <w:right w:val="single" w:sz="4" w:space="0" w:color="auto"/>
            </w:tcBorders>
            <w:vAlign w:val="bottom"/>
          </w:tcPr>
          <w:p w14:paraId="6EFC4164" w14:textId="67C8C66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0.772</w:t>
            </w:r>
          </w:p>
        </w:tc>
        <w:tc>
          <w:tcPr>
            <w:tcW w:w="880" w:type="dxa"/>
            <w:tcBorders>
              <w:left w:val="single" w:sz="4" w:space="0" w:color="auto"/>
            </w:tcBorders>
            <w:vAlign w:val="bottom"/>
          </w:tcPr>
          <w:p w14:paraId="5E659E53" w14:textId="1C70E88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0.906</w:t>
            </w:r>
          </w:p>
        </w:tc>
      </w:tr>
      <w:tr w:rsidR="00135495" w:rsidRPr="00A0555D" w14:paraId="73905C24"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C08D987"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3A8DF246" w14:textId="3295BEA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0.754</w:t>
            </w:r>
          </w:p>
        </w:tc>
        <w:tc>
          <w:tcPr>
            <w:tcW w:w="774" w:type="dxa"/>
            <w:tcBorders>
              <w:top w:val="nil"/>
              <w:left w:val="nil"/>
              <w:bottom w:val="nil"/>
              <w:right w:val="nil"/>
            </w:tcBorders>
            <w:shd w:val="clear" w:color="auto" w:fill="auto"/>
            <w:noWrap/>
            <w:vAlign w:val="bottom"/>
          </w:tcPr>
          <w:p w14:paraId="72944649" w14:textId="35C0530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0.746</w:t>
            </w:r>
          </w:p>
        </w:tc>
        <w:tc>
          <w:tcPr>
            <w:tcW w:w="773" w:type="dxa"/>
            <w:tcBorders>
              <w:top w:val="nil"/>
              <w:left w:val="nil"/>
              <w:bottom w:val="nil"/>
              <w:right w:val="nil"/>
            </w:tcBorders>
            <w:shd w:val="clear" w:color="auto" w:fill="auto"/>
            <w:noWrap/>
            <w:vAlign w:val="bottom"/>
          </w:tcPr>
          <w:p w14:paraId="3D595D13" w14:textId="2E3D1FA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0.734</w:t>
            </w:r>
          </w:p>
        </w:tc>
        <w:tc>
          <w:tcPr>
            <w:tcW w:w="843" w:type="dxa"/>
            <w:tcBorders>
              <w:top w:val="nil"/>
              <w:left w:val="nil"/>
              <w:bottom w:val="nil"/>
              <w:right w:val="nil"/>
            </w:tcBorders>
            <w:shd w:val="clear" w:color="auto" w:fill="auto"/>
            <w:noWrap/>
            <w:vAlign w:val="bottom"/>
          </w:tcPr>
          <w:p w14:paraId="285473CD" w14:textId="79F3749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0.775</w:t>
            </w:r>
          </w:p>
        </w:tc>
        <w:tc>
          <w:tcPr>
            <w:tcW w:w="704" w:type="dxa"/>
            <w:tcBorders>
              <w:top w:val="nil"/>
              <w:left w:val="nil"/>
              <w:bottom w:val="nil"/>
              <w:right w:val="single" w:sz="4" w:space="0" w:color="auto"/>
            </w:tcBorders>
            <w:shd w:val="clear" w:color="auto" w:fill="auto"/>
            <w:noWrap/>
            <w:vAlign w:val="bottom"/>
          </w:tcPr>
          <w:p w14:paraId="4AEB4767" w14:textId="0BCDF1C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0.774</w:t>
            </w:r>
          </w:p>
        </w:tc>
        <w:tc>
          <w:tcPr>
            <w:tcW w:w="774" w:type="dxa"/>
            <w:tcBorders>
              <w:left w:val="nil"/>
              <w:right w:val="single" w:sz="4" w:space="0" w:color="auto"/>
            </w:tcBorders>
            <w:vAlign w:val="bottom"/>
          </w:tcPr>
          <w:p w14:paraId="3F1F22A5" w14:textId="76BFFB22"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0.676</w:t>
            </w:r>
          </w:p>
        </w:tc>
        <w:tc>
          <w:tcPr>
            <w:tcW w:w="774" w:type="dxa"/>
            <w:tcBorders>
              <w:left w:val="single" w:sz="4" w:space="0" w:color="auto"/>
              <w:right w:val="single" w:sz="4" w:space="0" w:color="auto"/>
            </w:tcBorders>
            <w:vAlign w:val="bottom"/>
          </w:tcPr>
          <w:p w14:paraId="2880E0D2" w14:textId="3E1243E2"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0.944</w:t>
            </w:r>
          </w:p>
        </w:tc>
        <w:tc>
          <w:tcPr>
            <w:tcW w:w="808" w:type="dxa"/>
            <w:tcBorders>
              <w:left w:val="single" w:sz="4" w:space="0" w:color="auto"/>
              <w:right w:val="single" w:sz="4" w:space="0" w:color="auto"/>
            </w:tcBorders>
            <w:vAlign w:val="bottom"/>
          </w:tcPr>
          <w:p w14:paraId="733D99B3" w14:textId="5DC30ABE"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0.698</w:t>
            </w:r>
          </w:p>
        </w:tc>
        <w:tc>
          <w:tcPr>
            <w:tcW w:w="740" w:type="dxa"/>
            <w:tcBorders>
              <w:left w:val="single" w:sz="4" w:space="0" w:color="auto"/>
              <w:right w:val="single" w:sz="4" w:space="0" w:color="auto"/>
            </w:tcBorders>
            <w:vAlign w:val="bottom"/>
          </w:tcPr>
          <w:p w14:paraId="1D3E57D3" w14:textId="1E800C78"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0.694</w:t>
            </w:r>
          </w:p>
        </w:tc>
        <w:tc>
          <w:tcPr>
            <w:tcW w:w="880" w:type="dxa"/>
            <w:tcBorders>
              <w:left w:val="single" w:sz="4" w:space="0" w:color="auto"/>
            </w:tcBorders>
            <w:vAlign w:val="bottom"/>
          </w:tcPr>
          <w:p w14:paraId="7BBBED6D" w14:textId="316B0B38"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0.899</w:t>
            </w:r>
          </w:p>
        </w:tc>
      </w:tr>
      <w:tr w:rsidR="00135495" w:rsidRPr="00A0555D" w14:paraId="7F0E5FAC"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42BC080"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D84A5E0" w14:textId="729A42F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0.813</w:t>
            </w:r>
          </w:p>
        </w:tc>
        <w:tc>
          <w:tcPr>
            <w:tcW w:w="774" w:type="dxa"/>
            <w:tcBorders>
              <w:top w:val="nil"/>
              <w:left w:val="nil"/>
              <w:bottom w:val="nil"/>
              <w:right w:val="nil"/>
            </w:tcBorders>
            <w:shd w:val="clear" w:color="auto" w:fill="auto"/>
            <w:noWrap/>
            <w:vAlign w:val="bottom"/>
          </w:tcPr>
          <w:p w14:paraId="04DC3EC5" w14:textId="23075BC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0.811</w:t>
            </w:r>
          </w:p>
        </w:tc>
        <w:tc>
          <w:tcPr>
            <w:tcW w:w="773" w:type="dxa"/>
            <w:tcBorders>
              <w:top w:val="nil"/>
              <w:left w:val="nil"/>
              <w:bottom w:val="nil"/>
              <w:right w:val="nil"/>
            </w:tcBorders>
            <w:shd w:val="clear" w:color="auto" w:fill="auto"/>
            <w:noWrap/>
            <w:vAlign w:val="bottom"/>
          </w:tcPr>
          <w:p w14:paraId="1060CE7B" w14:textId="6C59236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0.820</w:t>
            </w:r>
          </w:p>
        </w:tc>
        <w:tc>
          <w:tcPr>
            <w:tcW w:w="843" w:type="dxa"/>
            <w:tcBorders>
              <w:top w:val="nil"/>
              <w:left w:val="nil"/>
              <w:bottom w:val="nil"/>
              <w:right w:val="nil"/>
            </w:tcBorders>
            <w:shd w:val="clear" w:color="auto" w:fill="auto"/>
            <w:noWrap/>
            <w:vAlign w:val="bottom"/>
          </w:tcPr>
          <w:p w14:paraId="6CDE0006" w14:textId="32B1250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0.822</w:t>
            </w:r>
          </w:p>
        </w:tc>
        <w:tc>
          <w:tcPr>
            <w:tcW w:w="704" w:type="dxa"/>
            <w:tcBorders>
              <w:top w:val="nil"/>
              <w:left w:val="nil"/>
              <w:bottom w:val="nil"/>
              <w:right w:val="single" w:sz="4" w:space="0" w:color="auto"/>
            </w:tcBorders>
            <w:shd w:val="clear" w:color="auto" w:fill="auto"/>
            <w:noWrap/>
            <w:vAlign w:val="bottom"/>
          </w:tcPr>
          <w:p w14:paraId="1BB3E0FD" w14:textId="50E55C8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0.762</w:t>
            </w:r>
          </w:p>
        </w:tc>
        <w:tc>
          <w:tcPr>
            <w:tcW w:w="774" w:type="dxa"/>
            <w:tcBorders>
              <w:left w:val="nil"/>
              <w:right w:val="single" w:sz="4" w:space="0" w:color="auto"/>
            </w:tcBorders>
            <w:vAlign w:val="bottom"/>
          </w:tcPr>
          <w:p w14:paraId="5ECB18A9" w14:textId="0A1B4D4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0.801</w:t>
            </w:r>
          </w:p>
        </w:tc>
        <w:tc>
          <w:tcPr>
            <w:tcW w:w="774" w:type="dxa"/>
            <w:tcBorders>
              <w:left w:val="single" w:sz="4" w:space="0" w:color="auto"/>
              <w:right w:val="single" w:sz="4" w:space="0" w:color="auto"/>
            </w:tcBorders>
            <w:vAlign w:val="bottom"/>
          </w:tcPr>
          <w:p w14:paraId="307DE190" w14:textId="546FA8E1"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0.934</w:t>
            </w:r>
          </w:p>
        </w:tc>
        <w:tc>
          <w:tcPr>
            <w:tcW w:w="808" w:type="dxa"/>
            <w:tcBorders>
              <w:left w:val="single" w:sz="4" w:space="0" w:color="auto"/>
              <w:right w:val="single" w:sz="4" w:space="0" w:color="auto"/>
            </w:tcBorders>
            <w:vAlign w:val="bottom"/>
          </w:tcPr>
          <w:p w14:paraId="684326CE" w14:textId="5AAE99A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0.791</w:t>
            </w:r>
          </w:p>
        </w:tc>
        <w:tc>
          <w:tcPr>
            <w:tcW w:w="740" w:type="dxa"/>
            <w:tcBorders>
              <w:left w:val="single" w:sz="4" w:space="0" w:color="auto"/>
              <w:right w:val="single" w:sz="4" w:space="0" w:color="auto"/>
            </w:tcBorders>
            <w:vAlign w:val="bottom"/>
          </w:tcPr>
          <w:p w14:paraId="73349057" w14:textId="7749744E"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0.736</w:t>
            </w:r>
          </w:p>
        </w:tc>
        <w:tc>
          <w:tcPr>
            <w:tcW w:w="880" w:type="dxa"/>
            <w:tcBorders>
              <w:left w:val="single" w:sz="4" w:space="0" w:color="auto"/>
            </w:tcBorders>
            <w:vAlign w:val="bottom"/>
          </w:tcPr>
          <w:p w14:paraId="42923BD6" w14:textId="57FFCFF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0.906</w:t>
            </w:r>
          </w:p>
        </w:tc>
      </w:tr>
      <w:tr w:rsidR="00135495" w:rsidRPr="00A0555D" w14:paraId="0F6308A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5794F01"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79D8CD93" w14:textId="0BDA2BD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0.829</w:t>
            </w:r>
          </w:p>
        </w:tc>
        <w:tc>
          <w:tcPr>
            <w:tcW w:w="774" w:type="dxa"/>
            <w:tcBorders>
              <w:top w:val="nil"/>
              <w:left w:val="nil"/>
              <w:bottom w:val="nil"/>
              <w:right w:val="nil"/>
            </w:tcBorders>
            <w:shd w:val="clear" w:color="auto" w:fill="auto"/>
            <w:noWrap/>
            <w:vAlign w:val="bottom"/>
          </w:tcPr>
          <w:p w14:paraId="0D53760B" w14:textId="4BD0D3A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0.795</w:t>
            </w:r>
          </w:p>
        </w:tc>
        <w:tc>
          <w:tcPr>
            <w:tcW w:w="773" w:type="dxa"/>
            <w:tcBorders>
              <w:top w:val="nil"/>
              <w:left w:val="nil"/>
              <w:bottom w:val="nil"/>
              <w:right w:val="nil"/>
            </w:tcBorders>
            <w:shd w:val="clear" w:color="auto" w:fill="auto"/>
            <w:noWrap/>
            <w:vAlign w:val="bottom"/>
          </w:tcPr>
          <w:p w14:paraId="55E43E5D" w14:textId="2553E9B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0.820</w:t>
            </w:r>
          </w:p>
        </w:tc>
        <w:tc>
          <w:tcPr>
            <w:tcW w:w="843" w:type="dxa"/>
            <w:tcBorders>
              <w:top w:val="nil"/>
              <w:left w:val="nil"/>
              <w:bottom w:val="nil"/>
              <w:right w:val="nil"/>
            </w:tcBorders>
            <w:shd w:val="clear" w:color="auto" w:fill="auto"/>
            <w:noWrap/>
            <w:vAlign w:val="bottom"/>
          </w:tcPr>
          <w:p w14:paraId="303962BB" w14:textId="1F39A84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0.870</w:t>
            </w:r>
          </w:p>
        </w:tc>
        <w:tc>
          <w:tcPr>
            <w:tcW w:w="704" w:type="dxa"/>
            <w:tcBorders>
              <w:top w:val="nil"/>
              <w:left w:val="nil"/>
              <w:bottom w:val="nil"/>
              <w:right w:val="single" w:sz="4" w:space="0" w:color="auto"/>
            </w:tcBorders>
            <w:shd w:val="clear" w:color="auto" w:fill="auto"/>
            <w:noWrap/>
            <w:vAlign w:val="bottom"/>
          </w:tcPr>
          <w:p w14:paraId="248D7DD2" w14:textId="01F8CE3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0.787</w:t>
            </w:r>
          </w:p>
        </w:tc>
        <w:tc>
          <w:tcPr>
            <w:tcW w:w="774" w:type="dxa"/>
            <w:tcBorders>
              <w:left w:val="nil"/>
              <w:right w:val="single" w:sz="4" w:space="0" w:color="auto"/>
            </w:tcBorders>
            <w:vAlign w:val="bottom"/>
          </w:tcPr>
          <w:p w14:paraId="6320AB9E" w14:textId="410BA61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0.831</w:t>
            </w:r>
          </w:p>
        </w:tc>
        <w:tc>
          <w:tcPr>
            <w:tcW w:w="774" w:type="dxa"/>
            <w:tcBorders>
              <w:left w:val="single" w:sz="4" w:space="0" w:color="auto"/>
              <w:right w:val="single" w:sz="4" w:space="0" w:color="auto"/>
            </w:tcBorders>
            <w:vAlign w:val="bottom"/>
          </w:tcPr>
          <w:p w14:paraId="7764AD6D" w14:textId="76F07EB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0.941</w:t>
            </w:r>
          </w:p>
        </w:tc>
        <w:tc>
          <w:tcPr>
            <w:tcW w:w="808" w:type="dxa"/>
            <w:tcBorders>
              <w:left w:val="single" w:sz="4" w:space="0" w:color="auto"/>
              <w:right w:val="single" w:sz="4" w:space="0" w:color="auto"/>
            </w:tcBorders>
            <w:vAlign w:val="bottom"/>
          </w:tcPr>
          <w:p w14:paraId="6C5E376A" w14:textId="033A8E6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0.665</w:t>
            </w:r>
          </w:p>
        </w:tc>
        <w:tc>
          <w:tcPr>
            <w:tcW w:w="740" w:type="dxa"/>
            <w:tcBorders>
              <w:left w:val="single" w:sz="4" w:space="0" w:color="auto"/>
              <w:right w:val="single" w:sz="4" w:space="0" w:color="auto"/>
            </w:tcBorders>
            <w:vAlign w:val="bottom"/>
          </w:tcPr>
          <w:p w14:paraId="7580D16B" w14:textId="7875970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0.863</w:t>
            </w:r>
          </w:p>
        </w:tc>
        <w:tc>
          <w:tcPr>
            <w:tcW w:w="880" w:type="dxa"/>
            <w:tcBorders>
              <w:left w:val="single" w:sz="4" w:space="0" w:color="auto"/>
            </w:tcBorders>
            <w:vAlign w:val="bottom"/>
          </w:tcPr>
          <w:p w14:paraId="69EEF612" w14:textId="522FB552"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0.920</w:t>
            </w:r>
          </w:p>
        </w:tc>
      </w:tr>
      <w:tr w:rsidR="00135495" w:rsidRPr="00A0555D" w14:paraId="6650574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54FA8A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3C064BDD" w14:textId="0B4BEA2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0.779</w:t>
            </w:r>
          </w:p>
        </w:tc>
        <w:tc>
          <w:tcPr>
            <w:tcW w:w="774" w:type="dxa"/>
            <w:tcBorders>
              <w:top w:val="nil"/>
              <w:left w:val="nil"/>
              <w:bottom w:val="nil"/>
              <w:right w:val="nil"/>
            </w:tcBorders>
            <w:shd w:val="clear" w:color="auto" w:fill="auto"/>
            <w:noWrap/>
            <w:vAlign w:val="bottom"/>
          </w:tcPr>
          <w:p w14:paraId="58992969" w14:textId="7A637C9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0.776</w:t>
            </w:r>
          </w:p>
        </w:tc>
        <w:tc>
          <w:tcPr>
            <w:tcW w:w="773" w:type="dxa"/>
            <w:tcBorders>
              <w:top w:val="nil"/>
              <w:left w:val="nil"/>
              <w:bottom w:val="nil"/>
              <w:right w:val="nil"/>
            </w:tcBorders>
            <w:shd w:val="clear" w:color="auto" w:fill="auto"/>
            <w:noWrap/>
            <w:vAlign w:val="bottom"/>
          </w:tcPr>
          <w:p w14:paraId="06D68FF8" w14:textId="55AF883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0.719</w:t>
            </w:r>
          </w:p>
        </w:tc>
        <w:tc>
          <w:tcPr>
            <w:tcW w:w="843" w:type="dxa"/>
            <w:tcBorders>
              <w:top w:val="nil"/>
              <w:left w:val="nil"/>
              <w:bottom w:val="nil"/>
              <w:right w:val="nil"/>
            </w:tcBorders>
            <w:shd w:val="clear" w:color="auto" w:fill="auto"/>
            <w:noWrap/>
            <w:vAlign w:val="bottom"/>
          </w:tcPr>
          <w:p w14:paraId="705DC301" w14:textId="4A08A9D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0.763</w:t>
            </w:r>
          </w:p>
        </w:tc>
        <w:tc>
          <w:tcPr>
            <w:tcW w:w="704" w:type="dxa"/>
            <w:tcBorders>
              <w:top w:val="nil"/>
              <w:left w:val="nil"/>
              <w:bottom w:val="nil"/>
              <w:right w:val="single" w:sz="4" w:space="0" w:color="auto"/>
            </w:tcBorders>
            <w:shd w:val="clear" w:color="auto" w:fill="auto"/>
            <w:noWrap/>
            <w:vAlign w:val="bottom"/>
          </w:tcPr>
          <w:p w14:paraId="580EFA1E" w14:textId="4967DE5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0.824</w:t>
            </w:r>
          </w:p>
        </w:tc>
        <w:tc>
          <w:tcPr>
            <w:tcW w:w="774" w:type="dxa"/>
            <w:tcBorders>
              <w:left w:val="nil"/>
              <w:right w:val="single" w:sz="4" w:space="0" w:color="auto"/>
            </w:tcBorders>
            <w:vAlign w:val="bottom"/>
          </w:tcPr>
          <w:p w14:paraId="519E3B5F" w14:textId="30C89B0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0.821</w:t>
            </w:r>
          </w:p>
        </w:tc>
        <w:tc>
          <w:tcPr>
            <w:tcW w:w="774" w:type="dxa"/>
            <w:tcBorders>
              <w:left w:val="single" w:sz="4" w:space="0" w:color="auto"/>
              <w:right w:val="single" w:sz="4" w:space="0" w:color="auto"/>
            </w:tcBorders>
            <w:vAlign w:val="bottom"/>
          </w:tcPr>
          <w:p w14:paraId="3E58899F" w14:textId="1AF0079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0.920</w:t>
            </w:r>
          </w:p>
        </w:tc>
        <w:tc>
          <w:tcPr>
            <w:tcW w:w="808" w:type="dxa"/>
            <w:tcBorders>
              <w:left w:val="single" w:sz="4" w:space="0" w:color="auto"/>
              <w:right w:val="single" w:sz="4" w:space="0" w:color="auto"/>
            </w:tcBorders>
            <w:vAlign w:val="bottom"/>
          </w:tcPr>
          <w:p w14:paraId="65A477FE" w14:textId="0560714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0.731</w:t>
            </w:r>
          </w:p>
        </w:tc>
        <w:tc>
          <w:tcPr>
            <w:tcW w:w="740" w:type="dxa"/>
            <w:tcBorders>
              <w:left w:val="single" w:sz="4" w:space="0" w:color="auto"/>
              <w:right w:val="single" w:sz="4" w:space="0" w:color="auto"/>
            </w:tcBorders>
            <w:vAlign w:val="bottom"/>
          </w:tcPr>
          <w:p w14:paraId="719C464E" w14:textId="5FE7159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0.609</w:t>
            </w:r>
          </w:p>
        </w:tc>
        <w:tc>
          <w:tcPr>
            <w:tcW w:w="880" w:type="dxa"/>
            <w:tcBorders>
              <w:left w:val="single" w:sz="4" w:space="0" w:color="auto"/>
            </w:tcBorders>
            <w:vAlign w:val="bottom"/>
          </w:tcPr>
          <w:p w14:paraId="134201EB" w14:textId="3F356AA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0.874</w:t>
            </w:r>
          </w:p>
        </w:tc>
      </w:tr>
      <w:tr w:rsidR="00135495" w:rsidRPr="00A0555D" w14:paraId="7787656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33146DD"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047860BC" w14:textId="7F484B3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0.848</w:t>
            </w:r>
          </w:p>
        </w:tc>
        <w:tc>
          <w:tcPr>
            <w:tcW w:w="774" w:type="dxa"/>
            <w:tcBorders>
              <w:top w:val="nil"/>
              <w:left w:val="nil"/>
              <w:bottom w:val="single" w:sz="4" w:space="0" w:color="auto"/>
              <w:right w:val="nil"/>
            </w:tcBorders>
            <w:shd w:val="clear" w:color="auto" w:fill="auto"/>
            <w:noWrap/>
            <w:vAlign w:val="bottom"/>
          </w:tcPr>
          <w:p w14:paraId="1923B49C" w14:textId="137BA8E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0.854</w:t>
            </w:r>
          </w:p>
        </w:tc>
        <w:tc>
          <w:tcPr>
            <w:tcW w:w="773" w:type="dxa"/>
            <w:tcBorders>
              <w:top w:val="nil"/>
              <w:left w:val="nil"/>
              <w:bottom w:val="single" w:sz="4" w:space="0" w:color="auto"/>
              <w:right w:val="nil"/>
            </w:tcBorders>
            <w:shd w:val="clear" w:color="auto" w:fill="auto"/>
            <w:noWrap/>
            <w:vAlign w:val="bottom"/>
          </w:tcPr>
          <w:p w14:paraId="09D493E0" w14:textId="0A0B408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0.832</w:t>
            </w:r>
          </w:p>
        </w:tc>
        <w:tc>
          <w:tcPr>
            <w:tcW w:w="843" w:type="dxa"/>
            <w:tcBorders>
              <w:top w:val="nil"/>
              <w:left w:val="nil"/>
              <w:bottom w:val="single" w:sz="4" w:space="0" w:color="auto"/>
              <w:right w:val="nil"/>
            </w:tcBorders>
            <w:shd w:val="clear" w:color="auto" w:fill="auto"/>
            <w:noWrap/>
            <w:vAlign w:val="bottom"/>
          </w:tcPr>
          <w:p w14:paraId="3B39ABA0" w14:textId="6CB6F44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0.842</w:t>
            </w:r>
          </w:p>
        </w:tc>
        <w:tc>
          <w:tcPr>
            <w:tcW w:w="704" w:type="dxa"/>
            <w:tcBorders>
              <w:top w:val="nil"/>
              <w:left w:val="nil"/>
              <w:bottom w:val="single" w:sz="4" w:space="0" w:color="auto"/>
              <w:right w:val="single" w:sz="4" w:space="0" w:color="auto"/>
            </w:tcBorders>
            <w:shd w:val="clear" w:color="auto" w:fill="auto"/>
            <w:noWrap/>
            <w:vAlign w:val="bottom"/>
          </w:tcPr>
          <w:p w14:paraId="2E79FC42" w14:textId="41C6FA7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0.833</w:t>
            </w:r>
          </w:p>
        </w:tc>
        <w:tc>
          <w:tcPr>
            <w:tcW w:w="774" w:type="dxa"/>
            <w:tcBorders>
              <w:left w:val="nil"/>
              <w:bottom w:val="single" w:sz="4" w:space="0" w:color="auto"/>
              <w:right w:val="single" w:sz="4" w:space="0" w:color="auto"/>
            </w:tcBorders>
            <w:vAlign w:val="bottom"/>
          </w:tcPr>
          <w:p w14:paraId="18CF2F5E" w14:textId="0983DF5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0.705</w:t>
            </w:r>
          </w:p>
        </w:tc>
        <w:tc>
          <w:tcPr>
            <w:tcW w:w="774" w:type="dxa"/>
            <w:tcBorders>
              <w:left w:val="single" w:sz="4" w:space="0" w:color="auto"/>
              <w:bottom w:val="single" w:sz="4" w:space="0" w:color="auto"/>
              <w:right w:val="single" w:sz="4" w:space="0" w:color="auto"/>
            </w:tcBorders>
            <w:vAlign w:val="bottom"/>
          </w:tcPr>
          <w:p w14:paraId="5F58F640" w14:textId="231B7E8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0.944</w:t>
            </w:r>
          </w:p>
        </w:tc>
        <w:tc>
          <w:tcPr>
            <w:tcW w:w="808" w:type="dxa"/>
            <w:tcBorders>
              <w:left w:val="single" w:sz="4" w:space="0" w:color="auto"/>
              <w:bottom w:val="single" w:sz="4" w:space="0" w:color="auto"/>
              <w:right w:val="single" w:sz="4" w:space="0" w:color="auto"/>
            </w:tcBorders>
            <w:vAlign w:val="bottom"/>
          </w:tcPr>
          <w:p w14:paraId="72EBCB91" w14:textId="70D1887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0.731</w:t>
            </w:r>
          </w:p>
        </w:tc>
        <w:tc>
          <w:tcPr>
            <w:tcW w:w="740" w:type="dxa"/>
            <w:tcBorders>
              <w:left w:val="single" w:sz="4" w:space="0" w:color="auto"/>
              <w:bottom w:val="single" w:sz="4" w:space="0" w:color="auto"/>
              <w:right w:val="single" w:sz="4" w:space="0" w:color="auto"/>
            </w:tcBorders>
            <w:vAlign w:val="bottom"/>
          </w:tcPr>
          <w:p w14:paraId="5AED5D1B" w14:textId="316CF008"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0.863</w:t>
            </w:r>
          </w:p>
        </w:tc>
        <w:tc>
          <w:tcPr>
            <w:tcW w:w="880" w:type="dxa"/>
            <w:tcBorders>
              <w:left w:val="single" w:sz="4" w:space="0" w:color="auto"/>
              <w:bottom w:val="single" w:sz="4" w:space="0" w:color="auto"/>
            </w:tcBorders>
            <w:vAlign w:val="bottom"/>
          </w:tcPr>
          <w:p w14:paraId="5F19B025" w14:textId="3B4142B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0.862</w:t>
            </w:r>
          </w:p>
        </w:tc>
      </w:tr>
      <w:tr w:rsidR="0070792B" w:rsidRPr="00A0555D" w14:paraId="5537ED89" w14:textId="77777777" w:rsidTr="00BD0EBA">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20498106" w14:textId="77777777" w:rsidR="0070792B" w:rsidRPr="00A0555D" w:rsidRDefault="0070792B"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3EE798F9" w14:textId="62EE6E62"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55E46179" w14:textId="37A57E63"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357C30B4" w14:textId="06D1BF53"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786549BF" w14:textId="0C7BDCC9"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60CB14DA" w14:textId="1941CDAB" w:rsidR="0070792B" w:rsidRPr="00A0555D" w:rsidRDefault="0070792B"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69EBE1C2" w14:textId="58DC5F53" w:rsidR="0070792B" w:rsidRPr="006016B0" w:rsidRDefault="0070792B"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1940C544" w14:textId="0927D9D4" w:rsidR="0070792B" w:rsidRPr="006016B0" w:rsidRDefault="0070792B"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right w:val="single" w:sz="4" w:space="0" w:color="auto"/>
            </w:tcBorders>
            <w:vAlign w:val="bottom"/>
          </w:tcPr>
          <w:p w14:paraId="64DC89DB" w14:textId="09291C1A" w:rsidR="0070792B" w:rsidRPr="006016B0" w:rsidRDefault="0070792B"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right w:val="single" w:sz="4" w:space="0" w:color="auto"/>
            </w:tcBorders>
            <w:vAlign w:val="bottom"/>
          </w:tcPr>
          <w:p w14:paraId="7BA193AF" w14:textId="33D18D5E" w:rsidR="0070792B" w:rsidRPr="006016B0" w:rsidRDefault="0070792B"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00ABADD1" w14:textId="6A901063" w:rsidR="0070792B" w:rsidRPr="006016B0" w:rsidRDefault="0070792B" w:rsidP="006016B0">
            <w:pPr>
              <w:tabs>
                <w:tab w:val="decimal" w:pos="184"/>
              </w:tabs>
              <w:spacing w:before="0" w:after="0" w:line="240" w:lineRule="auto"/>
              <w:ind w:firstLine="0"/>
              <w:rPr>
                <w:color w:val="000000"/>
                <w:sz w:val="16"/>
                <w:szCs w:val="16"/>
              </w:rPr>
            </w:pPr>
          </w:p>
        </w:tc>
      </w:tr>
      <w:tr w:rsidR="00135495" w:rsidRPr="00A0555D" w14:paraId="2DD70AA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DA08CF7"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734CD01F" w14:textId="39857F2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0.735</w:t>
            </w:r>
          </w:p>
        </w:tc>
        <w:tc>
          <w:tcPr>
            <w:tcW w:w="774" w:type="dxa"/>
            <w:tcBorders>
              <w:top w:val="nil"/>
              <w:left w:val="nil"/>
              <w:bottom w:val="nil"/>
              <w:right w:val="nil"/>
            </w:tcBorders>
            <w:shd w:val="clear" w:color="auto" w:fill="auto"/>
            <w:noWrap/>
            <w:vAlign w:val="bottom"/>
          </w:tcPr>
          <w:p w14:paraId="64D920C8" w14:textId="516C7E4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0.814</w:t>
            </w:r>
          </w:p>
        </w:tc>
        <w:tc>
          <w:tcPr>
            <w:tcW w:w="773" w:type="dxa"/>
            <w:tcBorders>
              <w:top w:val="nil"/>
              <w:left w:val="nil"/>
              <w:bottom w:val="nil"/>
              <w:right w:val="nil"/>
            </w:tcBorders>
            <w:shd w:val="clear" w:color="auto" w:fill="auto"/>
            <w:noWrap/>
            <w:vAlign w:val="bottom"/>
          </w:tcPr>
          <w:p w14:paraId="78CB8BAB" w14:textId="4A34FB4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0.709</w:t>
            </w:r>
          </w:p>
        </w:tc>
        <w:tc>
          <w:tcPr>
            <w:tcW w:w="843" w:type="dxa"/>
            <w:tcBorders>
              <w:top w:val="nil"/>
              <w:left w:val="nil"/>
              <w:bottom w:val="nil"/>
              <w:right w:val="nil"/>
            </w:tcBorders>
            <w:shd w:val="clear" w:color="auto" w:fill="auto"/>
            <w:noWrap/>
            <w:vAlign w:val="bottom"/>
          </w:tcPr>
          <w:p w14:paraId="33BA185B" w14:textId="6D97AC7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0.664</w:t>
            </w:r>
          </w:p>
        </w:tc>
        <w:tc>
          <w:tcPr>
            <w:tcW w:w="704" w:type="dxa"/>
            <w:tcBorders>
              <w:top w:val="nil"/>
              <w:left w:val="nil"/>
              <w:bottom w:val="nil"/>
              <w:right w:val="single" w:sz="4" w:space="0" w:color="auto"/>
            </w:tcBorders>
            <w:shd w:val="clear" w:color="auto" w:fill="auto"/>
            <w:noWrap/>
            <w:vAlign w:val="bottom"/>
          </w:tcPr>
          <w:p w14:paraId="05453101" w14:textId="6EBFAEB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0.714</w:t>
            </w:r>
          </w:p>
        </w:tc>
        <w:tc>
          <w:tcPr>
            <w:tcW w:w="774" w:type="dxa"/>
            <w:tcBorders>
              <w:left w:val="nil"/>
              <w:right w:val="single" w:sz="4" w:space="0" w:color="auto"/>
            </w:tcBorders>
            <w:vAlign w:val="bottom"/>
          </w:tcPr>
          <w:p w14:paraId="4A75B3F3" w14:textId="4A9D79F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0.832</w:t>
            </w:r>
          </w:p>
        </w:tc>
        <w:tc>
          <w:tcPr>
            <w:tcW w:w="774" w:type="dxa"/>
            <w:tcBorders>
              <w:left w:val="single" w:sz="4" w:space="0" w:color="auto"/>
              <w:right w:val="single" w:sz="4" w:space="0" w:color="auto"/>
            </w:tcBorders>
            <w:vAlign w:val="bottom"/>
          </w:tcPr>
          <w:p w14:paraId="20856126" w14:textId="165CE57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0.930</w:t>
            </w:r>
          </w:p>
        </w:tc>
        <w:tc>
          <w:tcPr>
            <w:tcW w:w="808" w:type="dxa"/>
            <w:tcBorders>
              <w:left w:val="single" w:sz="4" w:space="0" w:color="auto"/>
              <w:right w:val="single" w:sz="4" w:space="0" w:color="auto"/>
            </w:tcBorders>
            <w:vAlign w:val="bottom"/>
          </w:tcPr>
          <w:p w14:paraId="37ECA98D" w14:textId="04DB5C2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0.743</w:t>
            </w:r>
          </w:p>
        </w:tc>
        <w:tc>
          <w:tcPr>
            <w:tcW w:w="740" w:type="dxa"/>
            <w:tcBorders>
              <w:left w:val="single" w:sz="4" w:space="0" w:color="auto"/>
              <w:right w:val="single" w:sz="4" w:space="0" w:color="auto"/>
            </w:tcBorders>
            <w:vAlign w:val="bottom"/>
          </w:tcPr>
          <w:p w14:paraId="0D314949" w14:textId="6E69E7F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0.510</w:t>
            </w:r>
          </w:p>
        </w:tc>
        <w:tc>
          <w:tcPr>
            <w:tcW w:w="880" w:type="dxa"/>
            <w:tcBorders>
              <w:left w:val="single" w:sz="4" w:space="0" w:color="auto"/>
            </w:tcBorders>
            <w:vAlign w:val="bottom"/>
          </w:tcPr>
          <w:p w14:paraId="36D53ECD" w14:textId="6FF45B8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0.913</w:t>
            </w:r>
          </w:p>
        </w:tc>
      </w:tr>
      <w:tr w:rsidR="00135495" w:rsidRPr="00A0555D" w14:paraId="0F77C92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DC15E46"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6E4A6B95" w14:textId="0C68F6E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0.752</w:t>
            </w:r>
          </w:p>
        </w:tc>
        <w:tc>
          <w:tcPr>
            <w:tcW w:w="774" w:type="dxa"/>
            <w:tcBorders>
              <w:top w:val="nil"/>
              <w:left w:val="nil"/>
              <w:bottom w:val="nil"/>
              <w:right w:val="nil"/>
            </w:tcBorders>
            <w:shd w:val="clear" w:color="auto" w:fill="auto"/>
            <w:noWrap/>
            <w:vAlign w:val="bottom"/>
          </w:tcPr>
          <w:p w14:paraId="380E3043" w14:textId="31D3FAAB"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0.779</w:t>
            </w:r>
          </w:p>
        </w:tc>
        <w:tc>
          <w:tcPr>
            <w:tcW w:w="773" w:type="dxa"/>
            <w:tcBorders>
              <w:top w:val="nil"/>
              <w:left w:val="nil"/>
              <w:bottom w:val="nil"/>
              <w:right w:val="nil"/>
            </w:tcBorders>
            <w:shd w:val="clear" w:color="auto" w:fill="auto"/>
            <w:noWrap/>
            <w:vAlign w:val="bottom"/>
          </w:tcPr>
          <w:p w14:paraId="135E3B02" w14:textId="2C443F4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0.731</w:t>
            </w:r>
          </w:p>
        </w:tc>
        <w:tc>
          <w:tcPr>
            <w:tcW w:w="843" w:type="dxa"/>
            <w:tcBorders>
              <w:top w:val="nil"/>
              <w:left w:val="nil"/>
              <w:bottom w:val="nil"/>
              <w:right w:val="nil"/>
            </w:tcBorders>
            <w:shd w:val="clear" w:color="auto" w:fill="auto"/>
            <w:noWrap/>
            <w:vAlign w:val="bottom"/>
          </w:tcPr>
          <w:p w14:paraId="210A65D7" w14:textId="513D23E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0.728</w:t>
            </w:r>
          </w:p>
        </w:tc>
        <w:tc>
          <w:tcPr>
            <w:tcW w:w="704" w:type="dxa"/>
            <w:tcBorders>
              <w:top w:val="nil"/>
              <w:left w:val="nil"/>
              <w:bottom w:val="nil"/>
              <w:right w:val="single" w:sz="4" w:space="0" w:color="auto"/>
            </w:tcBorders>
            <w:shd w:val="clear" w:color="auto" w:fill="auto"/>
            <w:noWrap/>
            <w:vAlign w:val="bottom"/>
          </w:tcPr>
          <w:p w14:paraId="26F19FBB" w14:textId="3196E78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0.748</w:t>
            </w:r>
          </w:p>
        </w:tc>
        <w:tc>
          <w:tcPr>
            <w:tcW w:w="774" w:type="dxa"/>
            <w:tcBorders>
              <w:left w:val="nil"/>
              <w:right w:val="single" w:sz="4" w:space="0" w:color="auto"/>
            </w:tcBorders>
            <w:vAlign w:val="bottom"/>
          </w:tcPr>
          <w:p w14:paraId="1E898C5F" w14:textId="053BF52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0.844</w:t>
            </w:r>
          </w:p>
        </w:tc>
        <w:tc>
          <w:tcPr>
            <w:tcW w:w="774" w:type="dxa"/>
            <w:tcBorders>
              <w:left w:val="single" w:sz="4" w:space="0" w:color="auto"/>
              <w:right w:val="single" w:sz="4" w:space="0" w:color="auto"/>
            </w:tcBorders>
            <w:vAlign w:val="bottom"/>
          </w:tcPr>
          <w:p w14:paraId="1DDADE46" w14:textId="68381F2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0.960</w:t>
            </w:r>
          </w:p>
        </w:tc>
        <w:tc>
          <w:tcPr>
            <w:tcW w:w="808" w:type="dxa"/>
            <w:tcBorders>
              <w:left w:val="single" w:sz="4" w:space="0" w:color="auto"/>
              <w:right w:val="single" w:sz="4" w:space="0" w:color="auto"/>
            </w:tcBorders>
            <w:vAlign w:val="bottom"/>
          </w:tcPr>
          <w:p w14:paraId="708DDB06" w14:textId="4C10C48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0.726</w:t>
            </w:r>
          </w:p>
        </w:tc>
        <w:tc>
          <w:tcPr>
            <w:tcW w:w="740" w:type="dxa"/>
            <w:tcBorders>
              <w:left w:val="single" w:sz="4" w:space="0" w:color="auto"/>
              <w:right w:val="single" w:sz="4" w:space="0" w:color="auto"/>
            </w:tcBorders>
            <w:vAlign w:val="bottom"/>
          </w:tcPr>
          <w:p w14:paraId="0D186CD8" w14:textId="3A51792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0.644</w:t>
            </w:r>
          </w:p>
        </w:tc>
        <w:tc>
          <w:tcPr>
            <w:tcW w:w="880" w:type="dxa"/>
            <w:tcBorders>
              <w:left w:val="single" w:sz="4" w:space="0" w:color="auto"/>
            </w:tcBorders>
            <w:vAlign w:val="bottom"/>
          </w:tcPr>
          <w:p w14:paraId="7D145117" w14:textId="62A22A9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0.943</w:t>
            </w:r>
          </w:p>
        </w:tc>
      </w:tr>
      <w:tr w:rsidR="00135495" w:rsidRPr="00A0555D" w14:paraId="60D4680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16CC94B"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4572F9D8" w14:textId="0248664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0.667</w:t>
            </w:r>
          </w:p>
        </w:tc>
        <w:tc>
          <w:tcPr>
            <w:tcW w:w="774" w:type="dxa"/>
            <w:tcBorders>
              <w:top w:val="nil"/>
              <w:left w:val="nil"/>
              <w:bottom w:val="nil"/>
              <w:right w:val="nil"/>
            </w:tcBorders>
            <w:shd w:val="clear" w:color="auto" w:fill="auto"/>
            <w:noWrap/>
            <w:vAlign w:val="bottom"/>
          </w:tcPr>
          <w:p w14:paraId="66E7A4C4" w14:textId="2E897F7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0.808</w:t>
            </w:r>
          </w:p>
        </w:tc>
        <w:tc>
          <w:tcPr>
            <w:tcW w:w="773" w:type="dxa"/>
            <w:tcBorders>
              <w:top w:val="nil"/>
              <w:left w:val="nil"/>
              <w:bottom w:val="nil"/>
              <w:right w:val="nil"/>
            </w:tcBorders>
            <w:shd w:val="clear" w:color="auto" w:fill="auto"/>
            <w:noWrap/>
            <w:vAlign w:val="bottom"/>
          </w:tcPr>
          <w:p w14:paraId="5FA8DB94" w14:textId="6BEB32B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0.669</w:t>
            </w:r>
          </w:p>
        </w:tc>
        <w:tc>
          <w:tcPr>
            <w:tcW w:w="843" w:type="dxa"/>
            <w:tcBorders>
              <w:top w:val="nil"/>
              <w:left w:val="nil"/>
              <w:bottom w:val="nil"/>
              <w:right w:val="nil"/>
            </w:tcBorders>
            <w:shd w:val="clear" w:color="auto" w:fill="auto"/>
            <w:noWrap/>
            <w:vAlign w:val="bottom"/>
          </w:tcPr>
          <w:p w14:paraId="6BFC9794" w14:textId="3904D84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0.578</w:t>
            </w:r>
          </w:p>
        </w:tc>
        <w:tc>
          <w:tcPr>
            <w:tcW w:w="704" w:type="dxa"/>
            <w:tcBorders>
              <w:top w:val="nil"/>
              <w:left w:val="nil"/>
              <w:bottom w:val="nil"/>
              <w:right w:val="single" w:sz="4" w:space="0" w:color="auto"/>
            </w:tcBorders>
            <w:shd w:val="clear" w:color="auto" w:fill="auto"/>
            <w:noWrap/>
            <w:vAlign w:val="bottom"/>
          </w:tcPr>
          <w:p w14:paraId="544FE84C" w14:textId="09EA720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0.579</w:t>
            </w:r>
          </w:p>
        </w:tc>
        <w:tc>
          <w:tcPr>
            <w:tcW w:w="774" w:type="dxa"/>
            <w:tcBorders>
              <w:left w:val="nil"/>
              <w:right w:val="single" w:sz="4" w:space="0" w:color="auto"/>
            </w:tcBorders>
            <w:vAlign w:val="bottom"/>
          </w:tcPr>
          <w:p w14:paraId="188F9C3B" w14:textId="0224C2D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0.727</w:t>
            </w:r>
          </w:p>
        </w:tc>
        <w:tc>
          <w:tcPr>
            <w:tcW w:w="774" w:type="dxa"/>
            <w:tcBorders>
              <w:left w:val="single" w:sz="4" w:space="0" w:color="auto"/>
              <w:right w:val="single" w:sz="4" w:space="0" w:color="auto"/>
            </w:tcBorders>
            <w:vAlign w:val="bottom"/>
          </w:tcPr>
          <w:p w14:paraId="58693722" w14:textId="5753A592"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0.951</w:t>
            </w:r>
          </w:p>
        </w:tc>
        <w:tc>
          <w:tcPr>
            <w:tcW w:w="808" w:type="dxa"/>
            <w:tcBorders>
              <w:left w:val="single" w:sz="4" w:space="0" w:color="auto"/>
              <w:right w:val="single" w:sz="4" w:space="0" w:color="auto"/>
            </w:tcBorders>
            <w:vAlign w:val="bottom"/>
          </w:tcPr>
          <w:p w14:paraId="5774F9ED" w14:textId="3F03A85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0.714</w:t>
            </w:r>
          </w:p>
        </w:tc>
        <w:tc>
          <w:tcPr>
            <w:tcW w:w="740" w:type="dxa"/>
            <w:tcBorders>
              <w:left w:val="single" w:sz="4" w:space="0" w:color="auto"/>
              <w:right w:val="single" w:sz="4" w:space="0" w:color="auto"/>
            </w:tcBorders>
            <w:vAlign w:val="bottom"/>
          </w:tcPr>
          <w:p w14:paraId="3DA4EC7D" w14:textId="0A5EA57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0.446</w:t>
            </w:r>
          </w:p>
        </w:tc>
        <w:tc>
          <w:tcPr>
            <w:tcW w:w="880" w:type="dxa"/>
            <w:tcBorders>
              <w:left w:val="single" w:sz="4" w:space="0" w:color="auto"/>
            </w:tcBorders>
            <w:vAlign w:val="bottom"/>
          </w:tcPr>
          <w:p w14:paraId="7B1146C2" w14:textId="6BFFA4F8"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0.926</w:t>
            </w:r>
          </w:p>
        </w:tc>
      </w:tr>
      <w:tr w:rsidR="00135495" w:rsidRPr="00A0555D" w14:paraId="2C1C288A"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FA7AF95"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6F07B534" w14:textId="4968A1E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0.823</w:t>
            </w:r>
          </w:p>
        </w:tc>
        <w:tc>
          <w:tcPr>
            <w:tcW w:w="774" w:type="dxa"/>
            <w:tcBorders>
              <w:top w:val="nil"/>
              <w:left w:val="nil"/>
              <w:bottom w:val="nil"/>
              <w:right w:val="nil"/>
            </w:tcBorders>
            <w:shd w:val="clear" w:color="auto" w:fill="auto"/>
            <w:noWrap/>
            <w:vAlign w:val="bottom"/>
          </w:tcPr>
          <w:p w14:paraId="15BF7013" w14:textId="4E17CC4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0.761</w:t>
            </w:r>
          </w:p>
        </w:tc>
        <w:tc>
          <w:tcPr>
            <w:tcW w:w="773" w:type="dxa"/>
            <w:tcBorders>
              <w:top w:val="nil"/>
              <w:left w:val="nil"/>
              <w:bottom w:val="nil"/>
              <w:right w:val="nil"/>
            </w:tcBorders>
            <w:shd w:val="clear" w:color="auto" w:fill="auto"/>
            <w:noWrap/>
            <w:vAlign w:val="bottom"/>
          </w:tcPr>
          <w:p w14:paraId="6C3B36D5" w14:textId="02054DF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0.845</w:t>
            </w:r>
          </w:p>
        </w:tc>
        <w:tc>
          <w:tcPr>
            <w:tcW w:w="843" w:type="dxa"/>
            <w:tcBorders>
              <w:top w:val="nil"/>
              <w:left w:val="nil"/>
              <w:bottom w:val="nil"/>
              <w:right w:val="nil"/>
            </w:tcBorders>
            <w:shd w:val="clear" w:color="auto" w:fill="auto"/>
            <w:noWrap/>
            <w:vAlign w:val="bottom"/>
          </w:tcPr>
          <w:p w14:paraId="36B3707B" w14:textId="208D963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0.791</w:t>
            </w:r>
          </w:p>
        </w:tc>
        <w:tc>
          <w:tcPr>
            <w:tcW w:w="704" w:type="dxa"/>
            <w:tcBorders>
              <w:top w:val="nil"/>
              <w:left w:val="nil"/>
              <w:bottom w:val="nil"/>
              <w:right w:val="single" w:sz="4" w:space="0" w:color="auto"/>
            </w:tcBorders>
            <w:shd w:val="clear" w:color="auto" w:fill="auto"/>
            <w:noWrap/>
            <w:vAlign w:val="bottom"/>
          </w:tcPr>
          <w:p w14:paraId="1CEEF621" w14:textId="72C965E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0.789</w:t>
            </w:r>
          </w:p>
        </w:tc>
        <w:tc>
          <w:tcPr>
            <w:tcW w:w="774" w:type="dxa"/>
            <w:tcBorders>
              <w:left w:val="nil"/>
              <w:right w:val="single" w:sz="4" w:space="0" w:color="auto"/>
            </w:tcBorders>
            <w:vAlign w:val="bottom"/>
          </w:tcPr>
          <w:p w14:paraId="1665027E" w14:textId="3356FAD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0.897</w:t>
            </w:r>
          </w:p>
        </w:tc>
        <w:tc>
          <w:tcPr>
            <w:tcW w:w="774" w:type="dxa"/>
            <w:tcBorders>
              <w:left w:val="single" w:sz="4" w:space="0" w:color="auto"/>
              <w:right w:val="single" w:sz="4" w:space="0" w:color="auto"/>
            </w:tcBorders>
            <w:vAlign w:val="bottom"/>
          </w:tcPr>
          <w:p w14:paraId="3C1D5F96" w14:textId="2AE15B9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0.950</w:t>
            </w:r>
          </w:p>
        </w:tc>
        <w:tc>
          <w:tcPr>
            <w:tcW w:w="808" w:type="dxa"/>
            <w:tcBorders>
              <w:left w:val="single" w:sz="4" w:space="0" w:color="auto"/>
              <w:right w:val="single" w:sz="4" w:space="0" w:color="auto"/>
            </w:tcBorders>
            <w:vAlign w:val="bottom"/>
          </w:tcPr>
          <w:p w14:paraId="4DE8BFBA" w14:textId="2282F7F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0.760</w:t>
            </w:r>
          </w:p>
        </w:tc>
        <w:tc>
          <w:tcPr>
            <w:tcW w:w="740" w:type="dxa"/>
            <w:tcBorders>
              <w:left w:val="single" w:sz="4" w:space="0" w:color="auto"/>
              <w:right w:val="single" w:sz="4" w:space="0" w:color="auto"/>
            </w:tcBorders>
            <w:vAlign w:val="bottom"/>
          </w:tcPr>
          <w:p w14:paraId="75103249" w14:textId="156F5EE1"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0.739</w:t>
            </w:r>
          </w:p>
        </w:tc>
        <w:tc>
          <w:tcPr>
            <w:tcW w:w="880" w:type="dxa"/>
            <w:tcBorders>
              <w:left w:val="single" w:sz="4" w:space="0" w:color="auto"/>
            </w:tcBorders>
            <w:vAlign w:val="bottom"/>
          </w:tcPr>
          <w:p w14:paraId="0966140F" w14:textId="6C978E4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0.928</w:t>
            </w:r>
          </w:p>
        </w:tc>
      </w:tr>
      <w:tr w:rsidR="00135495" w:rsidRPr="00A0555D" w14:paraId="346555D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F4C0C9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338C3AF3" w14:textId="0D3AA1B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0.765</w:t>
            </w:r>
          </w:p>
        </w:tc>
        <w:tc>
          <w:tcPr>
            <w:tcW w:w="774" w:type="dxa"/>
            <w:tcBorders>
              <w:top w:val="nil"/>
              <w:left w:val="nil"/>
              <w:bottom w:val="nil"/>
              <w:right w:val="nil"/>
            </w:tcBorders>
            <w:shd w:val="clear" w:color="auto" w:fill="auto"/>
            <w:noWrap/>
            <w:vAlign w:val="bottom"/>
          </w:tcPr>
          <w:p w14:paraId="25BE4F4D" w14:textId="1D5A0A6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0.757</w:t>
            </w:r>
          </w:p>
        </w:tc>
        <w:tc>
          <w:tcPr>
            <w:tcW w:w="773" w:type="dxa"/>
            <w:tcBorders>
              <w:top w:val="nil"/>
              <w:left w:val="nil"/>
              <w:bottom w:val="nil"/>
              <w:right w:val="nil"/>
            </w:tcBorders>
            <w:shd w:val="clear" w:color="auto" w:fill="auto"/>
            <w:noWrap/>
            <w:vAlign w:val="bottom"/>
          </w:tcPr>
          <w:p w14:paraId="10F4FA58" w14:textId="224DB1A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0.691</w:t>
            </w:r>
          </w:p>
        </w:tc>
        <w:tc>
          <w:tcPr>
            <w:tcW w:w="843" w:type="dxa"/>
            <w:tcBorders>
              <w:top w:val="nil"/>
              <w:left w:val="nil"/>
              <w:bottom w:val="nil"/>
              <w:right w:val="nil"/>
            </w:tcBorders>
            <w:shd w:val="clear" w:color="auto" w:fill="auto"/>
            <w:noWrap/>
            <w:vAlign w:val="bottom"/>
          </w:tcPr>
          <w:p w14:paraId="2134AC61" w14:textId="19A4981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0.728</w:t>
            </w:r>
          </w:p>
        </w:tc>
        <w:tc>
          <w:tcPr>
            <w:tcW w:w="704" w:type="dxa"/>
            <w:tcBorders>
              <w:top w:val="nil"/>
              <w:left w:val="nil"/>
              <w:bottom w:val="nil"/>
              <w:right w:val="single" w:sz="4" w:space="0" w:color="auto"/>
            </w:tcBorders>
            <w:shd w:val="clear" w:color="auto" w:fill="auto"/>
            <w:noWrap/>
            <w:vAlign w:val="bottom"/>
          </w:tcPr>
          <w:p w14:paraId="7CC5D7BB" w14:textId="5A6BE7C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0.824</w:t>
            </w:r>
          </w:p>
        </w:tc>
        <w:tc>
          <w:tcPr>
            <w:tcW w:w="774" w:type="dxa"/>
            <w:tcBorders>
              <w:left w:val="nil"/>
              <w:right w:val="single" w:sz="4" w:space="0" w:color="auto"/>
            </w:tcBorders>
            <w:vAlign w:val="bottom"/>
          </w:tcPr>
          <w:p w14:paraId="4CF2209C" w14:textId="78A777F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0.850</w:t>
            </w:r>
          </w:p>
        </w:tc>
        <w:tc>
          <w:tcPr>
            <w:tcW w:w="774" w:type="dxa"/>
            <w:tcBorders>
              <w:left w:val="single" w:sz="4" w:space="0" w:color="auto"/>
              <w:right w:val="single" w:sz="4" w:space="0" w:color="auto"/>
            </w:tcBorders>
            <w:vAlign w:val="bottom"/>
          </w:tcPr>
          <w:p w14:paraId="7FD9EE4A" w14:textId="4BB1FAD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0.937</w:t>
            </w:r>
          </w:p>
        </w:tc>
        <w:tc>
          <w:tcPr>
            <w:tcW w:w="808" w:type="dxa"/>
            <w:tcBorders>
              <w:left w:val="single" w:sz="4" w:space="0" w:color="auto"/>
              <w:right w:val="single" w:sz="4" w:space="0" w:color="auto"/>
            </w:tcBorders>
            <w:vAlign w:val="bottom"/>
          </w:tcPr>
          <w:p w14:paraId="6697831E" w14:textId="05F03E3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0.764</w:t>
            </w:r>
          </w:p>
        </w:tc>
        <w:tc>
          <w:tcPr>
            <w:tcW w:w="740" w:type="dxa"/>
            <w:tcBorders>
              <w:left w:val="single" w:sz="4" w:space="0" w:color="auto"/>
              <w:right w:val="single" w:sz="4" w:space="0" w:color="auto"/>
            </w:tcBorders>
            <w:vAlign w:val="bottom"/>
          </w:tcPr>
          <w:p w14:paraId="5D8E0803" w14:textId="6C8F2AA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0.616</w:t>
            </w:r>
          </w:p>
        </w:tc>
        <w:tc>
          <w:tcPr>
            <w:tcW w:w="880" w:type="dxa"/>
            <w:tcBorders>
              <w:left w:val="single" w:sz="4" w:space="0" w:color="auto"/>
            </w:tcBorders>
            <w:vAlign w:val="bottom"/>
          </w:tcPr>
          <w:p w14:paraId="2CD64D6F" w14:textId="4B6439B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0.912</w:t>
            </w:r>
          </w:p>
        </w:tc>
      </w:tr>
      <w:tr w:rsidR="00135495" w:rsidRPr="00A0555D" w14:paraId="27125E27"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2E9B13FD"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0E5AA68E" w14:textId="5F07BEE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0.822</w:t>
            </w:r>
          </w:p>
        </w:tc>
        <w:tc>
          <w:tcPr>
            <w:tcW w:w="774" w:type="dxa"/>
            <w:tcBorders>
              <w:top w:val="nil"/>
              <w:left w:val="nil"/>
              <w:bottom w:val="single" w:sz="4" w:space="0" w:color="auto"/>
              <w:right w:val="nil"/>
            </w:tcBorders>
            <w:shd w:val="clear" w:color="auto" w:fill="auto"/>
            <w:noWrap/>
            <w:vAlign w:val="bottom"/>
          </w:tcPr>
          <w:p w14:paraId="46B460AA" w14:textId="4732B8E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0.838</w:t>
            </w:r>
          </w:p>
        </w:tc>
        <w:tc>
          <w:tcPr>
            <w:tcW w:w="773" w:type="dxa"/>
            <w:tcBorders>
              <w:top w:val="nil"/>
              <w:left w:val="nil"/>
              <w:bottom w:val="single" w:sz="4" w:space="0" w:color="auto"/>
              <w:right w:val="nil"/>
            </w:tcBorders>
            <w:shd w:val="clear" w:color="auto" w:fill="auto"/>
            <w:noWrap/>
            <w:vAlign w:val="bottom"/>
          </w:tcPr>
          <w:p w14:paraId="10ED33C0" w14:textId="7FED00E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0.794</w:t>
            </w:r>
          </w:p>
        </w:tc>
        <w:tc>
          <w:tcPr>
            <w:tcW w:w="843" w:type="dxa"/>
            <w:tcBorders>
              <w:top w:val="nil"/>
              <w:left w:val="nil"/>
              <w:bottom w:val="single" w:sz="4" w:space="0" w:color="auto"/>
              <w:right w:val="nil"/>
            </w:tcBorders>
            <w:shd w:val="clear" w:color="auto" w:fill="auto"/>
            <w:noWrap/>
            <w:vAlign w:val="bottom"/>
          </w:tcPr>
          <w:p w14:paraId="76E705FE" w14:textId="4247E56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0.787</w:t>
            </w:r>
          </w:p>
        </w:tc>
        <w:tc>
          <w:tcPr>
            <w:tcW w:w="704" w:type="dxa"/>
            <w:tcBorders>
              <w:top w:val="nil"/>
              <w:left w:val="nil"/>
              <w:bottom w:val="single" w:sz="4" w:space="0" w:color="auto"/>
              <w:right w:val="single" w:sz="4" w:space="0" w:color="auto"/>
            </w:tcBorders>
            <w:shd w:val="clear" w:color="auto" w:fill="auto"/>
            <w:noWrap/>
            <w:vAlign w:val="bottom"/>
          </w:tcPr>
          <w:p w14:paraId="17DDD8C9" w14:textId="5B393BD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0.769</w:t>
            </w:r>
          </w:p>
        </w:tc>
        <w:tc>
          <w:tcPr>
            <w:tcW w:w="774" w:type="dxa"/>
            <w:tcBorders>
              <w:left w:val="nil"/>
              <w:bottom w:val="single" w:sz="4" w:space="0" w:color="auto"/>
              <w:right w:val="single" w:sz="4" w:space="0" w:color="auto"/>
            </w:tcBorders>
            <w:vAlign w:val="bottom"/>
          </w:tcPr>
          <w:p w14:paraId="34D26612" w14:textId="3DBAB97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0.801</w:t>
            </w:r>
          </w:p>
        </w:tc>
        <w:tc>
          <w:tcPr>
            <w:tcW w:w="774" w:type="dxa"/>
            <w:tcBorders>
              <w:left w:val="single" w:sz="4" w:space="0" w:color="auto"/>
              <w:bottom w:val="single" w:sz="4" w:space="0" w:color="auto"/>
              <w:right w:val="single" w:sz="4" w:space="0" w:color="auto"/>
            </w:tcBorders>
            <w:vAlign w:val="bottom"/>
          </w:tcPr>
          <w:p w14:paraId="06A28C38" w14:textId="3F6A1A2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0.949</w:t>
            </w:r>
          </w:p>
        </w:tc>
        <w:tc>
          <w:tcPr>
            <w:tcW w:w="808" w:type="dxa"/>
            <w:tcBorders>
              <w:left w:val="single" w:sz="4" w:space="0" w:color="auto"/>
              <w:bottom w:val="single" w:sz="4" w:space="0" w:color="auto"/>
              <w:right w:val="single" w:sz="4" w:space="0" w:color="auto"/>
            </w:tcBorders>
            <w:vAlign w:val="bottom"/>
          </w:tcPr>
          <w:p w14:paraId="24EA055B" w14:textId="647ABAD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0.762</w:t>
            </w:r>
          </w:p>
        </w:tc>
        <w:tc>
          <w:tcPr>
            <w:tcW w:w="740" w:type="dxa"/>
            <w:tcBorders>
              <w:left w:val="single" w:sz="4" w:space="0" w:color="auto"/>
              <w:bottom w:val="single" w:sz="4" w:space="0" w:color="auto"/>
              <w:right w:val="single" w:sz="4" w:space="0" w:color="auto"/>
            </w:tcBorders>
            <w:vAlign w:val="bottom"/>
          </w:tcPr>
          <w:p w14:paraId="40DC32B3" w14:textId="535E8E11"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0.695</w:t>
            </w:r>
          </w:p>
        </w:tc>
        <w:tc>
          <w:tcPr>
            <w:tcW w:w="880" w:type="dxa"/>
            <w:tcBorders>
              <w:left w:val="single" w:sz="4" w:space="0" w:color="auto"/>
              <w:bottom w:val="single" w:sz="4" w:space="0" w:color="auto"/>
            </w:tcBorders>
            <w:vAlign w:val="bottom"/>
          </w:tcPr>
          <w:p w14:paraId="5A91D12C" w14:textId="6D7CF25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0.936</w:t>
            </w:r>
          </w:p>
        </w:tc>
      </w:tr>
      <w:tr w:rsidR="0070792B" w:rsidRPr="00A0555D" w14:paraId="4AA7FD69" w14:textId="77777777" w:rsidTr="00BD0EBA">
        <w:trPr>
          <w:trHeight w:val="144"/>
        </w:trPr>
        <w:tc>
          <w:tcPr>
            <w:tcW w:w="5474" w:type="dxa"/>
            <w:gridSpan w:val="6"/>
            <w:tcBorders>
              <w:top w:val="single" w:sz="4" w:space="0" w:color="auto"/>
            </w:tcBorders>
            <w:shd w:val="clear" w:color="auto" w:fill="auto"/>
            <w:noWrap/>
            <w:vAlign w:val="bottom"/>
            <w:hideMark/>
          </w:tcPr>
          <w:p w14:paraId="06B2B77E" w14:textId="77777777" w:rsidR="0070792B" w:rsidRPr="009355EE" w:rsidRDefault="0070792B"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Livneh</w:t>
            </w:r>
          </w:p>
        </w:tc>
        <w:tc>
          <w:tcPr>
            <w:tcW w:w="774" w:type="dxa"/>
            <w:tcBorders>
              <w:top w:val="single" w:sz="4" w:space="0" w:color="auto"/>
              <w:left w:val="single" w:sz="4" w:space="0" w:color="auto"/>
            </w:tcBorders>
            <w:shd w:val="clear" w:color="auto" w:fill="auto"/>
            <w:vAlign w:val="bottom"/>
          </w:tcPr>
          <w:p w14:paraId="11360E87" w14:textId="77777777" w:rsidR="0070792B" w:rsidRPr="006016B0" w:rsidRDefault="0070792B"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61D81BE5" w14:textId="77777777" w:rsidR="0070792B" w:rsidRPr="006016B0" w:rsidRDefault="0070792B"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3AB30BA4" w14:textId="77777777" w:rsidR="0070792B" w:rsidRPr="006016B0" w:rsidRDefault="0070792B"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01D25831" w14:textId="77777777" w:rsidR="0070792B" w:rsidRPr="006016B0" w:rsidRDefault="0070792B"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7D8DF975" w14:textId="77777777" w:rsidR="0070792B" w:rsidRPr="006016B0" w:rsidRDefault="0070792B" w:rsidP="006016B0">
            <w:pPr>
              <w:tabs>
                <w:tab w:val="decimal" w:pos="184"/>
              </w:tabs>
              <w:spacing w:before="0" w:after="0" w:line="240" w:lineRule="auto"/>
              <w:ind w:firstLine="0"/>
              <w:rPr>
                <w:color w:val="000000"/>
                <w:sz w:val="16"/>
                <w:szCs w:val="16"/>
              </w:rPr>
            </w:pPr>
          </w:p>
        </w:tc>
      </w:tr>
      <w:tr w:rsidR="00135495" w:rsidRPr="00A0555D" w14:paraId="2F3E5C92"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29B171F3"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176D31B9" w14:textId="6AAC32D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nil"/>
              <w:right w:val="nil"/>
            </w:tcBorders>
            <w:shd w:val="clear" w:color="auto" w:fill="auto"/>
            <w:noWrap/>
            <w:vAlign w:val="bottom"/>
          </w:tcPr>
          <w:p w14:paraId="531953C2" w14:textId="6B26423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left w:val="nil"/>
              <w:bottom w:val="nil"/>
              <w:right w:val="nil"/>
            </w:tcBorders>
            <w:shd w:val="clear" w:color="auto" w:fill="auto"/>
            <w:noWrap/>
            <w:vAlign w:val="bottom"/>
          </w:tcPr>
          <w:p w14:paraId="0DAF133E" w14:textId="35C6D3A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left w:val="nil"/>
              <w:bottom w:val="nil"/>
              <w:right w:val="nil"/>
            </w:tcBorders>
            <w:shd w:val="clear" w:color="auto" w:fill="auto"/>
            <w:noWrap/>
            <w:vAlign w:val="bottom"/>
          </w:tcPr>
          <w:p w14:paraId="1081FC3B" w14:textId="27B1A26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left w:val="nil"/>
              <w:bottom w:val="nil"/>
              <w:right w:val="single" w:sz="4" w:space="0" w:color="auto"/>
            </w:tcBorders>
            <w:shd w:val="clear" w:color="auto" w:fill="auto"/>
            <w:noWrap/>
            <w:vAlign w:val="bottom"/>
          </w:tcPr>
          <w:p w14:paraId="65B61A94" w14:textId="64AF236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162693FB" w14:textId="2DED064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6107D375" w14:textId="7917651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0.991</w:t>
            </w:r>
          </w:p>
        </w:tc>
        <w:tc>
          <w:tcPr>
            <w:tcW w:w="808" w:type="dxa"/>
            <w:tcBorders>
              <w:left w:val="single" w:sz="4" w:space="0" w:color="auto"/>
              <w:right w:val="single" w:sz="4" w:space="0" w:color="auto"/>
            </w:tcBorders>
            <w:vAlign w:val="bottom"/>
          </w:tcPr>
          <w:p w14:paraId="04481017" w14:textId="118D9772"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5B9DFB00" w14:textId="7FF7A888"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56B31520" w14:textId="5B096B7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r>
      <w:tr w:rsidR="00135495" w:rsidRPr="00A0555D" w14:paraId="24304CC9"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6720EC1"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60ACC10D" w14:textId="136D341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5E76FFBD" w14:textId="5F74FBA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163DE4B5" w14:textId="25E600B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5F7BAE92" w14:textId="03B6534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26E5076F" w14:textId="04A5D31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3B5AF27C" w14:textId="689FDC5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774" w:type="dxa"/>
            <w:tcBorders>
              <w:left w:val="single" w:sz="4" w:space="0" w:color="auto"/>
              <w:right w:val="single" w:sz="4" w:space="0" w:color="auto"/>
            </w:tcBorders>
            <w:vAlign w:val="bottom"/>
          </w:tcPr>
          <w:p w14:paraId="2B154BA0" w14:textId="57D4DE4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0.994</w:t>
            </w:r>
          </w:p>
        </w:tc>
        <w:tc>
          <w:tcPr>
            <w:tcW w:w="808" w:type="dxa"/>
            <w:tcBorders>
              <w:left w:val="single" w:sz="4" w:space="0" w:color="auto"/>
              <w:right w:val="single" w:sz="4" w:space="0" w:color="auto"/>
            </w:tcBorders>
            <w:vAlign w:val="bottom"/>
          </w:tcPr>
          <w:p w14:paraId="6B030506" w14:textId="1C60407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6DE4B774" w14:textId="33967DB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7A5EDC24" w14:textId="2F6260F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r>
      <w:tr w:rsidR="00135495" w:rsidRPr="00A0555D" w14:paraId="373CBA55"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BFE90A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200094D7" w14:textId="6C2F1BD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515AAFE1" w14:textId="664B790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1F1A3849" w14:textId="786E88F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4BEE116D" w14:textId="43891E8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071F5253" w14:textId="7E65273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57A5F7D1" w14:textId="099F353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1520F993" w14:textId="3BC941BE"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0.993</w:t>
            </w:r>
          </w:p>
        </w:tc>
        <w:tc>
          <w:tcPr>
            <w:tcW w:w="808" w:type="dxa"/>
            <w:tcBorders>
              <w:left w:val="single" w:sz="4" w:space="0" w:color="auto"/>
              <w:right w:val="single" w:sz="4" w:space="0" w:color="auto"/>
            </w:tcBorders>
            <w:vAlign w:val="bottom"/>
          </w:tcPr>
          <w:p w14:paraId="2D133E6A" w14:textId="32EBE9C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564E4352" w14:textId="1F74ED6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13798053" w14:textId="63C5893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r>
      <w:tr w:rsidR="00135495" w:rsidRPr="00A0555D" w14:paraId="307EC764"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FC521FA"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38B53828" w14:textId="2C2F327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1B38232F" w14:textId="29B0E83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53AA94F2" w14:textId="02CA252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5220DDB5" w14:textId="2001385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51E641C5" w14:textId="69DA56C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0975F451" w14:textId="783F77C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774" w:type="dxa"/>
            <w:tcBorders>
              <w:left w:val="single" w:sz="4" w:space="0" w:color="auto"/>
              <w:right w:val="single" w:sz="4" w:space="0" w:color="auto"/>
            </w:tcBorders>
            <w:vAlign w:val="bottom"/>
          </w:tcPr>
          <w:p w14:paraId="0D2A816C" w14:textId="35E3716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0.993</w:t>
            </w:r>
          </w:p>
        </w:tc>
        <w:tc>
          <w:tcPr>
            <w:tcW w:w="808" w:type="dxa"/>
            <w:tcBorders>
              <w:left w:val="single" w:sz="4" w:space="0" w:color="auto"/>
              <w:right w:val="single" w:sz="4" w:space="0" w:color="auto"/>
            </w:tcBorders>
            <w:vAlign w:val="bottom"/>
          </w:tcPr>
          <w:p w14:paraId="32B3D657" w14:textId="7181466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383293BC" w14:textId="077748D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075A5BC2" w14:textId="0632558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r>
      <w:tr w:rsidR="00135495" w:rsidRPr="00A0555D" w14:paraId="34A08B11"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AB41DB9"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3AE5063E" w14:textId="54079AF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7F2D4FA9" w14:textId="42D1EDA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0856101E" w14:textId="0A96B7F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68B4FCFA" w14:textId="531B930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0259F7DD" w14:textId="63E57F9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5086821F" w14:textId="765D89B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774" w:type="dxa"/>
            <w:tcBorders>
              <w:left w:val="single" w:sz="4" w:space="0" w:color="auto"/>
              <w:right w:val="single" w:sz="4" w:space="0" w:color="auto"/>
            </w:tcBorders>
            <w:vAlign w:val="bottom"/>
          </w:tcPr>
          <w:p w14:paraId="533AB8E1" w14:textId="7D792FF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0.995</w:t>
            </w:r>
          </w:p>
        </w:tc>
        <w:tc>
          <w:tcPr>
            <w:tcW w:w="808" w:type="dxa"/>
            <w:tcBorders>
              <w:left w:val="single" w:sz="4" w:space="0" w:color="auto"/>
              <w:right w:val="single" w:sz="4" w:space="0" w:color="auto"/>
            </w:tcBorders>
            <w:vAlign w:val="bottom"/>
          </w:tcPr>
          <w:p w14:paraId="0ED36383" w14:textId="2D31BB3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5E9D4EE9" w14:textId="67E83ED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53E934EF" w14:textId="53C09739"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0.997</w:t>
            </w:r>
          </w:p>
        </w:tc>
      </w:tr>
      <w:tr w:rsidR="00135495" w:rsidRPr="00A0555D" w14:paraId="18CFB6E8"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0E03E7A4"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46DA3799" w14:textId="1E7657FA"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3C93CB30" w14:textId="3D19C55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single" w:sz="4" w:space="0" w:color="auto"/>
              <w:right w:val="nil"/>
            </w:tcBorders>
            <w:shd w:val="clear" w:color="auto" w:fill="auto"/>
            <w:noWrap/>
            <w:vAlign w:val="bottom"/>
          </w:tcPr>
          <w:p w14:paraId="0CE6CBC7" w14:textId="20B5A62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single" w:sz="4" w:space="0" w:color="auto"/>
              <w:right w:val="nil"/>
            </w:tcBorders>
            <w:shd w:val="clear" w:color="auto" w:fill="auto"/>
            <w:noWrap/>
            <w:vAlign w:val="bottom"/>
          </w:tcPr>
          <w:p w14:paraId="0D2454E2" w14:textId="73B3FB6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single" w:sz="4" w:space="0" w:color="auto"/>
              <w:right w:val="single" w:sz="4" w:space="0" w:color="auto"/>
            </w:tcBorders>
            <w:shd w:val="clear" w:color="auto" w:fill="auto"/>
            <w:noWrap/>
            <w:vAlign w:val="bottom"/>
          </w:tcPr>
          <w:p w14:paraId="45D90F6F" w14:textId="5AC1C64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bottom w:val="single" w:sz="4" w:space="0" w:color="auto"/>
              <w:right w:val="single" w:sz="4" w:space="0" w:color="auto"/>
            </w:tcBorders>
            <w:vAlign w:val="bottom"/>
          </w:tcPr>
          <w:p w14:paraId="3331EB0B" w14:textId="56E0CD3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bottom w:val="single" w:sz="4" w:space="0" w:color="auto"/>
              <w:right w:val="single" w:sz="4" w:space="0" w:color="auto"/>
            </w:tcBorders>
            <w:vAlign w:val="bottom"/>
          </w:tcPr>
          <w:p w14:paraId="1D12D70C" w14:textId="092C8F2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808" w:type="dxa"/>
            <w:tcBorders>
              <w:left w:val="single" w:sz="4" w:space="0" w:color="auto"/>
              <w:bottom w:val="single" w:sz="4" w:space="0" w:color="auto"/>
              <w:right w:val="single" w:sz="4" w:space="0" w:color="auto"/>
            </w:tcBorders>
            <w:vAlign w:val="bottom"/>
          </w:tcPr>
          <w:p w14:paraId="76D096DC" w14:textId="0D7C36B7"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bottom w:val="single" w:sz="4" w:space="0" w:color="auto"/>
              <w:right w:val="single" w:sz="4" w:space="0" w:color="auto"/>
            </w:tcBorders>
            <w:vAlign w:val="bottom"/>
          </w:tcPr>
          <w:p w14:paraId="3B387C45" w14:textId="714BCDC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bottom w:val="single" w:sz="4" w:space="0" w:color="auto"/>
            </w:tcBorders>
            <w:vAlign w:val="bottom"/>
          </w:tcPr>
          <w:p w14:paraId="010430C5" w14:textId="0421B66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0.997</w:t>
            </w:r>
          </w:p>
        </w:tc>
      </w:tr>
      <w:tr w:rsidR="0070792B" w:rsidRPr="00A0555D" w14:paraId="6B98F0E7" w14:textId="77777777" w:rsidTr="00BD0EBA">
        <w:trPr>
          <w:trHeight w:val="144"/>
        </w:trPr>
        <w:tc>
          <w:tcPr>
            <w:tcW w:w="5474" w:type="dxa"/>
            <w:gridSpan w:val="6"/>
            <w:tcBorders>
              <w:top w:val="single" w:sz="4" w:space="0" w:color="auto"/>
            </w:tcBorders>
            <w:shd w:val="clear" w:color="auto" w:fill="auto"/>
            <w:noWrap/>
            <w:vAlign w:val="bottom"/>
            <w:hideMark/>
          </w:tcPr>
          <w:p w14:paraId="73A8A4BE" w14:textId="0529827B" w:rsidR="0070792B" w:rsidRPr="009355EE" w:rsidRDefault="0070792B"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 xml:space="preserve">by </w:t>
            </w:r>
            <w:r w:rsidRPr="00A0555D">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27C4F6C9" w14:textId="77777777" w:rsidR="0070792B" w:rsidRPr="006016B0" w:rsidRDefault="0070792B"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4A3C5283" w14:textId="77777777" w:rsidR="0070792B" w:rsidRPr="006016B0" w:rsidRDefault="0070792B"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07364F19" w14:textId="77777777" w:rsidR="0070792B" w:rsidRPr="006016B0" w:rsidRDefault="0070792B"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49852DF3" w14:textId="77777777" w:rsidR="0070792B" w:rsidRPr="006016B0" w:rsidRDefault="0070792B"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1540A224" w14:textId="77777777" w:rsidR="0070792B" w:rsidRPr="006016B0" w:rsidRDefault="0070792B" w:rsidP="006016B0">
            <w:pPr>
              <w:tabs>
                <w:tab w:val="decimal" w:pos="184"/>
              </w:tabs>
              <w:spacing w:before="0" w:after="0" w:line="240" w:lineRule="auto"/>
              <w:ind w:firstLine="0"/>
              <w:rPr>
                <w:color w:val="000000"/>
                <w:sz w:val="16"/>
                <w:szCs w:val="16"/>
              </w:rPr>
            </w:pPr>
          </w:p>
        </w:tc>
      </w:tr>
      <w:tr w:rsidR="00135495" w:rsidRPr="00A0555D" w14:paraId="16AB4C63"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655EC61A"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7FE2BAC5" w14:textId="75463D6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bottom w:val="nil"/>
              <w:right w:val="nil"/>
            </w:tcBorders>
            <w:shd w:val="clear" w:color="auto" w:fill="auto"/>
            <w:noWrap/>
            <w:vAlign w:val="bottom"/>
          </w:tcPr>
          <w:p w14:paraId="382403EA" w14:textId="22AF798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left w:val="nil"/>
              <w:bottom w:val="nil"/>
              <w:right w:val="nil"/>
            </w:tcBorders>
            <w:shd w:val="clear" w:color="auto" w:fill="auto"/>
            <w:noWrap/>
            <w:vAlign w:val="bottom"/>
          </w:tcPr>
          <w:p w14:paraId="58B6F4A9" w14:textId="40D7194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843" w:type="dxa"/>
            <w:tcBorders>
              <w:left w:val="nil"/>
              <w:bottom w:val="nil"/>
              <w:right w:val="nil"/>
            </w:tcBorders>
            <w:shd w:val="clear" w:color="auto" w:fill="auto"/>
            <w:noWrap/>
            <w:vAlign w:val="bottom"/>
          </w:tcPr>
          <w:p w14:paraId="7DD4CA43" w14:textId="16F1605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left w:val="nil"/>
              <w:bottom w:val="nil"/>
              <w:right w:val="single" w:sz="4" w:space="0" w:color="auto"/>
            </w:tcBorders>
            <w:shd w:val="clear" w:color="auto" w:fill="auto"/>
            <w:noWrap/>
            <w:vAlign w:val="bottom"/>
          </w:tcPr>
          <w:p w14:paraId="6760687E" w14:textId="450A594D"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7895A939" w14:textId="3910BB6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2089EECA" w14:textId="51F370B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right w:val="single" w:sz="4" w:space="0" w:color="auto"/>
            </w:tcBorders>
            <w:vAlign w:val="bottom"/>
          </w:tcPr>
          <w:p w14:paraId="669A7141" w14:textId="0337B25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4DF7BB74" w14:textId="0AC24EC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33DF401C" w14:textId="5B54526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r w:rsidR="00135495" w:rsidRPr="00A0555D" w14:paraId="3AF1A7B1"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49E401D"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060E83B0" w14:textId="4CEB0A49"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75DEA0AB" w14:textId="6FF6763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8C6C6FD" w14:textId="5D234605"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7CCCD650" w14:textId="2D4226D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5946A562" w14:textId="5DD853E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06439738" w14:textId="4F17AA4C"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6A0CE10F" w14:textId="59ECF63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right w:val="single" w:sz="4" w:space="0" w:color="auto"/>
            </w:tcBorders>
            <w:vAlign w:val="bottom"/>
          </w:tcPr>
          <w:p w14:paraId="0B22F29D" w14:textId="72AF205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56C235AB" w14:textId="4379249E"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7391C9A5" w14:textId="197E880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r w:rsidR="00135495" w:rsidRPr="00A0555D" w14:paraId="15FAB16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3BB08BE"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94B39E4" w14:textId="263665F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75F8A3A3" w14:textId="0FF194C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5EAA8CD0" w14:textId="41E4B7E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4FE8F748" w14:textId="7E6F3808"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37635854" w14:textId="0BC5906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794059D1" w14:textId="354299D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34C295D2" w14:textId="57138FD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right w:val="single" w:sz="4" w:space="0" w:color="auto"/>
            </w:tcBorders>
            <w:vAlign w:val="bottom"/>
          </w:tcPr>
          <w:p w14:paraId="27FA6C89" w14:textId="2481E55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4D22960A" w14:textId="2647802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42E2E868" w14:textId="200C8B06"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r w:rsidR="00135495" w:rsidRPr="00A0555D" w14:paraId="118AC82F"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D748B2B"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0B0BC6CB" w14:textId="1C3E2EC3"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5DD608E0" w14:textId="1894B08E"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771F5CE0" w14:textId="1B45F68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093B05F9" w14:textId="660F62B2"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3860DA07" w14:textId="774A35B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right w:val="single" w:sz="4" w:space="0" w:color="auto"/>
            </w:tcBorders>
            <w:vAlign w:val="bottom"/>
          </w:tcPr>
          <w:p w14:paraId="76991DB3" w14:textId="74FB41E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right w:val="single" w:sz="4" w:space="0" w:color="auto"/>
            </w:tcBorders>
            <w:vAlign w:val="bottom"/>
          </w:tcPr>
          <w:p w14:paraId="6B155017" w14:textId="661D5E4A"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right w:val="single" w:sz="4" w:space="0" w:color="auto"/>
            </w:tcBorders>
            <w:vAlign w:val="bottom"/>
          </w:tcPr>
          <w:p w14:paraId="2BAE6A22" w14:textId="0FB72F74"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5D2A63DB" w14:textId="01A41E3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3E45A9AB" w14:textId="1027790D"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r w:rsidR="00135495" w:rsidRPr="00A0555D" w14:paraId="04BBF45B"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42E7C5B"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56657B42" w14:textId="555B9820"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nil"/>
              <w:right w:val="nil"/>
            </w:tcBorders>
            <w:shd w:val="clear" w:color="auto" w:fill="auto"/>
            <w:noWrap/>
            <w:vAlign w:val="bottom"/>
          </w:tcPr>
          <w:p w14:paraId="0E3688C4" w14:textId="35E7F601"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nil"/>
              <w:right w:val="nil"/>
            </w:tcBorders>
            <w:shd w:val="clear" w:color="auto" w:fill="auto"/>
            <w:noWrap/>
            <w:vAlign w:val="bottom"/>
          </w:tcPr>
          <w:p w14:paraId="5D298F5C" w14:textId="1ED5559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nil"/>
              <w:right w:val="nil"/>
            </w:tcBorders>
            <w:shd w:val="clear" w:color="auto" w:fill="auto"/>
            <w:noWrap/>
            <w:vAlign w:val="bottom"/>
          </w:tcPr>
          <w:p w14:paraId="1E6D9331" w14:textId="7941316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6CB47F50" w14:textId="55125646"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left w:val="nil"/>
              <w:right w:val="single" w:sz="4" w:space="0" w:color="auto"/>
            </w:tcBorders>
            <w:vAlign w:val="bottom"/>
          </w:tcPr>
          <w:p w14:paraId="638508F6" w14:textId="3B84AB7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774" w:type="dxa"/>
            <w:tcBorders>
              <w:left w:val="single" w:sz="4" w:space="0" w:color="auto"/>
              <w:right w:val="single" w:sz="4" w:space="0" w:color="auto"/>
            </w:tcBorders>
            <w:vAlign w:val="bottom"/>
          </w:tcPr>
          <w:p w14:paraId="01B5AA99" w14:textId="6BB2237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right w:val="single" w:sz="4" w:space="0" w:color="auto"/>
            </w:tcBorders>
            <w:vAlign w:val="bottom"/>
          </w:tcPr>
          <w:p w14:paraId="315E7245" w14:textId="2C0720B0"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right w:val="single" w:sz="4" w:space="0" w:color="auto"/>
            </w:tcBorders>
            <w:vAlign w:val="bottom"/>
          </w:tcPr>
          <w:p w14:paraId="0F528DE0" w14:textId="287DCA0B"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tcBorders>
            <w:vAlign w:val="bottom"/>
          </w:tcPr>
          <w:p w14:paraId="6D197575" w14:textId="7CBCD41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r w:rsidR="00135495" w:rsidRPr="00A0555D" w14:paraId="5E32E360"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3999FB6F" w14:textId="77777777" w:rsidR="00135495" w:rsidRPr="00A0555D" w:rsidRDefault="00135495" w:rsidP="00135495">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634FA9E3" w14:textId="7322981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02355E22" w14:textId="113129FC"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1.000</w:t>
            </w:r>
          </w:p>
        </w:tc>
        <w:tc>
          <w:tcPr>
            <w:tcW w:w="773" w:type="dxa"/>
            <w:tcBorders>
              <w:top w:val="nil"/>
              <w:left w:val="nil"/>
              <w:bottom w:val="single" w:sz="4" w:space="0" w:color="auto"/>
              <w:right w:val="nil"/>
            </w:tcBorders>
            <w:shd w:val="clear" w:color="auto" w:fill="auto"/>
            <w:noWrap/>
            <w:vAlign w:val="bottom"/>
          </w:tcPr>
          <w:p w14:paraId="5468EAB5" w14:textId="26245F9F"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843" w:type="dxa"/>
            <w:tcBorders>
              <w:top w:val="nil"/>
              <w:left w:val="nil"/>
              <w:bottom w:val="single" w:sz="4" w:space="0" w:color="auto"/>
              <w:right w:val="nil"/>
            </w:tcBorders>
            <w:shd w:val="clear" w:color="auto" w:fill="auto"/>
            <w:noWrap/>
            <w:vAlign w:val="bottom"/>
          </w:tcPr>
          <w:p w14:paraId="58010FFA" w14:textId="5C751DA4"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04" w:type="dxa"/>
            <w:tcBorders>
              <w:top w:val="nil"/>
              <w:left w:val="nil"/>
              <w:bottom w:val="single" w:sz="4" w:space="0" w:color="auto"/>
              <w:right w:val="single" w:sz="4" w:space="0" w:color="auto"/>
            </w:tcBorders>
            <w:shd w:val="clear" w:color="auto" w:fill="auto"/>
            <w:noWrap/>
            <w:vAlign w:val="bottom"/>
          </w:tcPr>
          <w:p w14:paraId="3BCEBBB8" w14:textId="13FF1657" w:rsidR="00135495" w:rsidRPr="005D66A1" w:rsidRDefault="00135495" w:rsidP="005D66A1">
            <w:pPr>
              <w:tabs>
                <w:tab w:val="decimal" w:pos="172"/>
              </w:tabs>
              <w:spacing w:before="0" w:after="0" w:line="240" w:lineRule="auto"/>
              <w:ind w:firstLine="0"/>
              <w:rPr>
                <w:color w:val="000000"/>
                <w:sz w:val="16"/>
                <w:szCs w:val="16"/>
              </w:rPr>
            </w:pPr>
            <w:r w:rsidRPr="00135495">
              <w:rPr>
                <w:color w:val="000000"/>
                <w:sz w:val="16"/>
                <w:szCs w:val="16"/>
              </w:rPr>
              <w:t>0.999</w:t>
            </w:r>
          </w:p>
        </w:tc>
        <w:tc>
          <w:tcPr>
            <w:tcW w:w="774" w:type="dxa"/>
            <w:tcBorders>
              <w:left w:val="nil"/>
              <w:bottom w:val="single" w:sz="4" w:space="0" w:color="auto"/>
              <w:right w:val="single" w:sz="4" w:space="0" w:color="auto"/>
            </w:tcBorders>
            <w:vAlign w:val="bottom"/>
          </w:tcPr>
          <w:p w14:paraId="050449C7" w14:textId="3C08C17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774" w:type="dxa"/>
            <w:tcBorders>
              <w:left w:val="single" w:sz="4" w:space="0" w:color="auto"/>
              <w:bottom w:val="single" w:sz="4" w:space="0" w:color="auto"/>
              <w:right w:val="single" w:sz="4" w:space="0" w:color="auto"/>
            </w:tcBorders>
            <w:vAlign w:val="bottom"/>
          </w:tcPr>
          <w:p w14:paraId="108F1928" w14:textId="36F23B4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c>
          <w:tcPr>
            <w:tcW w:w="808" w:type="dxa"/>
            <w:tcBorders>
              <w:left w:val="single" w:sz="4" w:space="0" w:color="auto"/>
              <w:bottom w:val="single" w:sz="4" w:space="0" w:color="auto"/>
              <w:right w:val="single" w:sz="4" w:space="0" w:color="auto"/>
            </w:tcBorders>
            <w:vAlign w:val="bottom"/>
          </w:tcPr>
          <w:p w14:paraId="5CC4E068" w14:textId="05DA1A13"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0.996</w:t>
            </w:r>
          </w:p>
        </w:tc>
        <w:tc>
          <w:tcPr>
            <w:tcW w:w="740" w:type="dxa"/>
            <w:tcBorders>
              <w:left w:val="single" w:sz="4" w:space="0" w:color="auto"/>
              <w:bottom w:val="single" w:sz="4" w:space="0" w:color="auto"/>
              <w:right w:val="single" w:sz="4" w:space="0" w:color="auto"/>
            </w:tcBorders>
            <w:vAlign w:val="bottom"/>
          </w:tcPr>
          <w:p w14:paraId="07E1DD90" w14:textId="1B26EC3F"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1.000</w:t>
            </w:r>
          </w:p>
        </w:tc>
        <w:tc>
          <w:tcPr>
            <w:tcW w:w="880" w:type="dxa"/>
            <w:tcBorders>
              <w:left w:val="single" w:sz="4" w:space="0" w:color="auto"/>
              <w:bottom w:val="single" w:sz="4" w:space="0" w:color="auto"/>
            </w:tcBorders>
            <w:vAlign w:val="bottom"/>
          </w:tcPr>
          <w:p w14:paraId="7EFD8060" w14:textId="3F420035" w:rsidR="00135495" w:rsidRPr="006016B0" w:rsidRDefault="00135495" w:rsidP="006016B0">
            <w:pPr>
              <w:tabs>
                <w:tab w:val="decimal" w:pos="184"/>
              </w:tabs>
              <w:spacing w:before="0" w:after="0" w:line="240" w:lineRule="auto"/>
              <w:ind w:firstLine="0"/>
              <w:rPr>
                <w:color w:val="000000"/>
                <w:sz w:val="16"/>
                <w:szCs w:val="16"/>
              </w:rPr>
            </w:pPr>
            <w:r w:rsidRPr="00135495">
              <w:rPr>
                <w:color w:val="000000"/>
                <w:sz w:val="16"/>
                <w:szCs w:val="16"/>
              </w:rPr>
              <w:t>0.999</w:t>
            </w:r>
          </w:p>
        </w:tc>
      </w:tr>
    </w:tbl>
    <w:p w14:paraId="6149C77E" w14:textId="3A592744" w:rsidR="0070792B" w:rsidRDefault="0070792B" w:rsidP="0070792B">
      <w:pPr>
        <w:pStyle w:val="BodyText"/>
        <w:rPr>
          <w:rFonts w:eastAsiaTheme="minorEastAsia"/>
          <w:lang w:eastAsia="zh-TW"/>
        </w:rPr>
      </w:pPr>
    </w:p>
    <w:p w14:paraId="09443FE3" w14:textId="77777777" w:rsidR="001B7FAF" w:rsidRDefault="001B7FAF" w:rsidP="0070792B">
      <w:pPr>
        <w:pStyle w:val="BodyText"/>
        <w:rPr>
          <w:rFonts w:eastAsiaTheme="minorEastAsia"/>
          <w:lang w:eastAsia="zh-TW"/>
        </w:rPr>
      </w:pPr>
    </w:p>
    <w:p w14:paraId="060E1508" w14:textId="6E71C946" w:rsidR="001B7FAF" w:rsidRPr="00485D84" w:rsidRDefault="00DF1929" w:rsidP="008C3834">
      <w:pPr>
        <w:pStyle w:val="AppendixFigureCaption"/>
        <w:keepNext/>
        <w:rPr>
          <w:rFonts w:eastAsia="PMingLiU"/>
          <w:lang w:bidi="en-US"/>
        </w:rPr>
      </w:pPr>
      <w:r>
        <w:lastRenderedPageBreak/>
        <w:t xml:space="preserve">Table </w:t>
      </w:r>
      <w:fldSimple w:instr=" STYLEREF 9 \s ">
        <w:r w:rsidR="00EE0BF5">
          <w:rPr>
            <w:noProof/>
          </w:rPr>
          <w:t>D</w:t>
        </w:r>
      </w:fldSimple>
      <w:r>
        <w:t>.</w:t>
      </w:r>
      <w:fldSimple w:instr=" SEQ Table_Apx \* ARABIC \s 9 ">
        <w:r w:rsidR="00EE0BF5">
          <w:rPr>
            <w:noProof/>
          </w:rPr>
          <w:t>3</w:t>
        </w:r>
      </w:fldSimple>
      <w:r w:rsidRPr="00485D84">
        <w:rPr>
          <w:rFonts w:eastAsia="PMingLiU"/>
          <w:lang w:bidi="en-US"/>
        </w:rPr>
        <w:t xml:space="preserve">. </w:t>
      </w:r>
      <w:r w:rsidR="000663B2">
        <w:rPr>
          <w:rFonts w:eastAsiaTheme="minorEastAsia"/>
          <w:lang w:eastAsia="zh-TW"/>
        </w:rPr>
        <w:t>ROS</w:t>
      </w:r>
      <w:r w:rsidR="001B7FAF" w:rsidRPr="001B7FAF">
        <w:rPr>
          <w:rFonts w:eastAsiaTheme="minorEastAsia"/>
          <w:lang w:eastAsia="zh-TW"/>
        </w:rPr>
        <w:t xml:space="preserve"> with respect to Daymet</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1B7FAF" w:rsidRPr="00A0555D" w14:paraId="1263025C" w14:textId="77777777" w:rsidTr="001B7FAF">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65498DF9"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51D880E4" w14:textId="3FCAE559" w:rsidR="001B7FAF"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 (°F)</w:t>
            </w:r>
          </w:p>
        </w:tc>
        <w:tc>
          <w:tcPr>
            <w:tcW w:w="3883" w:type="dxa"/>
            <w:gridSpan w:val="5"/>
            <w:tcBorders>
              <w:top w:val="single" w:sz="4" w:space="0" w:color="auto"/>
              <w:left w:val="nil"/>
              <w:bottom w:val="single" w:sz="4" w:space="0" w:color="auto"/>
            </w:tcBorders>
          </w:tcPr>
          <w:p w14:paraId="79D59932" w14:textId="536221F0" w:rsidR="001B7FAF"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 (°F)</w:t>
            </w:r>
          </w:p>
        </w:tc>
      </w:tr>
      <w:tr w:rsidR="001B7FAF" w:rsidRPr="00A0555D" w14:paraId="248B2973" w14:textId="77777777"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7B5E4C2D" w14:textId="77777777" w:rsidR="001B7FAF" w:rsidRPr="00A0555D" w:rsidRDefault="001B7FAF" w:rsidP="00874FCF">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6B9D427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0B0CEE90"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0A28B77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57144AEB" w14:textId="77777777" w:rsidR="001B7FAF" w:rsidRPr="00A0555D" w:rsidRDefault="001B7FAF"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408AF3A9"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2DB26F84"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316CDB9E"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38320CD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7324A3FF" w14:textId="3983C6CA" w:rsidR="001B7FAF" w:rsidRPr="00A13B8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5FB4576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1B7FAF" w:rsidRPr="00A0555D" w14:paraId="67D7291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9C1D861" w14:textId="77777777" w:rsidR="001B7FAF" w:rsidRPr="00A0555D" w:rsidRDefault="001B7FAF"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6C96AC2B"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6B57F0E5"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7C16406"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41270422"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10D670E9"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0DB644FB"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24811CB7"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08374F8E"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4CF3C178"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3E51EBFD"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r>
      <w:tr w:rsidR="001B7FAF" w:rsidRPr="00A0555D" w14:paraId="4860640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451466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7D07BE54" w14:textId="6E5FF41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0.962</w:t>
            </w:r>
          </w:p>
        </w:tc>
        <w:tc>
          <w:tcPr>
            <w:tcW w:w="774" w:type="dxa"/>
            <w:tcBorders>
              <w:top w:val="nil"/>
              <w:left w:val="nil"/>
              <w:bottom w:val="nil"/>
              <w:right w:val="nil"/>
            </w:tcBorders>
            <w:shd w:val="clear" w:color="auto" w:fill="auto"/>
            <w:noWrap/>
            <w:vAlign w:val="bottom"/>
          </w:tcPr>
          <w:p w14:paraId="2D1D8A96" w14:textId="722502B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0.899</w:t>
            </w:r>
          </w:p>
        </w:tc>
        <w:tc>
          <w:tcPr>
            <w:tcW w:w="773" w:type="dxa"/>
            <w:tcBorders>
              <w:top w:val="nil"/>
              <w:left w:val="nil"/>
              <w:bottom w:val="nil"/>
              <w:right w:val="nil"/>
            </w:tcBorders>
            <w:shd w:val="clear" w:color="auto" w:fill="auto"/>
            <w:noWrap/>
            <w:vAlign w:val="bottom"/>
          </w:tcPr>
          <w:p w14:paraId="615A6FE3" w14:textId="10E6A61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845" w:type="dxa"/>
            <w:tcBorders>
              <w:top w:val="nil"/>
              <w:left w:val="nil"/>
              <w:bottom w:val="nil"/>
              <w:right w:val="nil"/>
            </w:tcBorders>
            <w:shd w:val="clear" w:color="auto" w:fill="auto"/>
            <w:noWrap/>
            <w:vAlign w:val="bottom"/>
          </w:tcPr>
          <w:p w14:paraId="658337AC" w14:textId="7B7D7D7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1.051</w:t>
            </w:r>
          </w:p>
        </w:tc>
        <w:tc>
          <w:tcPr>
            <w:tcW w:w="702" w:type="dxa"/>
            <w:tcBorders>
              <w:top w:val="nil"/>
              <w:left w:val="nil"/>
              <w:bottom w:val="nil"/>
              <w:right w:val="single" w:sz="4" w:space="0" w:color="auto"/>
            </w:tcBorders>
            <w:shd w:val="clear" w:color="auto" w:fill="auto"/>
            <w:noWrap/>
            <w:vAlign w:val="bottom"/>
          </w:tcPr>
          <w:p w14:paraId="75FBA403" w14:textId="18432D4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0.966</w:t>
            </w:r>
          </w:p>
        </w:tc>
        <w:tc>
          <w:tcPr>
            <w:tcW w:w="774" w:type="dxa"/>
            <w:tcBorders>
              <w:left w:val="nil"/>
            </w:tcBorders>
            <w:vAlign w:val="bottom"/>
          </w:tcPr>
          <w:p w14:paraId="51D001D2" w14:textId="642CB7C2"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0.962</w:t>
            </w:r>
          </w:p>
        </w:tc>
        <w:tc>
          <w:tcPr>
            <w:tcW w:w="773" w:type="dxa"/>
            <w:vAlign w:val="bottom"/>
          </w:tcPr>
          <w:p w14:paraId="33E2C382" w14:textId="22928BC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0.971</w:t>
            </w:r>
          </w:p>
        </w:tc>
        <w:tc>
          <w:tcPr>
            <w:tcW w:w="774" w:type="dxa"/>
            <w:vAlign w:val="bottom"/>
          </w:tcPr>
          <w:p w14:paraId="1D73337C" w14:textId="6B0A411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0.941</w:t>
            </w:r>
          </w:p>
        </w:tc>
        <w:tc>
          <w:tcPr>
            <w:tcW w:w="847" w:type="dxa"/>
            <w:vAlign w:val="bottom"/>
          </w:tcPr>
          <w:p w14:paraId="678AED0B" w14:textId="0370E93A"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0.988</w:t>
            </w:r>
          </w:p>
        </w:tc>
        <w:tc>
          <w:tcPr>
            <w:tcW w:w="715" w:type="dxa"/>
            <w:vAlign w:val="bottom"/>
          </w:tcPr>
          <w:p w14:paraId="57B4A665" w14:textId="1DB01AE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0.938</w:t>
            </w:r>
          </w:p>
        </w:tc>
      </w:tr>
      <w:tr w:rsidR="001B7FAF" w:rsidRPr="00A0555D" w14:paraId="117EA75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4E9691C"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79721C7A" w14:textId="0805F38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nil"/>
              <w:right w:val="nil"/>
            </w:tcBorders>
            <w:shd w:val="clear" w:color="auto" w:fill="auto"/>
            <w:noWrap/>
            <w:vAlign w:val="bottom"/>
          </w:tcPr>
          <w:p w14:paraId="29BB7533" w14:textId="675C5E6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0.935</w:t>
            </w:r>
          </w:p>
        </w:tc>
        <w:tc>
          <w:tcPr>
            <w:tcW w:w="773" w:type="dxa"/>
            <w:tcBorders>
              <w:top w:val="nil"/>
              <w:left w:val="nil"/>
              <w:bottom w:val="nil"/>
              <w:right w:val="nil"/>
            </w:tcBorders>
            <w:shd w:val="clear" w:color="auto" w:fill="auto"/>
            <w:noWrap/>
            <w:vAlign w:val="bottom"/>
          </w:tcPr>
          <w:p w14:paraId="178BE931" w14:textId="5D9F7A6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1.059</w:t>
            </w:r>
          </w:p>
        </w:tc>
        <w:tc>
          <w:tcPr>
            <w:tcW w:w="845" w:type="dxa"/>
            <w:tcBorders>
              <w:top w:val="nil"/>
              <w:left w:val="nil"/>
              <w:bottom w:val="nil"/>
              <w:right w:val="nil"/>
            </w:tcBorders>
            <w:shd w:val="clear" w:color="auto" w:fill="auto"/>
            <w:noWrap/>
            <w:vAlign w:val="bottom"/>
          </w:tcPr>
          <w:p w14:paraId="6D7DB119" w14:textId="4A269B9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1.122</w:t>
            </w:r>
          </w:p>
        </w:tc>
        <w:tc>
          <w:tcPr>
            <w:tcW w:w="702" w:type="dxa"/>
            <w:tcBorders>
              <w:top w:val="nil"/>
              <w:left w:val="nil"/>
              <w:bottom w:val="nil"/>
              <w:right w:val="single" w:sz="4" w:space="0" w:color="auto"/>
            </w:tcBorders>
            <w:shd w:val="clear" w:color="auto" w:fill="auto"/>
            <w:noWrap/>
            <w:vAlign w:val="bottom"/>
          </w:tcPr>
          <w:p w14:paraId="0A00040C" w14:textId="462C3DE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1.037</w:t>
            </w:r>
          </w:p>
        </w:tc>
        <w:tc>
          <w:tcPr>
            <w:tcW w:w="774" w:type="dxa"/>
            <w:tcBorders>
              <w:left w:val="nil"/>
            </w:tcBorders>
            <w:vAlign w:val="bottom"/>
          </w:tcPr>
          <w:p w14:paraId="3DA7EC7E" w14:textId="2A4FDAC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1.051</w:t>
            </w:r>
          </w:p>
        </w:tc>
        <w:tc>
          <w:tcPr>
            <w:tcW w:w="773" w:type="dxa"/>
            <w:vAlign w:val="bottom"/>
          </w:tcPr>
          <w:p w14:paraId="6E287716" w14:textId="5487E00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1.130</w:t>
            </w:r>
          </w:p>
        </w:tc>
        <w:tc>
          <w:tcPr>
            <w:tcW w:w="774" w:type="dxa"/>
            <w:vAlign w:val="bottom"/>
          </w:tcPr>
          <w:p w14:paraId="216D749D" w14:textId="7BAB269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847" w:type="dxa"/>
            <w:vAlign w:val="bottom"/>
          </w:tcPr>
          <w:p w14:paraId="7F1F7AFB" w14:textId="6FF36C5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1.048</w:t>
            </w:r>
          </w:p>
        </w:tc>
        <w:tc>
          <w:tcPr>
            <w:tcW w:w="715" w:type="dxa"/>
            <w:vAlign w:val="bottom"/>
          </w:tcPr>
          <w:p w14:paraId="75BDE81D" w14:textId="688FC2D5"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1.082</w:t>
            </w:r>
          </w:p>
        </w:tc>
      </w:tr>
      <w:tr w:rsidR="001B7FAF" w:rsidRPr="00A0555D" w14:paraId="51B2798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2E63907"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15269085" w14:textId="6E324A0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0.955</w:t>
            </w:r>
          </w:p>
        </w:tc>
        <w:tc>
          <w:tcPr>
            <w:tcW w:w="774" w:type="dxa"/>
            <w:tcBorders>
              <w:top w:val="nil"/>
              <w:left w:val="nil"/>
              <w:bottom w:val="nil"/>
              <w:right w:val="nil"/>
            </w:tcBorders>
            <w:shd w:val="clear" w:color="auto" w:fill="auto"/>
            <w:noWrap/>
            <w:vAlign w:val="bottom"/>
          </w:tcPr>
          <w:p w14:paraId="03830308" w14:textId="1A4E066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1.040</w:t>
            </w:r>
          </w:p>
        </w:tc>
        <w:tc>
          <w:tcPr>
            <w:tcW w:w="773" w:type="dxa"/>
            <w:tcBorders>
              <w:top w:val="nil"/>
              <w:left w:val="nil"/>
              <w:bottom w:val="nil"/>
              <w:right w:val="nil"/>
            </w:tcBorders>
            <w:shd w:val="clear" w:color="auto" w:fill="auto"/>
            <w:noWrap/>
            <w:vAlign w:val="bottom"/>
          </w:tcPr>
          <w:p w14:paraId="5417ECAC" w14:textId="3E58184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0.950</w:t>
            </w:r>
          </w:p>
        </w:tc>
        <w:tc>
          <w:tcPr>
            <w:tcW w:w="845" w:type="dxa"/>
            <w:tcBorders>
              <w:top w:val="nil"/>
              <w:left w:val="nil"/>
              <w:bottom w:val="nil"/>
              <w:right w:val="nil"/>
            </w:tcBorders>
            <w:shd w:val="clear" w:color="auto" w:fill="auto"/>
            <w:noWrap/>
            <w:vAlign w:val="bottom"/>
          </w:tcPr>
          <w:p w14:paraId="34DF671D" w14:textId="54A714A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0.919</w:t>
            </w:r>
          </w:p>
        </w:tc>
        <w:tc>
          <w:tcPr>
            <w:tcW w:w="702" w:type="dxa"/>
            <w:tcBorders>
              <w:top w:val="nil"/>
              <w:left w:val="nil"/>
              <w:bottom w:val="nil"/>
              <w:right w:val="single" w:sz="4" w:space="0" w:color="auto"/>
            </w:tcBorders>
            <w:shd w:val="clear" w:color="auto" w:fill="auto"/>
            <w:noWrap/>
            <w:vAlign w:val="bottom"/>
          </w:tcPr>
          <w:p w14:paraId="79839B33" w14:textId="28CF6C5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0.944</w:t>
            </w:r>
          </w:p>
        </w:tc>
        <w:tc>
          <w:tcPr>
            <w:tcW w:w="774" w:type="dxa"/>
            <w:tcBorders>
              <w:left w:val="nil"/>
            </w:tcBorders>
            <w:vAlign w:val="bottom"/>
          </w:tcPr>
          <w:p w14:paraId="48E5E14C" w14:textId="387BDEC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0.991</w:t>
            </w:r>
          </w:p>
        </w:tc>
        <w:tc>
          <w:tcPr>
            <w:tcW w:w="773" w:type="dxa"/>
            <w:vAlign w:val="bottom"/>
          </w:tcPr>
          <w:p w14:paraId="3600FE7F" w14:textId="031E79B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1.091</w:t>
            </w:r>
          </w:p>
        </w:tc>
        <w:tc>
          <w:tcPr>
            <w:tcW w:w="774" w:type="dxa"/>
            <w:vAlign w:val="bottom"/>
          </w:tcPr>
          <w:p w14:paraId="5F301877" w14:textId="432F6FB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0.944</w:t>
            </w:r>
          </w:p>
        </w:tc>
        <w:tc>
          <w:tcPr>
            <w:tcW w:w="847" w:type="dxa"/>
            <w:vAlign w:val="bottom"/>
          </w:tcPr>
          <w:p w14:paraId="53276E43" w14:textId="0DDE89D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0.943</w:t>
            </w:r>
          </w:p>
        </w:tc>
        <w:tc>
          <w:tcPr>
            <w:tcW w:w="715" w:type="dxa"/>
            <w:vAlign w:val="bottom"/>
          </w:tcPr>
          <w:p w14:paraId="2ABDE2CC" w14:textId="2D5AE85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0.981</w:t>
            </w:r>
          </w:p>
        </w:tc>
      </w:tr>
      <w:tr w:rsidR="001B7FAF" w:rsidRPr="00A0555D" w14:paraId="6055028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6EC626B"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58875D0" w14:textId="138FB59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0.982</w:t>
            </w:r>
          </w:p>
        </w:tc>
        <w:tc>
          <w:tcPr>
            <w:tcW w:w="774" w:type="dxa"/>
            <w:tcBorders>
              <w:top w:val="nil"/>
              <w:left w:val="nil"/>
              <w:bottom w:val="nil"/>
              <w:right w:val="nil"/>
            </w:tcBorders>
            <w:shd w:val="clear" w:color="auto" w:fill="auto"/>
            <w:noWrap/>
            <w:vAlign w:val="bottom"/>
          </w:tcPr>
          <w:p w14:paraId="0F1CAFB1" w14:textId="0B35F18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0.953</w:t>
            </w:r>
          </w:p>
        </w:tc>
        <w:tc>
          <w:tcPr>
            <w:tcW w:w="773" w:type="dxa"/>
            <w:tcBorders>
              <w:top w:val="nil"/>
              <w:left w:val="nil"/>
              <w:bottom w:val="nil"/>
              <w:right w:val="nil"/>
            </w:tcBorders>
            <w:shd w:val="clear" w:color="auto" w:fill="auto"/>
            <w:noWrap/>
            <w:vAlign w:val="bottom"/>
          </w:tcPr>
          <w:p w14:paraId="5A8CC7FB" w14:textId="2F7F2D5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0.968</w:t>
            </w:r>
          </w:p>
        </w:tc>
        <w:tc>
          <w:tcPr>
            <w:tcW w:w="845" w:type="dxa"/>
            <w:tcBorders>
              <w:top w:val="nil"/>
              <w:left w:val="nil"/>
              <w:bottom w:val="nil"/>
              <w:right w:val="nil"/>
            </w:tcBorders>
            <w:shd w:val="clear" w:color="auto" w:fill="auto"/>
            <w:noWrap/>
            <w:vAlign w:val="bottom"/>
          </w:tcPr>
          <w:p w14:paraId="65E0C83D" w14:textId="3CFC55E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1.039</w:t>
            </w:r>
          </w:p>
        </w:tc>
        <w:tc>
          <w:tcPr>
            <w:tcW w:w="702" w:type="dxa"/>
            <w:tcBorders>
              <w:top w:val="nil"/>
              <w:left w:val="nil"/>
              <w:bottom w:val="nil"/>
              <w:right w:val="single" w:sz="4" w:space="0" w:color="auto"/>
            </w:tcBorders>
            <w:shd w:val="clear" w:color="auto" w:fill="auto"/>
            <w:noWrap/>
            <w:vAlign w:val="bottom"/>
          </w:tcPr>
          <w:p w14:paraId="7B6EC71D" w14:textId="37774D5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74" w:type="dxa"/>
            <w:tcBorders>
              <w:left w:val="nil"/>
            </w:tcBorders>
            <w:vAlign w:val="bottom"/>
          </w:tcPr>
          <w:p w14:paraId="63D9A682" w14:textId="76DEC9B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1.029</w:t>
            </w:r>
          </w:p>
        </w:tc>
        <w:tc>
          <w:tcPr>
            <w:tcW w:w="773" w:type="dxa"/>
            <w:vAlign w:val="bottom"/>
          </w:tcPr>
          <w:p w14:paraId="2FD5B68C" w14:textId="5BED336A"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1.044</w:t>
            </w:r>
          </w:p>
        </w:tc>
        <w:tc>
          <w:tcPr>
            <w:tcW w:w="774" w:type="dxa"/>
            <w:vAlign w:val="bottom"/>
          </w:tcPr>
          <w:p w14:paraId="34C8F339" w14:textId="35DA63B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1.024</w:t>
            </w:r>
          </w:p>
        </w:tc>
        <w:tc>
          <w:tcPr>
            <w:tcW w:w="847" w:type="dxa"/>
            <w:vAlign w:val="bottom"/>
          </w:tcPr>
          <w:p w14:paraId="1C27ADCC" w14:textId="1630472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0.983</w:t>
            </w:r>
          </w:p>
        </w:tc>
        <w:tc>
          <w:tcPr>
            <w:tcW w:w="715" w:type="dxa"/>
            <w:vAlign w:val="bottom"/>
          </w:tcPr>
          <w:p w14:paraId="394327A7" w14:textId="5525D385"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1.072</w:t>
            </w:r>
          </w:p>
        </w:tc>
      </w:tr>
      <w:tr w:rsidR="001B7FAF" w:rsidRPr="00A0555D" w14:paraId="72B6820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84E5B6B"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3115ED11" w14:textId="27306BE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0.992</w:t>
            </w:r>
          </w:p>
        </w:tc>
        <w:tc>
          <w:tcPr>
            <w:tcW w:w="774" w:type="dxa"/>
            <w:tcBorders>
              <w:top w:val="nil"/>
              <w:left w:val="nil"/>
              <w:bottom w:val="nil"/>
              <w:right w:val="nil"/>
            </w:tcBorders>
            <w:shd w:val="clear" w:color="auto" w:fill="auto"/>
            <w:noWrap/>
            <w:vAlign w:val="bottom"/>
          </w:tcPr>
          <w:p w14:paraId="31346CCF" w14:textId="07A988C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0.873</w:t>
            </w:r>
          </w:p>
        </w:tc>
        <w:tc>
          <w:tcPr>
            <w:tcW w:w="773" w:type="dxa"/>
            <w:tcBorders>
              <w:top w:val="nil"/>
              <w:left w:val="nil"/>
              <w:bottom w:val="nil"/>
              <w:right w:val="nil"/>
            </w:tcBorders>
            <w:shd w:val="clear" w:color="auto" w:fill="auto"/>
            <w:noWrap/>
            <w:vAlign w:val="bottom"/>
          </w:tcPr>
          <w:p w14:paraId="433F0D8D" w14:textId="0DF091F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845" w:type="dxa"/>
            <w:tcBorders>
              <w:top w:val="nil"/>
              <w:left w:val="nil"/>
              <w:bottom w:val="nil"/>
              <w:right w:val="nil"/>
            </w:tcBorders>
            <w:shd w:val="clear" w:color="auto" w:fill="auto"/>
            <w:noWrap/>
            <w:vAlign w:val="bottom"/>
          </w:tcPr>
          <w:p w14:paraId="64F7B795" w14:textId="611D2EA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1.196</w:t>
            </w:r>
          </w:p>
        </w:tc>
        <w:tc>
          <w:tcPr>
            <w:tcW w:w="702" w:type="dxa"/>
            <w:tcBorders>
              <w:top w:val="nil"/>
              <w:left w:val="nil"/>
              <w:bottom w:val="nil"/>
              <w:right w:val="single" w:sz="4" w:space="0" w:color="auto"/>
            </w:tcBorders>
            <w:shd w:val="clear" w:color="auto" w:fill="auto"/>
            <w:noWrap/>
            <w:vAlign w:val="bottom"/>
          </w:tcPr>
          <w:p w14:paraId="0E4AB569" w14:textId="3793F97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1.012</w:t>
            </w:r>
          </w:p>
        </w:tc>
        <w:tc>
          <w:tcPr>
            <w:tcW w:w="774" w:type="dxa"/>
            <w:tcBorders>
              <w:left w:val="nil"/>
            </w:tcBorders>
            <w:vAlign w:val="bottom"/>
          </w:tcPr>
          <w:p w14:paraId="631E2E4C" w14:textId="42D7000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0.968</w:t>
            </w:r>
          </w:p>
        </w:tc>
        <w:tc>
          <w:tcPr>
            <w:tcW w:w="773" w:type="dxa"/>
            <w:vAlign w:val="bottom"/>
          </w:tcPr>
          <w:p w14:paraId="17E2F972" w14:textId="4D2A1C82"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0.917</w:t>
            </w:r>
          </w:p>
        </w:tc>
        <w:tc>
          <w:tcPr>
            <w:tcW w:w="774" w:type="dxa"/>
            <w:vAlign w:val="bottom"/>
          </w:tcPr>
          <w:p w14:paraId="79884A1A" w14:textId="639497F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0.991</w:t>
            </w:r>
          </w:p>
        </w:tc>
        <w:tc>
          <w:tcPr>
            <w:tcW w:w="847" w:type="dxa"/>
            <w:vAlign w:val="bottom"/>
          </w:tcPr>
          <w:p w14:paraId="7C8FB06B" w14:textId="5697D34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1.031</w:t>
            </w:r>
          </w:p>
        </w:tc>
        <w:tc>
          <w:tcPr>
            <w:tcW w:w="715" w:type="dxa"/>
            <w:vAlign w:val="bottom"/>
          </w:tcPr>
          <w:p w14:paraId="2F6FE525" w14:textId="199102C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0.969</w:t>
            </w:r>
          </w:p>
        </w:tc>
      </w:tr>
      <w:tr w:rsidR="001B7FAF" w:rsidRPr="00A0555D" w14:paraId="07745247"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EA7FCBF"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6D9804EC" w14:textId="6B23E6F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0.959</w:t>
            </w:r>
          </w:p>
        </w:tc>
        <w:tc>
          <w:tcPr>
            <w:tcW w:w="774" w:type="dxa"/>
            <w:tcBorders>
              <w:top w:val="nil"/>
              <w:left w:val="nil"/>
              <w:bottom w:val="single" w:sz="4" w:space="0" w:color="auto"/>
              <w:right w:val="nil"/>
            </w:tcBorders>
            <w:shd w:val="clear" w:color="auto" w:fill="auto"/>
            <w:noWrap/>
            <w:vAlign w:val="bottom"/>
          </w:tcPr>
          <w:p w14:paraId="7C01D442" w14:textId="5B60F37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1.100</w:t>
            </w:r>
          </w:p>
        </w:tc>
        <w:tc>
          <w:tcPr>
            <w:tcW w:w="773" w:type="dxa"/>
            <w:tcBorders>
              <w:top w:val="nil"/>
              <w:left w:val="nil"/>
              <w:bottom w:val="single" w:sz="4" w:space="0" w:color="auto"/>
              <w:right w:val="nil"/>
            </w:tcBorders>
            <w:shd w:val="clear" w:color="auto" w:fill="auto"/>
            <w:noWrap/>
            <w:vAlign w:val="bottom"/>
          </w:tcPr>
          <w:p w14:paraId="6D38D1FF" w14:textId="3169E73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845" w:type="dxa"/>
            <w:tcBorders>
              <w:top w:val="nil"/>
              <w:left w:val="nil"/>
              <w:bottom w:val="single" w:sz="4" w:space="0" w:color="auto"/>
              <w:right w:val="nil"/>
            </w:tcBorders>
            <w:shd w:val="clear" w:color="auto" w:fill="auto"/>
            <w:noWrap/>
            <w:vAlign w:val="bottom"/>
          </w:tcPr>
          <w:p w14:paraId="37DD24BD" w14:textId="46D7020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0.849</w:t>
            </w:r>
          </w:p>
        </w:tc>
        <w:tc>
          <w:tcPr>
            <w:tcW w:w="702" w:type="dxa"/>
            <w:tcBorders>
              <w:top w:val="nil"/>
              <w:left w:val="nil"/>
              <w:bottom w:val="single" w:sz="4" w:space="0" w:color="auto"/>
              <w:right w:val="single" w:sz="4" w:space="0" w:color="auto"/>
            </w:tcBorders>
            <w:shd w:val="clear" w:color="auto" w:fill="auto"/>
            <w:noWrap/>
            <w:vAlign w:val="bottom"/>
          </w:tcPr>
          <w:p w14:paraId="39D73F4D" w14:textId="41761F2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0.949</w:t>
            </w:r>
          </w:p>
        </w:tc>
        <w:tc>
          <w:tcPr>
            <w:tcW w:w="774" w:type="dxa"/>
            <w:tcBorders>
              <w:left w:val="nil"/>
              <w:bottom w:val="single" w:sz="4" w:space="0" w:color="auto"/>
            </w:tcBorders>
            <w:vAlign w:val="bottom"/>
          </w:tcPr>
          <w:p w14:paraId="11A4423F" w14:textId="6B96467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1.010</w:t>
            </w:r>
          </w:p>
        </w:tc>
        <w:tc>
          <w:tcPr>
            <w:tcW w:w="773" w:type="dxa"/>
            <w:tcBorders>
              <w:bottom w:val="single" w:sz="4" w:space="0" w:color="auto"/>
            </w:tcBorders>
            <w:vAlign w:val="bottom"/>
          </w:tcPr>
          <w:p w14:paraId="658E131F" w14:textId="7F19B2D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1.128</w:t>
            </w:r>
          </w:p>
        </w:tc>
        <w:tc>
          <w:tcPr>
            <w:tcW w:w="774" w:type="dxa"/>
            <w:tcBorders>
              <w:bottom w:val="single" w:sz="4" w:space="0" w:color="auto"/>
            </w:tcBorders>
            <w:vAlign w:val="bottom"/>
          </w:tcPr>
          <w:p w14:paraId="16807ADC" w14:textId="17EE04A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1.027</w:t>
            </w:r>
          </w:p>
        </w:tc>
        <w:tc>
          <w:tcPr>
            <w:tcW w:w="847" w:type="dxa"/>
            <w:tcBorders>
              <w:bottom w:val="single" w:sz="4" w:space="0" w:color="auto"/>
            </w:tcBorders>
            <w:vAlign w:val="bottom"/>
          </w:tcPr>
          <w:p w14:paraId="59F6014B" w14:textId="213600F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0.923</w:t>
            </w:r>
          </w:p>
        </w:tc>
        <w:tc>
          <w:tcPr>
            <w:tcW w:w="715" w:type="dxa"/>
            <w:tcBorders>
              <w:bottom w:val="single" w:sz="4" w:space="0" w:color="auto"/>
            </w:tcBorders>
            <w:vAlign w:val="bottom"/>
          </w:tcPr>
          <w:p w14:paraId="4D9C7D00" w14:textId="2FD0E73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1.013</w:t>
            </w:r>
          </w:p>
        </w:tc>
      </w:tr>
      <w:tr w:rsidR="001B7FAF" w:rsidRPr="00A0555D" w14:paraId="0BFE3CEB" w14:textId="77777777"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14852924" w14:textId="77777777" w:rsidR="001B7FAF" w:rsidRPr="00A0555D" w:rsidRDefault="001B7FAF"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5387F828"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22480B92"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40F0AF3D"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6C7F90C6"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74E1DF0F"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18372848" w14:textId="77777777" w:rsidR="001B7FAF" w:rsidRPr="006016B0" w:rsidRDefault="001B7FAF"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1710FFF1" w14:textId="77777777" w:rsidR="001B7FAF" w:rsidRPr="006016B0" w:rsidRDefault="001B7FAF"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0237735B" w14:textId="77777777" w:rsidR="001B7FAF" w:rsidRPr="006016B0" w:rsidRDefault="001B7FAF"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24512361" w14:textId="77777777" w:rsidR="001B7FAF" w:rsidRPr="006016B0" w:rsidRDefault="001B7FAF"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57C7185B" w14:textId="77777777" w:rsidR="001B7FAF" w:rsidRPr="006016B0" w:rsidRDefault="001B7FAF" w:rsidP="006016B0">
            <w:pPr>
              <w:tabs>
                <w:tab w:val="decimal" w:pos="256"/>
              </w:tabs>
              <w:spacing w:before="0" w:after="0" w:line="240" w:lineRule="auto"/>
              <w:ind w:firstLine="0"/>
              <w:rPr>
                <w:color w:val="000000"/>
                <w:sz w:val="16"/>
                <w:szCs w:val="16"/>
              </w:rPr>
            </w:pPr>
          </w:p>
        </w:tc>
      </w:tr>
      <w:tr w:rsidR="001B7FAF" w:rsidRPr="00A0555D" w14:paraId="0F9B5E5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373BF64"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7A8225C2" w14:textId="5A0BB45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0.983</w:t>
            </w:r>
          </w:p>
        </w:tc>
        <w:tc>
          <w:tcPr>
            <w:tcW w:w="774" w:type="dxa"/>
            <w:tcBorders>
              <w:top w:val="nil"/>
              <w:left w:val="nil"/>
              <w:bottom w:val="nil"/>
              <w:right w:val="nil"/>
            </w:tcBorders>
            <w:shd w:val="clear" w:color="auto" w:fill="auto"/>
            <w:noWrap/>
            <w:vAlign w:val="bottom"/>
          </w:tcPr>
          <w:p w14:paraId="6DEF79C9" w14:textId="0E11477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0.953</w:t>
            </w:r>
          </w:p>
        </w:tc>
        <w:tc>
          <w:tcPr>
            <w:tcW w:w="773" w:type="dxa"/>
            <w:tcBorders>
              <w:top w:val="nil"/>
              <w:left w:val="nil"/>
              <w:bottom w:val="nil"/>
              <w:right w:val="nil"/>
            </w:tcBorders>
            <w:shd w:val="clear" w:color="auto" w:fill="auto"/>
            <w:noWrap/>
            <w:vAlign w:val="bottom"/>
          </w:tcPr>
          <w:p w14:paraId="17200D08" w14:textId="47F06BD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1.124</w:t>
            </w:r>
          </w:p>
        </w:tc>
        <w:tc>
          <w:tcPr>
            <w:tcW w:w="845" w:type="dxa"/>
            <w:tcBorders>
              <w:top w:val="nil"/>
              <w:left w:val="nil"/>
              <w:bottom w:val="nil"/>
              <w:right w:val="nil"/>
            </w:tcBorders>
            <w:shd w:val="clear" w:color="auto" w:fill="auto"/>
            <w:noWrap/>
            <w:vAlign w:val="bottom"/>
          </w:tcPr>
          <w:p w14:paraId="43A0ACDF" w14:textId="6D66D4E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0.992</w:t>
            </w:r>
          </w:p>
        </w:tc>
        <w:tc>
          <w:tcPr>
            <w:tcW w:w="702" w:type="dxa"/>
            <w:tcBorders>
              <w:top w:val="nil"/>
              <w:left w:val="nil"/>
              <w:bottom w:val="nil"/>
              <w:right w:val="single" w:sz="4" w:space="0" w:color="auto"/>
            </w:tcBorders>
            <w:shd w:val="clear" w:color="auto" w:fill="auto"/>
            <w:noWrap/>
            <w:vAlign w:val="bottom"/>
          </w:tcPr>
          <w:p w14:paraId="0614AD00" w14:textId="1D017C2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0.970</w:t>
            </w:r>
          </w:p>
        </w:tc>
        <w:tc>
          <w:tcPr>
            <w:tcW w:w="774" w:type="dxa"/>
            <w:tcBorders>
              <w:left w:val="nil"/>
            </w:tcBorders>
            <w:vAlign w:val="bottom"/>
          </w:tcPr>
          <w:p w14:paraId="623D7F23" w14:textId="5D05AC4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0.998</w:t>
            </w:r>
          </w:p>
        </w:tc>
        <w:tc>
          <w:tcPr>
            <w:tcW w:w="773" w:type="dxa"/>
            <w:vAlign w:val="bottom"/>
          </w:tcPr>
          <w:p w14:paraId="6C434D03" w14:textId="3DAF0925"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1.108</w:t>
            </w:r>
          </w:p>
        </w:tc>
        <w:tc>
          <w:tcPr>
            <w:tcW w:w="774" w:type="dxa"/>
            <w:vAlign w:val="bottom"/>
          </w:tcPr>
          <w:p w14:paraId="6CEE4A1F" w14:textId="7EFE92C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1.065</w:t>
            </w:r>
          </w:p>
        </w:tc>
        <w:tc>
          <w:tcPr>
            <w:tcW w:w="847" w:type="dxa"/>
            <w:vAlign w:val="bottom"/>
          </w:tcPr>
          <w:p w14:paraId="0C9E85F8" w14:textId="0750C67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0.985</w:t>
            </w:r>
          </w:p>
        </w:tc>
        <w:tc>
          <w:tcPr>
            <w:tcW w:w="715" w:type="dxa"/>
            <w:vAlign w:val="bottom"/>
          </w:tcPr>
          <w:p w14:paraId="38863491" w14:textId="40D985B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0.944</w:t>
            </w:r>
          </w:p>
        </w:tc>
      </w:tr>
      <w:tr w:rsidR="001B7FAF" w:rsidRPr="00A0555D" w14:paraId="23DBFF9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67FFEC2"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075D44AD" w14:textId="73EC6F5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0.994</w:t>
            </w:r>
          </w:p>
        </w:tc>
        <w:tc>
          <w:tcPr>
            <w:tcW w:w="774" w:type="dxa"/>
            <w:tcBorders>
              <w:top w:val="nil"/>
              <w:left w:val="nil"/>
              <w:bottom w:val="nil"/>
              <w:right w:val="nil"/>
            </w:tcBorders>
            <w:shd w:val="clear" w:color="auto" w:fill="auto"/>
            <w:noWrap/>
            <w:vAlign w:val="bottom"/>
          </w:tcPr>
          <w:p w14:paraId="20205F6A" w14:textId="5078219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0.973</w:t>
            </w:r>
          </w:p>
        </w:tc>
        <w:tc>
          <w:tcPr>
            <w:tcW w:w="773" w:type="dxa"/>
            <w:tcBorders>
              <w:top w:val="nil"/>
              <w:left w:val="nil"/>
              <w:bottom w:val="nil"/>
              <w:right w:val="nil"/>
            </w:tcBorders>
            <w:shd w:val="clear" w:color="auto" w:fill="auto"/>
            <w:noWrap/>
            <w:vAlign w:val="bottom"/>
          </w:tcPr>
          <w:p w14:paraId="14F932B0" w14:textId="2BAE691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1.093</w:t>
            </w:r>
          </w:p>
        </w:tc>
        <w:tc>
          <w:tcPr>
            <w:tcW w:w="845" w:type="dxa"/>
            <w:tcBorders>
              <w:top w:val="nil"/>
              <w:left w:val="nil"/>
              <w:bottom w:val="nil"/>
              <w:right w:val="nil"/>
            </w:tcBorders>
            <w:shd w:val="clear" w:color="auto" w:fill="auto"/>
            <w:noWrap/>
            <w:vAlign w:val="bottom"/>
          </w:tcPr>
          <w:p w14:paraId="371A40DC" w14:textId="5D0358A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0.943</w:t>
            </w:r>
          </w:p>
        </w:tc>
        <w:tc>
          <w:tcPr>
            <w:tcW w:w="702" w:type="dxa"/>
            <w:tcBorders>
              <w:top w:val="nil"/>
              <w:left w:val="nil"/>
              <w:bottom w:val="nil"/>
              <w:right w:val="single" w:sz="4" w:space="0" w:color="auto"/>
            </w:tcBorders>
            <w:shd w:val="clear" w:color="auto" w:fill="auto"/>
            <w:noWrap/>
            <w:vAlign w:val="bottom"/>
          </w:tcPr>
          <w:p w14:paraId="0537173C" w14:textId="646CAD5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1.019</w:t>
            </w:r>
          </w:p>
        </w:tc>
        <w:tc>
          <w:tcPr>
            <w:tcW w:w="774" w:type="dxa"/>
            <w:tcBorders>
              <w:left w:val="nil"/>
            </w:tcBorders>
            <w:vAlign w:val="bottom"/>
          </w:tcPr>
          <w:p w14:paraId="2D830E13" w14:textId="38430F6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1.052</w:t>
            </w:r>
          </w:p>
        </w:tc>
        <w:tc>
          <w:tcPr>
            <w:tcW w:w="773" w:type="dxa"/>
            <w:vAlign w:val="bottom"/>
          </w:tcPr>
          <w:p w14:paraId="17BFA800" w14:textId="7FB243E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1.116</w:t>
            </w:r>
          </w:p>
        </w:tc>
        <w:tc>
          <w:tcPr>
            <w:tcW w:w="774" w:type="dxa"/>
            <w:vAlign w:val="bottom"/>
          </w:tcPr>
          <w:p w14:paraId="2E9CCB36" w14:textId="74E4915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1.063</w:t>
            </w:r>
          </w:p>
        </w:tc>
        <w:tc>
          <w:tcPr>
            <w:tcW w:w="847" w:type="dxa"/>
            <w:vAlign w:val="bottom"/>
          </w:tcPr>
          <w:p w14:paraId="502CADD5" w14:textId="7FA8CA49"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1.018</w:t>
            </w:r>
          </w:p>
        </w:tc>
        <w:tc>
          <w:tcPr>
            <w:tcW w:w="715" w:type="dxa"/>
            <w:vAlign w:val="bottom"/>
          </w:tcPr>
          <w:p w14:paraId="5D15AEB3" w14:textId="0965535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1.033</w:t>
            </w:r>
          </w:p>
        </w:tc>
      </w:tr>
      <w:tr w:rsidR="001B7FAF" w:rsidRPr="00A0555D" w14:paraId="6974B32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9E81ECA"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68F1FF4D" w14:textId="0F3A53E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74" w:type="dxa"/>
            <w:tcBorders>
              <w:top w:val="nil"/>
              <w:left w:val="nil"/>
              <w:bottom w:val="nil"/>
              <w:right w:val="nil"/>
            </w:tcBorders>
            <w:shd w:val="clear" w:color="auto" w:fill="auto"/>
            <w:noWrap/>
            <w:vAlign w:val="bottom"/>
          </w:tcPr>
          <w:p w14:paraId="26DC1799" w14:textId="4BB2442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0.967</w:t>
            </w:r>
          </w:p>
        </w:tc>
        <w:tc>
          <w:tcPr>
            <w:tcW w:w="773" w:type="dxa"/>
            <w:tcBorders>
              <w:top w:val="nil"/>
              <w:left w:val="nil"/>
              <w:bottom w:val="nil"/>
              <w:right w:val="nil"/>
            </w:tcBorders>
            <w:shd w:val="clear" w:color="auto" w:fill="auto"/>
            <w:noWrap/>
            <w:vAlign w:val="bottom"/>
          </w:tcPr>
          <w:p w14:paraId="64820E43" w14:textId="10EC4CB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1.087</w:t>
            </w:r>
          </w:p>
        </w:tc>
        <w:tc>
          <w:tcPr>
            <w:tcW w:w="845" w:type="dxa"/>
            <w:tcBorders>
              <w:top w:val="nil"/>
              <w:left w:val="nil"/>
              <w:bottom w:val="nil"/>
              <w:right w:val="nil"/>
            </w:tcBorders>
            <w:shd w:val="clear" w:color="auto" w:fill="auto"/>
            <w:noWrap/>
            <w:vAlign w:val="bottom"/>
          </w:tcPr>
          <w:p w14:paraId="6C6A1DB1" w14:textId="544851E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1.050</w:t>
            </w:r>
          </w:p>
        </w:tc>
        <w:tc>
          <w:tcPr>
            <w:tcW w:w="702" w:type="dxa"/>
            <w:tcBorders>
              <w:top w:val="nil"/>
              <w:left w:val="nil"/>
              <w:bottom w:val="nil"/>
              <w:right w:val="single" w:sz="4" w:space="0" w:color="auto"/>
            </w:tcBorders>
            <w:shd w:val="clear" w:color="auto" w:fill="auto"/>
            <w:noWrap/>
            <w:vAlign w:val="bottom"/>
          </w:tcPr>
          <w:p w14:paraId="3E020B15" w14:textId="757A54E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0.998</w:t>
            </w:r>
          </w:p>
        </w:tc>
        <w:tc>
          <w:tcPr>
            <w:tcW w:w="774" w:type="dxa"/>
            <w:tcBorders>
              <w:left w:val="nil"/>
            </w:tcBorders>
            <w:vAlign w:val="bottom"/>
          </w:tcPr>
          <w:p w14:paraId="6F70012A" w14:textId="7117B07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0.992</w:t>
            </w:r>
          </w:p>
        </w:tc>
        <w:tc>
          <w:tcPr>
            <w:tcW w:w="773" w:type="dxa"/>
            <w:vAlign w:val="bottom"/>
          </w:tcPr>
          <w:p w14:paraId="36E98E9C" w14:textId="34D9354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1.096</w:t>
            </w:r>
          </w:p>
        </w:tc>
        <w:tc>
          <w:tcPr>
            <w:tcW w:w="774" w:type="dxa"/>
            <w:vAlign w:val="bottom"/>
          </w:tcPr>
          <w:p w14:paraId="3910D54F" w14:textId="0BDD7DE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1.024</w:t>
            </w:r>
          </w:p>
        </w:tc>
        <w:tc>
          <w:tcPr>
            <w:tcW w:w="847" w:type="dxa"/>
            <w:vAlign w:val="bottom"/>
          </w:tcPr>
          <w:p w14:paraId="55D3FAFC" w14:textId="4B338E4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0.945</w:t>
            </w:r>
          </w:p>
        </w:tc>
        <w:tc>
          <w:tcPr>
            <w:tcW w:w="715" w:type="dxa"/>
            <w:vAlign w:val="bottom"/>
          </w:tcPr>
          <w:p w14:paraId="405073BB" w14:textId="13E5728A"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0.922</w:t>
            </w:r>
          </w:p>
        </w:tc>
      </w:tr>
      <w:tr w:rsidR="001B7FAF" w:rsidRPr="00A0555D" w14:paraId="03496E9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D091643"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20A7EC4C" w14:textId="6467D59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0.970</w:t>
            </w:r>
          </w:p>
        </w:tc>
        <w:tc>
          <w:tcPr>
            <w:tcW w:w="774" w:type="dxa"/>
            <w:tcBorders>
              <w:top w:val="nil"/>
              <w:left w:val="nil"/>
              <w:bottom w:val="nil"/>
              <w:right w:val="nil"/>
            </w:tcBorders>
            <w:shd w:val="clear" w:color="auto" w:fill="auto"/>
            <w:noWrap/>
            <w:vAlign w:val="bottom"/>
          </w:tcPr>
          <w:p w14:paraId="6520DEEC" w14:textId="7E79402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0.961</w:t>
            </w:r>
          </w:p>
        </w:tc>
        <w:tc>
          <w:tcPr>
            <w:tcW w:w="773" w:type="dxa"/>
            <w:tcBorders>
              <w:top w:val="nil"/>
              <w:left w:val="nil"/>
              <w:bottom w:val="nil"/>
              <w:right w:val="nil"/>
            </w:tcBorders>
            <w:shd w:val="clear" w:color="auto" w:fill="auto"/>
            <w:noWrap/>
            <w:vAlign w:val="bottom"/>
          </w:tcPr>
          <w:p w14:paraId="3914F03B" w14:textId="0C9E99D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1.092</w:t>
            </w:r>
          </w:p>
        </w:tc>
        <w:tc>
          <w:tcPr>
            <w:tcW w:w="845" w:type="dxa"/>
            <w:tcBorders>
              <w:top w:val="nil"/>
              <w:left w:val="nil"/>
              <w:bottom w:val="nil"/>
              <w:right w:val="nil"/>
            </w:tcBorders>
            <w:shd w:val="clear" w:color="auto" w:fill="auto"/>
            <w:noWrap/>
            <w:vAlign w:val="bottom"/>
          </w:tcPr>
          <w:p w14:paraId="7350E1DF" w14:textId="3B7FC0C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0.945</w:t>
            </w:r>
          </w:p>
        </w:tc>
        <w:tc>
          <w:tcPr>
            <w:tcW w:w="702" w:type="dxa"/>
            <w:tcBorders>
              <w:top w:val="nil"/>
              <w:left w:val="nil"/>
              <w:bottom w:val="nil"/>
              <w:right w:val="single" w:sz="4" w:space="0" w:color="auto"/>
            </w:tcBorders>
            <w:shd w:val="clear" w:color="auto" w:fill="auto"/>
            <w:noWrap/>
            <w:vAlign w:val="bottom"/>
          </w:tcPr>
          <w:p w14:paraId="00F60B12" w14:textId="2F12F0E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0.960</w:t>
            </w:r>
          </w:p>
        </w:tc>
        <w:tc>
          <w:tcPr>
            <w:tcW w:w="774" w:type="dxa"/>
            <w:tcBorders>
              <w:left w:val="nil"/>
            </w:tcBorders>
            <w:vAlign w:val="bottom"/>
          </w:tcPr>
          <w:p w14:paraId="7A136A1B" w14:textId="04AF9AC5"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1.028</w:t>
            </w:r>
          </w:p>
        </w:tc>
        <w:tc>
          <w:tcPr>
            <w:tcW w:w="773" w:type="dxa"/>
            <w:vAlign w:val="bottom"/>
          </w:tcPr>
          <w:p w14:paraId="55DA9355" w14:textId="5FD11F6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1.099</w:t>
            </w:r>
          </w:p>
        </w:tc>
        <w:tc>
          <w:tcPr>
            <w:tcW w:w="774" w:type="dxa"/>
            <w:vAlign w:val="bottom"/>
          </w:tcPr>
          <w:p w14:paraId="3D52FD1E" w14:textId="74AF8AB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1.038</w:t>
            </w:r>
          </w:p>
        </w:tc>
        <w:tc>
          <w:tcPr>
            <w:tcW w:w="847" w:type="dxa"/>
            <w:vAlign w:val="bottom"/>
          </w:tcPr>
          <w:p w14:paraId="33C54E8D" w14:textId="0D695A7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1.056</w:t>
            </w:r>
          </w:p>
        </w:tc>
        <w:tc>
          <w:tcPr>
            <w:tcW w:w="715" w:type="dxa"/>
            <w:vAlign w:val="bottom"/>
          </w:tcPr>
          <w:p w14:paraId="33634B38" w14:textId="1DC01B8A"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0.985</w:t>
            </w:r>
          </w:p>
        </w:tc>
      </w:tr>
      <w:tr w:rsidR="001B7FAF" w:rsidRPr="00A0555D" w14:paraId="6304B7A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323BEF7"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7D61E119" w14:textId="6DED393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0.981</w:t>
            </w:r>
          </w:p>
        </w:tc>
        <w:tc>
          <w:tcPr>
            <w:tcW w:w="774" w:type="dxa"/>
            <w:tcBorders>
              <w:top w:val="nil"/>
              <w:left w:val="nil"/>
              <w:bottom w:val="nil"/>
              <w:right w:val="nil"/>
            </w:tcBorders>
            <w:shd w:val="clear" w:color="auto" w:fill="auto"/>
            <w:noWrap/>
            <w:vAlign w:val="bottom"/>
          </w:tcPr>
          <w:p w14:paraId="2F0564FC" w14:textId="40B9337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0.912</w:t>
            </w:r>
          </w:p>
        </w:tc>
        <w:tc>
          <w:tcPr>
            <w:tcW w:w="773" w:type="dxa"/>
            <w:tcBorders>
              <w:top w:val="nil"/>
              <w:left w:val="nil"/>
              <w:bottom w:val="nil"/>
              <w:right w:val="nil"/>
            </w:tcBorders>
            <w:shd w:val="clear" w:color="auto" w:fill="auto"/>
            <w:noWrap/>
            <w:vAlign w:val="bottom"/>
          </w:tcPr>
          <w:p w14:paraId="7CFFD669" w14:textId="1BF874D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1.067</w:t>
            </w:r>
          </w:p>
        </w:tc>
        <w:tc>
          <w:tcPr>
            <w:tcW w:w="845" w:type="dxa"/>
            <w:tcBorders>
              <w:top w:val="nil"/>
              <w:left w:val="nil"/>
              <w:bottom w:val="nil"/>
              <w:right w:val="nil"/>
            </w:tcBorders>
            <w:shd w:val="clear" w:color="auto" w:fill="auto"/>
            <w:noWrap/>
            <w:vAlign w:val="bottom"/>
          </w:tcPr>
          <w:p w14:paraId="7DD16331" w14:textId="25A7F5D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1.061</w:t>
            </w:r>
          </w:p>
        </w:tc>
        <w:tc>
          <w:tcPr>
            <w:tcW w:w="702" w:type="dxa"/>
            <w:tcBorders>
              <w:top w:val="nil"/>
              <w:left w:val="nil"/>
              <w:bottom w:val="nil"/>
              <w:right w:val="single" w:sz="4" w:space="0" w:color="auto"/>
            </w:tcBorders>
            <w:shd w:val="clear" w:color="auto" w:fill="auto"/>
            <w:noWrap/>
            <w:vAlign w:val="bottom"/>
          </w:tcPr>
          <w:p w14:paraId="64D7421D" w14:textId="378EEB6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0.972</w:t>
            </w:r>
          </w:p>
        </w:tc>
        <w:tc>
          <w:tcPr>
            <w:tcW w:w="774" w:type="dxa"/>
            <w:tcBorders>
              <w:left w:val="nil"/>
            </w:tcBorders>
            <w:vAlign w:val="bottom"/>
          </w:tcPr>
          <w:p w14:paraId="3110415B" w14:textId="00E8E3E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0.992</w:t>
            </w:r>
          </w:p>
        </w:tc>
        <w:tc>
          <w:tcPr>
            <w:tcW w:w="773" w:type="dxa"/>
            <w:vAlign w:val="bottom"/>
          </w:tcPr>
          <w:p w14:paraId="57A80C56" w14:textId="017AB09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0.999</w:t>
            </w:r>
          </w:p>
        </w:tc>
        <w:tc>
          <w:tcPr>
            <w:tcW w:w="774" w:type="dxa"/>
            <w:vAlign w:val="bottom"/>
          </w:tcPr>
          <w:p w14:paraId="64EE15A2" w14:textId="5AD63F4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1.012</w:t>
            </w:r>
          </w:p>
        </w:tc>
        <w:tc>
          <w:tcPr>
            <w:tcW w:w="847" w:type="dxa"/>
            <w:vAlign w:val="bottom"/>
          </w:tcPr>
          <w:p w14:paraId="1CC0D241" w14:textId="6845FCE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1.062</w:t>
            </w:r>
          </w:p>
        </w:tc>
        <w:tc>
          <w:tcPr>
            <w:tcW w:w="715" w:type="dxa"/>
            <w:vAlign w:val="bottom"/>
          </w:tcPr>
          <w:p w14:paraId="2C4EB865" w14:textId="60055DA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0.952</w:t>
            </w:r>
          </w:p>
        </w:tc>
      </w:tr>
      <w:tr w:rsidR="001B7FAF" w:rsidRPr="00A0555D" w14:paraId="2713507F"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470788D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071A93C1" w14:textId="48E5A62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0.940</w:t>
            </w:r>
          </w:p>
        </w:tc>
        <w:tc>
          <w:tcPr>
            <w:tcW w:w="774" w:type="dxa"/>
            <w:tcBorders>
              <w:top w:val="nil"/>
              <w:left w:val="nil"/>
              <w:bottom w:val="single" w:sz="4" w:space="0" w:color="auto"/>
              <w:right w:val="nil"/>
            </w:tcBorders>
            <w:shd w:val="clear" w:color="auto" w:fill="auto"/>
            <w:noWrap/>
            <w:vAlign w:val="bottom"/>
          </w:tcPr>
          <w:p w14:paraId="21A30432" w14:textId="2D25117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0.989</w:t>
            </w:r>
          </w:p>
        </w:tc>
        <w:tc>
          <w:tcPr>
            <w:tcW w:w="773" w:type="dxa"/>
            <w:tcBorders>
              <w:top w:val="nil"/>
              <w:left w:val="nil"/>
              <w:bottom w:val="single" w:sz="4" w:space="0" w:color="auto"/>
              <w:right w:val="nil"/>
            </w:tcBorders>
            <w:shd w:val="clear" w:color="auto" w:fill="auto"/>
            <w:noWrap/>
            <w:vAlign w:val="bottom"/>
          </w:tcPr>
          <w:p w14:paraId="05E4A4AB" w14:textId="021D065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1.043</w:t>
            </w:r>
          </w:p>
        </w:tc>
        <w:tc>
          <w:tcPr>
            <w:tcW w:w="845" w:type="dxa"/>
            <w:tcBorders>
              <w:top w:val="nil"/>
              <w:left w:val="nil"/>
              <w:bottom w:val="single" w:sz="4" w:space="0" w:color="auto"/>
              <w:right w:val="nil"/>
            </w:tcBorders>
            <w:shd w:val="clear" w:color="auto" w:fill="auto"/>
            <w:noWrap/>
            <w:vAlign w:val="bottom"/>
          </w:tcPr>
          <w:p w14:paraId="2F8DF7EF" w14:textId="2E89CD5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0.864</w:t>
            </w:r>
          </w:p>
        </w:tc>
        <w:tc>
          <w:tcPr>
            <w:tcW w:w="702" w:type="dxa"/>
            <w:tcBorders>
              <w:top w:val="nil"/>
              <w:left w:val="nil"/>
              <w:bottom w:val="single" w:sz="4" w:space="0" w:color="auto"/>
              <w:right w:val="single" w:sz="4" w:space="0" w:color="auto"/>
            </w:tcBorders>
            <w:shd w:val="clear" w:color="auto" w:fill="auto"/>
            <w:noWrap/>
            <w:vAlign w:val="bottom"/>
          </w:tcPr>
          <w:p w14:paraId="746D4E0F" w14:textId="77984FB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0.951</w:t>
            </w:r>
          </w:p>
        </w:tc>
        <w:tc>
          <w:tcPr>
            <w:tcW w:w="774" w:type="dxa"/>
            <w:tcBorders>
              <w:left w:val="nil"/>
              <w:bottom w:val="single" w:sz="4" w:space="0" w:color="auto"/>
            </w:tcBorders>
            <w:vAlign w:val="bottom"/>
          </w:tcPr>
          <w:p w14:paraId="2058852B" w14:textId="2937E62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1.033</w:t>
            </w:r>
          </w:p>
        </w:tc>
        <w:tc>
          <w:tcPr>
            <w:tcW w:w="773" w:type="dxa"/>
            <w:tcBorders>
              <w:bottom w:val="single" w:sz="4" w:space="0" w:color="auto"/>
            </w:tcBorders>
            <w:vAlign w:val="bottom"/>
          </w:tcPr>
          <w:p w14:paraId="7EF995DD" w14:textId="6085D7A9"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1.090</w:t>
            </w:r>
          </w:p>
        </w:tc>
        <w:tc>
          <w:tcPr>
            <w:tcW w:w="774" w:type="dxa"/>
            <w:tcBorders>
              <w:bottom w:val="single" w:sz="4" w:space="0" w:color="auto"/>
            </w:tcBorders>
            <w:vAlign w:val="bottom"/>
          </w:tcPr>
          <w:p w14:paraId="47F737EB" w14:textId="09AF58A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1.077</w:t>
            </w:r>
          </w:p>
        </w:tc>
        <w:tc>
          <w:tcPr>
            <w:tcW w:w="847" w:type="dxa"/>
            <w:tcBorders>
              <w:bottom w:val="single" w:sz="4" w:space="0" w:color="auto"/>
            </w:tcBorders>
            <w:vAlign w:val="bottom"/>
          </w:tcPr>
          <w:p w14:paraId="72291D4B" w14:textId="26E87B2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1.044</w:t>
            </w:r>
          </w:p>
        </w:tc>
        <w:tc>
          <w:tcPr>
            <w:tcW w:w="715" w:type="dxa"/>
            <w:tcBorders>
              <w:bottom w:val="single" w:sz="4" w:space="0" w:color="auto"/>
            </w:tcBorders>
            <w:vAlign w:val="bottom"/>
          </w:tcPr>
          <w:p w14:paraId="2E55A7CE" w14:textId="3FC9260A"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r>
      <w:tr w:rsidR="001B7FAF" w:rsidRPr="00A0555D" w14:paraId="061CD149"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2B03D6A1" w14:textId="77777777" w:rsidR="001B7FAF" w:rsidRPr="009355EE" w:rsidRDefault="001B7FAF"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4D4DA4B2" w14:textId="77777777" w:rsidR="001B7FAF" w:rsidRPr="006016B0" w:rsidRDefault="001B7FAF"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36B42212" w14:textId="77777777" w:rsidR="001B7FAF" w:rsidRPr="006016B0" w:rsidRDefault="001B7FAF"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378BEB79" w14:textId="77777777" w:rsidR="001B7FAF" w:rsidRPr="006016B0" w:rsidRDefault="001B7FAF"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0DD5601F" w14:textId="77777777" w:rsidR="001B7FAF" w:rsidRPr="006016B0" w:rsidRDefault="001B7FAF"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4DD52C99" w14:textId="77777777" w:rsidR="001B7FAF" w:rsidRPr="006016B0" w:rsidRDefault="001B7FAF" w:rsidP="006016B0">
            <w:pPr>
              <w:tabs>
                <w:tab w:val="decimal" w:pos="256"/>
              </w:tabs>
              <w:spacing w:before="0" w:after="0" w:line="240" w:lineRule="auto"/>
              <w:ind w:firstLine="0"/>
              <w:rPr>
                <w:color w:val="000000"/>
                <w:sz w:val="16"/>
                <w:szCs w:val="16"/>
              </w:rPr>
            </w:pPr>
          </w:p>
        </w:tc>
      </w:tr>
      <w:tr w:rsidR="001B7FAF" w:rsidRPr="00A0555D" w14:paraId="7A3E3F99"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1A959FFC"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79273E71" w14:textId="5B23142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left w:val="nil"/>
              <w:bottom w:val="nil"/>
              <w:right w:val="nil"/>
            </w:tcBorders>
            <w:shd w:val="clear" w:color="auto" w:fill="auto"/>
            <w:noWrap/>
            <w:vAlign w:val="bottom"/>
          </w:tcPr>
          <w:p w14:paraId="71936238" w14:textId="6BC8E9C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773" w:type="dxa"/>
            <w:tcBorders>
              <w:left w:val="nil"/>
              <w:bottom w:val="nil"/>
              <w:right w:val="nil"/>
            </w:tcBorders>
            <w:shd w:val="clear" w:color="auto" w:fill="auto"/>
            <w:noWrap/>
            <w:vAlign w:val="bottom"/>
          </w:tcPr>
          <w:p w14:paraId="3E2BF136" w14:textId="15BDF17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1.015</w:t>
            </w:r>
          </w:p>
        </w:tc>
        <w:tc>
          <w:tcPr>
            <w:tcW w:w="845" w:type="dxa"/>
            <w:tcBorders>
              <w:left w:val="nil"/>
              <w:bottom w:val="nil"/>
              <w:right w:val="nil"/>
            </w:tcBorders>
            <w:shd w:val="clear" w:color="auto" w:fill="auto"/>
            <w:noWrap/>
            <w:vAlign w:val="bottom"/>
          </w:tcPr>
          <w:p w14:paraId="36D169A1" w14:textId="32E5C25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702" w:type="dxa"/>
            <w:tcBorders>
              <w:left w:val="nil"/>
              <w:bottom w:val="nil"/>
              <w:right w:val="single" w:sz="4" w:space="0" w:color="auto"/>
            </w:tcBorders>
            <w:shd w:val="clear" w:color="auto" w:fill="auto"/>
            <w:noWrap/>
            <w:vAlign w:val="bottom"/>
          </w:tcPr>
          <w:p w14:paraId="1ACE0422" w14:textId="335D687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74" w:type="dxa"/>
            <w:tcBorders>
              <w:left w:val="nil"/>
            </w:tcBorders>
            <w:vAlign w:val="bottom"/>
          </w:tcPr>
          <w:p w14:paraId="6C813A21" w14:textId="217D3D1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773" w:type="dxa"/>
            <w:vAlign w:val="bottom"/>
          </w:tcPr>
          <w:p w14:paraId="34A00384" w14:textId="5C9CE34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774" w:type="dxa"/>
            <w:vAlign w:val="bottom"/>
          </w:tcPr>
          <w:p w14:paraId="79B3BEC9" w14:textId="09C92CA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1.014</w:t>
            </w:r>
          </w:p>
        </w:tc>
        <w:tc>
          <w:tcPr>
            <w:tcW w:w="847" w:type="dxa"/>
            <w:vAlign w:val="bottom"/>
          </w:tcPr>
          <w:p w14:paraId="7FAB0B11" w14:textId="05C2220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0.995</w:t>
            </w:r>
          </w:p>
        </w:tc>
        <w:tc>
          <w:tcPr>
            <w:tcW w:w="715" w:type="dxa"/>
            <w:vAlign w:val="bottom"/>
          </w:tcPr>
          <w:p w14:paraId="5FD49AA9" w14:textId="039F9AC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r>
      <w:tr w:rsidR="001B7FAF" w:rsidRPr="00A0555D" w14:paraId="7B11B02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11ADA9A"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3E410FE6" w14:textId="1D021F1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774" w:type="dxa"/>
            <w:tcBorders>
              <w:top w:val="nil"/>
              <w:left w:val="nil"/>
              <w:bottom w:val="nil"/>
              <w:right w:val="nil"/>
            </w:tcBorders>
            <w:shd w:val="clear" w:color="auto" w:fill="auto"/>
            <w:noWrap/>
            <w:vAlign w:val="bottom"/>
          </w:tcPr>
          <w:p w14:paraId="610BCF1B" w14:textId="756F517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3" w:type="dxa"/>
            <w:tcBorders>
              <w:top w:val="nil"/>
              <w:left w:val="nil"/>
              <w:bottom w:val="nil"/>
              <w:right w:val="nil"/>
            </w:tcBorders>
            <w:shd w:val="clear" w:color="auto" w:fill="auto"/>
            <w:noWrap/>
            <w:vAlign w:val="bottom"/>
          </w:tcPr>
          <w:p w14:paraId="1D1535DF" w14:textId="4A94AD6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1.014</w:t>
            </w:r>
          </w:p>
        </w:tc>
        <w:tc>
          <w:tcPr>
            <w:tcW w:w="845" w:type="dxa"/>
            <w:tcBorders>
              <w:top w:val="nil"/>
              <w:left w:val="nil"/>
              <w:bottom w:val="nil"/>
              <w:right w:val="nil"/>
            </w:tcBorders>
            <w:shd w:val="clear" w:color="auto" w:fill="auto"/>
            <w:noWrap/>
            <w:vAlign w:val="bottom"/>
          </w:tcPr>
          <w:p w14:paraId="51C0778A" w14:textId="44CD0F6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0.997</w:t>
            </w:r>
          </w:p>
        </w:tc>
        <w:tc>
          <w:tcPr>
            <w:tcW w:w="702" w:type="dxa"/>
            <w:tcBorders>
              <w:top w:val="nil"/>
              <w:left w:val="nil"/>
              <w:bottom w:val="nil"/>
              <w:right w:val="single" w:sz="4" w:space="0" w:color="auto"/>
            </w:tcBorders>
            <w:shd w:val="clear" w:color="auto" w:fill="auto"/>
            <w:noWrap/>
            <w:vAlign w:val="bottom"/>
          </w:tcPr>
          <w:p w14:paraId="5FB6C691" w14:textId="09D3B03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left w:val="nil"/>
            </w:tcBorders>
            <w:vAlign w:val="bottom"/>
          </w:tcPr>
          <w:p w14:paraId="01EC95ED" w14:textId="191CF04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c>
          <w:tcPr>
            <w:tcW w:w="773" w:type="dxa"/>
            <w:vAlign w:val="bottom"/>
          </w:tcPr>
          <w:p w14:paraId="6C405221" w14:textId="063983C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774" w:type="dxa"/>
            <w:vAlign w:val="bottom"/>
          </w:tcPr>
          <w:p w14:paraId="7A9B9C32" w14:textId="6781D39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1.013</w:t>
            </w:r>
          </w:p>
        </w:tc>
        <w:tc>
          <w:tcPr>
            <w:tcW w:w="847" w:type="dxa"/>
            <w:vAlign w:val="bottom"/>
          </w:tcPr>
          <w:p w14:paraId="3EC423C6" w14:textId="7A9F47A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0.999</w:t>
            </w:r>
          </w:p>
        </w:tc>
        <w:tc>
          <w:tcPr>
            <w:tcW w:w="715" w:type="dxa"/>
            <w:vAlign w:val="bottom"/>
          </w:tcPr>
          <w:p w14:paraId="059D3548" w14:textId="4B8DD9C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r>
      <w:tr w:rsidR="001B7FAF" w:rsidRPr="00A0555D" w14:paraId="4CC57BD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0A0577B"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5248FF3F" w14:textId="1BE8224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774" w:type="dxa"/>
            <w:tcBorders>
              <w:top w:val="nil"/>
              <w:left w:val="nil"/>
              <w:bottom w:val="nil"/>
              <w:right w:val="nil"/>
            </w:tcBorders>
            <w:shd w:val="clear" w:color="auto" w:fill="auto"/>
            <w:noWrap/>
            <w:vAlign w:val="bottom"/>
          </w:tcPr>
          <w:p w14:paraId="5574ED93" w14:textId="3377AAC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73" w:type="dxa"/>
            <w:tcBorders>
              <w:top w:val="nil"/>
              <w:left w:val="nil"/>
              <w:bottom w:val="nil"/>
              <w:right w:val="nil"/>
            </w:tcBorders>
            <w:shd w:val="clear" w:color="auto" w:fill="auto"/>
            <w:noWrap/>
            <w:vAlign w:val="bottom"/>
          </w:tcPr>
          <w:p w14:paraId="01CB0A81" w14:textId="10DE60F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845" w:type="dxa"/>
            <w:tcBorders>
              <w:top w:val="nil"/>
              <w:left w:val="nil"/>
              <w:bottom w:val="nil"/>
              <w:right w:val="nil"/>
            </w:tcBorders>
            <w:shd w:val="clear" w:color="auto" w:fill="auto"/>
            <w:noWrap/>
            <w:vAlign w:val="bottom"/>
          </w:tcPr>
          <w:p w14:paraId="655EB221" w14:textId="3E3BB09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0.993</w:t>
            </w:r>
          </w:p>
        </w:tc>
        <w:tc>
          <w:tcPr>
            <w:tcW w:w="702" w:type="dxa"/>
            <w:tcBorders>
              <w:top w:val="nil"/>
              <w:left w:val="nil"/>
              <w:bottom w:val="nil"/>
              <w:right w:val="single" w:sz="4" w:space="0" w:color="auto"/>
            </w:tcBorders>
            <w:shd w:val="clear" w:color="auto" w:fill="auto"/>
            <w:noWrap/>
            <w:vAlign w:val="bottom"/>
          </w:tcPr>
          <w:p w14:paraId="7CE48FD4" w14:textId="12F1584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74" w:type="dxa"/>
            <w:tcBorders>
              <w:left w:val="nil"/>
            </w:tcBorders>
            <w:vAlign w:val="bottom"/>
          </w:tcPr>
          <w:p w14:paraId="676EA1D0" w14:textId="4FD599E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c>
          <w:tcPr>
            <w:tcW w:w="773" w:type="dxa"/>
            <w:vAlign w:val="bottom"/>
          </w:tcPr>
          <w:p w14:paraId="1A4294B0" w14:textId="507F010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774" w:type="dxa"/>
            <w:vAlign w:val="bottom"/>
          </w:tcPr>
          <w:p w14:paraId="074EDB8A" w14:textId="33571A8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847" w:type="dxa"/>
            <w:vAlign w:val="bottom"/>
          </w:tcPr>
          <w:p w14:paraId="7748E810" w14:textId="2FA23EC2"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0.992</w:t>
            </w:r>
          </w:p>
        </w:tc>
        <w:tc>
          <w:tcPr>
            <w:tcW w:w="715" w:type="dxa"/>
            <w:vAlign w:val="bottom"/>
          </w:tcPr>
          <w:p w14:paraId="42FBB116" w14:textId="7E4E606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r>
      <w:tr w:rsidR="001B7FAF" w:rsidRPr="00A0555D" w14:paraId="3BBDCA2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F2C1788"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698F99FD" w14:textId="1FD55E0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774" w:type="dxa"/>
            <w:tcBorders>
              <w:top w:val="nil"/>
              <w:left w:val="nil"/>
              <w:bottom w:val="nil"/>
              <w:right w:val="nil"/>
            </w:tcBorders>
            <w:shd w:val="clear" w:color="auto" w:fill="auto"/>
            <w:noWrap/>
            <w:vAlign w:val="bottom"/>
          </w:tcPr>
          <w:p w14:paraId="45137A18" w14:textId="57843FA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73" w:type="dxa"/>
            <w:tcBorders>
              <w:top w:val="nil"/>
              <w:left w:val="nil"/>
              <w:bottom w:val="nil"/>
              <w:right w:val="nil"/>
            </w:tcBorders>
            <w:shd w:val="clear" w:color="auto" w:fill="auto"/>
            <w:noWrap/>
            <w:vAlign w:val="bottom"/>
          </w:tcPr>
          <w:p w14:paraId="173FB5E0" w14:textId="078BBE9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1.011</w:t>
            </w:r>
          </w:p>
        </w:tc>
        <w:tc>
          <w:tcPr>
            <w:tcW w:w="845" w:type="dxa"/>
            <w:tcBorders>
              <w:top w:val="nil"/>
              <w:left w:val="nil"/>
              <w:bottom w:val="nil"/>
              <w:right w:val="nil"/>
            </w:tcBorders>
            <w:shd w:val="clear" w:color="auto" w:fill="auto"/>
            <w:noWrap/>
            <w:vAlign w:val="bottom"/>
          </w:tcPr>
          <w:p w14:paraId="02310CF9" w14:textId="171B928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0.996</w:t>
            </w:r>
          </w:p>
        </w:tc>
        <w:tc>
          <w:tcPr>
            <w:tcW w:w="702" w:type="dxa"/>
            <w:tcBorders>
              <w:top w:val="nil"/>
              <w:left w:val="nil"/>
              <w:bottom w:val="nil"/>
              <w:right w:val="single" w:sz="4" w:space="0" w:color="auto"/>
            </w:tcBorders>
            <w:shd w:val="clear" w:color="auto" w:fill="auto"/>
            <w:noWrap/>
            <w:vAlign w:val="bottom"/>
          </w:tcPr>
          <w:p w14:paraId="2ECB6195" w14:textId="17D11F8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left w:val="nil"/>
            </w:tcBorders>
            <w:vAlign w:val="bottom"/>
          </w:tcPr>
          <w:p w14:paraId="4B6B62A7" w14:textId="4CB4749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773" w:type="dxa"/>
            <w:vAlign w:val="bottom"/>
          </w:tcPr>
          <w:p w14:paraId="71B4831F" w14:textId="41EA5F5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774" w:type="dxa"/>
            <w:vAlign w:val="bottom"/>
          </w:tcPr>
          <w:p w14:paraId="35173007" w14:textId="575837D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1.008</w:t>
            </w:r>
          </w:p>
        </w:tc>
        <w:tc>
          <w:tcPr>
            <w:tcW w:w="847" w:type="dxa"/>
            <w:vAlign w:val="bottom"/>
          </w:tcPr>
          <w:p w14:paraId="559A4872" w14:textId="6E63058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0.998</w:t>
            </w:r>
          </w:p>
        </w:tc>
        <w:tc>
          <w:tcPr>
            <w:tcW w:w="715" w:type="dxa"/>
            <w:vAlign w:val="bottom"/>
          </w:tcPr>
          <w:p w14:paraId="1ADA1755" w14:textId="67D7DE6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0.998</w:t>
            </w:r>
          </w:p>
        </w:tc>
      </w:tr>
      <w:tr w:rsidR="001B7FAF" w:rsidRPr="00A0555D" w14:paraId="1BF6DF15"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B0135CC"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7879C812" w14:textId="5F7B6DC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1.008</w:t>
            </w:r>
          </w:p>
        </w:tc>
        <w:tc>
          <w:tcPr>
            <w:tcW w:w="774" w:type="dxa"/>
            <w:tcBorders>
              <w:top w:val="nil"/>
              <w:left w:val="nil"/>
              <w:bottom w:val="nil"/>
              <w:right w:val="nil"/>
            </w:tcBorders>
            <w:shd w:val="clear" w:color="auto" w:fill="auto"/>
            <w:noWrap/>
            <w:vAlign w:val="bottom"/>
          </w:tcPr>
          <w:p w14:paraId="72FD4935" w14:textId="1D2F682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773" w:type="dxa"/>
            <w:tcBorders>
              <w:top w:val="nil"/>
              <w:left w:val="nil"/>
              <w:bottom w:val="nil"/>
              <w:right w:val="nil"/>
            </w:tcBorders>
            <w:shd w:val="clear" w:color="auto" w:fill="auto"/>
            <w:noWrap/>
            <w:vAlign w:val="bottom"/>
          </w:tcPr>
          <w:p w14:paraId="79EE5B07" w14:textId="3EBA5EA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1.013</w:t>
            </w:r>
          </w:p>
        </w:tc>
        <w:tc>
          <w:tcPr>
            <w:tcW w:w="845" w:type="dxa"/>
            <w:tcBorders>
              <w:top w:val="nil"/>
              <w:left w:val="nil"/>
              <w:bottom w:val="nil"/>
              <w:right w:val="nil"/>
            </w:tcBorders>
            <w:shd w:val="clear" w:color="auto" w:fill="auto"/>
            <w:noWrap/>
            <w:vAlign w:val="bottom"/>
          </w:tcPr>
          <w:p w14:paraId="48272795" w14:textId="0ECD198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1.002</w:t>
            </w:r>
          </w:p>
        </w:tc>
        <w:tc>
          <w:tcPr>
            <w:tcW w:w="702" w:type="dxa"/>
            <w:tcBorders>
              <w:top w:val="nil"/>
              <w:left w:val="nil"/>
              <w:bottom w:val="nil"/>
              <w:right w:val="single" w:sz="4" w:space="0" w:color="auto"/>
            </w:tcBorders>
            <w:shd w:val="clear" w:color="auto" w:fill="auto"/>
            <w:noWrap/>
            <w:vAlign w:val="bottom"/>
          </w:tcPr>
          <w:p w14:paraId="21266BB4" w14:textId="6D5873F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1.012</w:t>
            </w:r>
          </w:p>
        </w:tc>
        <w:tc>
          <w:tcPr>
            <w:tcW w:w="774" w:type="dxa"/>
            <w:tcBorders>
              <w:left w:val="nil"/>
            </w:tcBorders>
            <w:vAlign w:val="bottom"/>
          </w:tcPr>
          <w:p w14:paraId="59FE936F" w14:textId="75654EC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773" w:type="dxa"/>
            <w:vAlign w:val="bottom"/>
          </w:tcPr>
          <w:p w14:paraId="166AE843" w14:textId="4A8BFAF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774" w:type="dxa"/>
            <w:vAlign w:val="bottom"/>
          </w:tcPr>
          <w:p w14:paraId="1E5D0B23" w14:textId="7726B08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1.011</w:t>
            </w:r>
          </w:p>
        </w:tc>
        <w:tc>
          <w:tcPr>
            <w:tcW w:w="847" w:type="dxa"/>
            <w:vAlign w:val="bottom"/>
          </w:tcPr>
          <w:p w14:paraId="72810B6A" w14:textId="224E7DF0"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1.001</w:t>
            </w:r>
          </w:p>
        </w:tc>
        <w:tc>
          <w:tcPr>
            <w:tcW w:w="715" w:type="dxa"/>
            <w:vAlign w:val="bottom"/>
          </w:tcPr>
          <w:p w14:paraId="5B9FC935" w14:textId="38422CD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1.009</w:t>
            </w:r>
          </w:p>
        </w:tc>
      </w:tr>
      <w:tr w:rsidR="001B7FAF" w:rsidRPr="00A0555D" w14:paraId="304D1EE5"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68D8E086"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632A61D9" w14:textId="5DBF06F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single" w:sz="4" w:space="0" w:color="auto"/>
              <w:right w:val="nil"/>
            </w:tcBorders>
            <w:shd w:val="clear" w:color="auto" w:fill="auto"/>
            <w:noWrap/>
            <w:vAlign w:val="bottom"/>
          </w:tcPr>
          <w:p w14:paraId="6BF8B49F" w14:textId="047B7A9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1.002</w:t>
            </w:r>
          </w:p>
        </w:tc>
        <w:tc>
          <w:tcPr>
            <w:tcW w:w="773" w:type="dxa"/>
            <w:tcBorders>
              <w:top w:val="nil"/>
              <w:left w:val="nil"/>
              <w:bottom w:val="single" w:sz="4" w:space="0" w:color="auto"/>
              <w:right w:val="nil"/>
            </w:tcBorders>
            <w:shd w:val="clear" w:color="auto" w:fill="auto"/>
            <w:noWrap/>
            <w:vAlign w:val="bottom"/>
          </w:tcPr>
          <w:p w14:paraId="3F361C17" w14:textId="101BB20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1.010</w:t>
            </w:r>
          </w:p>
        </w:tc>
        <w:tc>
          <w:tcPr>
            <w:tcW w:w="845" w:type="dxa"/>
            <w:tcBorders>
              <w:top w:val="nil"/>
              <w:left w:val="nil"/>
              <w:bottom w:val="single" w:sz="4" w:space="0" w:color="auto"/>
              <w:right w:val="nil"/>
            </w:tcBorders>
            <w:shd w:val="clear" w:color="auto" w:fill="auto"/>
            <w:noWrap/>
            <w:vAlign w:val="bottom"/>
          </w:tcPr>
          <w:p w14:paraId="19E08097" w14:textId="118A6E7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0.994</w:t>
            </w:r>
          </w:p>
        </w:tc>
        <w:tc>
          <w:tcPr>
            <w:tcW w:w="702" w:type="dxa"/>
            <w:tcBorders>
              <w:top w:val="nil"/>
              <w:left w:val="nil"/>
              <w:bottom w:val="single" w:sz="4" w:space="0" w:color="auto"/>
              <w:right w:val="single" w:sz="4" w:space="0" w:color="auto"/>
            </w:tcBorders>
            <w:shd w:val="clear" w:color="auto" w:fill="auto"/>
            <w:noWrap/>
            <w:vAlign w:val="bottom"/>
          </w:tcPr>
          <w:p w14:paraId="54B1D95A" w14:textId="06BCD1F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1.008</w:t>
            </w:r>
          </w:p>
        </w:tc>
        <w:tc>
          <w:tcPr>
            <w:tcW w:w="774" w:type="dxa"/>
            <w:tcBorders>
              <w:left w:val="nil"/>
              <w:bottom w:val="single" w:sz="4" w:space="0" w:color="auto"/>
            </w:tcBorders>
            <w:vAlign w:val="bottom"/>
          </w:tcPr>
          <w:p w14:paraId="45EC29E3" w14:textId="14CF47B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c>
          <w:tcPr>
            <w:tcW w:w="773" w:type="dxa"/>
            <w:tcBorders>
              <w:bottom w:val="single" w:sz="4" w:space="0" w:color="auto"/>
            </w:tcBorders>
            <w:vAlign w:val="bottom"/>
          </w:tcPr>
          <w:p w14:paraId="100FBB4A" w14:textId="6F00368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774" w:type="dxa"/>
            <w:tcBorders>
              <w:bottom w:val="single" w:sz="4" w:space="0" w:color="auto"/>
            </w:tcBorders>
            <w:vAlign w:val="bottom"/>
          </w:tcPr>
          <w:p w14:paraId="4690C6D8" w14:textId="76382E6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1.011</w:t>
            </w:r>
          </w:p>
        </w:tc>
        <w:tc>
          <w:tcPr>
            <w:tcW w:w="847" w:type="dxa"/>
            <w:tcBorders>
              <w:bottom w:val="single" w:sz="4" w:space="0" w:color="auto"/>
            </w:tcBorders>
            <w:vAlign w:val="bottom"/>
          </w:tcPr>
          <w:p w14:paraId="3B2938D1" w14:textId="64593E7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0.995</w:t>
            </w:r>
          </w:p>
        </w:tc>
        <w:tc>
          <w:tcPr>
            <w:tcW w:w="715" w:type="dxa"/>
            <w:tcBorders>
              <w:bottom w:val="single" w:sz="4" w:space="0" w:color="auto"/>
            </w:tcBorders>
            <w:vAlign w:val="bottom"/>
          </w:tcPr>
          <w:p w14:paraId="3775766E" w14:textId="4EBF6B92"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r>
      <w:tr w:rsidR="001B7FAF" w:rsidRPr="00A0555D" w14:paraId="10AF1A8D"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19A7153B" w14:textId="247F6407" w:rsidR="001B7FAF" w:rsidRPr="009355EE" w:rsidRDefault="001B7FAF"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Daymet</w:t>
            </w:r>
          </w:p>
        </w:tc>
        <w:tc>
          <w:tcPr>
            <w:tcW w:w="774" w:type="dxa"/>
            <w:tcBorders>
              <w:top w:val="single" w:sz="4" w:space="0" w:color="auto"/>
              <w:left w:val="single" w:sz="4" w:space="0" w:color="auto"/>
            </w:tcBorders>
            <w:shd w:val="clear" w:color="auto" w:fill="auto"/>
            <w:vAlign w:val="bottom"/>
          </w:tcPr>
          <w:p w14:paraId="39E62A56" w14:textId="77777777" w:rsidR="001B7FAF" w:rsidRPr="006016B0" w:rsidRDefault="001B7FAF"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4DF2FE08" w14:textId="77777777" w:rsidR="001B7FAF" w:rsidRPr="006016B0" w:rsidRDefault="001B7FAF"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7E085C1C" w14:textId="77777777" w:rsidR="001B7FAF" w:rsidRPr="006016B0" w:rsidRDefault="001B7FAF"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21C28AE5" w14:textId="77777777" w:rsidR="001B7FAF" w:rsidRPr="006016B0" w:rsidRDefault="001B7FAF"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3F573C3F" w14:textId="77777777" w:rsidR="001B7FAF" w:rsidRPr="006016B0" w:rsidRDefault="001B7FAF" w:rsidP="006016B0">
            <w:pPr>
              <w:tabs>
                <w:tab w:val="decimal" w:pos="256"/>
              </w:tabs>
              <w:spacing w:before="0" w:after="0" w:line="240" w:lineRule="auto"/>
              <w:ind w:firstLine="0"/>
              <w:rPr>
                <w:color w:val="000000"/>
                <w:sz w:val="16"/>
                <w:szCs w:val="16"/>
              </w:rPr>
            </w:pPr>
          </w:p>
        </w:tc>
      </w:tr>
      <w:tr w:rsidR="001B7FAF" w:rsidRPr="00A0555D" w14:paraId="03D8505E"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289A48A6"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41E1CF56" w14:textId="087ED66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left w:val="nil"/>
              <w:bottom w:val="nil"/>
              <w:right w:val="nil"/>
            </w:tcBorders>
            <w:shd w:val="clear" w:color="auto" w:fill="auto"/>
            <w:noWrap/>
            <w:vAlign w:val="bottom"/>
          </w:tcPr>
          <w:p w14:paraId="0EDBF794" w14:textId="04F5235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1.008</w:t>
            </w:r>
          </w:p>
        </w:tc>
        <w:tc>
          <w:tcPr>
            <w:tcW w:w="773" w:type="dxa"/>
            <w:tcBorders>
              <w:left w:val="nil"/>
              <w:bottom w:val="nil"/>
              <w:right w:val="nil"/>
            </w:tcBorders>
            <w:shd w:val="clear" w:color="auto" w:fill="auto"/>
            <w:noWrap/>
            <w:vAlign w:val="bottom"/>
          </w:tcPr>
          <w:p w14:paraId="27B59A5F" w14:textId="4B588D5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1.010</w:t>
            </w:r>
          </w:p>
        </w:tc>
        <w:tc>
          <w:tcPr>
            <w:tcW w:w="845" w:type="dxa"/>
            <w:tcBorders>
              <w:left w:val="nil"/>
              <w:bottom w:val="nil"/>
              <w:right w:val="nil"/>
            </w:tcBorders>
            <w:shd w:val="clear" w:color="auto" w:fill="auto"/>
            <w:noWrap/>
            <w:vAlign w:val="bottom"/>
          </w:tcPr>
          <w:p w14:paraId="7CEFEB6D" w14:textId="1F342D8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02" w:type="dxa"/>
            <w:tcBorders>
              <w:left w:val="nil"/>
              <w:bottom w:val="nil"/>
              <w:right w:val="single" w:sz="4" w:space="0" w:color="auto"/>
            </w:tcBorders>
            <w:shd w:val="clear" w:color="auto" w:fill="auto"/>
            <w:noWrap/>
            <w:vAlign w:val="bottom"/>
          </w:tcPr>
          <w:p w14:paraId="1B27A84A" w14:textId="2FC2CFC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4" w:type="dxa"/>
            <w:tcBorders>
              <w:left w:val="nil"/>
            </w:tcBorders>
            <w:vAlign w:val="bottom"/>
          </w:tcPr>
          <w:p w14:paraId="5B6FE3BE" w14:textId="5FAA19A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c>
          <w:tcPr>
            <w:tcW w:w="773" w:type="dxa"/>
            <w:vAlign w:val="bottom"/>
          </w:tcPr>
          <w:p w14:paraId="6E80C716" w14:textId="1BA6E80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1.008</w:t>
            </w:r>
          </w:p>
        </w:tc>
        <w:tc>
          <w:tcPr>
            <w:tcW w:w="774" w:type="dxa"/>
            <w:vAlign w:val="bottom"/>
          </w:tcPr>
          <w:p w14:paraId="5D6299BE" w14:textId="6D1FE52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1.009</w:t>
            </w:r>
          </w:p>
        </w:tc>
        <w:tc>
          <w:tcPr>
            <w:tcW w:w="847" w:type="dxa"/>
            <w:vAlign w:val="bottom"/>
          </w:tcPr>
          <w:p w14:paraId="2AB0E684" w14:textId="7BA7D59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1.000</w:t>
            </w:r>
          </w:p>
        </w:tc>
        <w:tc>
          <w:tcPr>
            <w:tcW w:w="715" w:type="dxa"/>
            <w:vAlign w:val="bottom"/>
          </w:tcPr>
          <w:p w14:paraId="5F881D49" w14:textId="70BB32B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r>
      <w:tr w:rsidR="001B7FAF" w:rsidRPr="00A0555D" w14:paraId="0F90C4B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C8FC745"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52DC607B" w14:textId="58957D5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774" w:type="dxa"/>
            <w:tcBorders>
              <w:top w:val="nil"/>
              <w:left w:val="nil"/>
              <w:bottom w:val="nil"/>
              <w:right w:val="nil"/>
            </w:tcBorders>
            <w:shd w:val="clear" w:color="auto" w:fill="auto"/>
            <w:noWrap/>
            <w:vAlign w:val="bottom"/>
          </w:tcPr>
          <w:p w14:paraId="6B6E3449" w14:textId="79F6F50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773" w:type="dxa"/>
            <w:tcBorders>
              <w:top w:val="nil"/>
              <w:left w:val="nil"/>
              <w:bottom w:val="nil"/>
              <w:right w:val="nil"/>
            </w:tcBorders>
            <w:shd w:val="clear" w:color="auto" w:fill="auto"/>
            <w:noWrap/>
            <w:vAlign w:val="bottom"/>
          </w:tcPr>
          <w:p w14:paraId="7DD8BA0B" w14:textId="1223201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1.008</w:t>
            </w:r>
          </w:p>
        </w:tc>
        <w:tc>
          <w:tcPr>
            <w:tcW w:w="845" w:type="dxa"/>
            <w:tcBorders>
              <w:top w:val="nil"/>
              <w:left w:val="nil"/>
              <w:bottom w:val="nil"/>
              <w:right w:val="nil"/>
            </w:tcBorders>
            <w:shd w:val="clear" w:color="auto" w:fill="auto"/>
            <w:noWrap/>
            <w:vAlign w:val="bottom"/>
          </w:tcPr>
          <w:p w14:paraId="7E663CFE" w14:textId="68936A5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02" w:type="dxa"/>
            <w:tcBorders>
              <w:top w:val="nil"/>
              <w:left w:val="nil"/>
              <w:bottom w:val="nil"/>
              <w:right w:val="single" w:sz="4" w:space="0" w:color="auto"/>
            </w:tcBorders>
            <w:shd w:val="clear" w:color="auto" w:fill="auto"/>
            <w:noWrap/>
            <w:vAlign w:val="bottom"/>
          </w:tcPr>
          <w:p w14:paraId="333EC600" w14:textId="7A64B20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4" w:type="dxa"/>
            <w:tcBorders>
              <w:left w:val="nil"/>
            </w:tcBorders>
            <w:vAlign w:val="bottom"/>
          </w:tcPr>
          <w:p w14:paraId="0A3EACDE" w14:textId="040F7A0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773" w:type="dxa"/>
            <w:vAlign w:val="bottom"/>
          </w:tcPr>
          <w:p w14:paraId="217A8356" w14:textId="60C87E1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774" w:type="dxa"/>
            <w:vAlign w:val="bottom"/>
          </w:tcPr>
          <w:p w14:paraId="740D470A" w14:textId="069ADAC8"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1.007</w:t>
            </w:r>
          </w:p>
        </w:tc>
        <w:tc>
          <w:tcPr>
            <w:tcW w:w="847" w:type="dxa"/>
            <w:vAlign w:val="bottom"/>
          </w:tcPr>
          <w:p w14:paraId="3C6B51CE" w14:textId="7DC7DFA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1.002</w:t>
            </w:r>
          </w:p>
        </w:tc>
        <w:tc>
          <w:tcPr>
            <w:tcW w:w="715" w:type="dxa"/>
            <w:vAlign w:val="bottom"/>
          </w:tcPr>
          <w:p w14:paraId="7C2E1962" w14:textId="77DB0D6F"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1.002</w:t>
            </w:r>
          </w:p>
        </w:tc>
      </w:tr>
      <w:tr w:rsidR="001B7FAF" w:rsidRPr="00A0555D" w14:paraId="694FFF6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FD804CA"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5D3C7E77" w14:textId="299F558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nil"/>
              <w:right w:val="nil"/>
            </w:tcBorders>
            <w:shd w:val="clear" w:color="auto" w:fill="auto"/>
            <w:noWrap/>
            <w:vAlign w:val="bottom"/>
          </w:tcPr>
          <w:p w14:paraId="74CC8733" w14:textId="60A1262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3" w:type="dxa"/>
            <w:tcBorders>
              <w:top w:val="nil"/>
              <w:left w:val="nil"/>
              <w:bottom w:val="nil"/>
              <w:right w:val="nil"/>
            </w:tcBorders>
            <w:shd w:val="clear" w:color="auto" w:fill="auto"/>
            <w:noWrap/>
            <w:vAlign w:val="bottom"/>
          </w:tcPr>
          <w:p w14:paraId="656BA5E9" w14:textId="2140DD7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845" w:type="dxa"/>
            <w:tcBorders>
              <w:top w:val="nil"/>
              <w:left w:val="nil"/>
              <w:bottom w:val="nil"/>
              <w:right w:val="nil"/>
            </w:tcBorders>
            <w:shd w:val="clear" w:color="auto" w:fill="auto"/>
            <w:noWrap/>
            <w:vAlign w:val="bottom"/>
          </w:tcPr>
          <w:p w14:paraId="6DC8DB8B" w14:textId="507DD6E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0.996</w:t>
            </w:r>
          </w:p>
        </w:tc>
        <w:tc>
          <w:tcPr>
            <w:tcW w:w="702" w:type="dxa"/>
            <w:tcBorders>
              <w:top w:val="nil"/>
              <w:left w:val="nil"/>
              <w:bottom w:val="nil"/>
              <w:right w:val="single" w:sz="4" w:space="0" w:color="auto"/>
            </w:tcBorders>
            <w:shd w:val="clear" w:color="auto" w:fill="auto"/>
            <w:noWrap/>
            <w:vAlign w:val="bottom"/>
          </w:tcPr>
          <w:p w14:paraId="4D9B6605" w14:textId="06AA5B9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1.008</w:t>
            </w:r>
          </w:p>
        </w:tc>
        <w:tc>
          <w:tcPr>
            <w:tcW w:w="774" w:type="dxa"/>
            <w:tcBorders>
              <w:left w:val="nil"/>
            </w:tcBorders>
            <w:vAlign w:val="bottom"/>
          </w:tcPr>
          <w:p w14:paraId="5DA5B7D7" w14:textId="5088C3D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1.002</w:t>
            </w:r>
          </w:p>
        </w:tc>
        <w:tc>
          <w:tcPr>
            <w:tcW w:w="773" w:type="dxa"/>
            <w:vAlign w:val="bottom"/>
          </w:tcPr>
          <w:p w14:paraId="398A8DC5" w14:textId="29CDDEF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1.008</w:t>
            </w:r>
          </w:p>
        </w:tc>
        <w:tc>
          <w:tcPr>
            <w:tcW w:w="774" w:type="dxa"/>
            <w:vAlign w:val="bottom"/>
          </w:tcPr>
          <w:p w14:paraId="136D902B" w14:textId="59F00EC9"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1.000</w:t>
            </w:r>
          </w:p>
        </w:tc>
        <w:tc>
          <w:tcPr>
            <w:tcW w:w="847" w:type="dxa"/>
            <w:vAlign w:val="bottom"/>
          </w:tcPr>
          <w:p w14:paraId="6D406DAD" w14:textId="6974196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0.999</w:t>
            </w:r>
          </w:p>
        </w:tc>
        <w:tc>
          <w:tcPr>
            <w:tcW w:w="715" w:type="dxa"/>
            <w:vAlign w:val="bottom"/>
          </w:tcPr>
          <w:p w14:paraId="5BBC7E8E" w14:textId="26002D5C"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r>
      <w:tr w:rsidR="001B7FAF" w:rsidRPr="00A0555D" w14:paraId="14EE79F9"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D05E8E3"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26C41778" w14:textId="6FD8F63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nil"/>
              <w:right w:val="nil"/>
            </w:tcBorders>
            <w:shd w:val="clear" w:color="auto" w:fill="auto"/>
            <w:noWrap/>
            <w:vAlign w:val="bottom"/>
          </w:tcPr>
          <w:p w14:paraId="4BC5299D" w14:textId="7169927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73" w:type="dxa"/>
            <w:tcBorders>
              <w:top w:val="nil"/>
              <w:left w:val="nil"/>
              <w:bottom w:val="nil"/>
              <w:right w:val="nil"/>
            </w:tcBorders>
            <w:shd w:val="clear" w:color="auto" w:fill="auto"/>
            <w:noWrap/>
            <w:vAlign w:val="bottom"/>
          </w:tcPr>
          <w:p w14:paraId="65DA4FC3" w14:textId="7A25936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845" w:type="dxa"/>
            <w:tcBorders>
              <w:top w:val="nil"/>
              <w:left w:val="nil"/>
              <w:bottom w:val="nil"/>
              <w:right w:val="nil"/>
            </w:tcBorders>
            <w:shd w:val="clear" w:color="auto" w:fill="auto"/>
            <w:noWrap/>
            <w:vAlign w:val="bottom"/>
          </w:tcPr>
          <w:p w14:paraId="0332E2FB" w14:textId="0E95006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0.997</w:t>
            </w:r>
          </w:p>
        </w:tc>
        <w:tc>
          <w:tcPr>
            <w:tcW w:w="702" w:type="dxa"/>
            <w:tcBorders>
              <w:top w:val="nil"/>
              <w:left w:val="nil"/>
              <w:bottom w:val="nil"/>
              <w:right w:val="single" w:sz="4" w:space="0" w:color="auto"/>
            </w:tcBorders>
            <w:shd w:val="clear" w:color="auto" w:fill="auto"/>
            <w:noWrap/>
            <w:vAlign w:val="bottom"/>
          </w:tcPr>
          <w:p w14:paraId="523A6351" w14:textId="053E5B5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left w:val="nil"/>
            </w:tcBorders>
            <w:vAlign w:val="bottom"/>
          </w:tcPr>
          <w:p w14:paraId="2500F3BF" w14:textId="4443219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1.002</w:t>
            </w:r>
          </w:p>
        </w:tc>
        <w:tc>
          <w:tcPr>
            <w:tcW w:w="773" w:type="dxa"/>
            <w:vAlign w:val="bottom"/>
          </w:tcPr>
          <w:p w14:paraId="30939E49" w14:textId="5E6BDFB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c>
          <w:tcPr>
            <w:tcW w:w="774" w:type="dxa"/>
            <w:vAlign w:val="bottom"/>
          </w:tcPr>
          <w:p w14:paraId="2A2C1D54" w14:textId="6B733F9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847" w:type="dxa"/>
            <w:vAlign w:val="bottom"/>
          </w:tcPr>
          <w:p w14:paraId="796DEBF0" w14:textId="3F5C175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1.000</w:t>
            </w:r>
          </w:p>
        </w:tc>
        <w:tc>
          <w:tcPr>
            <w:tcW w:w="715" w:type="dxa"/>
            <w:vAlign w:val="bottom"/>
          </w:tcPr>
          <w:p w14:paraId="090160E2" w14:textId="4AF946F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0.997</w:t>
            </w:r>
          </w:p>
        </w:tc>
      </w:tr>
      <w:tr w:rsidR="001B7FAF" w:rsidRPr="00A0555D" w14:paraId="030DF35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BC9FDF5"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2F2051D5" w14:textId="5823649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top w:val="nil"/>
              <w:left w:val="nil"/>
              <w:bottom w:val="nil"/>
              <w:right w:val="nil"/>
            </w:tcBorders>
            <w:shd w:val="clear" w:color="auto" w:fill="auto"/>
            <w:noWrap/>
            <w:vAlign w:val="bottom"/>
          </w:tcPr>
          <w:p w14:paraId="05F02A34" w14:textId="60D5E06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3" w:type="dxa"/>
            <w:tcBorders>
              <w:top w:val="nil"/>
              <w:left w:val="nil"/>
              <w:bottom w:val="nil"/>
              <w:right w:val="nil"/>
            </w:tcBorders>
            <w:shd w:val="clear" w:color="auto" w:fill="auto"/>
            <w:noWrap/>
            <w:vAlign w:val="bottom"/>
          </w:tcPr>
          <w:p w14:paraId="698FCDDA" w14:textId="080F6F9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845" w:type="dxa"/>
            <w:tcBorders>
              <w:top w:val="nil"/>
              <w:left w:val="nil"/>
              <w:bottom w:val="nil"/>
              <w:right w:val="nil"/>
            </w:tcBorders>
            <w:shd w:val="clear" w:color="auto" w:fill="auto"/>
            <w:noWrap/>
            <w:vAlign w:val="bottom"/>
          </w:tcPr>
          <w:p w14:paraId="4CD9108B" w14:textId="5338E45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702" w:type="dxa"/>
            <w:tcBorders>
              <w:top w:val="nil"/>
              <w:left w:val="nil"/>
              <w:bottom w:val="nil"/>
              <w:right w:val="single" w:sz="4" w:space="0" w:color="auto"/>
            </w:tcBorders>
            <w:shd w:val="clear" w:color="auto" w:fill="auto"/>
            <w:noWrap/>
            <w:vAlign w:val="bottom"/>
          </w:tcPr>
          <w:p w14:paraId="3E5C7100" w14:textId="489C104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1.011</w:t>
            </w:r>
          </w:p>
        </w:tc>
        <w:tc>
          <w:tcPr>
            <w:tcW w:w="774" w:type="dxa"/>
            <w:tcBorders>
              <w:left w:val="nil"/>
            </w:tcBorders>
            <w:vAlign w:val="bottom"/>
          </w:tcPr>
          <w:p w14:paraId="7B67D1EE" w14:textId="2629629D"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c>
          <w:tcPr>
            <w:tcW w:w="773" w:type="dxa"/>
            <w:vAlign w:val="bottom"/>
          </w:tcPr>
          <w:p w14:paraId="58ED9BDC" w14:textId="1CB8ED5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774" w:type="dxa"/>
            <w:vAlign w:val="bottom"/>
          </w:tcPr>
          <w:p w14:paraId="2E811F44" w14:textId="7D74EC74"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1.005</w:t>
            </w:r>
          </w:p>
        </w:tc>
        <w:tc>
          <w:tcPr>
            <w:tcW w:w="847" w:type="dxa"/>
            <w:vAlign w:val="bottom"/>
          </w:tcPr>
          <w:p w14:paraId="2A992D1A" w14:textId="09A0088B"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1.003</w:t>
            </w:r>
          </w:p>
        </w:tc>
        <w:tc>
          <w:tcPr>
            <w:tcW w:w="715" w:type="dxa"/>
            <w:vAlign w:val="bottom"/>
          </w:tcPr>
          <w:p w14:paraId="5163F72A" w14:textId="5B746D46"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1.008</w:t>
            </w:r>
          </w:p>
        </w:tc>
      </w:tr>
      <w:tr w:rsidR="001B7FAF" w:rsidRPr="00A0555D" w14:paraId="59A7D7FB"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493DAF84"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5E834367" w14:textId="1C90F9C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single" w:sz="4" w:space="0" w:color="auto"/>
              <w:right w:val="nil"/>
            </w:tcBorders>
            <w:shd w:val="clear" w:color="auto" w:fill="auto"/>
            <w:noWrap/>
            <w:vAlign w:val="bottom"/>
          </w:tcPr>
          <w:p w14:paraId="6CBDBF33" w14:textId="00CB685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3" w:type="dxa"/>
            <w:tcBorders>
              <w:top w:val="nil"/>
              <w:left w:val="nil"/>
              <w:bottom w:val="single" w:sz="4" w:space="0" w:color="auto"/>
              <w:right w:val="nil"/>
            </w:tcBorders>
            <w:shd w:val="clear" w:color="auto" w:fill="auto"/>
            <w:noWrap/>
            <w:vAlign w:val="bottom"/>
          </w:tcPr>
          <w:p w14:paraId="465D003D" w14:textId="166DAC2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845" w:type="dxa"/>
            <w:tcBorders>
              <w:top w:val="nil"/>
              <w:left w:val="nil"/>
              <w:bottom w:val="single" w:sz="4" w:space="0" w:color="auto"/>
              <w:right w:val="nil"/>
            </w:tcBorders>
            <w:shd w:val="clear" w:color="auto" w:fill="auto"/>
            <w:noWrap/>
            <w:vAlign w:val="bottom"/>
          </w:tcPr>
          <w:p w14:paraId="78DEEF9C" w14:textId="08729EB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0.997</w:t>
            </w:r>
          </w:p>
        </w:tc>
        <w:tc>
          <w:tcPr>
            <w:tcW w:w="702" w:type="dxa"/>
            <w:tcBorders>
              <w:top w:val="nil"/>
              <w:left w:val="nil"/>
              <w:bottom w:val="single" w:sz="4" w:space="0" w:color="auto"/>
              <w:right w:val="single" w:sz="4" w:space="0" w:color="auto"/>
            </w:tcBorders>
            <w:shd w:val="clear" w:color="auto" w:fill="auto"/>
            <w:noWrap/>
            <w:vAlign w:val="bottom"/>
          </w:tcPr>
          <w:p w14:paraId="1B9B3081" w14:textId="303F1D6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4" w:type="dxa"/>
            <w:tcBorders>
              <w:left w:val="nil"/>
              <w:bottom w:val="single" w:sz="4" w:space="0" w:color="auto"/>
            </w:tcBorders>
            <w:vAlign w:val="bottom"/>
          </w:tcPr>
          <w:p w14:paraId="2BA09005" w14:textId="00577E27"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1.002</w:t>
            </w:r>
          </w:p>
        </w:tc>
        <w:tc>
          <w:tcPr>
            <w:tcW w:w="773" w:type="dxa"/>
            <w:tcBorders>
              <w:bottom w:val="single" w:sz="4" w:space="0" w:color="auto"/>
            </w:tcBorders>
            <w:vAlign w:val="bottom"/>
          </w:tcPr>
          <w:p w14:paraId="49C1CA69" w14:textId="378F60D1"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1.006</w:t>
            </w:r>
          </w:p>
        </w:tc>
        <w:tc>
          <w:tcPr>
            <w:tcW w:w="774" w:type="dxa"/>
            <w:tcBorders>
              <w:bottom w:val="single" w:sz="4" w:space="0" w:color="auto"/>
            </w:tcBorders>
            <w:vAlign w:val="bottom"/>
          </w:tcPr>
          <w:p w14:paraId="2A7EF9A2" w14:textId="12820E6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1.004</w:t>
            </w:r>
          </w:p>
        </w:tc>
        <w:tc>
          <w:tcPr>
            <w:tcW w:w="847" w:type="dxa"/>
            <w:tcBorders>
              <w:bottom w:val="single" w:sz="4" w:space="0" w:color="auto"/>
            </w:tcBorders>
            <w:vAlign w:val="bottom"/>
          </w:tcPr>
          <w:p w14:paraId="643B8D5F" w14:textId="227049A3"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0.998</w:t>
            </w:r>
          </w:p>
        </w:tc>
        <w:tc>
          <w:tcPr>
            <w:tcW w:w="715" w:type="dxa"/>
            <w:tcBorders>
              <w:bottom w:val="single" w:sz="4" w:space="0" w:color="auto"/>
            </w:tcBorders>
            <w:vAlign w:val="bottom"/>
          </w:tcPr>
          <w:p w14:paraId="5BAB6754" w14:textId="48C5A41E" w:rsidR="001B7FAF" w:rsidRPr="006016B0" w:rsidRDefault="001B7FAF" w:rsidP="006016B0">
            <w:pPr>
              <w:tabs>
                <w:tab w:val="decimal" w:pos="256"/>
              </w:tabs>
              <w:spacing w:before="0" w:after="0" w:line="240" w:lineRule="auto"/>
              <w:ind w:firstLine="0"/>
              <w:rPr>
                <w:color w:val="000000"/>
                <w:sz w:val="16"/>
                <w:szCs w:val="16"/>
              </w:rPr>
            </w:pPr>
            <w:r w:rsidRPr="001B7FAF">
              <w:rPr>
                <w:color w:val="000000"/>
                <w:sz w:val="16"/>
                <w:szCs w:val="16"/>
              </w:rPr>
              <w:t>1.000</w:t>
            </w:r>
          </w:p>
        </w:tc>
      </w:tr>
    </w:tbl>
    <w:p w14:paraId="1715A98E" w14:textId="77777777" w:rsidR="001B7FAF" w:rsidRPr="009D4948" w:rsidRDefault="001B7FAF" w:rsidP="001B7FAF">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808"/>
        <w:gridCol w:w="740"/>
        <w:gridCol w:w="880"/>
      </w:tblGrid>
      <w:tr w:rsidR="001B7FAF" w:rsidRPr="00A0555D" w14:paraId="05D886B8" w14:textId="77777777" w:rsidTr="00BD0EBA">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3516593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356A8341" w14:textId="01463B92" w:rsidR="001B7FAF"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 (in./day)</w:t>
            </w:r>
          </w:p>
        </w:tc>
        <w:tc>
          <w:tcPr>
            <w:tcW w:w="774" w:type="dxa"/>
            <w:tcBorders>
              <w:top w:val="single" w:sz="4" w:space="0" w:color="auto"/>
              <w:left w:val="nil"/>
              <w:bottom w:val="single" w:sz="4" w:space="0" w:color="auto"/>
              <w:right w:val="single" w:sz="4" w:space="0" w:color="auto"/>
            </w:tcBorders>
            <w:vAlign w:val="bottom"/>
          </w:tcPr>
          <w:p w14:paraId="523A2563" w14:textId="6034C303" w:rsidR="001B7FAF"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T95 (°F)</w:t>
            </w:r>
          </w:p>
        </w:tc>
        <w:tc>
          <w:tcPr>
            <w:tcW w:w="774" w:type="dxa"/>
            <w:tcBorders>
              <w:top w:val="single" w:sz="4" w:space="0" w:color="auto"/>
              <w:left w:val="single" w:sz="4" w:space="0" w:color="auto"/>
              <w:bottom w:val="single" w:sz="4" w:space="0" w:color="auto"/>
              <w:right w:val="single" w:sz="4" w:space="0" w:color="auto"/>
            </w:tcBorders>
            <w:vAlign w:val="bottom"/>
          </w:tcPr>
          <w:p w14:paraId="1BB91977" w14:textId="63CF58DD" w:rsidR="001B7FAF"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T05 (°F)</w:t>
            </w:r>
          </w:p>
        </w:tc>
        <w:tc>
          <w:tcPr>
            <w:tcW w:w="808" w:type="dxa"/>
            <w:tcBorders>
              <w:top w:val="single" w:sz="4" w:space="0" w:color="auto"/>
              <w:left w:val="single" w:sz="4" w:space="0" w:color="auto"/>
              <w:bottom w:val="single" w:sz="4" w:space="0" w:color="auto"/>
              <w:right w:val="single" w:sz="4" w:space="0" w:color="auto"/>
            </w:tcBorders>
            <w:vAlign w:val="bottom"/>
          </w:tcPr>
          <w:p w14:paraId="27129D2F" w14:textId="1270671A" w:rsidR="001B7FAF" w:rsidRPr="005447C1" w:rsidRDefault="001B7FAF" w:rsidP="00874FCF">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P95</w:t>
            </w:r>
            <w:r w:rsidR="00BD0EBA">
              <w:rPr>
                <w:b/>
                <w:bCs/>
                <w:color w:val="000000"/>
                <w:sz w:val="16"/>
                <w:szCs w:val="16"/>
              </w:rPr>
              <w:t xml:space="preserve"> </w:t>
            </w:r>
            <w:r w:rsidR="00BD0EBA" w:rsidRPr="00BD0EBA">
              <w:rPr>
                <w:b/>
                <w:bCs/>
                <w:color w:val="000000"/>
                <w:sz w:val="16"/>
                <w:szCs w:val="16"/>
              </w:rPr>
              <w:t>(in./day)</w:t>
            </w:r>
          </w:p>
        </w:tc>
        <w:tc>
          <w:tcPr>
            <w:tcW w:w="740" w:type="dxa"/>
            <w:tcBorders>
              <w:top w:val="single" w:sz="4" w:space="0" w:color="auto"/>
              <w:left w:val="single" w:sz="4" w:space="0" w:color="auto"/>
              <w:bottom w:val="single" w:sz="4" w:space="0" w:color="auto"/>
              <w:right w:val="single" w:sz="4" w:space="0" w:color="auto"/>
            </w:tcBorders>
            <w:vAlign w:val="bottom"/>
          </w:tcPr>
          <w:p w14:paraId="1024DB56" w14:textId="77777777" w:rsidR="001B7FAF" w:rsidRPr="005447C1" w:rsidRDefault="001B7FAF"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bottom"/>
          </w:tcPr>
          <w:p w14:paraId="70FF1BC0" w14:textId="77777777" w:rsidR="001B7FAF" w:rsidRPr="005447C1" w:rsidRDefault="001B7FAF"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1B7FAF" w:rsidRPr="00A0555D" w14:paraId="6856DBD3" w14:textId="77777777" w:rsidTr="00BD0EBA">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5EB4FEF5" w14:textId="77777777" w:rsidR="001B7FAF" w:rsidRPr="00A0555D" w:rsidRDefault="001B7FAF" w:rsidP="00874FCF">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60A5ED18"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5885A7BB"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1A808DF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50D43A0A" w14:textId="77777777" w:rsidR="001B7FAF" w:rsidRPr="00A0555D" w:rsidRDefault="001B7FAF"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78C379A1"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7E1E1A2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63DF7149"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808" w:type="dxa"/>
            <w:tcBorders>
              <w:top w:val="single" w:sz="4" w:space="0" w:color="auto"/>
              <w:left w:val="single" w:sz="4" w:space="0" w:color="auto"/>
              <w:bottom w:val="single" w:sz="4" w:space="0" w:color="auto"/>
              <w:right w:val="single" w:sz="4" w:space="0" w:color="auto"/>
            </w:tcBorders>
          </w:tcPr>
          <w:p w14:paraId="0E09F33C"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40" w:type="dxa"/>
            <w:tcBorders>
              <w:top w:val="single" w:sz="4" w:space="0" w:color="auto"/>
              <w:left w:val="single" w:sz="4" w:space="0" w:color="auto"/>
              <w:bottom w:val="single" w:sz="4" w:space="0" w:color="auto"/>
              <w:right w:val="single" w:sz="4" w:space="0" w:color="auto"/>
            </w:tcBorders>
          </w:tcPr>
          <w:p w14:paraId="2EC505FC" w14:textId="77777777" w:rsidR="001B7FAF" w:rsidRPr="00A0555D" w:rsidRDefault="001B7FAF" w:rsidP="00874FCF">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57836F6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1B7FAF" w:rsidRPr="00A0555D" w14:paraId="7E9218F2"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73C1A12" w14:textId="77777777" w:rsidR="001B7FAF" w:rsidRPr="00A0555D" w:rsidRDefault="001B7FAF"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07C11E60"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16B709B1"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06FB835A"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79EAC213"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3E243D73"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0F564A02"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7C61F169"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808" w:type="dxa"/>
            <w:tcBorders>
              <w:top w:val="single" w:sz="4" w:space="0" w:color="auto"/>
              <w:left w:val="single" w:sz="4" w:space="0" w:color="auto"/>
              <w:right w:val="single" w:sz="4" w:space="0" w:color="auto"/>
            </w:tcBorders>
          </w:tcPr>
          <w:p w14:paraId="54773C4F"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740" w:type="dxa"/>
            <w:tcBorders>
              <w:top w:val="single" w:sz="4" w:space="0" w:color="auto"/>
              <w:left w:val="single" w:sz="4" w:space="0" w:color="auto"/>
              <w:right w:val="single" w:sz="4" w:space="0" w:color="auto"/>
            </w:tcBorders>
          </w:tcPr>
          <w:p w14:paraId="7D518394"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3B31BFA6" w14:textId="77777777" w:rsidR="001B7FAF" w:rsidRPr="00A0555D" w:rsidRDefault="001B7FAF" w:rsidP="00874FCF">
            <w:pPr>
              <w:spacing w:before="0" w:after="0" w:line="240" w:lineRule="auto"/>
              <w:ind w:firstLine="0"/>
              <w:jc w:val="center"/>
              <w:rPr>
                <w:rFonts w:eastAsia="Times New Roman"/>
                <w:b/>
                <w:bCs/>
                <w:color w:val="000000"/>
                <w:sz w:val="16"/>
                <w:szCs w:val="16"/>
                <w:lang w:bidi="ar-SA"/>
              </w:rPr>
            </w:pPr>
          </w:p>
        </w:tc>
      </w:tr>
      <w:tr w:rsidR="001B7FAF" w:rsidRPr="00A0555D" w14:paraId="27A3B475"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5D3ED5B"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6E459632" w14:textId="2463B72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0.793</w:t>
            </w:r>
          </w:p>
        </w:tc>
        <w:tc>
          <w:tcPr>
            <w:tcW w:w="774" w:type="dxa"/>
            <w:tcBorders>
              <w:top w:val="nil"/>
              <w:left w:val="nil"/>
              <w:bottom w:val="nil"/>
              <w:right w:val="nil"/>
            </w:tcBorders>
            <w:shd w:val="clear" w:color="auto" w:fill="auto"/>
            <w:noWrap/>
            <w:vAlign w:val="bottom"/>
          </w:tcPr>
          <w:p w14:paraId="7E9FE9B5" w14:textId="2076491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0.788</w:t>
            </w:r>
          </w:p>
        </w:tc>
        <w:tc>
          <w:tcPr>
            <w:tcW w:w="773" w:type="dxa"/>
            <w:tcBorders>
              <w:top w:val="nil"/>
              <w:left w:val="nil"/>
              <w:bottom w:val="nil"/>
              <w:right w:val="nil"/>
            </w:tcBorders>
            <w:shd w:val="clear" w:color="auto" w:fill="auto"/>
            <w:noWrap/>
            <w:vAlign w:val="bottom"/>
          </w:tcPr>
          <w:p w14:paraId="57D5B42C" w14:textId="74DF66E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0.842</w:t>
            </w:r>
          </w:p>
        </w:tc>
        <w:tc>
          <w:tcPr>
            <w:tcW w:w="843" w:type="dxa"/>
            <w:tcBorders>
              <w:top w:val="nil"/>
              <w:left w:val="nil"/>
              <w:bottom w:val="nil"/>
              <w:right w:val="nil"/>
            </w:tcBorders>
            <w:shd w:val="clear" w:color="auto" w:fill="auto"/>
            <w:noWrap/>
            <w:vAlign w:val="bottom"/>
          </w:tcPr>
          <w:p w14:paraId="3C6DD9B8" w14:textId="397B7A7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0.907</w:t>
            </w:r>
          </w:p>
        </w:tc>
        <w:tc>
          <w:tcPr>
            <w:tcW w:w="704" w:type="dxa"/>
            <w:tcBorders>
              <w:top w:val="nil"/>
              <w:left w:val="nil"/>
              <w:bottom w:val="nil"/>
              <w:right w:val="single" w:sz="4" w:space="0" w:color="auto"/>
            </w:tcBorders>
            <w:shd w:val="clear" w:color="auto" w:fill="auto"/>
            <w:noWrap/>
            <w:vAlign w:val="bottom"/>
          </w:tcPr>
          <w:p w14:paraId="5D464A99" w14:textId="511528A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0.810</w:t>
            </w:r>
          </w:p>
        </w:tc>
        <w:tc>
          <w:tcPr>
            <w:tcW w:w="774" w:type="dxa"/>
            <w:tcBorders>
              <w:left w:val="nil"/>
              <w:right w:val="single" w:sz="4" w:space="0" w:color="auto"/>
            </w:tcBorders>
            <w:vAlign w:val="bottom"/>
          </w:tcPr>
          <w:p w14:paraId="6CA8B8DB" w14:textId="33C656B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1.125</w:t>
            </w:r>
          </w:p>
        </w:tc>
        <w:tc>
          <w:tcPr>
            <w:tcW w:w="774" w:type="dxa"/>
            <w:tcBorders>
              <w:left w:val="single" w:sz="4" w:space="0" w:color="auto"/>
              <w:right w:val="single" w:sz="4" w:space="0" w:color="auto"/>
            </w:tcBorders>
            <w:vAlign w:val="bottom"/>
          </w:tcPr>
          <w:p w14:paraId="1FC88B44" w14:textId="5AF919C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0.955</w:t>
            </w:r>
          </w:p>
        </w:tc>
        <w:tc>
          <w:tcPr>
            <w:tcW w:w="808" w:type="dxa"/>
            <w:tcBorders>
              <w:left w:val="single" w:sz="4" w:space="0" w:color="auto"/>
              <w:right w:val="single" w:sz="4" w:space="0" w:color="auto"/>
            </w:tcBorders>
            <w:vAlign w:val="bottom"/>
          </w:tcPr>
          <w:p w14:paraId="6B938425" w14:textId="215E875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0.726</w:t>
            </w:r>
          </w:p>
        </w:tc>
        <w:tc>
          <w:tcPr>
            <w:tcW w:w="740" w:type="dxa"/>
            <w:tcBorders>
              <w:left w:val="single" w:sz="4" w:space="0" w:color="auto"/>
              <w:right w:val="single" w:sz="4" w:space="0" w:color="auto"/>
            </w:tcBorders>
            <w:vAlign w:val="bottom"/>
          </w:tcPr>
          <w:p w14:paraId="1541747B" w14:textId="427BCAB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0.864</w:t>
            </w:r>
          </w:p>
        </w:tc>
        <w:tc>
          <w:tcPr>
            <w:tcW w:w="880" w:type="dxa"/>
            <w:tcBorders>
              <w:left w:val="single" w:sz="4" w:space="0" w:color="auto"/>
            </w:tcBorders>
            <w:vAlign w:val="bottom"/>
          </w:tcPr>
          <w:p w14:paraId="0B1E6209" w14:textId="221D60D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0.960</w:t>
            </w:r>
          </w:p>
        </w:tc>
      </w:tr>
      <w:tr w:rsidR="001B7FAF" w:rsidRPr="00A0555D" w14:paraId="38C4E26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E4EC764"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3F442DD5" w14:textId="5C1A04E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0.545</w:t>
            </w:r>
          </w:p>
        </w:tc>
        <w:tc>
          <w:tcPr>
            <w:tcW w:w="774" w:type="dxa"/>
            <w:tcBorders>
              <w:top w:val="nil"/>
              <w:left w:val="nil"/>
              <w:bottom w:val="nil"/>
              <w:right w:val="nil"/>
            </w:tcBorders>
            <w:shd w:val="clear" w:color="auto" w:fill="auto"/>
            <w:noWrap/>
            <w:vAlign w:val="bottom"/>
          </w:tcPr>
          <w:p w14:paraId="359F0A70" w14:textId="6D3C07F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0.621</w:t>
            </w:r>
          </w:p>
        </w:tc>
        <w:tc>
          <w:tcPr>
            <w:tcW w:w="773" w:type="dxa"/>
            <w:tcBorders>
              <w:top w:val="nil"/>
              <w:left w:val="nil"/>
              <w:bottom w:val="nil"/>
              <w:right w:val="nil"/>
            </w:tcBorders>
            <w:shd w:val="clear" w:color="auto" w:fill="auto"/>
            <w:noWrap/>
            <w:vAlign w:val="bottom"/>
          </w:tcPr>
          <w:p w14:paraId="31603E29" w14:textId="330A389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0.584</w:t>
            </w:r>
          </w:p>
        </w:tc>
        <w:tc>
          <w:tcPr>
            <w:tcW w:w="843" w:type="dxa"/>
            <w:tcBorders>
              <w:top w:val="nil"/>
              <w:left w:val="nil"/>
              <w:bottom w:val="nil"/>
              <w:right w:val="nil"/>
            </w:tcBorders>
            <w:shd w:val="clear" w:color="auto" w:fill="auto"/>
            <w:noWrap/>
            <w:vAlign w:val="bottom"/>
          </w:tcPr>
          <w:p w14:paraId="543D6BB5" w14:textId="2A2ACD8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0.628</w:t>
            </w:r>
          </w:p>
        </w:tc>
        <w:tc>
          <w:tcPr>
            <w:tcW w:w="704" w:type="dxa"/>
            <w:tcBorders>
              <w:top w:val="nil"/>
              <w:left w:val="nil"/>
              <w:bottom w:val="nil"/>
              <w:right w:val="single" w:sz="4" w:space="0" w:color="auto"/>
            </w:tcBorders>
            <w:shd w:val="clear" w:color="auto" w:fill="auto"/>
            <w:noWrap/>
            <w:vAlign w:val="bottom"/>
          </w:tcPr>
          <w:p w14:paraId="5359DD2A" w14:textId="471C975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0.630</w:t>
            </w:r>
          </w:p>
        </w:tc>
        <w:tc>
          <w:tcPr>
            <w:tcW w:w="774" w:type="dxa"/>
            <w:tcBorders>
              <w:left w:val="nil"/>
              <w:right w:val="single" w:sz="4" w:space="0" w:color="auto"/>
            </w:tcBorders>
            <w:vAlign w:val="bottom"/>
          </w:tcPr>
          <w:p w14:paraId="39866901" w14:textId="2EE73E9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1.182</w:t>
            </w:r>
          </w:p>
        </w:tc>
        <w:tc>
          <w:tcPr>
            <w:tcW w:w="774" w:type="dxa"/>
            <w:tcBorders>
              <w:left w:val="single" w:sz="4" w:space="0" w:color="auto"/>
              <w:right w:val="single" w:sz="4" w:space="0" w:color="auto"/>
            </w:tcBorders>
            <w:vAlign w:val="bottom"/>
          </w:tcPr>
          <w:p w14:paraId="74770F8C" w14:textId="78584FF0"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1.259</w:t>
            </w:r>
          </w:p>
        </w:tc>
        <w:tc>
          <w:tcPr>
            <w:tcW w:w="808" w:type="dxa"/>
            <w:tcBorders>
              <w:left w:val="single" w:sz="4" w:space="0" w:color="auto"/>
              <w:right w:val="single" w:sz="4" w:space="0" w:color="auto"/>
            </w:tcBorders>
            <w:vAlign w:val="bottom"/>
          </w:tcPr>
          <w:p w14:paraId="169C52F1" w14:textId="6EFF8F6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0.581</w:t>
            </w:r>
          </w:p>
        </w:tc>
        <w:tc>
          <w:tcPr>
            <w:tcW w:w="740" w:type="dxa"/>
            <w:tcBorders>
              <w:left w:val="single" w:sz="4" w:space="0" w:color="auto"/>
              <w:right w:val="single" w:sz="4" w:space="0" w:color="auto"/>
            </w:tcBorders>
            <w:vAlign w:val="bottom"/>
          </w:tcPr>
          <w:p w14:paraId="06269C61" w14:textId="5D2DBEA1"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0.823</w:t>
            </w:r>
          </w:p>
        </w:tc>
        <w:tc>
          <w:tcPr>
            <w:tcW w:w="880" w:type="dxa"/>
            <w:tcBorders>
              <w:left w:val="single" w:sz="4" w:space="0" w:color="auto"/>
            </w:tcBorders>
            <w:vAlign w:val="bottom"/>
          </w:tcPr>
          <w:p w14:paraId="1249EAE4" w14:textId="3EF720B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0.945</w:t>
            </w:r>
          </w:p>
        </w:tc>
      </w:tr>
      <w:tr w:rsidR="001B7FAF" w:rsidRPr="00A0555D" w14:paraId="34DC987C"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42E5E62"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31E7D50E" w14:textId="29AE305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0.899</w:t>
            </w:r>
          </w:p>
        </w:tc>
        <w:tc>
          <w:tcPr>
            <w:tcW w:w="774" w:type="dxa"/>
            <w:tcBorders>
              <w:top w:val="nil"/>
              <w:left w:val="nil"/>
              <w:bottom w:val="nil"/>
              <w:right w:val="nil"/>
            </w:tcBorders>
            <w:shd w:val="clear" w:color="auto" w:fill="auto"/>
            <w:noWrap/>
            <w:vAlign w:val="bottom"/>
          </w:tcPr>
          <w:p w14:paraId="25E552E1" w14:textId="1A80839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773" w:type="dxa"/>
            <w:tcBorders>
              <w:top w:val="nil"/>
              <w:left w:val="nil"/>
              <w:bottom w:val="nil"/>
              <w:right w:val="nil"/>
            </w:tcBorders>
            <w:shd w:val="clear" w:color="auto" w:fill="auto"/>
            <w:noWrap/>
            <w:vAlign w:val="bottom"/>
          </w:tcPr>
          <w:p w14:paraId="69A93E94" w14:textId="4F4534D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0.910</w:t>
            </w:r>
          </w:p>
        </w:tc>
        <w:tc>
          <w:tcPr>
            <w:tcW w:w="843" w:type="dxa"/>
            <w:tcBorders>
              <w:top w:val="nil"/>
              <w:left w:val="nil"/>
              <w:bottom w:val="nil"/>
              <w:right w:val="nil"/>
            </w:tcBorders>
            <w:shd w:val="clear" w:color="auto" w:fill="auto"/>
            <w:noWrap/>
            <w:vAlign w:val="bottom"/>
          </w:tcPr>
          <w:p w14:paraId="1CD2A07D" w14:textId="2D08CEA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0.935</w:t>
            </w:r>
          </w:p>
        </w:tc>
        <w:tc>
          <w:tcPr>
            <w:tcW w:w="704" w:type="dxa"/>
            <w:tcBorders>
              <w:top w:val="nil"/>
              <w:left w:val="nil"/>
              <w:bottom w:val="nil"/>
              <w:right w:val="single" w:sz="4" w:space="0" w:color="auto"/>
            </w:tcBorders>
            <w:shd w:val="clear" w:color="auto" w:fill="auto"/>
            <w:noWrap/>
            <w:vAlign w:val="bottom"/>
          </w:tcPr>
          <w:p w14:paraId="5763A464" w14:textId="45EDDA5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0.733</w:t>
            </w:r>
          </w:p>
        </w:tc>
        <w:tc>
          <w:tcPr>
            <w:tcW w:w="774" w:type="dxa"/>
            <w:tcBorders>
              <w:left w:val="nil"/>
              <w:right w:val="single" w:sz="4" w:space="0" w:color="auto"/>
            </w:tcBorders>
            <w:vAlign w:val="bottom"/>
          </w:tcPr>
          <w:p w14:paraId="24A66706" w14:textId="50DE932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1.034</w:t>
            </w:r>
          </w:p>
        </w:tc>
        <w:tc>
          <w:tcPr>
            <w:tcW w:w="774" w:type="dxa"/>
            <w:tcBorders>
              <w:left w:val="single" w:sz="4" w:space="0" w:color="auto"/>
              <w:right w:val="single" w:sz="4" w:space="0" w:color="auto"/>
            </w:tcBorders>
            <w:vAlign w:val="bottom"/>
          </w:tcPr>
          <w:p w14:paraId="1ECB0ABA" w14:textId="05C0EF1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1.079</w:t>
            </w:r>
          </w:p>
        </w:tc>
        <w:tc>
          <w:tcPr>
            <w:tcW w:w="808" w:type="dxa"/>
            <w:tcBorders>
              <w:left w:val="single" w:sz="4" w:space="0" w:color="auto"/>
              <w:right w:val="single" w:sz="4" w:space="0" w:color="auto"/>
            </w:tcBorders>
            <w:vAlign w:val="bottom"/>
          </w:tcPr>
          <w:p w14:paraId="6E67483A" w14:textId="55A0A1E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0.634</w:t>
            </w:r>
          </w:p>
        </w:tc>
        <w:tc>
          <w:tcPr>
            <w:tcW w:w="740" w:type="dxa"/>
            <w:tcBorders>
              <w:left w:val="single" w:sz="4" w:space="0" w:color="auto"/>
              <w:right w:val="single" w:sz="4" w:space="0" w:color="auto"/>
            </w:tcBorders>
            <w:vAlign w:val="bottom"/>
          </w:tcPr>
          <w:p w14:paraId="0B4ABDED" w14:textId="0E706B1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1.158</w:t>
            </w:r>
          </w:p>
        </w:tc>
        <w:tc>
          <w:tcPr>
            <w:tcW w:w="880" w:type="dxa"/>
            <w:tcBorders>
              <w:left w:val="single" w:sz="4" w:space="0" w:color="auto"/>
            </w:tcBorders>
            <w:vAlign w:val="bottom"/>
          </w:tcPr>
          <w:p w14:paraId="4D64F374" w14:textId="09C85BF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0.917</w:t>
            </w:r>
          </w:p>
        </w:tc>
      </w:tr>
      <w:tr w:rsidR="001B7FAF" w:rsidRPr="00A0555D" w14:paraId="24A42DBA"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DD2A3B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64E06991" w14:textId="667C14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0.809</w:t>
            </w:r>
          </w:p>
        </w:tc>
        <w:tc>
          <w:tcPr>
            <w:tcW w:w="774" w:type="dxa"/>
            <w:tcBorders>
              <w:top w:val="nil"/>
              <w:left w:val="nil"/>
              <w:bottom w:val="nil"/>
              <w:right w:val="nil"/>
            </w:tcBorders>
            <w:shd w:val="clear" w:color="auto" w:fill="auto"/>
            <w:noWrap/>
            <w:vAlign w:val="bottom"/>
          </w:tcPr>
          <w:p w14:paraId="103ECCB3" w14:textId="412D438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0.863</w:t>
            </w:r>
          </w:p>
        </w:tc>
        <w:tc>
          <w:tcPr>
            <w:tcW w:w="773" w:type="dxa"/>
            <w:tcBorders>
              <w:top w:val="nil"/>
              <w:left w:val="nil"/>
              <w:bottom w:val="nil"/>
              <w:right w:val="nil"/>
            </w:tcBorders>
            <w:shd w:val="clear" w:color="auto" w:fill="auto"/>
            <w:noWrap/>
            <w:vAlign w:val="bottom"/>
          </w:tcPr>
          <w:p w14:paraId="543FAD84" w14:textId="008592B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0.885</w:t>
            </w:r>
          </w:p>
        </w:tc>
        <w:tc>
          <w:tcPr>
            <w:tcW w:w="843" w:type="dxa"/>
            <w:tcBorders>
              <w:top w:val="nil"/>
              <w:left w:val="nil"/>
              <w:bottom w:val="nil"/>
              <w:right w:val="nil"/>
            </w:tcBorders>
            <w:shd w:val="clear" w:color="auto" w:fill="auto"/>
            <w:noWrap/>
            <w:vAlign w:val="bottom"/>
          </w:tcPr>
          <w:p w14:paraId="29F08D87" w14:textId="1F5AB1E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1.054</w:t>
            </w:r>
          </w:p>
        </w:tc>
        <w:tc>
          <w:tcPr>
            <w:tcW w:w="704" w:type="dxa"/>
            <w:tcBorders>
              <w:top w:val="nil"/>
              <w:left w:val="nil"/>
              <w:bottom w:val="nil"/>
              <w:right w:val="single" w:sz="4" w:space="0" w:color="auto"/>
            </w:tcBorders>
            <w:shd w:val="clear" w:color="auto" w:fill="auto"/>
            <w:noWrap/>
            <w:vAlign w:val="bottom"/>
          </w:tcPr>
          <w:p w14:paraId="0C722F17" w14:textId="7566C31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0.693</w:t>
            </w:r>
          </w:p>
        </w:tc>
        <w:tc>
          <w:tcPr>
            <w:tcW w:w="774" w:type="dxa"/>
            <w:tcBorders>
              <w:left w:val="nil"/>
              <w:right w:val="single" w:sz="4" w:space="0" w:color="auto"/>
            </w:tcBorders>
            <w:vAlign w:val="bottom"/>
          </w:tcPr>
          <w:p w14:paraId="13853DEE" w14:textId="0256C068"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1.140</w:t>
            </w:r>
          </w:p>
        </w:tc>
        <w:tc>
          <w:tcPr>
            <w:tcW w:w="774" w:type="dxa"/>
            <w:tcBorders>
              <w:left w:val="single" w:sz="4" w:space="0" w:color="auto"/>
              <w:right w:val="single" w:sz="4" w:space="0" w:color="auto"/>
            </w:tcBorders>
            <w:vAlign w:val="bottom"/>
          </w:tcPr>
          <w:p w14:paraId="79A58C41" w14:textId="5520017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0.994</w:t>
            </w:r>
          </w:p>
        </w:tc>
        <w:tc>
          <w:tcPr>
            <w:tcW w:w="808" w:type="dxa"/>
            <w:tcBorders>
              <w:left w:val="single" w:sz="4" w:space="0" w:color="auto"/>
              <w:right w:val="single" w:sz="4" w:space="0" w:color="auto"/>
            </w:tcBorders>
            <w:vAlign w:val="bottom"/>
          </w:tcPr>
          <w:p w14:paraId="5F028DAD" w14:textId="47E5081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0.633</w:t>
            </w:r>
          </w:p>
        </w:tc>
        <w:tc>
          <w:tcPr>
            <w:tcW w:w="740" w:type="dxa"/>
            <w:tcBorders>
              <w:left w:val="single" w:sz="4" w:space="0" w:color="auto"/>
              <w:right w:val="single" w:sz="4" w:space="0" w:color="auto"/>
            </w:tcBorders>
            <w:vAlign w:val="bottom"/>
          </w:tcPr>
          <w:p w14:paraId="00020DA1" w14:textId="38749E1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1.018</w:t>
            </w:r>
          </w:p>
        </w:tc>
        <w:tc>
          <w:tcPr>
            <w:tcW w:w="880" w:type="dxa"/>
            <w:tcBorders>
              <w:left w:val="single" w:sz="4" w:space="0" w:color="auto"/>
            </w:tcBorders>
            <w:vAlign w:val="bottom"/>
          </w:tcPr>
          <w:p w14:paraId="69D17C8D" w14:textId="6CE0DD19"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0.911</w:t>
            </w:r>
          </w:p>
        </w:tc>
      </w:tr>
      <w:tr w:rsidR="001B7FAF" w:rsidRPr="00A0555D" w14:paraId="7B197A39"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97B0D9D"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10C62019" w14:textId="098EE9A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0.690</w:t>
            </w:r>
          </w:p>
        </w:tc>
        <w:tc>
          <w:tcPr>
            <w:tcW w:w="774" w:type="dxa"/>
            <w:tcBorders>
              <w:top w:val="nil"/>
              <w:left w:val="nil"/>
              <w:bottom w:val="nil"/>
              <w:right w:val="nil"/>
            </w:tcBorders>
            <w:shd w:val="clear" w:color="auto" w:fill="auto"/>
            <w:noWrap/>
            <w:vAlign w:val="bottom"/>
          </w:tcPr>
          <w:p w14:paraId="1BCA0D51" w14:textId="4AA5FF3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0.929</w:t>
            </w:r>
          </w:p>
        </w:tc>
        <w:tc>
          <w:tcPr>
            <w:tcW w:w="773" w:type="dxa"/>
            <w:tcBorders>
              <w:top w:val="nil"/>
              <w:left w:val="nil"/>
              <w:bottom w:val="nil"/>
              <w:right w:val="nil"/>
            </w:tcBorders>
            <w:shd w:val="clear" w:color="auto" w:fill="auto"/>
            <w:noWrap/>
            <w:vAlign w:val="bottom"/>
          </w:tcPr>
          <w:p w14:paraId="316D92AD" w14:textId="5D3D85A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0.668</w:t>
            </w:r>
          </w:p>
        </w:tc>
        <w:tc>
          <w:tcPr>
            <w:tcW w:w="843" w:type="dxa"/>
            <w:tcBorders>
              <w:top w:val="nil"/>
              <w:left w:val="nil"/>
              <w:bottom w:val="nil"/>
              <w:right w:val="nil"/>
            </w:tcBorders>
            <w:shd w:val="clear" w:color="auto" w:fill="auto"/>
            <w:noWrap/>
            <w:vAlign w:val="bottom"/>
          </w:tcPr>
          <w:p w14:paraId="53A0BDCE" w14:textId="1C3D1DE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0.876</w:t>
            </w:r>
          </w:p>
        </w:tc>
        <w:tc>
          <w:tcPr>
            <w:tcW w:w="704" w:type="dxa"/>
            <w:tcBorders>
              <w:top w:val="nil"/>
              <w:left w:val="nil"/>
              <w:bottom w:val="nil"/>
              <w:right w:val="single" w:sz="4" w:space="0" w:color="auto"/>
            </w:tcBorders>
            <w:shd w:val="clear" w:color="auto" w:fill="auto"/>
            <w:noWrap/>
            <w:vAlign w:val="bottom"/>
          </w:tcPr>
          <w:p w14:paraId="589E6233" w14:textId="6FAFFBC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0.739</w:t>
            </w:r>
          </w:p>
        </w:tc>
        <w:tc>
          <w:tcPr>
            <w:tcW w:w="774" w:type="dxa"/>
            <w:tcBorders>
              <w:left w:val="nil"/>
              <w:right w:val="single" w:sz="4" w:space="0" w:color="auto"/>
            </w:tcBorders>
            <w:vAlign w:val="bottom"/>
          </w:tcPr>
          <w:p w14:paraId="4F2A1A9D" w14:textId="4D5B069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1.327</w:t>
            </w:r>
          </w:p>
        </w:tc>
        <w:tc>
          <w:tcPr>
            <w:tcW w:w="774" w:type="dxa"/>
            <w:tcBorders>
              <w:left w:val="single" w:sz="4" w:space="0" w:color="auto"/>
              <w:right w:val="single" w:sz="4" w:space="0" w:color="auto"/>
            </w:tcBorders>
            <w:vAlign w:val="bottom"/>
          </w:tcPr>
          <w:p w14:paraId="1D4BDBF1" w14:textId="3818AE1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0.927</w:t>
            </w:r>
          </w:p>
        </w:tc>
        <w:tc>
          <w:tcPr>
            <w:tcW w:w="808" w:type="dxa"/>
            <w:tcBorders>
              <w:left w:val="single" w:sz="4" w:space="0" w:color="auto"/>
              <w:right w:val="single" w:sz="4" w:space="0" w:color="auto"/>
            </w:tcBorders>
            <w:vAlign w:val="bottom"/>
          </w:tcPr>
          <w:p w14:paraId="02417D67" w14:textId="25DB7D0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0.591</w:t>
            </w:r>
          </w:p>
        </w:tc>
        <w:tc>
          <w:tcPr>
            <w:tcW w:w="740" w:type="dxa"/>
            <w:tcBorders>
              <w:left w:val="single" w:sz="4" w:space="0" w:color="auto"/>
              <w:right w:val="single" w:sz="4" w:space="0" w:color="auto"/>
            </w:tcBorders>
            <w:vAlign w:val="bottom"/>
          </w:tcPr>
          <w:p w14:paraId="25748B85" w14:textId="705832C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0.961</w:t>
            </w:r>
          </w:p>
        </w:tc>
        <w:tc>
          <w:tcPr>
            <w:tcW w:w="880" w:type="dxa"/>
            <w:tcBorders>
              <w:left w:val="single" w:sz="4" w:space="0" w:color="auto"/>
            </w:tcBorders>
            <w:vAlign w:val="bottom"/>
          </w:tcPr>
          <w:p w14:paraId="03194284" w14:textId="02A025A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0.916</w:t>
            </w:r>
          </w:p>
        </w:tc>
      </w:tr>
      <w:tr w:rsidR="001B7FAF" w:rsidRPr="00A0555D" w14:paraId="7761B1E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B72C65C"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1D308653" w14:textId="54D2389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0.722</w:t>
            </w:r>
          </w:p>
        </w:tc>
        <w:tc>
          <w:tcPr>
            <w:tcW w:w="774" w:type="dxa"/>
            <w:tcBorders>
              <w:top w:val="nil"/>
              <w:left w:val="nil"/>
              <w:bottom w:val="single" w:sz="4" w:space="0" w:color="auto"/>
              <w:right w:val="nil"/>
            </w:tcBorders>
            <w:shd w:val="clear" w:color="auto" w:fill="auto"/>
            <w:noWrap/>
            <w:vAlign w:val="bottom"/>
          </w:tcPr>
          <w:p w14:paraId="699DDBE4" w14:textId="1FD1AB1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0.724</w:t>
            </w:r>
          </w:p>
        </w:tc>
        <w:tc>
          <w:tcPr>
            <w:tcW w:w="773" w:type="dxa"/>
            <w:tcBorders>
              <w:top w:val="nil"/>
              <w:left w:val="nil"/>
              <w:bottom w:val="single" w:sz="4" w:space="0" w:color="auto"/>
              <w:right w:val="nil"/>
            </w:tcBorders>
            <w:shd w:val="clear" w:color="auto" w:fill="auto"/>
            <w:noWrap/>
            <w:vAlign w:val="bottom"/>
          </w:tcPr>
          <w:p w14:paraId="6809AD71" w14:textId="499C43C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0.705</w:t>
            </w:r>
          </w:p>
        </w:tc>
        <w:tc>
          <w:tcPr>
            <w:tcW w:w="843" w:type="dxa"/>
            <w:tcBorders>
              <w:top w:val="nil"/>
              <w:left w:val="nil"/>
              <w:bottom w:val="single" w:sz="4" w:space="0" w:color="auto"/>
              <w:right w:val="nil"/>
            </w:tcBorders>
            <w:shd w:val="clear" w:color="auto" w:fill="auto"/>
            <w:noWrap/>
            <w:vAlign w:val="bottom"/>
          </w:tcPr>
          <w:p w14:paraId="564FAC4E" w14:textId="0AE00CC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0.806</w:t>
            </w:r>
          </w:p>
        </w:tc>
        <w:tc>
          <w:tcPr>
            <w:tcW w:w="704" w:type="dxa"/>
            <w:tcBorders>
              <w:top w:val="nil"/>
              <w:left w:val="nil"/>
              <w:bottom w:val="single" w:sz="4" w:space="0" w:color="auto"/>
              <w:right w:val="single" w:sz="4" w:space="0" w:color="auto"/>
            </w:tcBorders>
            <w:shd w:val="clear" w:color="auto" w:fill="auto"/>
            <w:noWrap/>
            <w:vAlign w:val="bottom"/>
          </w:tcPr>
          <w:p w14:paraId="49920786" w14:textId="5056AA3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0.692</w:t>
            </w:r>
          </w:p>
        </w:tc>
        <w:tc>
          <w:tcPr>
            <w:tcW w:w="774" w:type="dxa"/>
            <w:tcBorders>
              <w:left w:val="nil"/>
              <w:bottom w:val="single" w:sz="4" w:space="0" w:color="auto"/>
              <w:right w:val="single" w:sz="4" w:space="0" w:color="auto"/>
            </w:tcBorders>
            <w:vAlign w:val="bottom"/>
          </w:tcPr>
          <w:p w14:paraId="02377BB2" w14:textId="27CE141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0.912</w:t>
            </w:r>
          </w:p>
        </w:tc>
        <w:tc>
          <w:tcPr>
            <w:tcW w:w="774" w:type="dxa"/>
            <w:tcBorders>
              <w:left w:val="single" w:sz="4" w:space="0" w:color="auto"/>
              <w:bottom w:val="single" w:sz="4" w:space="0" w:color="auto"/>
              <w:right w:val="single" w:sz="4" w:space="0" w:color="auto"/>
            </w:tcBorders>
            <w:vAlign w:val="bottom"/>
          </w:tcPr>
          <w:p w14:paraId="2591113D" w14:textId="27E4C09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1.112</w:t>
            </w:r>
          </w:p>
        </w:tc>
        <w:tc>
          <w:tcPr>
            <w:tcW w:w="808" w:type="dxa"/>
            <w:tcBorders>
              <w:left w:val="single" w:sz="4" w:space="0" w:color="auto"/>
              <w:bottom w:val="single" w:sz="4" w:space="0" w:color="auto"/>
              <w:right w:val="single" w:sz="4" w:space="0" w:color="auto"/>
            </w:tcBorders>
            <w:vAlign w:val="bottom"/>
          </w:tcPr>
          <w:p w14:paraId="494F2622" w14:textId="0DBC663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0.586</w:t>
            </w:r>
          </w:p>
        </w:tc>
        <w:tc>
          <w:tcPr>
            <w:tcW w:w="740" w:type="dxa"/>
            <w:tcBorders>
              <w:left w:val="single" w:sz="4" w:space="0" w:color="auto"/>
              <w:bottom w:val="single" w:sz="4" w:space="0" w:color="auto"/>
              <w:right w:val="single" w:sz="4" w:space="0" w:color="auto"/>
            </w:tcBorders>
            <w:vAlign w:val="bottom"/>
          </w:tcPr>
          <w:p w14:paraId="7C76B014" w14:textId="0FA97F1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0.837</w:t>
            </w:r>
          </w:p>
        </w:tc>
        <w:tc>
          <w:tcPr>
            <w:tcW w:w="880" w:type="dxa"/>
            <w:tcBorders>
              <w:left w:val="single" w:sz="4" w:space="0" w:color="auto"/>
              <w:bottom w:val="single" w:sz="4" w:space="0" w:color="auto"/>
            </w:tcBorders>
            <w:vAlign w:val="bottom"/>
          </w:tcPr>
          <w:p w14:paraId="704DE546" w14:textId="747DFAB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0.855</w:t>
            </w:r>
          </w:p>
        </w:tc>
      </w:tr>
      <w:tr w:rsidR="001B7FAF" w:rsidRPr="00A0555D" w14:paraId="01F9C197" w14:textId="77777777" w:rsidTr="00BD0EBA">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79F3C8E8" w14:textId="77777777" w:rsidR="001B7FAF" w:rsidRPr="00A0555D" w:rsidRDefault="001B7FAF"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186F5735"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02714787"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4ED1AD28"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5CECAA54"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7E4F3E57" w14:textId="77777777" w:rsidR="001B7FAF" w:rsidRPr="00A0555D" w:rsidRDefault="001B7FAF"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41178A0A" w14:textId="77777777" w:rsidR="001B7FAF" w:rsidRPr="006016B0" w:rsidRDefault="001B7FAF"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3F1773FB" w14:textId="77777777" w:rsidR="001B7FAF" w:rsidRPr="006016B0" w:rsidRDefault="001B7FAF"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right w:val="single" w:sz="4" w:space="0" w:color="auto"/>
            </w:tcBorders>
            <w:vAlign w:val="bottom"/>
          </w:tcPr>
          <w:p w14:paraId="01C92F91" w14:textId="77777777" w:rsidR="001B7FAF" w:rsidRPr="006016B0" w:rsidRDefault="001B7FAF"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right w:val="single" w:sz="4" w:space="0" w:color="auto"/>
            </w:tcBorders>
            <w:vAlign w:val="bottom"/>
          </w:tcPr>
          <w:p w14:paraId="1E3276D0" w14:textId="77777777" w:rsidR="001B7FAF" w:rsidRPr="006016B0" w:rsidRDefault="001B7FAF"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1104D8B1" w14:textId="77777777" w:rsidR="001B7FAF" w:rsidRPr="006016B0" w:rsidRDefault="001B7FAF" w:rsidP="006016B0">
            <w:pPr>
              <w:tabs>
                <w:tab w:val="decimal" w:pos="184"/>
              </w:tabs>
              <w:spacing w:before="0" w:after="0" w:line="240" w:lineRule="auto"/>
              <w:ind w:firstLine="0"/>
              <w:rPr>
                <w:color w:val="000000"/>
                <w:sz w:val="16"/>
                <w:szCs w:val="16"/>
              </w:rPr>
            </w:pPr>
          </w:p>
        </w:tc>
      </w:tr>
      <w:tr w:rsidR="001B7FAF" w:rsidRPr="00A0555D" w14:paraId="6ED655FC"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58475AD"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25A3540E" w14:textId="3BC666D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0.650</w:t>
            </w:r>
          </w:p>
        </w:tc>
        <w:tc>
          <w:tcPr>
            <w:tcW w:w="774" w:type="dxa"/>
            <w:tcBorders>
              <w:top w:val="nil"/>
              <w:left w:val="nil"/>
              <w:bottom w:val="nil"/>
              <w:right w:val="nil"/>
            </w:tcBorders>
            <w:shd w:val="clear" w:color="auto" w:fill="auto"/>
            <w:noWrap/>
            <w:vAlign w:val="bottom"/>
          </w:tcPr>
          <w:p w14:paraId="05DC5E47" w14:textId="4564145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0.863</w:t>
            </w:r>
          </w:p>
        </w:tc>
        <w:tc>
          <w:tcPr>
            <w:tcW w:w="773" w:type="dxa"/>
            <w:tcBorders>
              <w:top w:val="nil"/>
              <w:left w:val="nil"/>
              <w:bottom w:val="nil"/>
              <w:right w:val="nil"/>
            </w:tcBorders>
            <w:shd w:val="clear" w:color="auto" w:fill="auto"/>
            <w:noWrap/>
            <w:vAlign w:val="bottom"/>
          </w:tcPr>
          <w:p w14:paraId="72197E51" w14:textId="2B6CCCA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0.720</w:t>
            </w:r>
          </w:p>
        </w:tc>
        <w:tc>
          <w:tcPr>
            <w:tcW w:w="843" w:type="dxa"/>
            <w:tcBorders>
              <w:top w:val="nil"/>
              <w:left w:val="nil"/>
              <w:bottom w:val="nil"/>
              <w:right w:val="nil"/>
            </w:tcBorders>
            <w:shd w:val="clear" w:color="auto" w:fill="auto"/>
            <w:noWrap/>
            <w:vAlign w:val="bottom"/>
          </w:tcPr>
          <w:p w14:paraId="570FCFED" w14:textId="07F32ED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0.780</w:t>
            </w:r>
          </w:p>
        </w:tc>
        <w:tc>
          <w:tcPr>
            <w:tcW w:w="704" w:type="dxa"/>
            <w:tcBorders>
              <w:top w:val="nil"/>
              <w:left w:val="nil"/>
              <w:bottom w:val="nil"/>
              <w:right w:val="single" w:sz="4" w:space="0" w:color="auto"/>
            </w:tcBorders>
            <w:shd w:val="clear" w:color="auto" w:fill="auto"/>
            <w:noWrap/>
            <w:vAlign w:val="bottom"/>
          </w:tcPr>
          <w:p w14:paraId="14A8A386" w14:textId="17585BE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0.651</w:t>
            </w:r>
          </w:p>
        </w:tc>
        <w:tc>
          <w:tcPr>
            <w:tcW w:w="774" w:type="dxa"/>
            <w:tcBorders>
              <w:left w:val="nil"/>
              <w:right w:val="single" w:sz="4" w:space="0" w:color="auto"/>
            </w:tcBorders>
            <w:vAlign w:val="bottom"/>
          </w:tcPr>
          <w:p w14:paraId="2495F8CA" w14:textId="33CA5B1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1.106</w:t>
            </w:r>
          </w:p>
        </w:tc>
        <w:tc>
          <w:tcPr>
            <w:tcW w:w="774" w:type="dxa"/>
            <w:tcBorders>
              <w:left w:val="single" w:sz="4" w:space="0" w:color="auto"/>
              <w:right w:val="single" w:sz="4" w:space="0" w:color="auto"/>
            </w:tcBorders>
            <w:vAlign w:val="bottom"/>
          </w:tcPr>
          <w:p w14:paraId="28761E33" w14:textId="7514BD8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1.127</w:t>
            </w:r>
          </w:p>
        </w:tc>
        <w:tc>
          <w:tcPr>
            <w:tcW w:w="808" w:type="dxa"/>
            <w:tcBorders>
              <w:left w:val="single" w:sz="4" w:space="0" w:color="auto"/>
              <w:right w:val="single" w:sz="4" w:space="0" w:color="auto"/>
            </w:tcBorders>
            <w:vAlign w:val="bottom"/>
          </w:tcPr>
          <w:p w14:paraId="56714293" w14:textId="37B86EF0"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0.724</w:t>
            </w:r>
          </w:p>
        </w:tc>
        <w:tc>
          <w:tcPr>
            <w:tcW w:w="740" w:type="dxa"/>
            <w:tcBorders>
              <w:left w:val="single" w:sz="4" w:space="0" w:color="auto"/>
              <w:right w:val="single" w:sz="4" w:space="0" w:color="auto"/>
            </w:tcBorders>
            <w:vAlign w:val="bottom"/>
          </w:tcPr>
          <w:p w14:paraId="5213D625" w14:textId="3984C75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0.904</w:t>
            </w:r>
          </w:p>
        </w:tc>
        <w:tc>
          <w:tcPr>
            <w:tcW w:w="880" w:type="dxa"/>
            <w:tcBorders>
              <w:left w:val="single" w:sz="4" w:space="0" w:color="auto"/>
            </w:tcBorders>
            <w:vAlign w:val="bottom"/>
          </w:tcPr>
          <w:p w14:paraId="5E0B33FD" w14:textId="35DFA8B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0.864</w:t>
            </w:r>
          </w:p>
        </w:tc>
      </w:tr>
      <w:tr w:rsidR="001B7FAF" w:rsidRPr="00A0555D" w14:paraId="6ADCF692"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FADA606"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33C70939" w14:textId="6057A3E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0.919</w:t>
            </w:r>
          </w:p>
        </w:tc>
        <w:tc>
          <w:tcPr>
            <w:tcW w:w="774" w:type="dxa"/>
            <w:tcBorders>
              <w:top w:val="nil"/>
              <w:left w:val="nil"/>
              <w:bottom w:val="nil"/>
              <w:right w:val="nil"/>
            </w:tcBorders>
            <w:shd w:val="clear" w:color="auto" w:fill="auto"/>
            <w:noWrap/>
            <w:vAlign w:val="bottom"/>
          </w:tcPr>
          <w:p w14:paraId="75B9AFC3" w14:textId="1D38D7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1.145</w:t>
            </w:r>
          </w:p>
        </w:tc>
        <w:tc>
          <w:tcPr>
            <w:tcW w:w="773" w:type="dxa"/>
            <w:tcBorders>
              <w:top w:val="nil"/>
              <w:left w:val="nil"/>
              <w:bottom w:val="nil"/>
              <w:right w:val="nil"/>
            </w:tcBorders>
            <w:shd w:val="clear" w:color="auto" w:fill="auto"/>
            <w:noWrap/>
            <w:vAlign w:val="bottom"/>
          </w:tcPr>
          <w:p w14:paraId="6F98C6CB" w14:textId="28B1F9E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0.982</w:t>
            </w:r>
          </w:p>
        </w:tc>
        <w:tc>
          <w:tcPr>
            <w:tcW w:w="843" w:type="dxa"/>
            <w:tcBorders>
              <w:top w:val="nil"/>
              <w:left w:val="nil"/>
              <w:bottom w:val="nil"/>
              <w:right w:val="nil"/>
            </w:tcBorders>
            <w:shd w:val="clear" w:color="auto" w:fill="auto"/>
            <w:noWrap/>
            <w:vAlign w:val="bottom"/>
          </w:tcPr>
          <w:p w14:paraId="530F5CCB" w14:textId="4ECC661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0.868</w:t>
            </w:r>
          </w:p>
        </w:tc>
        <w:tc>
          <w:tcPr>
            <w:tcW w:w="704" w:type="dxa"/>
            <w:tcBorders>
              <w:top w:val="nil"/>
              <w:left w:val="nil"/>
              <w:bottom w:val="nil"/>
              <w:right w:val="single" w:sz="4" w:space="0" w:color="auto"/>
            </w:tcBorders>
            <w:shd w:val="clear" w:color="auto" w:fill="auto"/>
            <w:noWrap/>
            <w:vAlign w:val="bottom"/>
          </w:tcPr>
          <w:p w14:paraId="0F67CC1D" w14:textId="127628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1.039</w:t>
            </w:r>
          </w:p>
        </w:tc>
        <w:tc>
          <w:tcPr>
            <w:tcW w:w="774" w:type="dxa"/>
            <w:tcBorders>
              <w:left w:val="nil"/>
              <w:right w:val="single" w:sz="4" w:space="0" w:color="auto"/>
            </w:tcBorders>
            <w:vAlign w:val="bottom"/>
          </w:tcPr>
          <w:p w14:paraId="1C0E2B63" w14:textId="59FE5DA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0.987</w:t>
            </w:r>
          </w:p>
        </w:tc>
        <w:tc>
          <w:tcPr>
            <w:tcW w:w="774" w:type="dxa"/>
            <w:tcBorders>
              <w:left w:val="single" w:sz="4" w:space="0" w:color="auto"/>
              <w:right w:val="single" w:sz="4" w:space="0" w:color="auto"/>
            </w:tcBorders>
            <w:vAlign w:val="bottom"/>
          </w:tcPr>
          <w:p w14:paraId="66A326F1" w14:textId="0E5C6F0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1.138</w:t>
            </w:r>
          </w:p>
        </w:tc>
        <w:tc>
          <w:tcPr>
            <w:tcW w:w="808" w:type="dxa"/>
            <w:tcBorders>
              <w:left w:val="single" w:sz="4" w:space="0" w:color="auto"/>
              <w:right w:val="single" w:sz="4" w:space="0" w:color="auto"/>
            </w:tcBorders>
            <w:vAlign w:val="bottom"/>
          </w:tcPr>
          <w:p w14:paraId="1C19CB50" w14:textId="0B1BDD00"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0.907</w:t>
            </w:r>
          </w:p>
        </w:tc>
        <w:tc>
          <w:tcPr>
            <w:tcW w:w="740" w:type="dxa"/>
            <w:tcBorders>
              <w:left w:val="single" w:sz="4" w:space="0" w:color="auto"/>
              <w:right w:val="single" w:sz="4" w:space="0" w:color="auto"/>
            </w:tcBorders>
            <w:vAlign w:val="bottom"/>
          </w:tcPr>
          <w:p w14:paraId="249974C9" w14:textId="46F9F5B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0.978</w:t>
            </w:r>
          </w:p>
        </w:tc>
        <w:tc>
          <w:tcPr>
            <w:tcW w:w="880" w:type="dxa"/>
            <w:tcBorders>
              <w:left w:val="single" w:sz="4" w:space="0" w:color="auto"/>
            </w:tcBorders>
            <w:vAlign w:val="bottom"/>
          </w:tcPr>
          <w:p w14:paraId="2E2209C1" w14:textId="7E54F1A1"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0.954</w:t>
            </w:r>
          </w:p>
        </w:tc>
      </w:tr>
      <w:tr w:rsidR="001B7FAF" w:rsidRPr="00A0555D" w14:paraId="208371E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9EC277D"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33B3C858" w14:textId="1BC6A08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1.038</w:t>
            </w:r>
          </w:p>
        </w:tc>
        <w:tc>
          <w:tcPr>
            <w:tcW w:w="774" w:type="dxa"/>
            <w:tcBorders>
              <w:top w:val="nil"/>
              <w:left w:val="nil"/>
              <w:bottom w:val="nil"/>
              <w:right w:val="nil"/>
            </w:tcBorders>
            <w:shd w:val="clear" w:color="auto" w:fill="auto"/>
            <w:noWrap/>
            <w:vAlign w:val="bottom"/>
          </w:tcPr>
          <w:p w14:paraId="13199AF5" w14:textId="2E0847C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1.307</w:t>
            </w:r>
          </w:p>
        </w:tc>
        <w:tc>
          <w:tcPr>
            <w:tcW w:w="773" w:type="dxa"/>
            <w:tcBorders>
              <w:top w:val="nil"/>
              <w:left w:val="nil"/>
              <w:bottom w:val="nil"/>
              <w:right w:val="nil"/>
            </w:tcBorders>
            <w:shd w:val="clear" w:color="auto" w:fill="auto"/>
            <w:noWrap/>
            <w:vAlign w:val="bottom"/>
          </w:tcPr>
          <w:p w14:paraId="585A6B50" w14:textId="0EB7ACF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0.991</w:t>
            </w:r>
          </w:p>
        </w:tc>
        <w:tc>
          <w:tcPr>
            <w:tcW w:w="843" w:type="dxa"/>
            <w:tcBorders>
              <w:top w:val="nil"/>
              <w:left w:val="nil"/>
              <w:bottom w:val="nil"/>
              <w:right w:val="nil"/>
            </w:tcBorders>
            <w:shd w:val="clear" w:color="auto" w:fill="auto"/>
            <w:noWrap/>
            <w:vAlign w:val="bottom"/>
          </w:tcPr>
          <w:p w14:paraId="1FD3D2C0" w14:textId="37732E4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1.012</w:t>
            </w:r>
          </w:p>
        </w:tc>
        <w:tc>
          <w:tcPr>
            <w:tcW w:w="704" w:type="dxa"/>
            <w:tcBorders>
              <w:top w:val="nil"/>
              <w:left w:val="nil"/>
              <w:bottom w:val="nil"/>
              <w:right w:val="single" w:sz="4" w:space="0" w:color="auto"/>
            </w:tcBorders>
            <w:shd w:val="clear" w:color="auto" w:fill="auto"/>
            <w:noWrap/>
            <w:vAlign w:val="bottom"/>
          </w:tcPr>
          <w:p w14:paraId="1C48DECD" w14:textId="58C2927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0.947</w:t>
            </w:r>
          </w:p>
        </w:tc>
        <w:tc>
          <w:tcPr>
            <w:tcW w:w="774" w:type="dxa"/>
            <w:tcBorders>
              <w:left w:val="nil"/>
              <w:right w:val="single" w:sz="4" w:space="0" w:color="auto"/>
            </w:tcBorders>
            <w:vAlign w:val="bottom"/>
          </w:tcPr>
          <w:p w14:paraId="32982A27" w14:textId="3B7995B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1.197</w:t>
            </w:r>
          </w:p>
        </w:tc>
        <w:tc>
          <w:tcPr>
            <w:tcW w:w="774" w:type="dxa"/>
            <w:tcBorders>
              <w:left w:val="single" w:sz="4" w:space="0" w:color="auto"/>
              <w:right w:val="single" w:sz="4" w:space="0" w:color="auto"/>
            </w:tcBorders>
            <w:vAlign w:val="bottom"/>
          </w:tcPr>
          <w:p w14:paraId="1295DF2E" w14:textId="4270F641"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1.141</w:t>
            </w:r>
          </w:p>
        </w:tc>
        <w:tc>
          <w:tcPr>
            <w:tcW w:w="808" w:type="dxa"/>
            <w:tcBorders>
              <w:left w:val="single" w:sz="4" w:space="0" w:color="auto"/>
              <w:right w:val="single" w:sz="4" w:space="0" w:color="auto"/>
            </w:tcBorders>
            <w:vAlign w:val="bottom"/>
          </w:tcPr>
          <w:p w14:paraId="1A9FA65B" w14:textId="02A3E99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0.890</w:t>
            </w:r>
          </w:p>
        </w:tc>
        <w:tc>
          <w:tcPr>
            <w:tcW w:w="740" w:type="dxa"/>
            <w:tcBorders>
              <w:left w:val="single" w:sz="4" w:space="0" w:color="auto"/>
              <w:right w:val="single" w:sz="4" w:space="0" w:color="auto"/>
            </w:tcBorders>
            <w:vAlign w:val="bottom"/>
          </w:tcPr>
          <w:p w14:paraId="79BD9ED6" w14:textId="6546093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1.123</w:t>
            </w:r>
          </w:p>
        </w:tc>
        <w:tc>
          <w:tcPr>
            <w:tcW w:w="880" w:type="dxa"/>
            <w:tcBorders>
              <w:left w:val="single" w:sz="4" w:space="0" w:color="auto"/>
            </w:tcBorders>
            <w:vAlign w:val="bottom"/>
          </w:tcPr>
          <w:p w14:paraId="7A837744" w14:textId="4ADD8E3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0.914</w:t>
            </w:r>
          </w:p>
        </w:tc>
      </w:tr>
      <w:tr w:rsidR="001B7FAF" w:rsidRPr="00A0555D" w14:paraId="36CEB1C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DB56AA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63CA8527" w14:textId="30A63DD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0.802</w:t>
            </w:r>
          </w:p>
        </w:tc>
        <w:tc>
          <w:tcPr>
            <w:tcW w:w="774" w:type="dxa"/>
            <w:tcBorders>
              <w:top w:val="nil"/>
              <w:left w:val="nil"/>
              <w:bottom w:val="nil"/>
              <w:right w:val="nil"/>
            </w:tcBorders>
            <w:shd w:val="clear" w:color="auto" w:fill="auto"/>
            <w:noWrap/>
            <w:vAlign w:val="bottom"/>
          </w:tcPr>
          <w:p w14:paraId="6B631164" w14:textId="749EEA6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1.055</w:t>
            </w:r>
          </w:p>
        </w:tc>
        <w:tc>
          <w:tcPr>
            <w:tcW w:w="773" w:type="dxa"/>
            <w:tcBorders>
              <w:top w:val="nil"/>
              <w:left w:val="nil"/>
              <w:bottom w:val="nil"/>
              <w:right w:val="nil"/>
            </w:tcBorders>
            <w:shd w:val="clear" w:color="auto" w:fill="auto"/>
            <w:noWrap/>
            <w:vAlign w:val="bottom"/>
          </w:tcPr>
          <w:p w14:paraId="529F1C91" w14:textId="0F93129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0.868</w:t>
            </w:r>
          </w:p>
        </w:tc>
        <w:tc>
          <w:tcPr>
            <w:tcW w:w="843" w:type="dxa"/>
            <w:tcBorders>
              <w:top w:val="nil"/>
              <w:left w:val="nil"/>
              <w:bottom w:val="nil"/>
              <w:right w:val="nil"/>
            </w:tcBorders>
            <w:shd w:val="clear" w:color="auto" w:fill="auto"/>
            <w:noWrap/>
            <w:vAlign w:val="bottom"/>
          </w:tcPr>
          <w:p w14:paraId="3D17CE9A" w14:textId="183DD67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1.035</w:t>
            </w:r>
          </w:p>
        </w:tc>
        <w:tc>
          <w:tcPr>
            <w:tcW w:w="704" w:type="dxa"/>
            <w:tcBorders>
              <w:top w:val="nil"/>
              <w:left w:val="nil"/>
              <w:bottom w:val="nil"/>
              <w:right w:val="single" w:sz="4" w:space="0" w:color="auto"/>
            </w:tcBorders>
            <w:shd w:val="clear" w:color="auto" w:fill="auto"/>
            <w:noWrap/>
            <w:vAlign w:val="bottom"/>
          </w:tcPr>
          <w:p w14:paraId="555DC150" w14:textId="175A883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0.770</w:t>
            </w:r>
          </w:p>
        </w:tc>
        <w:tc>
          <w:tcPr>
            <w:tcW w:w="774" w:type="dxa"/>
            <w:tcBorders>
              <w:left w:val="nil"/>
              <w:right w:val="single" w:sz="4" w:space="0" w:color="auto"/>
            </w:tcBorders>
            <w:vAlign w:val="bottom"/>
          </w:tcPr>
          <w:p w14:paraId="08CDEBF6" w14:textId="0728D47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774" w:type="dxa"/>
            <w:tcBorders>
              <w:left w:val="single" w:sz="4" w:space="0" w:color="auto"/>
              <w:right w:val="single" w:sz="4" w:space="0" w:color="auto"/>
            </w:tcBorders>
            <w:vAlign w:val="bottom"/>
          </w:tcPr>
          <w:p w14:paraId="5EE2044C" w14:textId="446C9AD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1.133</w:t>
            </w:r>
          </w:p>
        </w:tc>
        <w:tc>
          <w:tcPr>
            <w:tcW w:w="808" w:type="dxa"/>
            <w:tcBorders>
              <w:left w:val="single" w:sz="4" w:space="0" w:color="auto"/>
              <w:right w:val="single" w:sz="4" w:space="0" w:color="auto"/>
            </w:tcBorders>
            <w:vAlign w:val="bottom"/>
          </w:tcPr>
          <w:p w14:paraId="1FCBBFD6" w14:textId="157C5B3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0.904</w:t>
            </w:r>
          </w:p>
        </w:tc>
        <w:tc>
          <w:tcPr>
            <w:tcW w:w="740" w:type="dxa"/>
            <w:tcBorders>
              <w:left w:val="single" w:sz="4" w:space="0" w:color="auto"/>
              <w:right w:val="single" w:sz="4" w:space="0" w:color="auto"/>
            </w:tcBorders>
            <w:vAlign w:val="bottom"/>
          </w:tcPr>
          <w:p w14:paraId="668B419E" w14:textId="5EC3CFD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0.909</w:t>
            </w:r>
          </w:p>
        </w:tc>
        <w:tc>
          <w:tcPr>
            <w:tcW w:w="880" w:type="dxa"/>
            <w:tcBorders>
              <w:left w:val="single" w:sz="4" w:space="0" w:color="auto"/>
            </w:tcBorders>
            <w:vAlign w:val="bottom"/>
          </w:tcPr>
          <w:p w14:paraId="0761322E" w14:textId="1908CE1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0.927</w:t>
            </w:r>
          </w:p>
        </w:tc>
      </w:tr>
      <w:tr w:rsidR="001B7FAF" w:rsidRPr="00A0555D" w14:paraId="7E6F2A41"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286F96F"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7F1BDE81" w14:textId="01D7D6B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0.943</w:t>
            </w:r>
          </w:p>
        </w:tc>
        <w:tc>
          <w:tcPr>
            <w:tcW w:w="774" w:type="dxa"/>
            <w:tcBorders>
              <w:top w:val="nil"/>
              <w:left w:val="nil"/>
              <w:bottom w:val="nil"/>
              <w:right w:val="nil"/>
            </w:tcBorders>
            <w:shd w:val="clear" w:color="auto" w:fill="auto"/>
            <w:noWrap/>
            <w:vAlign w:val="bottom"/>
          </w:tcPr>
          <w:p w14:paraId="6B33EA21" w14:textId="5054524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1.290</w:t>
            </w:r>
          </w:p>
        </w:tc>
        <w:tc>
          <w:tcPr>
            <w:tcW w:w="773" w:type="dxa"/>
            <w:tcBorders>
              <w:top w:val="nil"/>
              <w:left w:val="nil"/>
              <w:bottom w:val="nil"/>
              <w:right w:val="nil"/>
            </w:tcBorders>
            <w:shd w:val="clear" w:color="auto" w:fill="auto"/>
            <w:noWrap/>
            <w:vAlign w:val="bottom"/>
          </w:tcPr>
          <w:p w14:paraId="41A9EA27" w14:textId="4DE5C2B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0.986</w:t>
            </w:r>
          </w:p>
        </w:tc>
        <w:tc>
          <w:tcPr>
            <w:tcW w:w="843" w:type="dxa"/>
            <w:tcBorders>
              <w:top w:val="nil"/>
              <w:left w:val="nil"/>
              <w:bottom w:val="nil"/>
              <w:right w:val="nil"/>
            </w:tcBorders>
            <w:shd w:val="clear" w:color="auto" w:fill="auto"/>
            <w:noWrap/>
            <w:vAlign w:val="bottom"/>
          </w:tcPr>
          <w:p w14:paraId="2E889EE1" w14:textId="026CC60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0.958</w:t>
            </w:r>
          </w:p>
        </w:tc>
        <w:tc>
          <w:tcPr>
            <w:tcW w:w="704" w:type="dxa"/>
            <w:tcBorders>
              <w:top w:val="nil"/>
              <w:left w:val="nil"/>
              <w:bottom w:val="nil"/>
              <w:right w:val="single" w:sz="4" w:space="0" w:color="auto"/>
            </w:tcBorders>
            <w:shd w:val="clear" w:color="auto" w:fill="auto"/>
            <w:noWrap/>
            <w:vAlign w:val="bottom"/>
          </w:tcPr>
          <w:p w14:paraId="4A43E6DE" w14:textId="21F677B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0.995</w:t>
            </w:r>
          </w:p>
        </w:tc>
        <w:tc>
          <w:tcPr>
            <w:tcW w:w="774" w:type="dxa"/>
            <w:tcBorders>
              <w:left w:val="nil"/>
              <w:right w:val="single" w:sz="4" w:space="0" w:color="auto"/>
            </w:tcBorders>
            <w:vAlign w:val="bottom"/>
          </w:tcPr>
          <w:p w14:paraId="29FCB747" w14:textId="075BEB59"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1.141</w:t>
            </w:r>
          </w:p>
        </w:tc>
        <w:tc>
          <w:tcPr>
            <w:tcW w:w="774" w:type="dxa"/>
            <w:tcBorders>
              <w:left w:val="single" w:sz="4" w:space="0" w:color="auto"/>
              <w:right w:val="single" w:sz="4" w:space="0" w:color="auto"/>
            </w:tcBorders>
            <w:vAlign w:val="bottom"/>
          </w:tcPr>
          <w:p w14:paraId="5F0FF675" w14:textId="6C60787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1.062</w:t>
            </w:r>
          </w:p>
        </w:tc>
        <w:tc>
          <w:tcPr>
            <w:tcW w:w="808" w:type="dxa"/>
            <w:tcBorders>
              <w:left w:val="single" w:sz="4" w:space="0" w:color="auto"/>
              <w:right w:val="single" w:sz="4" w:space="0" w:color="auto"/>
            </w:tcBorders>
            <w:vAlign w:val="bottom"/>
          </w:tcPr>
          <w:p w14:paraId="026ED447" w14:textId="4BFA63D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0.927</w:t>
            </w:r>
          </w:p>
        </w:tc>
        <w:tc>
          <w:tcPr>
            <w:tcW w:w="740" w:type="dxa"/>
            <w:tcBorders>
              <w:left w:val="single" w:sz="4" w:space="0" w:color="auto"/>
              <w:right w:val="single" w:sz="4" w:space="0" w:color="auto"/>
            </w:tcBorders>
            <w:vAlign w:val="bottom"/>
          </w:tcPr>
          <w:p w14:paraId="70D25F3D" w14:textId="5FD51DA0"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1.053</w:t>
            </w:r>
          </w:p>
        </w:tc>
        <w:tc>
          <w:tcPr>
            <w:tcW w:w="880" w:type="dxa"/>
            <w:tcBorders>
              <w:left w:val="single" w:sz="4" w:space="0" w:color="auto"/>
            </w:tcBorders>
            <w:vAlign w:val="bottom"/>
          </w:tcPr>
          <w:p w14:paraId="519C90E3" w14:textId="0DDE59E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0.953</w:t>
            </w:r>
          </w:p>
        </w:tc>
      </w:tr>
      <w:tr w:rsidR="001B7FAF" w:rsidRPr="00A0555D" w14:paraId="6194FBB5"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09B4FEFF"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7FA72804" w14:textId="262B66B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0.793</w:t>
            </w:r>
          </w:p>
        </w:tc>
        <w:tc>
          <w:tcPr>
            <w:tcW w:w="774" w:type="dxa"/>
            <w:tcBorders>
              <w:top w:val="nil"/>
              <w:left w:val="nil"/>
              <w:bottom w:val="single" w:sz="4" w:space="0" w:color="auto"/>
              <w:right w:val="nil"/>
            </w:tcBorders>
            <w:shd w:val="clear" w:color="auto" w:fill="auto"/>
            <w:noWrap/>
            <w:vAlign w:val="bottom"/>
          </w:tcPr>
          <w:p w14:paraId="4AB7282D" w14:textId="6A0FF04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0.991</w:t>
            </w:r>
          </w:p>
        </w:tc>
        <w:tc>
          <w:tcPr>
            <w:tcW w:w="773" w:type="dxa"/>
            <w:tcBorders>
              <w:top w:val="nil"/>
              <w:left w:val="nil"/>
              <w:bottom w:val="single" w:sz="4" w:space="0" w:color="auto"/>
              <w:right w:val="nil"/>
            </w:tcBorders>
            <w:shd w:val="clear" w:color="auto" w:fill="auto"/>
            <w:noWrap/>
            <w:vAlign w:val="bottom"/>
          </w:tcPr>
          <w:p w14:paraId="6F8D1099" w14:textId="00822C1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0.780</w:t>
            </w:r>
          </w:p>
        </w:tc>
        <w:tc>
          <w:tcPr>
            <w:tcW w:w="843" w:type="dxa"/>
            <w:tcBorders>
              <w:top w:val="nil"/>
              <w:left w:val="nil"/>
              <w:bottom w:val="single" w:sz="4" w:space="0" w:color="auto"/>
              <w:right w:val="nil"/>
            </w:tcBorders>
            <w:shd w:val="clear" w:color="auto" w:fill="auto"/>
            <w:noWrap/>
            <w:vAlign w:val="bottom"/>
          </w:tcPr>
          <w:p w14:paraId="11C2BE03" w14:textId="1CE3173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0.903</w:t>
            </w:r>
          </w:p>
        </w:tc>
        <w:tc>
          <w:tcPr>
            <w:tcW w:w="704" w:type="dxa"/>
            <w:tcBorders>
              <w:top w:val="nil"/>
              <w:left w:val="nil"/>
              <w:bottom w:val="single" w:sz="4" w:space="0" w:color="auto"/>
              <w:right w:val="single" w:sz="4" w:space="0" w:color="auto"/>
            </w:tcBorders>
            <w:shd w:val="clear" w:color="auto" w:fill="auto"/>
            <w:noWrap/>
            <w:vAlign w:val="bottom"/>
          </w:tcPr>
          <w:p w14:paraId="77003973" w14:textId="4EFEB28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0.883</w:t>
            </w:r>
          </w:p>
        </w:tc>
        <w:tc>
          <w:tcPr>
            <w:tcW w:w="774" w:type="dxa"/>
            <w:tcBorders>
              <w:left w:val="nil"/>
              <w:bottom w:val="single" w:sz="4" w:space="0" w:color="auto"/>
              <w:right w:val="single" w:sz="4" w:space="0" w:color="auto"/>
            </w:tcBorders>
            <w:vAlign w:val="bottom"/>
          </w:tcPr>
          <w:p w14:paraId="5EA8F21A" w14:textId="1C13118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0.973</w:t>
            </w:r>
          </w:p>
        </w:tc>
        <w:tc>
          <w:tcPr>
            <w:tcW w:w="774" w:type="dxa"/>
            <w:tcBorders>
              <w:left w:val="single" w:sz="4" w:space="0" w:color="auto"/>
              <w:bottom w:val="single" w:sz="4" w:space="0" w:color="auto"/>
              <w:right w:val="single" w:sz="4" w:space="0" w:color="auto"/>
            </w:tcBorders>
            <w:vAlign w:val="bottom"/>
          </w:tcPr>
          <w:p w14:paraId="125CBD12" w14:textId="229490E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1.109</w:t>
            </w:r>
          </w:p>
        </w:tc>
        <w:tc>
          <w:tcPr>
            <w:tcW w:w="808" w:type="dxa"/>
            <w:tcBorders>
              <w:left w:val="single" w:sz="4" w:space="0" w:color="auto"/>
              <w:bottom w:val="single" w:sz="4" w:space="0" w:color="auto"/>
              <w:right w:val="single" w:sz="4" w:space="0" w:color="auto"/>
            </w:tcBorders>
            <w:vAlign w:val="bottom"/>
          </w:tcPr>
          <w:p w14:paraId="0ACE050E" w14:textId="3888E45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0.859</w:t>
            </w:r>
          </w:p>
        </w:tc>
        <w:tc>
          <w:tcPr>
            <w:tcW w:w="740" w:type="dxa"/>
            <w:tcBorders>
              <w:left w:val="single" w:sz="4" w:space="0" w:color="auto"/>
              <w:bottom w:val="single" w:sz="4" w:space="0" w:color="auto"/>
              <w:right w:val="single" w:sz="4" w:space="0" w:color="auto"/>
            </w:tcBorders>
            <w:vAlign w:val="bottom"/>
          </w:tcPr>
          <w:p w14:paraId="1CA48F54" w14:textId="76AC83F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0.903</w:t>
            </w:r>
          </w:p>
        </w:tc>
        <w:tc>
          <w:tcPr>
            <w:tcW w:w="880" w:type="dxa"/>
            <w:tcBorders>
              <w:left w:val="single" w:sz="4" w:space="0" w:color="auto"/>
              <w:bottom w:val="single" w:sz="4" w:space="0" w:color="auto"/>
            </w:tcBorders>
            <w:vAlign w:val="bottom"/>
          </w:tcPr>
          <w:p w14:paraId="701B478E" w14:textId="534F9AE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0.932</w:t>
            </w:r>
          </w:p>
        </w:tc>
      </w:tr>
      <w:tr w:rsidR="001B7FAF" w:rsidRPr="00A0555D" w14:paraId="4732A1AF" w14:textId="77777777" w:rsidTr="00BD0EBA">
        <w:trPr>
          <w:trHeight w:val="144"/>
        </w:trPr>
        <w:tc>
          <w:tcPr>
            <w:tcW w:w="5474" w:type="dxa"/>
            <w:gridSpan w:val="6"/>
            <w:tcBorders>
              <w:top w:val="single" w:sz="4" w:space="0" w:color="auto"/>
            </w:tcBorders>
            <w:shd w:val="clear" w:color="auto" w:fill="auto"/>
            <w:noWrap/>
            <w:vAlign w:val="bottom"/>
            <w:hideMark/>
          </w:tcPr>
          <w:p w14:paraId="2B8948F7" w14:textId="77777777" w:rsidR="001B7FAF" w:rsidRPr="009355EE" w:rsidRDefault="001B7FAF"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4CC0E905" w14:textId="77777777" w:rsidR="001B7FAF" w:rsidRPr="006016B0" w:rsidRDefault="001B7FAF"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FB854FD" w14:textId="77777777" w:rsidR="001B7FAF" w:rsidRPr="006016B0" w:rsidRDefault="001B7FAF"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7DA11E29" w14:textId="77777777" w:rsidR="001B7FAF" w:rsidRPr="006016B0" w:rsidRDefault="001B7FAF"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290F0A33" w14:textId="77777777" w:rsidR="001B7FAF" w:rsidRPr="006016B0" w:rsidRDefault="001B7FAF"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41071162" w14:textId="77777777" w:rsidR="001B7FAF" w:rsidRPr="006016B0" w:rsidRDefault="001B7FAF" w:rsidP="006016B0">
            <w:pPr>
              <w:tabs>
                <w:tab w:val="decimal" w:pos="184"/>
              </w:tabs>
              <w:spacing w:before="0" w:after="0" w:line="240" w:lineRule="auto"/>
              <w:ind w:firstLine="0"/>
              <w:rPr>
                <w:color w:val="000000"/>
                <w:sz w:val="16"/>
                <w:szCs w:val="16"/>
              </w:rPr>
            </w:pPr>
          </w:p>
        </w:tc>
      </w:tr>
      <w:tr w:rsidR="001B7FAF" w:rsidRPr="00A0555D" w14:paraId="5C7D80AA"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7C71A28B"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2E75A4E2" w14:textId="68E74C8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4" w:type="dxa"/>
            <w:tcBorders>
              <w:left w:val="nil"/>
              <w:bottom w:val="nil"/>
              <w:right w:val="nil"/>
            </w:tcBorders>
            <w:shd w:val="clear" w:color="auto" w:fill="auto"/>
            <w:noWrap/>
            <w:vAlign w:val="bottom"/>
          </w:tcPr>
          <w:p w14:paraId="72434BA3" w14:textId="0C70874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1.012</w:t>
            </w:r>
          </w:p>
        </w:tc>
        <w:tc>
          <w:tcPr>
            <w:tcW w:w="773" w:type="dxa"/>
            <w:tcBorders>
              <w:left w:val="nil"/>
              <w:bottom w:val="nil"/>
              <w:right w:val="nil"/>
            </w:tcBorders>
            <w:shd w:val="clear" w:color="auto" w:fill="auto"/>
            <w:noWrap/>
            <w:vAlign w:val="bottom"/>
          </w:tcPr>
          <w:p w14:paraId="1AB9AEBE" w14:textId="54018DC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843" w:type="dxa"/>
            <w:tcBorders>
              <w:left w:val="nil"/>
              <w:bottom w:val="nil"/>
              <w:right w:val="nil"/>
            </w:tcBorders>
            <w:shd w:val="clear" w:color="auto" w:fill="auto"/>
            <w:noWrap/>
            <w:vAlign w:val="bottom"/>
          </w:tcPr>
          <w:p w14:paraId="607172AF" w14:textId="5AA8B18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04" w:type="dxa"/>
            <w:tcBorders>
              <w:left w:val="nil"/>
              <w:bottom w:val="nil"/>
              <w:right w:val="single" w:sz="4" w:space="0" w:color="auto"/>
            </w:tcBorders>
            <w:shd w:val="clear" w:color="auto" w:fill="auto"/>
            <w:noWrap/>
            <w:vAlign w:val="bottom"/>
          </w:tcPr>
          <w:p w14:paraId="7B497E3C" w14:textId="14AE942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0.986</w:t>
            </w:r>
          </w:p>
        </w:tc>
        <w:tc>
          <w:tcPr>
            <w:tcW w:w="774" w:type="dxa"/>
            <w:tcBorders>
              <w:left w:val="nil"/>
              <w:right w:val="single" w:sz="4" w:space="0" w:color="auto"/>
            </w:tcBorders>
            <w:vAlign w:val="bottom"/>
          </w:tcPr>
          <w:p w14:paraId="4D7CBBC2" w14:textId="08758FE8"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1.012</w:t>
            </w:r>
          </w:p>
        </w:tc>
        <w:tc>
          <w:tcPr>
            <w:tcW w:w="774" w:type="dxa"/>
            <w:tcBorders>
              <w:left w:val="single" w:sz="4" w:space="0" w:color="auto"/>
              <w:right w:val="single" w:sz="4" w:space="0" w:color="auto"/>
            </w:tcBorders>
            <w:vAlign w:val="bottom"/>
          </w:tcPr>
          <w:p w14:paraId="453BD3F9" w14:textId="211E698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808" w:type="dxa"/>
            <w:tcBorders>
              <w:left w:val="single" w:sz="4" w:space="0" w:color="auto"/>
              <w:right w:val="single" w:sz="4" w:space="0" w:color="auto"/>
            </w:tcBorders>
            <w:vAlign w:val="bottom"/>
          </w:tcPr>
          <w:p w14:paraId="233FD0C6" w14:textId="26C46838"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1.001</w:t>
            </w:r>
          </w:p>
        </w:tc>
        <w:tc>
          <w:tcPr>
            <w:tcW w:w="740" w:type="dxa"/>
            <w:tcBorders>
              <w:left w:val="single" w:sz="4" w:space="0" w:color="auto"/>
              <w:right w:val="single" w:sz="4" w:space="0" w:color="auto"/>
            </w:tcBorders>
            <w:vAlign w:val="bottom"/>
          </w:tcPr>
          <w:p w14:paraId="6239032F" w14:textId="57DEFAF1"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880" w:type="dxa"/>
            <w:tcBorders>
              <w:left w:val="single" w:sz="4" w:space="0" w:color="auto"/>
            </w:tcBorders>
            <w:vAlign w:val="bottom"/>
          </w:tcPr>
          <w:p w14:paraId="403C1850" w14:textId="204DDE2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0.924</w:t>
            </w:r>
          </w:p>
        </w:tc>
      </w:tr>
      <w:tr w:rsidR="001B7FAF" w:rsidRPr="00A0555D" w14:paraId="0DD65900"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5BDDE29"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7000B404" w14:textId="66500F2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774" w:type="dxa"/>
            <w:tcBorders>
              <w:top w:val="nil"/>
              <w:left w:val="nil"/>
              <w:bottom w:val="nil"/>
              <w:right w:val="nil"/>
            </w:tcBorders>
            <w:shd w:val="clear" w:color="auto" w:fill="auto"/>
            <w:noWrap/>
            <w:vAlign w:val="bottom"/>
          </w:tcPr>
          <w:p w14:paraId="6606F796" w14:textId="2863141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0.996</w:t>
            </w:r>
          </w:p>
        </w:tc>
        <w:tc>
          <w:tcPr>
            <w:tcW w:w="773" w:type="dxa"/>
            <w:tcBorders>
              <w:top w:val="nil"/>
              <w:left w:val="nil"/>
              <w:bottom w:val="nil"/>
              <w:right w:val="nil"/>
            </w:tcBorders>
            <w:shd w:val="clear" w:color="auto" w:fill="auto"/>
            <w:noWrap/>
            <w:vAlign w:val="bottom"/>
          </w:tcPr>
          <w:p w14:paraId="34551254" w14:textId="7C0712B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843" w:type="dxa"/>
            <w:tcBorders>
              <w:top w:val="nil"/>
              <w:left w:val="nil"/>
              <w:bottom w:val="nil"/>
              <w:right w:val="nil"/>
            </w:tcBorders>
            <w:shd w:val="clear" w:color="auto" w:fill="auto"/>
            <w:noWrap/>
            <w:vAlign w:val="bottom"/>
          </w:tcPr>
          <w:p w14:paraId="3EACFC61" w14:textId="3665FE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1.002</w:t>
            </w:r>
          </w:p>
        </w:tc>
        <w:tc>
          <w:tcPr>
            <w:tcW w:w="704" w:type="dxa"/>
            <w:tcBorders>
              <w:top w:val="nil"/>
              <w:left w:val="nil"/>
              <w:bottom w:val="nil"/>
              <w:right w:val="single" w:sz="4" w:space="0" w:color="auto"/>
            </w:tcBorders>
            <w:shd w:val="clear" w:color="auto" w:fill="auto"/>
            <w:noWrap/>
            <w:vAlign w:val="bottom"/>
          </w:tcPr>
          <w:p w14:paraId="0D5AE33E" w14:textId="01E33BA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774" w:type="dxa"/>
            <w:tcBorders>
              <w:left w:val="nil"/>
              <w:right w:val="single" w:sz="4" w:space="0" w:color="auto"/>
            </w:tcBorders>
            <w:vAlign w:val="bottom"/>
          </w:tcPr>
          <w:p w14:paraId="72CC785E" w14:textId="0574DDC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1.006</w:t>
            </w:r>
          </w:p>
        </w:tc>
        <w:tc>
          <w:tcPr>
            <w:tcW w:w="774" w:type="dxa"/>
            <w:tcBorders>
              <w:left w:val="single" w:sz="4" w:space="0" w:color="auto"/>
              <w:right w:val="single" w:sz="4" w:space="0" w:color="auto"/>
            </w:tcBorders>
            <w:vAlign w:val="bottom"/>
          </w:tcPr>
          <w:p w14:paraId="2932ACDB" w14:textId="6F6DAA4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0.986</w:t>
            </w:r>
          </w:p>
        </w:tc>
        <w:tc>
          <w:tcPr>
            <w:tcW w:w="808" w:type="dxa"/>
            <w:tcBorders>
              <w:left w:val="single" w:sz="4" w:space="0" w:color="auto"/>
              <w:right w:val="single" w:sz="4" w:space="0" w:color="auto"/>
            </w:tcBorders>
            <w:vAlign w:val="bottom"/>
          </w:tcPr>
          <w:p w14:paraId="181E0708" w14:textId="5D2B894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1.006</w:t>
            </w:r>
          </w:p>
        </w:tc>
        <w:tc>
          <w:tcPr>
            <w:tcW w:w="740" w:type="dxa"/>
            <w:tcBorders>
              <w:left w:val="single" w:sz="4" w:space="0" w:color="auto"/>
              <w:right w:val="single" w:sz="4" w:space="0" w:color="auto"/>
            </w:tcBorders>
            <w:vAlign w:val="bottom"/>
          </w:tcPr>
          <w:p w14:paraId="53007D98" w14:textId="6A3F668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1.001</w:t>
            </w:r>
          </w:p>
        </w:tc>
        <w:tc>
          <w:tcPr>
            <w:tcW w:w="880" w:type="dxa"/>
            <w:tcBorders>
              <w:left w:val="single" w:sz="4" w:space="0" w:color="auto"/>
            </w:tcBorders>
            <w:vAlign w:val="bottom"/>
          </w:tcPr>
          <w:p w14:paraId="54DF1931" w14:textId="1D4E1AA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0.897</w:t>
            </w:r>
          </w:p>
        </w:tc>
      </w:tr>
      <w:tr w:rsidR="001B7FAF" w:rsidRPr="00A0555D" w14:paraId="441C139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3211390"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56F86EDA" w14:textId="5861FE1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4" w:type="dxa"/>
            <w:tcBorders>
              <w:top w:val="nil"/>
              <w:left w:val="nil"/>
              <w:bottom w:val="nil"/>
              <w:right w:val="nil"/>
            </w:tcBorders>
            <w:shd w:val="clear" w:color="auto" w:fill="auto"/>
            <w:noWrap/>
            <w:vAlign w:val="bottom"/>
          </w:tcPr>
          <w:p w14:paraId="13C17EA2" w14:textId="425DAEB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1.014</w:t>
            </w:r>
          </w:p>
        </w:tc>
        <w:tc>
          <w:tcPr>
            <w:tcW w:w="773" w:type="dxa"/>
            <w:tcBorders>
              <w:top w:val="nil"/>
              <w:left w:val="nil"/>
              <w:bottom w:val="nil"/>
              <w:right w:val="nil"/>
            </w:tcBorders>
            <w:shd w:val="clear" w:color="auto" w:fill="auto"/>
            <w:noWrap/>
            <w:vAlign w:val="bottom"/>
          </w:tcPr>
          <w:p w14:paraId="0123D3BD" w14:textId="1F05889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0.995</w:t>
            </w:r>
          </w:p>
        </w:tc>
        <w:tc>
          <w:tcPr>
            <w:tcW w:w="843" w:type="dxa"/>
            <w:tcBorders>
              <w:top w:val="nil"/>
              <w:left w:val="nil"/>
              <w:bottom w:val="nil"/>
              <w:right w:val="nil"/>
            </w:tcBorders>
            <w:shd w:val="clear" w:color="auto" w:fill="auto"/>
            <w:noWrap/>
            <w:vAlign w:val="bottom"/>
          </w:tcPr>
          <w:p w14:paraId="567EA6B1" w14:textId="3254D87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1.001</w:t>
            </w:r>
          </w:p>
        </w:tc>
        <w:tc>
          <w:tcPr>
            <w:tcW w:w="704" w:type="dxa"/>
            <w:tcBorders>
              <w:top w:val="nil"/>
              <w:left w:val="nil"/>
              <w:bottom w:val="nil"/>
              <w:right w:val="single" w:sz="4" w:space="0" w:color="auto"/>
            </w:tcBorders>
            <w:shd w:val="clear" w:color="auto" w:fill="auto"/>
            <w:noWrap/>
            <w:vAlign w:val="bottom"/>
          </w:tcPr>
          <w:p w14:paraId="53CDB482" w14:textId="7C0183D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0.991</w:t>
            </w:r>
          </w:p>
        </w:tc>
        <w:tc>
          <w:tcPr>
            <w:tcW w:w="774" w:type="dxa"/>
            <w:tcBorders>
              <w:left w:val="nil"/>
              <w:right w:val="single" w:sz="4" w:space="0" w:color="auto"/>
            </w:tcBorders>
            <w:vAlign w:val="bottom"/>
          </w:tcPr>
          <w:p w14:paraId="1592CD39" w14:textId="612B4F1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1.007</w:t>
            </w:r>
          </w:p>
        </w:tc>
        <w:tc>
          <w:tcPr>
            <w:tcW w:w="774" w:type="dxa"/>
            <w:tcBorders>
              <w:left w:val="single" w:sz="4" w:space="0" w:color="auto"/>
              <w:right w:val="single" w:sz="4" w:space="0" w:color="auto"/>
            </w:tcBorders>
            <w:vAlign w:val="bottom"/>
          </w:tcPr>
          <w:p w14:paraId="3BD7D00F" w14:textId="558698A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0.997</w:t>
            </w:r>
          </w:p>
        </w:tc>
        <w:tc>
          <w:tcPr>
            <w:tcW w:w="808" w:type="dxa"/>
            <w:tcBorders>
              <w:left w:val="single" w:sz="4" w:space="0" w:color="auto"/>
              <w:right w:val="single" w:sz="4" w:space="0" w:color="auto"/>
            </w:tcBorders>
            <w:vAlign w:val="bottom"/>
          </w:tcPr>
          <w:p w14:paraId="6155ACCF" w14:textId="279AE9F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1.002</w:t>
            </w:r>
          </w:p>
        </w:tc>
        <w:tc>
          <w:tcPr>
            <w:tcW w:w="740" w:type="dxa"/>
            <w:tcBorders>
              <w:left w:val="single" w:sz="4" w:space="0" w:color="auto"/>
              <w:right w:val="single" w:sz="4" w:space="0" w:color="auto"/>
            </w:tcBorders>
            <w:vAlign w:val="bottom"/>
          </w:tcPr>
          <w:p w14:paraId="2ED3677A" w14:textId="7D0EF53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1.000</w:t>
            </w:r>
          </w:p>
        </w:tc>
        <w:tc>
          <w:tcPr>
            <w:tcW w:w="880" w:type="dxa"/>
            <w:tcBorders>
              <w:left w:val="single" w:sz="4" w:space="0" w:color="auto"/>
            </w:tcBorders>
            <w:vAlign w:val="bottom"/>
          </w:tcPr>
          <w:p w14:paraId="7F358AD5" w14:textId="41E1E6D8"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0.913</w:t>
            </w:r>
          </w:p>
        </w:tc>
      </w:tr>
      <w:tr w:rsidR="001B7FAF" w:rsidRPr="00A0555D" w14:paraId="7DA0965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427D489"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07112EFD" w14:textId="1261B83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4" w:type="dxa"/>
            <w:tcBorders>
              <w:top w:val="nil"/>
              <w:left w:val="nil"/>
              <w:bottom w:val="nil"/>
              <w:right w:val="nil"/>
            </w:tcBorders>
            <w:shd w:val="clear" w:color="auto" w:fill="auto"/>
            <w:noWrap/>
            <w:vAlign w:val="bottom"/>
          </w:tcPr>
          <w:p w14:paraId="3944619F" w14:textId="49E52EA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3" w:type="dxa"/>
            <w:tcBorders>
              <w:top w:val="nil"/>
              <w:left w:val="nil"/>
              <w:bottom w:val="nil"/>
              <w:right w:val="nil"/>
            </w:tcBorders>
            <w:shd w:val="clear" w:color="auto" w:fill="auto"/>
            <w:noWrap/>
            <w:vAlign w:val="bottom"/>
          </w:tcPr>
          <w:p w14:paraId="0F61F611" w14:textId="783CD07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843" w:type="dxa"/>
            <w:tcBorders>
              <w:top w:val="nil"/>
              <w:left w:val="nil"/>
              <w:bottom w:val="nil"/>
              <w:right w:val="nil"/>
            </w:tcBorders>
            <w:shd w:val="clear" w:color="auto" w:fill="auto"/>
            <w:noWrap/>
            <w:vAlign w:val="bottom"/>
          </w:tcPr>
          <w:p w14:paraId="3C29B3D5" w14:textId="5015ED0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04" w:type="dxa"/>
            <w:tcBorders>
              <w:top w:val="nil"/>
              <w:left w:val="nil"/>
              <w:bottom w:val="nil"/>
              <w:right w:val="single" w:sz="4" w:space="0" w:color="auto"/>
            </w:tcBorders>
            <w:shd w:val="clear" w:color="auto" w:fill="auto"/>
            <w:noWrap/>
            <w:vAlign w:val="bottom"/>
          </w:tcPr>
          <w:p w14:paraId="26E4BB10" w14:textId="7432D4D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0.990</w:t>
            </w:r>
          </w:p>
        </w:tc>
        <w:tc>
          <w:tcPr>
            <w:tcW w:w="774" w:type="dxa"/>
            <w:tcBorders>
              <w:left w:val="nil"/>
              <w:right w:val="single" w:sz="4" w:space="0" w:color="auto"/>
            </w:tcBorders>
            <w:vAlign w:val="bottom"/>
          </w:tcPr>
          <w:p w14:paraId="2FE90FA2" w14:textId="5D1B6DB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774" w:type="dxa"/>
            <w:tcBorders>
              <w:left w:val="single" w:sz="4" w:space="0" w:color="auto"/>
              <w:right w:val="single" w:sz="4" w:space="0" w:color="auto"/>
            </w:tcBorders>
            <w:vAlign w:val="bottom"/>
          </w:tcPr>
          <w:p w14:paraId="1B0983E2" w14:textId="004D791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0.997</w:t>
            </w:r>
          </w:p>
        </w:tc>
        <w:tc>
          <w:tcPr>
            <w:tcW w:w="808" w:type="dxa"/>
            <w:tcBorders>
              <w:left w:val="single" w:sz="4" w:space="0" w:color="auto"/>
              <w:right w:val="single" w:sz="4" w:space="0" w:color="auto"/>
            </w:tcBorders>
            <w:vAlign w:val="bottom"/>
          </w:tcPr>
          <w:p w14:paraId="57153A42" w14:textId="372A951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1.007</w:t>
            </w:r>
          </w:p>
        </w:tc>
        <w:tc>
          <w:tcPr>
            <w:tcW w:w="740" w:type="dxa"/>
            <w:tcBorders>
              <w:left w:val="single" w:sz="4" w:space="0" w:color="auto"/>
              <w:right w:val="single" w:sz="4" w:space="0" w:color="auto"/>
            </w:tcBorders>
            <w:vAlign w:val="bottom"/>
          </w:tcPr>
          <w:p w14:paraId="6468E8EA" w14:textId="77A635E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1.002</w:t>
            </w:r>
          </w:p>
        </w:tc>
        <w:tc>
          <w:tcPr>
            <w:tcW w:w="880" w:type="dxa"/>
            <w:tcBorders>
              <w:left w:val="single" w:sz="4" w:space="0" w:color="auto"/>
            </w:tcBorders>
            <w:vAlign w:val="bottom"/>
          </w:tcPr>
          <w:p w14:paraId="27BC4B46" w14:textId="3E6E96A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0.920</w:t>
            </w:r>
          </w:p>
        </w:tc>
      </w:tr>
      <w:tr w:rsidR="001B7FAF" w:rsidRPr="00A0555D" w14:paraId="733B38E4"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4B4869D"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6C9CE403" w14:textId="3396D6F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4" w:type="dxa"/>
            <w:tcBorders>
              <w:top w:val="nil"/>
              <w:left w:val="nil"/>
              <w:bottom w:val="nil"/>
              <w:right w:val="nil"/>
            </w:tcBorders>
            <w:shd w:val="clear" w:color="auto" w:fill="auto"/>
            <w:noWrap/>
            <w:vAlign w:val="bottom"/>
          </w:tcPr>
          <w:p w14:paraId="59E44305" w14:textId="3CC2A2F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1.011</w:t>
            </w:r>
          </w:p>
        </w:tc>
        <w:tc>
          <w:tcPr>
            <w:tcW w:w="773" w:type="dxa"/>
            <w:tcBorders>
              <w:top w:val="nil"/>
              <w:left w:val="nil"/>
              <w:bottom w:val="nil"/>
              <w:right w:val="nil"/>
            </w:tcBorders>
            <w:shd w:val="clear" w:color="auto" w:fill="auto"/>
            <w:noWrap/>
            <w:vAlign w:val="bottom"/>
          </w:tcPr>
          <w:p w14:paraId="24EC0171" w14:textId="11F1DB2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1.014</w:t>
            </w:r>
          </w:p>
        </w:tc>
        <w:tc>
          <w:tcPr>
            <w:tcW w:w="843" w:type="dxa"/>
            <w:tcBorders>
              <w:top w:val="nil"/>
              <w:left w:val="nil"/>
              <w:bottom w:val="nil"/>
              <w:right w:val="nil"/>
            </w:tcBorders>
            <w:shd w:val="clear" w:color="auto" w:fill="auto"/>
            <w:noWrap/>
            <w:vAlign w:val="bottom"/>
          </w:tcPr>
          <w:p w14:paraId="0D0011BD" w14:textId="06706A3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04" w:type="dxa"/>
            <w:tcBorders>
              <w:top w:val="nil"/>
              <w:left w:val="nil"/>
              <w:bottom w:val="nil"/>
              <w:right w:val="single" w:sz="4" w:space="0" w:color="auto"/>
            </w:tcBorders>
            <w:shd w:val="clear" w:color="auto" w:fill="auto"/>
            <w:noWrap/>
            <w:vAlign w:val="bottom"/>
          </w:tcPr>
          <w:p w14:paraId="56B5304A" w14:textId="21A68E2E"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0.994</w:t>
            </w:r>
          </w:p>
        </w:tc>
        <w:tc>
          <w:tcPr>
            <w:tcW w:w="774" w:type="dxa"/>
            <w:tcBorders>
              <w:left w:val="nil"/>
              <w:right w:val="single" w:sz="4" w:space="0" w:color="auto"/>
            </w:tcBorders>
            <w:vAlign w:val="bottom"/>
          </w:tcPr>
          <w:p w14:paraId="000A5C4E" w14:textId="0DA92CE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1.007</w:t>
            </w:r>
          </w:p>
        </w:tc>
        <w:tc>
          <w:tcPr>
            <w:tcW w:w="774" w:type="dxa"/>
            <w:tcBorders>
              <w:left w:val="single" w:sz="4" w:space="0" w:color="auto"/>
              <w:right w:val="single" w:sz="4" w:space="0" w:color="auto"/>
            </w:tcBorders>
            <w:vAlign w:val="bottom"/>
          </w:tcPr>
          <w:p w14:paraId="2883D283" w14:textId="2E2CDB4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1.026</w:t>
            </w:r>
          </w:p>
        </w:tc>
        <w:tc>
          <w:tcPr>
            <w:tcW w:w="808" w:type="dxa"/>
            <w:tcBorders>
              <w:left w:val="single" w:sz="4" w:space="0" w:color="auto"/>
              <w:right w:val="single" w:sz="4" w:space="0" w:color="auto"/>
            </w:tcBorders>
            <w:vAlign w:val="bottom"/>
          </w:tcPr>
          <w:p w14:paraId="642FAB94" w14:textId="09E6386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1.015</w:t>
            </w:r>
          </w:p>
        </w:tc>
        <w:tc>
          <w:tcPr>
            <w:tcW w:w="740" w:type="dxa"/>
            <w:tcBorders>
              <w:left w:val="single" w:sz="4" w:space="0" w:color="auto"/>
              <w:right w:val="single" w:sz="4" w:space="0" w:color="auto"/>
            </w:tcBorders>
            <w:vAlign w:val="bottom"/>
          </w:tcPr>
          <w:p w14:paraId="13D638E4" w14:textId="600F4F1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1.004</w:t>
            </w:r>
          </w:p>
        </w:tc>
        <w:tc>
          <w:tcPr>
            <w:tcW w:w="880" w:type="dxa"/>
            <w:tcBorders>
              <w:left w:val="single" w:sz="4" w:space="0" w:color="auto"/>
            </w:tcBorders>
            <w:vAlign w:val="bottom"/>
          </w:tcPr>
          <w:p w14:paraId="1C513A6D" w14:textId="465A069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0.914</w:t>
            </w:r>
          </w:p>
        </w:tc>
      </w:tr>
      <w:tr w:rsidR="001B7FAF" w:rsidRPr="00A0555D" w14:paraId="63506D6B"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4202861A"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75DF7646" w14:textId="06BC8609"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18C94BAD" w14:textId="096EC85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1.012</w:t>
            </w:r>
          </w:p>
        </w:tc>
        <w:tc>
          <w:tcPr>
            <w:tcW w:w="773" w:type="dxa"/>
            <w:tcBorders>
              <w:top w:val="nil"/>
              <w:left w:val="nil"/>
              <w:bottom w:val="single" w:sz="4" w:space="0" w:color="auto"/>
              <w:right w:val="nil"/>
            </w:tcBorders>
            <w:shd w:val="clear" w:color="auto" w:fill="auto"/>
            <w:noWrap/>
            <w:vAlign w:val="bottom"/>
          </w:tcPr>
          <w:p w14:paraId="7D68E337" w14:textId="7A074BA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1.005</w:t>
            </w:r>
          </w:p>
        </w:tc>
        <w:tc>
          <w:tcPr>
            <w:tcW w:w="843" w:type="dxa"/>
            <w:tcBorders>
              <w:top w:val="nil"/>
              <w:left w:val="nil"/>
              <w:bottom w:val="single" w:sz="4" w:space="0" w:color="auto"/>
              <w:right w:val="nil"/>
            </w:tcBorders>
            <w:shd w:val="clear" w:color="auto" w:fill="auto"/>
            <w:noWrap/>
            <w:vAlign w:val="bottom"/>
          </w:tcPr>
          <w:p w14:paraId="3BE1BE1A" w14:textId="04EE0E0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04" w:type="dxa"/>
            <w:tcBorders>
              <w:top w:val="nil"/>
              <w:left w:val="nil"/>
              <w:bottom w:val="single" w:sz="4" w:space="0" w:color="auto"/>
              <w:right w:val="single" w:sz="4" w:space="0" w:color="auto"/>
            </w:tcBorders>
            <w:shd w:val="clear" w:color="auto" w:fill="auto"/>
            <w:noWrap/>
            <w:vAlign w:val="bottom"/>
          </w:tcPr>
          <w:p w14:paraId="5E46AE81" w14:textId="3B9DCE2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0.993</w:t>
            </w:r>
          </w:p>
        </w:tc>
        <w:tc>
          <w:tcPr>
            <w:tcW w:w="774" w:type="dxa"/>
            <w:tcBorders>
              <w:left w:val="nil"/>
              <w:bottom w:val="single" w:sz="4" w:space="0" w:color="auto"/>
              <w:right w:val="single" w:sz="4" w:space="0" w:color="auto"/>
            </w:tcBorders>
            <w:vAlign w:val="bottom"/>
          </w:tcPr>
          <w:p w14:paraId="58A17A81" w14:textId="2FFBA32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774" w:type="dxa"/>
            <w:tcBorders>
              <w:left w:val="single" w:sz="4" w:space="0" w:color="auto"/>
              <w:bottom w:val="single" w:sz="4" w:space="0" w:color="auto"/>
              <w:right w:val="single" w:sz="4" w:space="0" w:color="auto"/>
            </w:tcBorders>
            <w:vAlign w:val="bottom"/>
          </w:tcPr>
          <w:p w14:paraId="45E5996E" w14:textId="63AF3DA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0.992</w:t>
            </w:r>
          </w:p>
        </w:tc>
        <w:tc>
          <w:tcPr>
            <w:tcW w:w="808" w:type="dxa"/>
            <w:tcBorders>
              <w:left w:val="single" w:sz="4" w:space="0" w:color="auto"/>
              <w:bottom w:val="single" w:sz="4" w:space="0" w:color="auto"/>
              <w:right w:val="single" w:sz="4" w:space="0" w:color="auto"/>
            </w:tcBorders>
            <w:vAlign w:val="bottom"/>
          </w:tcPr>
          <w:p w14:paraId="143BE063" w14:textId="54DDF14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1.005</w:t>
            </w:r>
          </w:p>
        </w:tc>
        <w:tc>
          <w:tcPr>
            <w:tcW w:w="740" w:type="dxa"/>
            <w:tcBorders>
              <w:left w:val="single" w:sz="4" w:space="0" w:color="auto"/>
              <w:bottom w:val="single" w:sz="4" w:space="0" w:color="auto"/>
              <w:right w:val="single" w:sz="4" w:space="0" w:color="auto"/>
            </w:tcBorders>
            <w:vAlign w:val="bottom"/>
          </w:tcPr>
          <w:p w14:paraId="581BFE1F" w14:textId="617D61E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1.000</w:t>
            </w:r>
          </w:p>
        </w:tc>
        <w:tc>
          <w:tcPr>
            <w:tcW w:w="880" w:type="dxa"/>
            <w:tcBorders>
              <w:left w:val="single" w:sz="4" w:space="0" w:color="auto"/>
              <w:bottom w:val="single" w:sz="4" w:space="0" w:color="auto"/>
            </w:tcBorders>
            <w:vAlign w:val="bottom"/>
          </w:tcPr>
          <w:p w14:paraId="44F0C207" w14:textId="22215DC4"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0.919</w:t>
            </w:r>
          </w:p>
        </w:tc>
      </w:tr>
      <w:tr w:rsidR="001B7FAF" w:rsidRPr="00A0555D" w14:paraId="3B8C3C4A" w14:textId="77777777" w:rsidTr="00BD0EBA">
        <w:trPr>
          <w:trHeight w:val="144"/>
        </w:trPr>
        <w:tc>
          <w:tcPr>
            <w:tcW w:w="5474" w:type="dxa"/>
            <w:gridSpan w:val="6"/>
            <w:tcBorders>
              <w:top w:val="single" w:sz="4" w:space="0" w:color="auto"/>
            </w:tcBorders>
            <w:shd w:val="clear" w:color="auto" w:fill="auto"/>
            <w:noWrap/>
            <w:vAlign w:val="bottom"/>
            <w:hideMark/>
          </w:tcPr>
          <w:p w14:paraId="1F828AC6" w14:textId="462D34FD" w:rsidR="001B7FAF" w:rsidRPr="009355EE" w:rsidRDefault="001B7FAF"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Daymet</w:t>
            </w:r>
          </w:p>
        </w:tc>
        <w:tc>
          <w:tcPr>
            <w:tcW w:w="774" w:type="dxa"/>
            <w:tcBorders>
              <w:top w:val="single" w:sz="4" w:space="0" w:color="auto"/>
              <w:left w:val="single" w:sz="4" w:space="0" w:color="auto"/>
            </w:tcBorders>
            <w:shd w:val="clear" w:color="auto" w:fill="auto"/>
            <w:vAlign w:val="bottom"/>
          </w:tcPr>
          <w:p w14:paraId="6E128CCB" w14:textId="77777777" w:rsidR="001B7FAF" w:rsidRPr="006016B0" w:rsidRDefault="001B7FAF"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58B030CB" w14:textId="77777777" w:rsidR="001B7FAF" w:rsidRPr="006016B0" w:rsidRDefault="001B7FAF"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7A4CCF0F" w14:textId="77777777" w:rsidR="001B7FAF" w:rsidRPr="006016B0" w:rsidRDefault="001B7FAF"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6FB06131" w14:textId="77777777" w:rsidR="001B7FAF" w:rsidRPr="006016B0" w:rsidRDefault="001B7FAF"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5C8D809F" w14:textId="77777777" w:rsidR="001B7FAF" w:rsidRPr="006016B0" w:rsidRDefault="001B7FAF" w:rsidP="006016B0">
            <w:pPr>
              <w:tabs>
                <w:tab w:val="decimal" w:pos="184"/>
              </w:tabs>
              <w:spacing w:before="0" w:after="0" w:line="240" w:lineRule="auto"/>
              <w:ind w:firstLine="0"/>
              <w:rPr>
                <w:color w:val="000000"/>
                <w:sz w:val="16"/>
                <w:szCs w:val="16"/>
              </w:rPr>
            </w:pPr>
          </w:p>
        </w:tc>
      </w:tr>
      <w:tr w:rsidR="001B7FAF" w:rsidRPr="00A0555D" w14:paraId="04C2DBB2"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0DF1A546"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0A5E1F5D" w14:textId="2B75D5CB"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774" w:type="dxa"/>
            <w:tcBorders>
              <w:left w:val="nil"/>
              <w:bottom w:val="nil"/>
              <w:right w:val="nil"/>
            </w:tcBorders>
            <w:shd w:val="clear" w:color="auto" w:fill="auto"/>
            <w:noWrap/>
            <w:vAlign w:val="bottom"/>
          </w:tcPr>
          <w:p w14:paraId="57E5D759" w14:textId="62979C1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1.014</w:t>
            </w:r>
          </w:p>
        </w:tc>
        <w:tc>
          <w:tcPr>
            <w:tcW w:w="773" w:type="dxa"/>
            <w:tcBorders>
              <w:left w:val="nil"/>
              <w:bottom w:val="nil"/>
              <w:right w:val="nil"/>
            </w:tcBorders>
            <w:shd w:val="clear" w:color="auto" w:fill="auto"/>
            <w:noWrap/>
            <w:vAlign w:val="bottom"/>
          </w:tcPr>
          <w:p w14:paraId="278363C0" w14:textId="6D4C2C4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0.996</w:t>
            </w:r>
          </w:p>
        </w:tc>
        <w:tc>
          <w:tcPr>
            <w:tcW w:w="843" w:type="dxa"/>
            <w:tcBorders>
              <w:left w:val="nil"/>
              <w:bottom w:val="nil"/>
              <w:right w:val="nil"/>
            </w:tcBorders>
            <w:shd w:val="clear" w:color="auto" w:fill="auto"/>
            <w:noWrap/>
            <w:vAlign w:val="bottom"/>
          </w:tcPr>
          <w:p w14:paraId="76967E3C" w14:textId="1E4B2DF5"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04" w:type="dxa"/>
            <w:tcBorders>
              <w:left w:val="nil"/>
              <w:bottom w:val="nil"/>
              <w:right w:val="single" w:sz="4" w:space="0" w:color="auto"/>
            </w:tcBorders>
            <w:shd w:val="clear" w:color="auto" w:fill="auto"/>
            <w:noWrap/>
            <w:vAlign w:val="bottom"/>
          </w:tcPr>
          <w:p w14:paraId="0675BA90" w14:textId="452ED03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0.990</w:t>
            </w:r>
          </w:p>
        </w:tc>
        <w:tc>
          <w:tcPr>
            <w:tcW w:w="774" w:type="dxa"/>
            <w:tcBorders>
              <w:left w:val="nil"/>
              <w:right w:val="single" w:sz="4" w:space="0" w:color="auto"/>
            </w:tcBorders>
            <w:vAlign w:val="bottom"/>
          </w:tcPr>
          <w:p w14:paraId="6D82D60A" w14:textId="2FF6C15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1.010</w:t>
            </w:r>
          </w:p>
        </w:tc>
        <w:tc>
          <w:tcPr>
            <w:tcW w:w="774" w:type="dxa"/>
            <w:tcBorders>
              <w:left w:val="single" w:sz="4" w:space="0" w:color="auto"/>
              <w:right w:val="single" w:sz="4" w:space="0" w:color="auto"/>
            </w:tcBorders>
            <w:vAlign w:val="bottom"/>
          </w:tcPr>
          <w:p w14:paraId="4F5A3285" w14:textId="286528D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1.042</w:t>
            </w:r>
          </w:p>
        </w:tc>
        <w:tc>
          <w:tcPr>
            <w:tcW w:w="808" w:type="dxa"/>
            <w:tcBorders>
              <w:left w:val="single" w:sz="4" w:space="0" w:color="auto"/>
              <w:right w:val="single" w:sz="4" w:space="0" w:color="auto"/>
            </w:tcBorders>
            <w:vAlign w:val="bottom"/>
          </w:tcPr>
          <w:p w14:paraId="5250FFF1" w14:textId="4BDD6779"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1.008</w:t>
            </w:r>
          </w:p>
        </w:tc>
        <w:tc>
          <w:tcPr>
            <w:tcW w:w="740" w:type="dxa"/>
            <w:tcBorders>
              <w:left w:val="single" w:sz="4" w:space="0" w:color="auto"/>
              <w:right w:val="single" w:sz="4" w:space="0" w:color="auto"/>
            </w:tcBorders>
            <w:vAlign w:val="bottom"/>
          </w:tcPr>
          <w:p w14:paraId="0877A269" w14:textId="07D767D9"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0.999</w:t>
            </w:r>
          </w:p>
        </w:tc>
        <w:tc>
          <w:tcPr>
            <w:tcW w:w="880" w:type="dxa"/>
            <w:tcBorders>
              <w:left w:val="single" w:sz="4" w:space="0" w:color="auto"/>
            </w:tcBorders>
            <w:vAlign w:val="bottom"/>
          </w:tcPr>
          <w:p w14:paraId="709E5229" w14:textId="6DB7AFF8"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0.991</w:t>
            </w:r>
          </w:p>
        </w:tc>
      </w:tr>
      <w:tr w:rsidR="001B7FAF" w:rsidRPr="00A0555D" w14:paraId="6E1EDE1B"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272E540"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4CD19AD2" w14:textId="3AE6A98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1.000</w:t>
            </w:r>
          </w:p>
        </w:tc>
        <w:tc>
          <w:tcPr>
            <w:tcW w:w="774" w:type="dxa"/>
            <w:tcBorders>
              <w:top w:val="nil"/>
              <w:left w:val="nil"/>
              <w:bottom w:val="nil"/>
              <w:right w:val="nil"/>
            </w:tcBorders>
            <w:shd w:val="clear" w:color="auto" w:fill="auto"/>
            <w:noWrap/>
            <w:vAlign w:val="bottom"/>
          </w:tcPr>
          <w:p w14:paraId="202D4A93" w14:textId="3E020080"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0.998</w:t>
            </w:r>
          </w:p>
        </w:tc>
        <w:tc>
          <w:tcPr>
            <w:tcW w:w="773" w:type="dxa"/>
            <w:tcBorders>
              <w:top w:val="nil"/>
              <w:left w:val="nil"/>
              <w:bottom w:val="nil"/>
              <w:right w:val="nil"/>
            </w:tcBorders>
            <w:shd w:val="clear" w:color="auto" w:fill="auto"/>
            <w:noWrap/>
            <w:vAlign w:val="bottom"/>
          </w:tcPr>
          <w:p w14:paraId="0492AC8B" w14:textId="6DD9F64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843" w:type="dxa"/>
            <w:tcBorders>
              <w:top w:val="nil"/>
              <w:left w:val="nil"/>
              <w:bottom w:val="nil"/>
              <w:right w:val="nil"/>
            </w:tcBorders>
            <w:shd w:val="clear" w:color="auto" w:fill="auto"/>
            <w:noWrap/>
            <w:vAlign w:val="bottom"/>
          </w:tcPr>
          <w:p w14:paraId="09F1FA62" w14:textId="5DCA027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1.010</w:t>
            </w:r>
          </w:p>
        </w:tc>
        <w:tc>
          <w:tcPr>
            <w:tcW w:w="704" w:type="dxa"/>
            <w:tcBorders>
              <w:top w:val="nil"/>
              <w:left w:val="nil"/>
              <w:bottom w:val="nil"/>
              <w:right w:val="single" w:sz="4" w:space="0" w:color="auto"/>
            </w:tcBorders>
            <w:shd w:val="clear" w:color="auto" w:fill="auto"/>
            <w:noWrap/>
            <w:vAlign w:val="bottom"/>
          </w:tcPr>
          <w:p w14:paraId="231F49AF" w14:textId="29CCA49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0.998</w:t>
            </w:r>
          </w:p>
        </w:tc>
        <w:tc>
          <w:tcPr>
            <w:tcW w:w="774" w:type="dxa"/>
            <w:tcBorders>
              <w:left w:val="nil"/>
              <w:right w:val="single" w:sz="4" w:space="0" w:color="auto"/>
            </w:tcBorders>
            <w:vAlign w:val="bottom"/>
          </w:tcPr>
          <w:p w14:paraId="025A8E60" w14:textId="2AD3BC4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1.007</w:t>
            </w:r>
          </w:p>
        </w:tc>
        <w:tc>
          <w:tcPr>
            <w:tcW w:w="774" w:type="dxa"/>
            <w:tcBorders>
              <w:left w:val="single" w:sz="4" w:space="0" w:color="auto"/>
              <w:right w:val="single" w:sz="4" w:space="0" w:color="auto"/>
            </w:tcBorders>
            <w:vAlign w:val="bottom"/>
          </w:tcPr>
          <w:p w14:paraId="6714BD82" w14:textId="17EBC8B1"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1.044</w:t>
            </w:r>
          </w:p>
        </w:tc>
        <w:tc>
          <w:tcPr>
            <w:tcW w:w="808" w:type="dxa"/>
            <w:tcBorders>
              <w:left w:val="single" w:sz="4" w:space="0" w:color="auto"/>
              <w:right w:val="single" w:sz="4" w:space="0" w:color="auto"/>
            </w:tcBorders>
            <w:vAlign w:val="bottom"/>
          </w:tcPr>
          <w:p w14:paraId="21B70CC2" w14:textId="4B7EE54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1.011</w:t>
            </w:r>
          </w:p>
        </w:tc>
        <w:tc>
          <w:tcPr>
            <w:tcW w:w="740" w:type="dxa"/>
            <w:tcBorders>
              <w:left w:val="single" w:sz="4" w:space="0" w:color="auto"/>
              <w:right w:val="single" w:sz="4" w:space="0" w:color="auto"/>
            </w:tcBorders>
            <w:vAlign w:val="bottom"/>
          </w:tcPr>
          <w:p w14:paraId="06712182" w14:textId="5E2F7AE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1.001</w:t>
            </w:r>
          </w:p>
        </w:tc>
        <w:tc>
          <w:tcPr>
            <w:tcW w:w="880" w:type="dxa"/>
            <w:tcBorders>
              <w:left w:val="single" w:sz="4" w:space="0" w:color="auto"/>
            </w:tcBorders>
            <w:vAlign w:val="bottom"/>
          </w:tcPr>
          <w:p w14:paraId="3D1F2017" w14:textId="5E8A2DF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0.974</w:t>
            </w:r>
          </w:p>
        </w:tc>
      </w:tr>
      <w:tr w:rsidR="001B7FAF" w:rsidRPr="00A0555D" w14:paraId="7DDC954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13BA427"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581526D6" w14:textId="7612D60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nil"/>
              <w:right w:val="nil"/>
            </w:tcBorders>
            <w:shd w:val="clear" w:color="auto" w:fill="auto"/>
            <w:noWrap/>
            <w:vAlign w:val="bottom"/>
          </w:tcPr>
          <w:p w14:paraId="3E7FC233" w14:textId="4BA93D8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1.013</w:t>
            </w:r>
          </w:p>
        </w:tc>
        <w:tc>
          <w:tcPr>
            <w:tcW w:w="773" w:type="dxa"/>
            <w:tcBorders>
              <w:top w:val="nil"/>
              <w:left w:val="nil"/>
              <w:bottom w:val="nil"/>
              <w:right w:val="nil"/>
            </w:tcBorders>
            <w:shd w:val="clear" w:color="auto" w:fill="auto"/>
            <w:noWrap/>
            <w:vAlign w:val="bottom"/>
          </w:tcPr>
          <w:p w14:paraId="4649EBEE" w14:textId="36A966F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0.999</w:t>
            </w:r>
          </w:p>
        </w:tc>
        <w:tc>
          <w:tcPr>
            <w:tcW w:w="843" w:type="dxa"/>
            <w:tcBorders>
              <w:top w:val="nil"/>
              <w:left w:val="nil"/>
              <w:bottom w:val="nil"/>
              <w:right w:val="nil"/>
            </w:tcBorders>
            <w:shd w:val="clear" w:color="auto" w:fill="auto"/>
            <w:noWrap/>
            <w:vAlign w:val="bottom"/>
          </w:tcPr>
          <w:p w14:paraId="1CECD54A" w14:textId="1BE0CBAF"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1.015</w:t>
            </w:r>
          </w:p>
        </w:tc>
        <w:tc>
          <w:tcPr>
            <w:tcW w:w="704" w:type="dxa"/>
            <w:tcBorders>
              <w:top w:val="nil"/>
              <w:left w:val="nil"/>
              <w:bottom w:val="nil"/>
              <w:right w:val="single" w:sz="4" w:space="0" w:color="auto"/>
            </w:tcBorders>
            <w:shd w:val="clear" w:color="auto" w:fill="auto"/>
            <w:noWrap/>
            <w:vAlign w:val="bottom"/>
          </w:tcPr>
          <w:p w14:paraId="44BF4AD4" w14:textId="19F2AEE6"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1.002</w:t>
            </w:r>
          </w:p>
        </w:tc>
        <w:tc>
          <w:tcPr>
            <w:tcW w:w="774" w:type="dxa"/>
            <w:tcBorders>
              <w:left w:val="nil"/>
              <w:right w:val="single" w:sz="4" w:space="0" w:color="auto"/>
            </w:tcBorders>
            <w:vAlign w:val="bottom"/>
          </w:tcPr>
          <w:p w14:paraId="79A683C6" w14:textId="0E2C7B7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1.002</w:t>
            </w:r>
          </w:p>
        </w:tc>
        <w:tc>
          <w:tcPr>
            <w:tcW w:w="774" w:type="dxa"/>
            <w:tcBorders>
              <w:left w:val="single" w:sz="4" w:space="0" w:color="auto"/>
              <w:right w:val="single" w:sz="4" w:space="0" w:color="auto"/>
            </w:tcBorders>
            <w:vAlign w:val="bottom"/>
          </w:tcPr>
          <w:p w14:paraId="041A3E31" w14:textId="5B89F3E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1.028</w:t>
            </w:r>
          </w:p>
        </w:tc>
        <w:tc>
          <w:tcPr>
            <w:tcW w:w="808" w:type="dxa"/>
            <w:tcBorders>
              <w:left w:val="single" w:sz="4" w:space="0" w:color="auto"/>
              <w:right w:val="single" w:sz="4" w:space="0" w:color="auto"/>
            </w:tcBorders>
            <w:vAlign w:val="bottom"/>
          </w:tcPr>
          <w:p w14:paraId="7DD089A1" w14:textId="565FA78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1.012</w:t>
            </w:r>
          </w:p>
        </w:tc>
        <w:tc>
          <w:tcPr>
            <w:tcW w:w="740" w:type="dxa"/>
            <w:tcBorders>
              <w:left w:val="single" w:sz="4" w:space="0" w:color="auto"/>
              <w:right w:val="single" w:sz="4" w:space="0" w:color="auto"/>
            </w:tcBorders>
            <w:vAlign w:val="bottom"/>
          </w:tcPr>
          <w:p w14:paraId="443CEFA8" w14:textId="2EABF85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0.999</w:t>
            </w:r>
          </w:p>
        </w:tc>
        <w:tc>
          <w:tcPr>
            <w:tcW w:w="880" w:type="dxa"/>
            <w:tcBorders>
              <w:left w:val="single" w:sz="4" w:space="0" w:color="auto"/>
            </w:tcBorders>
            <w:vAlign w:val="bottom"/>
          </w:tcPr>
          <w:p w14:paraId="70C2D7C5" w14:textId="1662B77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0.986</w:t>
            </w:r>
          </w:p>
        </w:tc>
      </w:tr>
      <w:tr w:rsidR="001B7FAF" w:rsidRPr="00A0555D" w14:paraId="43EA7F5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258AB2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6EABAF18" w14:textId="6425EB62"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nil"/>
              <w:right w:val="nil"/>
            </w:tcBorders>
            <w:shd w:val="clear" w:color="auto" w:fill="auto"/>
            <w:noWrap/>
            <w:vAlign w:val="bottom"/>
          </w:tcPr>
          <w:p w14:paraId="4B690C14" w14:textId="1DC3F8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1.006</w:t>
            </w:r>
          </w:p>
        </w:tc>
        <w:tc>
          <w:tcPr>
            <w:tcW w:w="773" w:type="dxa"/>
            <w:tcBorders>
              <w:top w:val="nil"/>
              <w:left w:val="nil"/>
              <w:bottom w:val="nil"/>
              <w:right w:val="nil"/>
            </w:tcBorders>
            <w:shd w:val="clear" w:color="auto" w:fill="auto"/>
            <w:noWrap/>
            <w:vAlign w:val="bottom"/>
          </w:tcPr>
          <w:p w14:paraId="18012586" w14:textId="02230CE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1.011</w:t>
            </w:r>
          </w:p>
        </w:tc>
        <w:tc>
          <w:tcPr>
            <w:tcW w:w="843" w:type="dxa"/>
            <w:tcBorders>
              <w:top w:val="nil"/>
              <w:left w:val="nil"/>
              <w:bottom w:val="nil"/>
              <w:right w:val="nil"/>
            </w:tcBorders>
            <w:shd w:val="clear" w:color="auto" w:fill="auto"/>
            <w:noWrap/>
            <w:vAlign w:val="bottom"/>
          </w:tcPr>
          <w:p w14:paraId="7F093960" w14:textId="15B3691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1.009</w:t>
            </w:r>
          </w:p>
        </w:tc>
        <w:tc>
          <w:tcPr>
            <w:tcW w:w="704" w:type="dxa"/>
            <w:tcBorders>
              <w:top w:val="nil"/>
              <w:left w:val="nil"/>
              <w:bottom w:val="nil"/>
              <w:right w:val="single" w:sz="4" w:space="0" w:color="auto"/>
            </w:tcBorders>
            <w:shd w:val="clear" w:color="auto" w:fill="auto"/>
            <w:noWrap/>
            <w:vAlign w:val="bottom"/>
          </w:tcPr>
          <w:p w14:paraId="1FEB24D1" w14:textId="1ED36968"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0.995</w:t>
            </w:r>
          </w:p>
        </w:tc>
        <w:tc>
          <w:tcPr>
            <w:tcW w:w="774" w:type="dxa"/>
            <w:tcBorders>
              <w:left w:val="nil"/>
              <w:right w:val="single" w:sz="4" w:space="0" w:color="auto"/>
            </w:tcBorders>
            <w:vAlign w:val="bottom"/>
          </w:tcPr>
          <w:p w14:paraId="1AF03308" w14:textId="2F7F814A"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1.006</w:t>
            </w:r>
          </w:p>
        </w:tc>
        <w:tc>
          <w:tcPr>
            <w:tcW w:w="774" w:type="dxa"/>
            <w:tcBorders>
              <w:left w:val="single" w:sz="4" w:space="0" w:color="auto"/>
              <w:right w:val="single" w:sz="4" w:space="0" w:color="auto"/>
            </w:tcBorders>
            <w:vAlign w:val="bottom"/>
          </w:tcPr>
          <w:p w14:paraId="0BE269DD" w14:textId="498FCAC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1.026</w:t>
            </w:r>
          </w:p>
        </w:tc>
        <w:tc>
          <w:tcPr>
            <w:tcW w:w="808" w:type="dxa"/>
            <w:tcBorders>
              <w:left w:val="single" w:sz="4" w:space="0" w:color="auto"/>
              <w:right w:val="single" w:sz="4" w:space="0" w:color="auto"/>
            </w:tcBorders>
            <w:vAlign w:val="bottom"/>
          </w:tcPr>
          <w:p w14:paraId="0804005B" w14:textId="2C63E8ED"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1.008</w:t>
            </w:r>
          </w:p>
        </w:tc>
        <w:tc>
          <w:tcPr>
            <w:tcW w:w="740" w:type="dxa"/>
            <w:tcBorders>
              <w:left w:val="single" w:sz="4" w:space="0" w:color="auto"/>
              <w:right w:val="single" w:sz="4" w:space="0" w:color="auto"/>
            </w:tcBorders>
            <w:vAlign w:val="bottom"/>
          </w:tcPr>
          <w:p w14:paraId="1C8E57F6" w14:textId="0FEB8665"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1.002</w:t>
            </w:r>
          </w:p>
        </w:tc>
        <w:tc>
          <w:tcPr>
            <w:tcW w:w="880" w:type="dxa"/>
            <w:tcBorders>
              <w:left w:val="single" w:sz="4" w:space="0" w:color="auto"/>
            </w:tcBorders>
            <w:vAlign w:val="bottom"/>
          </w:tcPr>
          <w:p w14:paraId="1BD134FD" w14:textId="598F904E"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0.984</w:t>
            </w:r>
          </w:p>
        </w:tc>
      </w:tr>
      <w:tr w:rsidR="001B7FAF" w:rsidRPr="00A0555D" w14:paraId="2ED5FF0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624E822"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20EA0F8F" w14:textId="739FE257"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1.007</w:t>
            </w:r>
          </w:p>
        </w:tc>
        <w:tc>
          <w:tcPr>
            <w:tcW w:w="774" w:type="dxa"/>
            <w:tcBorders>
              <w:top w:val="nil"/>
              <w:left w:val="nil"/>
              <w:bottom w:val="nil"/>
              <w:right w:val="nil"/>
            </w:tcBorders>
            <w:shd w:val="clear" w:color="auto" w:fill="auto"/>
            <w:noWrap/>
            <w:vAlign w:val="bottom"/>
          </w:tcPr>
          <w:p w14:paraId="4E63A50F" w14:textId="57BB13E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1.014</w:t>
            </w:r>
          </w:p>
        </w:tc>
        <w:tc>
          <w:tcPr>
            <w:tcW w:w="773" w:type="dxa"/>
            <w:tcBorders>
              <w:top w:val="nil"/>
              <w:left w:val="nil"/>
              <w:bottom w:val="nil"/>
              <w:right w:val="nil"/>
            </w:tcBorders>
            <w:shd w:val="clear" w:color="auto" w:fill="auto"/>
            <w:noWrap/>
            <w:vAlign w:val="bottom"/>
          </w:tcPr>
          <w:p w14:paraId="5FC00E8F" w14:textId="3EF8295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1.017</w:t>
            </w:r>
          </w:p>
        </w:tc>
        <w:tc>
          <w:tcPr>
            <w:tcW w:w="843" w:type="dxa"/>
            <w:tcBorders>
              <w:top w:val="nil"/>
              <w:left w:val="nil"/>
              <w:bottom w:val="nil"/>
              <w:right w:val="nil"/>
            </w:tcBorders>
            <w:shd w:val="clear" w:color="auto" w:fill="auto"/>
            <w:noWrap/>
            <w:vAlign w:val="bottom"/>
          </w:tcPr>
          <w:p w14:paraId="65FB632E" w14:textId="5157AC73"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04" w:type="dxa"/>
            <w:tcBorders>
              <w:top w:val="nil"/>
              <w:left w:val="nil"/>
              <w:bottom w:val="nil"/>
              <w:right w:val="single" w:sz="4" w:space="0" w:color="auto"/>
            </w:tcBorders>
            <w:shd w:val="clear" w:color="auto" w:fill="auto"/>
            <w:noWrap/>
            <w:vAlign w:val="bottom"/>
          </w:tcPr>
          <w:p w14:paraId="7818D6BD" w14:textId="2B7FA58D"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1.002</w:t>
            </w:r>
          </w:p>
        </w:tc>
        <w:tc>
          <w:tcPr>
            <w:tcW w:w="774" w:type="dxa"/>
            <w:tcBorders>
              <w:left w:val="nil"/>
              <w:right w:val="single" w:sz="4" w:space="0" w:color="auto"/>
            </w:tcBorders>
            <w:vAlign w:val="bottom"/>
          </w:tcPr>
          <w:p w14:paraId="6BF31A9A" w14:textId="5AFEC9AB"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1.005</w:t>
            </w:r>
          </w:p>
        </w:tc>
        <w:tc>
          <w:tcPr>
            <w:tcW w:w="774" w:type="dxa"/>
            <w:tcBorders>
              <w:left w:val="single" w:sz="4" w:space="0" w:color="auto"/>
              <w:right w:val="single" w:sz="4" w:space="0" w:color="auto"/>
            </w:tcBorders>
            <w:vAlign w:val="bottom"/>
          </w:tcPr>
          <w:p w14:paraId="68506F38" w14:textId="7B8B8ED7"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1.055</w:t>
            </w:r>
          </w:p>
        </w:tc>
        <w:tc>
          <w:tcPr>
            <w:tcW w:w="808" w:type="dxa"/>
            <w:tcBorders>
              <w:left w:val="single" w:sz="4" w:space="0" w:color="auto"/>
              <w:right w:val="single" w:sz="4" w:space="0" w:color="auto"/>
            </w:tcBorders>
            <w:vAlign w:val="bottom"/>
          </w:tcPr>
          <w:p w14:paraId="70C7991F" w14:textId="33F3D99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1.029</w:t>
            </w:r>
          </w:p>
        </w:tc>
        <w:tc>
          <w:tcPr>
            <w:tcW w:w="740" w:type="dxa"/>
            <w:tcBorders>
              <w:left w:val="single" w:sz="4" w:space="0" w:color="auto"/>
              <w:right w:val="single" w:sz="4" w:space="0" w:color="auto"/>
            </w:tcBorders>
            <w:vAlign w:val="bottom"/>
          </w:tcPr>
          <w:p w14:paraId="344A3C0A" w14:textId="2CF08AFF"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1.003</w:t>
            </w:r>
          </w:p>
        </w:tc>
        <w:tc>
          <w:tcPr>
            <w:tcW w:w="880" w:type="dxa"/>
            <w:tcBorders>
              <w:left w:val="single" w:sz="4" w:space="0" w:color="auto"/>
            </w:tcBorders>
            <w:vAlign w:val="bottom"/>
          </w:tcPr>
          <w:p w14:paraId="1EEE1630" w14:textId="23111122"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0.978</w:t>
            </w:r>
          </w:p>
        </w:tc>
      </w:tr>
      <w:tr w:rsidR="001B7FAF" w:rsidRPr="00A0555D" w14:paraId="151A1198"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62A4EC2E" w14:textId="77777777" w:rsidR="001B7FAF" w:rsidRPr="00A0555D" w:rsidRDefault="001B7FAF" w:rsidP="001B7FAF">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6C059599" w14:textId="60CB1D8A"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1.004</w:t>
            </w:r>
          </w:p>
        </w:tc>
        <w:tc>
          <w:tcPr>
            <w:tcW w:w="774" w:type="dxa"/>
            <w:tcBorders>
              <w:top w:val="nil"/>
              <w:left w:val="nil"/>
              <w:bottom w:val="single" w:sz="4" w:space="0" w:color="auto"/>
              <w:right w:val="nil"/>
            </w:tcBorders>
            <w:shd w:val="clear" w:color="auto" w:fill="auto"/>
            <w:noWrap/>
            <w:vAlign w:val="bottom"/>
          </w:tcPr>
          <w:p w14:paraId="2D48F636" w14:textId="6B392F5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1.019</w:t>
            </w:r>
          </w:p>
        </w:tc>
        <w:tc>
          <w:tcPr>
            <w:tcW w:w="773" w:type="dxa"/>
            <w:tcBorders>
              <w:top w:val="nil"/>
              <w:left w:val="nil"/>
              <w:bottom w:val="single" w:sz="4" w:space="0" w:color="auto"/>
              <w:right w:val="nil"/>
            </w:tcBorders>
            <w:shd w:val="clear" w:color="auto" w:fill="auto"/>
            <w:noWrap/>
            <w:vAlign w:val="bottom"/>
          </w:tcPr>
          <w:p w14:paraId="631A312F" w14:textId="0BD91DC1"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1.003</w:t>
            </w:r>
          </w:p>
        </w:tc>
        <w:tc>
          <w:tcPr>
            <w:tcW w:w="843" w:type="dxa"/>
            <w:tcBorders>
              <w:top w:val="nil"/>
              <w:left w:val="nil"/>
              <w:bottom w:val="single" w:sz="4" w:space="0" w:color="auto"/>
              <w:right w:val="nil"/>
            </w:tcBorders>
            <w:shd w:val="clear" w:color="auto" w:fill="auto"/>
            <w:noWrap/>
            <w:vAlign w:val="bottom"/>
          </w:tcPr>
          <w:p w14:paraId="7EDDC16B" w14:textId="23573B2C"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1.010</w:t>
            </w:r>
          </w:p>
        </w:tc>
        <w:tc>
          <w:tcPr>
            <w:tcW w:w="704" w:type="dxa"/>
            <w:tcBorders>
              <w:top w:val="nil"/>
              <w:left w:val="nil"/>
              <w:bottom w:val="single" w:sz="4" w:space="0" w:color="auto"/>
              <w:right w:val="single" w:sz="4" w:space="0" w:color="auto"/>
            </w:tcBorders>
            <w:shd w:val="clear" w:color="auto" w:fill="auto"/>
            <w:noWrap/>
            <w:vAlign w:val="bottom"/>
          </w:tcPr>
          <w:p w14:paraId="1C5234E9" w14:textId="6485DA74" w:rsidR="001B7FAF" w:rsidRPr="005D66A1" w:rsidRDefault="001B7FAF" w:rsidP="005D66A1">
            <w:pPr>
              <w:tabs>
                <w:tab w:val="decimal" w:pos="172"/>
              </w:tabs>
              <w:spacing w:before="0" w:after="0" w:line="240" w:lineRule="auto"/>
              <w:ind w:firstLine="0"/>
              <w:rPr>
                <w:color w:val="000000"/>
                <w:sz w:val="16"/>
                <w:szCs w:val="16"/>
              </w:rPr>
            </w:pPr>
            <w:r w:rsidRPr="001B7FAF">
              <w:rPr>
                <w:color w:val="000000"/>
                <w:sz w:val="16"/>
                <w:szCs w:val="16"/>
              </w:rPr>
              <w:t>0.996</w:t>
            </w:r>
          </w:p>
        </w:tc>
        <w:tc>
          <w:tcPr>
            <w:tcW w:w="774" w:type="dxa"/>
            <w:tcBorders>
              <w:left w:val="nil"/>
              <w:bottom w:val="single" w:sz="4" w:space="0" w:color="auto"/>
              <w:right w:val="single" w:sz="4" w:space="0" w:color="auto"/>
            </w:tcBorders>
            <w:vAlign w:val="bottom"/>
          </w:tcPr>
          <w:p w14:paraId="18C49F0C" w14:textId="7E1A7B50"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1.002</w:t>
            </w:r>
          </w:p>
        </w:tc>
        <w:tc>
          <w:tcPr>
            <w:tcW w:w="774" w:type="dxa"/>
            <w:tcBorders>
              <w:left w:val="single" w:sz="4" w:space="0" w:color="auto"/>
              <w:bottom w:val="single" w:sz="4" w:space="0" w:color="auto"/>
              <w:right w:val="single" w:sz="4" w:space="0" w:color="auto"/>
            </w:tcBorders>
            <w:vAlign w:val="bottom"/>
          </w:tcPr>
          <w:p w14:paraId="4A163F03" w14:textId="58F9B0D6"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1.048</w:t>
            </w:r>
          </w:p>
        </w:tc>
        <w:tc>
          <w:tcPr>
            <w:tcW w:w="808" w:type="dxa"/>
            <w:tcBorders>
              <w:left w:val="single" w:sz="4" w:space="0" w:color="auto"/>
              <w:bottom w:val="single" w:sz="4" w:space="0" w:color="auto"/>
              <w:right w:val="single" w:sz="4" w:space="0" w:color="auto"/>
            </w:tcBorders>
            <w:vAlign w:val="bottom"/>
          </w:tcPr>
          <w:p w14:paraId="527C4402" w14:textId="7E01D67C"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1.015</w:t>
            </w:r>
          </w:p>
        </w:tc>
        <w:tc>
          <w:tcPr>
            <w:tcW w:w="740" w:type="dxa"/>
            <w:tcBorders>
              <w:left w:val="single" w:sz="4" w:space="0" w:color="auto"/>
              <w:bottom w:val="single" w:sz="4" w:space="0" w:color="auto"/>
              <w:right w:val="single" w:sz="4" w:space="0" w:color="auto"/>
            </w:tcBorders>
            <w:vAlign w:val="bottom"/>
          </w:tcPr>
          <w:p w14:paraId="0449EC7A" w14:textId="278E3D99"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0.999</w:t>
            </w:r>
          </w:p>
        </w:tc>
        <w:tc>
          <w:tcPr>
            <w:tcW w:w="880" w:type="dxa"/>
            <w:tcBorders>
              <w:left w:val="single" w:sz="4" w:space="0" w:color="auto"/>
              <w:bottom w:val="single" w:sz="4" w:space="0" w:color="auto"/>
            </w:tcBorders>
            <w:vAlign w:val="bottom"/>
          </w:tcPr>
          <w:p w14:paraId="2301BF71" w14:textId="16DDD573" w:rsidR="001B7FAF" w:rsidRPr="006016B0" w:rsidRDefault="001B7FAF" w:rsidP="006016B0">
            <w:pPr>
              <w:tabs>
                <w:tab w:val="decimal" w:pos="184"/>
              </w:tabs>
              <w:spacing w:before="0" w:after="0" w:line="240" w:lineRule="auto"/>
              <w:ind w:firstLine="0"/>
              <w:rPr>
                <w:color w:val="000000"/>
                <w:sz w:val="16"/>
                <w:szCs w:val="16"/>
              </w:rPr>
            </w:pPr>
            <w:r w:rsidRPr="001B7FAF">
              <w:rPr>
                <w:color w:val="000000"/>
                <w:sz w:val="16"/>
                <w:szCs w:val="16"/>
              </w:rPr>
              <w:t>0.973</w:t>
            </w:r>
          </w:p>
        </w:tc>
      </w:tr>
    </w:tbl>
    <w:p w14:paraId="2421A8E5" w14:textId="77777777" w:rsidR="001B7FAF" w:rsidRDefault="001B7FAF" w:rsidP="001B7FAF">
      <w:pPr>
        <w:pStyle w:val="BodyText"/>
        <w:rPr>
          <w:rFonts w:eastAsiaTheme="minorEastAsia"/>
          <w:lang w:eastAsia="zh-TW"/>
        </w:rPr>
      </w:pPr>
    </w:p>
    <w:p w14:paraId="7755DD78" w14:textId="341E3D4E" w:rsidR="000E607E" w:rsidRDefault="000E607E" w:rsidP="007E69F2">
      <w:pPr>
        <w:pStyle w:val="BodyText"/>
        <w:rPr>
          <w:rFonts w:eastAsiaTheme="minorEastAsia"/>
          <w:lang w:eastAsia="zh-TW"/>
        </w:rPr>
      </w:pPr>
    </w:p>
    <w:p w14:paraId="10E8D49E" w14:textId="2731379C" w:rsidR="00CD6A1A" w:rsidRPr="00485D84" w:rsidRDefault="00DF1929" w:rsidP="00667AF7">
      <w:pPr>
        <w:pStyle w:val="AppendixFigureCaption"/>
        <w:rPr>
          <w:rFonts w:eastAsia="PMingLiU"/>
          <w:lang w:bidi="en-US"/>
        </w:rPr>
      </w:pPr>
      <w:r>
        <w:lastRenderedPageBreak/>
        <w:t xml:space="preserve">Table </w:t>
      </w:r>
      <w:fldSimple w:instr=" STYLEREF 9 \s ">
        <w:r w:rsidR="00EE0BF5">
          <w:rPr>
            <w:noProof/>
          </w:rPr>
          <w:t>D</w:t>
        </w:r>
      </w:fldSimple>
      <w:r>
        <w:t>.</w:t>
      </w:r>
      <w:fldSimple w:instr=" SEQ Table_Apx \* ARABIC \s 9 ">
        <w:r w:rsidR="00EE0BF5">
          <w:rPr>
            <w:noProof/>
          </w:rPr>
          <w:t>4</w:t>
        </w:r>
      </w:fldSimple>
      <w:r w:rsidRPr="00485D84">
        <w:rPr>
          <w:rFonts w:eastAsia="PMingLiU"/>
          <w:lang w:bidi="en-US"/>
        </w:rPr>
        <w:t xml:space="preserve">. </w:t>
      </w:r>
      <w:r w:rsidR="000663B2">
        <w:rPr>
          <w:rFonts w:eastAsiaTheme="minorEastAsia"/>
          <w:lang w:eastAsia="zh-TW"/>
        </w:rPr>
        <w:t xml:space="preserve">ROS </w:t>
      </w:r>
      <w:r w:rsidR="00CD6A1A" w:rsidRPr="001B7FAF">
        <w:rPr>
          <w:rFonts w:eastAsiaTheme="minorEastAsia"/>
          <w:lang w:eastAsia="zh-TW"/>
        </w:rPr>
        <w:t xml:space="preserve">with respect to </w:t>
      </w:r>
      <w:r w:rsidR="00CD6A1A">
        <w:rPr>
          <w:rFonts w:eastAsiaTheme="minorEastAsia"/>
          <w:lang w:eastAsia="zh-TW"/>
        </w:rPr>
        <w:t>Livneh</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CD6A1A" w:rsidRPr="00A0555D" w14:paraId="1B125459" w14:textId="77777777" w:rsidTr="00874FCF">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4F31592F"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33374B39" w14:textId="15182F83" w:rsidR="00CD6A1A"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 (°F)</w:t>
            </w:r>
          </w:p>
        </w:tc>
        <w:tc>
          <w:tcPr>
            <w:tcW w:w="3883" w:type="dxa"/>
            <w:gridSpan w:val="5"/>
            <w:tcBorders>
              <w:top w:val="single" w:sz="4" w:space="0" w:color="auto"/>
              <w:left w:val="nil"/>
              <w:bottom w:val="single" w:sz="4" w:space="0" w:color="auto"/>
            </w:tcBorders>
          </w:tcPr>
          <w:p w14:paraId="6B4D99CE" w14:textId="4394DB96" w:rsidR="00CD6A1A"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 (°F)</w:t>
            </w:r>
          </w:p>
        </w:tc>
      </w:tr>
      <w:tr w:rsidR="00CD6A1A" w:rsidRPr="00A0555D" w14:paraId="03C31FA9" w14:textId="77777777"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293A8C03" w14:textId="77777777" w:rsidR="00CD6A1A" w:rsidRPr="00A0555D" w:rsidRDefault="00CD6A1A" w:rsidP="00874FCF">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461A12FA"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7156CA06"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299133C7"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427C2CD7" w14:textId="77777777" w:rsidR="00CD6A1A" w:rsidRPr="00A0555D" w:rsidRDefault="00CD6A1A"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30D0FBE3"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5C5C0DC1"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52887A3B"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58C61075"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41724F57" w14:textId="45D47213" w:rsidR="00CD6A1A" w:rsidRPr="00A13B8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595A9997"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CD6A1A" w:rsidRPr="00A0555D" w14:paraId="563F6CDF"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FA235C9" w14:textId="77777777" w:rsidR="00CD6A1A" w:rsidRPr="00A0555D" w:rsidRDefault="00CD6A1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3CF66458"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5374556A"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30FDAE5B"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0F16B3A6"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74F6B1EE"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3714F45E"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39EF8C32"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35E23008"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415982E4"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21FF3275"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r>
      <w:tr w:rsidR="00B60546" w:rsidRPr="00A0555D" w14:paraId="4097C0C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A4093F5"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7A78FBE3" w14:textId="42AA453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0.957</w:t>
            </w:r>
          </w:p>
        </w:tc>
        <w:tc>
          <w:tcPr>
            <w:tcW w:w="774" w:type="dxa"/>
            <w:tcBorders>
              <w:top w:val="nil"/>
              <w:left w:val="nil"/>
              <w:bottom w:val="nil"/>
              <w:right w:val="nil"/>
            </w:tcBorders>
            <w:shd w:val="clear" w:color="auto" w:fill="auto"/>
            <w:noWrap/>
            <w:vAlign w:val="bottom"/>
          </w:tcPr>
          <w:p w14:paraId="0E642429" w14:textId="192E538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0.876</w:t>
            </w:r>
          </w:p>
        </w:tc>
        <w:tc>
          <w:tcPr>
            <w:tcW w:w="773" w:type="dxa"/>
            <w:tcBorders>
              <w:top w:val="nil"/>
              <w:left w:val="nil"/>
              <w:bottom w:val="nil"/>
              <w:right w:val="nil"/>
            </w:tcBorders>
            <w:shd w:val="clear" w:color="auto" w:fill="auto"/>
            <w:noWrap/>
            <w:vAlign w:val="bottom"/>
          </w:tcPr>
          <w:p w14:paraId="32CBF391" w14:textId="2147483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1.011</w:t>
            </w:r>
          </w:p>
        </w:tc>
        <w:tc>
          <w:tcPr>
            <w:tcW w:w="845" w:type="dxa"/>
            <w:tcBorders>
              <w:top w:val="nil"/>
              <w:left w:val="nil"/>
              <w:bottom w:val="nil"/>
              <w:right w:val="nil"/>
            </w:tcBorders>
            <w:shd w:val="clear" w:color="auto" w:fill="auto"/>
            <w:noWrap/>
            <w:vAlign w:val="bottom"/>
          </w:tcPr>
          <w:p w14:paraId="554BBDC4" w14:textId="46AB696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1.083</w:t>
            </w:r>
          </w:p>
        </w:tc>
        <w:tc>
          <w:tcPr>
            <w:tcW w:w="702" w:type="dxa"/>
            <w:tcBorders>
              <w:top w:val="nil"/>
              <w:left w:val="nil"/>
              <w:bottom w:val="nil"/>
              <w:right w:val="single" w:sz="4" w:space="0" w:color="auto"/>
            </w:tcBorders>
            <w:shd w:val="clear" w:color="auto" w:fill="auto"/>
            <w:noWrap/>
            <w:vAlign w:val="bottom"/>
          </w:tcPr>
          <w:p w14:paraId="55BBFBF7" w14:textId="38F8AB4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0.965</w:t>
            </w:r>
          </w:p>
        </w:tc>
        <w:tc>
          <w:tcPr>
            <w:tcW w:w="774" w:type="dxa"/>
            <w:tcBorders>
              <w:left w:val="nil"/>
            </w:tcBorders>
            <w:vAlign w:val="bottom"/>
          </w:tcPr>
          <w:p w14:paraId="27BE24EC" w14:textId="36CFA87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0.887</w:t>
            </w:r>
          </w:p>
        </w:tc>
        <w:tc>
          <w:tcPr>
            <w:tcW w:w="773" w:type="dxa"/>
            <w:vAlign w:val="bottom"/>
          </w:tcPr>
          <w:p w14:paraId="449B44AE" w14:textId="577EF01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0.928</w:t>
            </w:r>
          </w:p>
        </w:tc>
        <w:tc>
          <w:tcPr>
            <w:tcW w:w="774" w:type="dxa"/>
            <w:vAlign w:val="bottom"/>
          </w:tcPr>
          <w:p w14:paraId="13A6A3FA" w14:textId="3BCD7CC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0.886</w:t>
            </w:r>
          </w:p>
        </w:tc>
        <w:tc>
          <w:tcPr>
            <w:tcW w:w="847" w:type="dxa"/>
            <w:vAlign w:val="bottom"/>
          </w:tcPr>
          <w:p w14:paraId="7AED5C59" w14:textId="55395AC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0.885</w:t>
            </w:r>
          </w:p>
        </w:tc>
        <w:tc>
          <w:tcPr>
            <w:tcW w:w="715" w:type="dxa"/>
            <w:vAlign w:val="bottom"/>
          </w:tcPr>
          <w:p w14:paraId="7EFCBAD0" w14:textId="145D494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0.852</w:t>
            </w:r>
          </w:p>
        </w:tc>
      </w:tr>
      <w:tr w:rsidR="00B60546" w:rsidRPr="00A0555D" w14:paraId="6CDC45D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8CAD4C8"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3851AB43" w14:textId="59D03A3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4" w:type="dxa"/>
            <w:tcBorders>
              <w:top w:val="nil"/>
              <w:left w:val="nil"/>
              <w:bottom w:val="nil"/>
              <w:right w:val="nil"/>
            </w:tcBorders>
            <w:shd w:val="clear" w:color="auto" w:fill="auto"/>
            <w:noWrap/>
            <w:vAlign w:val="bottom"/>
          </w:tcPr>
          <w:p w14:paraId="3024026E" w14:textId="24558C7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0.911</w:t>
            </w:r>
          </w:p>
        </w:tc>
        <w:tc>
          <w:tcPr>
            <w:tcW w:w="773" w:type="dxa"/>
            <w:tcBorders>
              <w:top w:val="nil"/>
              <w:left w:val="nil"/>
              <w:bottom w:val="nil"/>
              <w:right w:val="nil"/>
            </w:tcBorders>
            <w:shd w:val="clear" w:color="auto" w:fill="auto"/>
            <w:noWrap/>
            <w:vAlign w:val="bottom"/>
          </w:tcPr>
          <w:p w14:paraId="707E0EAC" w14:textId="00FABE8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1.067</w:t>
            </w:r>
          </w:p>
        </w:tc>
        <w:tc>
          <w:tcPr>
            <w:tcW w:w="845" w:type="dxa"/>
            <w:tcBorders>
              <w:top w:val="nil"/>
              <w:left w:val="nil"/>
              <w:bottom w:val="nil"/>
              <w:right w:val="nil"/>
            </w:tcBorders>
            <w:shd w:val="clear" w:color="auto" w:fill="auto"/>
            <w:noWrap/>
            <w:vAlign w:val="bottom"/>
          </w:tcPr>
          <w:p w14:paraId="2F05DF16" w14:textId="2E6CCA5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1.158</w:t>
            </w:r>
          </w:p>
        </w:tc>
        <w:tc>
          <w:tcPr>
            <w:tcW w:w="702" w:type="dxa"/>
            <w:tcBorders>
              <w:top w:val="nil"/>
              <w:left w:val="nil"/>
              <w:bottom w:val="nil"/>
              <w:right w:val="single" w:sz="4" w:space="0" w:color="auto"/>
            </w:tcBorders>
            <w:shd w:val="clear" w:color="auto" w:fill="auto"/>
            <w:noWrap/>
            <w:vAlign w:val="bottom"/>
          </w:tcPr>
          <w:p w14:paraId="0F4C198D" w14:textId="1E9C32E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1.036</w:t>
            </w:r>
          </w:p>
        </w:tc>
        <w:tc>
          <w:tcPr>
            <w:tcW w:w="774" w:type="dxa"/>
            <w:tcBorders>
              <w:left w:val="nil"/>
            </w:tcBorders>
            <w:vAlign w:val="bottom"/>
          </w:tcPr>
          <w:p w14:paraId="757CDF6E" w14:textId="695949C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0.969</w:t>
            </w:r>
          </w:p>
        </w:tc>
        <w:tc>
          <w:tcPr>
            <w:tcW w:w="773" w:type="dxa"/>
            <w:vAlign w:val="bottom"/>
          </w:tcPr>
          <w:p w14:paraId="52947B6B" w14:textId="216F490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1.080</w:t>
            </w:r>
          </w:p>
        </w:tc>
        <w:tc>
          <w:tcPr>
            <w:tcW w:w="774" w:type="dxa"/>
            <w:vAlign w:val="bottom"/>
          </w:tcPr>
          <w:p w14:paraId="254F8679" w14:textId="4551F79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0.949</w:t>
            </w:r>
          </w:p>
        </w:tc>
        <w:tc>
          <w:tcPr>
            <w:tcW w:w="847" w:type="dxa"/>
            <w:vAlign w:val="bottom"/>
          </w:tcPr>
          <w:p w14:paraId="76E6982F" w14:textId="74938E4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0.939</w:t>
            </w:r>
          </w:p>
        </w:tc>
        <w:tc>
          <w:tcPr>
            <w:tcW w:w="715" w:type="dxa"/>
            <w:vAlign w:val="bottom"/>
          </w:tcPr>
          <w:p w14:paraId="0769472D" w14:textId="5BC7204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0.982</w:t>
            </w:r>
          </w:p>
        </w:tc>
      </w:tr>
      <w:tr w:rsidR="00B60546" w:rsidRPr="00A0555D" w14:paraId="1C99B11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96F2CCE"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1916B893" w14:textId="012D0FE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0.950</w:t>
            </w:r>
          </w:p>
        </w:tc>
        <w:tc>
          <w:tcPr>
            <w:tcW w:w="774" w:type="dxa"/>
            <w:tcBorders>
              <w:top w:val="nil"/>
              <w:left w:val="nil"/>
              <w:bottom w:val="nil"/>
              <w:right w:val="nil"/>
            </w:tcBorders>
            <w:shd w:val="clear" w:color="auto" w:fill="auto"/>
            <w:noWrap/>
            <w:vAlign w:val="bottom"/>
          </w:tcPr>
          <w:p w14:paraId="17B39BCC" w14:textId="38C7731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1.013</w:t>
            </w:r>
          </w:p>
        </w:tc>
        <w:tc>
          <w:tcPr>
            <w:tcW w:w="773" w:type="dxa"/>
            <w:tcBorders>
              <w:top w:val="nil"/>
              <w:left w:val="nil"/>
              <w:bottom w:val="nil"/>
              <w:right w:val="nil"/>
            </w:tcBorders>
            <w:shd w:val="clear" w:color="auto" w:fill="auto"/>
            <w:noWrap/>
            <w:vAlign w:val="bottom"/>
          </w:tcPr>
          <w:p w14:paraId="606CA405" w14:textId="569754A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0.957</w:t>
            </w:r>
          </w:p>
        </w:tc>
        <w:tc>
          <w:tcPr>
            <w:tcW w:w="845" w:type="dxa"/>
            <w:tcBorders>
              <w:top w:val="nil"/>
              <w:left w:val="nil"/>
              <w:bottom w:val="nil"/>
              <w:right w:val="nil"/>
            </w:tcBorders>
            <w:shd w:val="clear" w:color="auto" w:fill="auto"/>
            <w:noWrap/>
            <w:vAlign w:val="bottom"/>
          </w:tcPr>
          <w:p w14:paraId="42DD3586" w14:textId="0698914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0.948</w:t>
            </w:r>
          </w:p>
        </w:tc>
        <w:tc>
          <w:tcPr>
            <w:tcW w:w="702" w:type="dxa"/>
            <w:tcBorders>
              <w:top w:val="nil"/>
              <w:left w:val="nil"/>
              <w:bottom w:val="nil"/>
              <w:right w:val="single" w:sz="4" w:space="0" w:color="auto"/>
            </w:tcBorders>
            <w:shd w:val="clear" w:color="auto" w:fill="auto"/>
            <w:noWrap/>
            <w:vAlign w:val="bottom"/>
          </w:tcPr>
          <w:p w14:paraId="3B5B2A20" w14:textId="2609D9C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0.943</w:t>
            </w:r>
          </w:p>
        </w:tc>
        <w:tc>
          <w:tcPr>
            <w:tcW w:w="774" w:type="dxa"/>
            <w:tcBorders>
              <w:left w:val="nil"/>
            </w:tcBorders>
            <w:vAlign w:val="bottom"/>
          </w:tcPr>
          <w:p w14:paraId="336BDC4D" w14:textId="62F4C61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0.914</w:t>
            </w:r>
          </w:p>
        </w:tc>
        <w:tc>
          <w:tcPr>
            <w:tcW w:w="773" w:type="dxa"/>
            <w:vAlign w:val="bottom"/>
          </w:tcPr>
          <w:p w14:paraId="4BEF452C" w14:textId="635F500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1.042</w:t>
            </w:r>
          </w:p>
        </w:tc>
        <w:tc>
          <w:tcPr>
            <w:tcW w:w="774" w:type="dxa"/>
            <w:vAlign w:val="bottom"/>
          </w:tcPr>
          <w:p w14:paraId="353D8299" w14:textId="5A8E95FA"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0.889</w:t>
            </w:r>
          </w:p>
        </w:tc>
        <w:tc>
          <w:tcPr>
            <w:tcW w:w="847" w:type="dxa"/>
            <w:vAlign w:val="bottom"/>
          </w:tcPr>
          <w:p w14:paraId="13C80AB7" w14:textId="2B1C8BD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0.845</w:t>
            </w:r>
          </w:p>
        </w:tc>
        <w:tc>
          <w:tcPr>
            <w:tcW w:w="715" w:type="dxa"/>
            <w:vAlign w:val="bottom"/>
          </w:tcPr>
          <w:p w14:paraId="7C4FCDDE" w14:textId="012C64F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0.891</w:t>
            </w:r>
          </w:p>
        </w:tc>
      </w:tr>
      <w:tr w:rsidR="00B60546" w:rsidRPr="00A0555D" w14:paraId="7AC3D26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F2C7BED"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89B1D7E" w14:textId="1F28EB6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0.977</w:t>
            </w:r>
          </w:p>
        </w:tc>
        <w:tc>
          <w:tcPr>
            <w:tcW w:w="774" w:type="dxa"/>
            <w:tcBorders>
              <w:top w:val="nil"/>
              <w:left w:val="nil"/>
              <w:bottom w:val="nil"/>
              <w:right w:val="nil"/>
            </w:tcBorders>
            <w:shd w:val="clear" w:color="auto" w:fill="auto"/>
            <w:noWrap/>
            <w:vAlign w:val="bottom"/>
          </w:tcPr>
          <w:p w14:paraId="71C76847" w14:textId="7FDBD2A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0.929</w:t>
            </w:r>
          </w:p>
        </w:tc>
        <w:tc>
          <w:tcPr>
            <w:tcW w:w="773" w:type="dxa"/>
            <w:tcBorders>
              <w:top w:val="nil"/>
              <w:left w:val="nil"/>
              <w:bottom w:val="nil"/>
              <w:right w:val="nil"/>
            </w:tcBorders>
            <w:shd w:val="clear" w:color="auto" w:fill="auto"/>
            <w:noWrap/>
            <w:vAlign w:val="bottom"/>
          </w:tcPr>
          <w:p w14:paraId="09F84F3A" w14:textId="2F2DBFF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0.975</w:t>
            </w:r>
          </w:p>
        </w:tc>
        <w:tc>
          <w:tcPr>
            <w:tcW w:w="845" w:type="dxa"/>
            <w:tcBorders>
              <w:top w:val="nil"/>
              <w:left w:val="nil"/>
              <w:bottom w:val="nil"/>
              <w:right w:val="nil"/>
            </w:tcBorders>
            <w:shd w:val="clear" w:color="auto" w:fill="auto"/>
            <w:noWrap/>
            <w:vAlign w:val="bottom"/>
          </w:tcPr>
          <w:p w14:paraId="1604190C" w14:textId="0929BD0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1.072</w:t>
            </w:r>
          </w:p>
        </w:tc>
        <w:tc>
          <w:tcPr>
            <w:tcW w:w="702" w:type="dxa"/>
            <w:tcBorders>
              <w:top w:val="nil"/>
              <w:left w:val="nil"/>
              <w:bottom w:val="nil"/>
              <w:right w:val="single" w:sz="4" w:space="0" w:color="auto"/>
            </w:tcBorders>
            <w:shd w:val="clear" w:color="auto" w:fill="auto"/>
            <w:noWrap/>
            <w:vAlign w:val="bottom"/>
          </w:tcPr>
          <w:p w14:paraId="3641A4F2" w14:textId="214455C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1.008</w:t>
            </w:r>
          </w:p>
        </w:tc>
        <w:tc>
          <w:tcPr>
            <w:tcW w:w="774" w:type="dxa"/>
            <w:tcBorders>
              <w:left w:val="nil"/>
            </w:tcBorders>
            <w:vAlign w:val="bottom"/>
          </w:tcPr>
          <w:p w14:paraId="0F61AB9D" w14:textId="559CB18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0.949</w:t>
            </w:r>
          </w:p>
        </w:tc>
        <w:tc>
          <w:tcPr>
            <w:tcW w:w="773" w:type="dxa"/>
            <w:vAlign w:val="bottom"/>
          </w:tcPr>
          <w:p w14:paraId="31015564" w14:textId="77526A64"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0.997</w:t>
            </w:r>
          </w:p>
        </w:tc>
        <w:tc>
          <w:tcPr>
            <w:tcW w:w="774" w:type="dxa"/>
            <w:vAlign w:val="bottom"/>
          </w:tcPr>
          <w:p w14:paraId="1B35AF61" w14:textId="2FC877F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0.964</w:t>
            </w:r>
          </w:p>
        </w:tc>
        <w:tc>
          <w:tcPr>
            <w:tcW w:w="847" w:type="dxa"/>
            <w:vAlign w:val="bottom"/>
          </w:tcPr>
          <w:p w14:paraId="7595CBBD" w14:textId="38AE048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0.881</w:t>
            </w:r>
          </w:p>
        </w:tc>
        <w:tc>
          <w:tcPr>
            <w:tcW w:w="715" w:type="dxa"/>
            <w:vAlign w:val="bottom"/>
          </w:tcPr>
          <w:p w14:paraId="0EB61803" w14:textId="06F0C72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0.973</w:t>
            </w:r>
          </w:p>
        </w:tc>
      </w:tr>
      <w:tr w:rsidR="00B60546" w:rsidRPr="00A0555D" w14:paraId="06D9539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56C874C"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6F8F576E" w14:textId="5E14CC4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0.987</w:t>
            </w:r>
          </w:p>
        </w:tc>
        <w:tc>
          <w:tcPr>
            <w:tcW w:w="774" w:type="dxa"/>
            <w:tcBorders>
              <w:top w:val="nil"/>
              <w:left w:val="nil"/>
              <w:bottom w:val="nil"/>
              <w:right w:val="nil"/>
            </w:tcBorders>
            <w:shd w:val="clear" w:color="auto" w:fill="auto"/>
            <w:noWrap/>
            <w:vAlign w:val="bottom"/>
          </w:tcPr>
          <w:p w14:paraId="691A1B95" w14:textId="5EEE9B7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0.850</w:t>
            </w:r>
          </w:p>
        </w:tc>
        <w:tc>
          <w:tcPr>
            <w:tcW w:w="773" w:type="dxa"/>
            <w:tcBorders>
              <w:top w:val="nil"/>
              <w:left w:val="nil"/>
              <w:bottom w:val="nil"/>
              <w:right w:val="nil"/>
            </w:tcBorders>
            <w:shd w:val="clear" w:color="auto" w:fill="auto"/>
            <w:noWrap/>
            <w:vAlign w:val="bottom"/>
          </w:tcPr>
          <w:p w14:paraId="29A11073" w14:textId="02CED08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1.007</w:t>
            </w:r>
          </w:p>
        </w:tc>
        <w:tc>
          <w:tcPr>
            <w:tcW w:w="845" w:type="dxa"/>
            <w:tcBorders>
              <w:top w:val="nil"/>
              <w:left w:val="nil"/>
              <w:bottom w:val="nil"/>
              <w:right w:val="nil"/>
            </w:tcBorders>
            <w:shd w:val="clear" w:color="auto" w:fill="auto"/>
            <w:noWrap/>
            <w:vAlign w:val="bottom"/>
          </w:tcPr>
          <w:p w14:paraId="2300E625" w14:textId="532218D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1.233</w:t>
            </w:r>
          </w:p>
        </w:tc>
        <w:tc>
          <w:tcPr>
            <w:tcW w:w="702" w:type="dxa"/>
            <w:tcBorders>
              <w:top w:val="nil"/>
              <w:left w:val="nil"/>
              <w:bottom w:val="nil"/>
              <w:right w:val="single" w:sz="4" w:space="0" w:color="auto"/>
            </w:tcBorders>
            <w:shd w:val="clear" w:color="auto" w:fill="auto"/>
            <w:noWrap/>
            <w:vAlign w:val="bottom"/>
          </w:tcPr>
          <w:p w14:paraId="7489CF2A" w14:textId="5E1FD57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1.011</w:t>
            </w:r>
          </w:p>
        </w:tc>
        <w:tc>
          <w:tcPr>
            <w:tcW w:w="774" w:type="dxa"/>
            <w:tcBorders>
              <w:left w:val="nil"/>
            </w:tcBorders>
            <w:vAlign w:val="bottom"/>
          </w:tcPr>
          <w:p w14:paraId="65DD6129" w14:textId="064DDDA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0.892</w:t>
            </w:r>
          </w:p>
        </w:tc>
        <w:tc>
          <w:tcPr>
            <w:tcW w:w="773" w:type="dxa"/>
            <w:vAlign w:val="bottom"/>
          </w:tcPr>
          <w:p w14:paraId="78E5591A" w14:textId="743DF15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0.876</w:t>
            </w:r>
          </w:p>
        </w:tc>
        <w:tc>
          <w:tcPr>
            <w:tcW w:w="774" w:type="dxa"/>
            <w:vAlign w:val="bottom"/>
          </w:tcPr>
          <w:p w14:paraId="11983A47" w14:textId="076078F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0.933</w:t>
            </w:r>
          </w:p>
        </w:tc>
        <w:tc>
          <w:tcPr>
            <w:tcW w:w="847" w:type="dxa"/>
            <w:vAlign w:val="bottom"/>
          </w:tcPr>
          <w:p w14:paraId="180064C7" w14:textId="1B0E486C"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0.924</w:t>
            </w:r>
          </w:p>
        </w:tc>
        <w:tc>
          <w:tcPr>
            <w:tcW w:w="715" w:type="dxa"/>
            <w:vAlign w:val="bottom"/>
          </w:tcPr>
          <w:p w14:paraId="6226D57F" w14:textId="0DFD07C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0.880</w:t>
            </w:r>
          </w:p>
        </w:tc>
      </w:tr>
      <w:tr w:rsidR="00B60546" w:rsidRPr="00A0555D" w14:paraId="02C9589A"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A6965C8"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187288E5" w14:textId="3F209ED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0.954</w:t>
            </w:r>
          </w:p>
        </w:tc>
        <w:tc>
          <w:tcPr>
            <w:tcW w:w="774" w:type="dxa"/>
            <w:tcBorders>
              <w:top w:val="nil"/>
              <w:left w:val="nil"/>
              <w:bottom w:val="single" w:sz="4" w:space="0" w:color="auto"/>
              <w:right w:val="nil"/>
            </w:tcBorders>
            <w:shd w:val="clear" w:color="auto" w:fill="auto"/>
            <w:noWrap/>
            <w:vAlign w:val="bottom"/>
          </w:tcPr>
          <w:p w14:paraId="7CFA677E" w14:textId="617A320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1.072</w:t>
            </w:r>
          </w:p>
        </w:tc>
        <w:tc>
          <w:tcPr>
            <w:tcW w:w="773" w:type="dxa"/>
            <w:tcBorders>
              <w:top w:val="nil"/>
              <w:left w:val="nil"/>
              <w:bottom w:val="single" w:sz="4" w:space="0" w:color="auto"/>
              <w:right w:val="nil"/>
            </w:tcBorders>
            <w:shd w:val="clear" w:color="auto" w:fill="auto"/>
            <w:noWrap/>
            <w:vAlign w:val="bottom"/>
          </w:tcPr>
          <w:p w14:paraId="2D6156B8" w14:textId="27DE694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1.009</w:t>
            </w:r>
          </w:p>
        </w:tc>
        <w:tc>
          <w:tcPr>
            <w:tcW w:w="845" w:type="dxa"/>
            <w:tcBorders>
              <w:top w:val="nil"/>
              <w:left w:val="nil"/>
              <w:bottom w:val="single" w:sz="4" w:space="0" w:color="auto"/>
              <w:right w:val="nil"/>
            </w:tcBorders>
            <w:shd w:val="clear" w:color="auto" w:fill="auto"/>
            <w:noWrap/>
            <w:vAlign w:val="bottom"/>
          </w:tcPr>
          <w:p w14:paraId="0A4893C2" w14:textId="1A7877E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0.875</w:t>
            </w:r>
          </w:p>
        </w:tc>
        <w:tc>
          <w:tcPr>
            <w:tcW w:w="702" w:type="dxa"/>
            <w:tcBorders>
              <w:top w:val="nil"/>
              <w:left w:val="nil"/>
              <w:bottom w:val="single" w:sz="4" w:space="0" w:color="auto"/>
              <w:right w:val="single" w:sz="4" w:space="0" w:color="auto"/>
            </w:tcBorders>
            <w:shd w:val="clear" w:color="auto" w:fill="auto"/>
            <w:noWrap/>
            <w:vAlign w:val="bottom"/>
          </w:tcPr>
          <w:p w14:paraId="1D5934D2" w14:textId="1A9C562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0.948</w:t>
            </w:r>
          </w:p>
        </w:tc>
        <w:tc>
          <w:tcPr>
            <w:tcW w:w="774" w:type="dxa"/>
            <w:tcBorders>
              <w:left w:val="nil"/>
              <w:bottom w:val="single" w:sz="4" w:space="0" w:color="auto"/>
            </w:tcBorders>
            <w:vAlign w:val="bottom"/>
          </w:tcPr>
          <w:p w14:paraId="024C30BD" w14:textId="7AA1ADF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0.931</w:t>
            </w:r>
          </w:p>
        </w:tc>
        <w:tc>
          <w:tcPr>
            <w:tcW w:w="773" w:type="dxa"/>
            <w:tcBorders>
              <w:bottom w:val="single" w:sz="4" w:space="0" w:color="auto"/>
            </w:tcBorders>
            <w:vAlign w:val="bottom"/>
          </w:tcPr>
          <w:p w14:paraId="3FF66AF9" w14:textId="279CE05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1.078</w:t>
            </w:r>
          </w:p>
        </w:tc>
        <w:tc>
          <w:tcPr>
            <w:tcW w:w="774" w:type="dxa"/>
            <w:tcBorders>
              <w:bottom w:val="single" w:sz="4" w:space="0" w:color="auto"/>
            </w:tcBorders>
            <w:vAlign w:val="bottom"/>
          </w:tcPr>
          <w:p w14:paraId="6B72A1A8" w14:textId="48570ED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0.967</w:t>
            </w:r>
          </w:p>
        </w:tc>
        <w:tc>
          <w:tcPr>
            <w:tcW w:w="847" w:type="dxa"/>
            <w:tcBorders>
              <w:bottom w:val="single" w:sz="4" w:space="0" w:color="auto"/>
            </w:tcBorders>
            <w:vAlign w:val="bottom"/>
          </w:tcPr>
          <w:p w14:paraId="27B09AA6" w14:textId="4EE158D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0.827</w:t>
            </w:r>
          </w:p>
        </w:tc>
        <w:tc>
          <w:tcPr>
            <w:tcW w:w="715" w:type="dxa"/>
            <w:tcBorders>
              <w:bottom w:val="single" w:sz="4" w:space="0" w:color="auto"/>
            </w:tcBorders>
            <w:vAlign w:val="bottom"/>
          </w:tcPr>
          <w:p w14:paraId="3D29AC72" w14:textId="361B4C2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0.920</w:t>
            </w:r>
          </w:p>
        </w:tc>
      </w:tr>
      <w:tr w:rsidR="00CD6A1A" w:rsidRPr="00A0555D" w14:paraId="000C60A5" w14:textId="77777777"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0158AE7E" w14:textId="77777777" w:rsidR="00CD6A1A" w:rsidRPr="00A0555D" w:rsidRDefault="00CD6A1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422AC123"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7D403060"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28CC9B7"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0E232842"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75CC16FC"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319AA56D" w14:textId="77777777" w:rsidR="00CD6A1A" w:rsidRPr="006016B0" w:rsidRDefault="00CD6A1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14C92563" w14:textId="77777777" w:rsidR="00CD6A1A" w:rsidRPr="006016B0" w:rsidRDefault="00CD6A1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03ABF1D4" w14:textId="77777777" w:rsidR="00CD6A1A" w:rsidRPr="006016B0" w:rsidRDefault="00CD6A1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76690198" w14:textId="77777777" w:rsidR="00CD6A1A" w:rsidRPr="006016B0" w:rsidRDefault="00CD6A1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356F0B2C" w14:textId="77777777" w:rsidR="00CD6A1A" w:rsidRPr="006016B0" w:rsidRDefault="00CD6A1A" w:rsidP="006016B0">
            <w:pPr>
              <w:tabs>
                <w:tab w:val="decimal" w:pos="256"/>
              </w:tabs>
              <w:spacing w:before="0" w:after="0" w:line="240" w:lineRule="auto"/>
              <w:ind w:firstLine="0"/>
              <w:rPr>
                <w:color w:val="000000"/>
                <w:sz w:val="16"/>
                <w:szCs w:val="16"/>
              </w:rPr>
            </w:pPr>
          </w:p>
        </w:tc>
      </w:tr>
      <w:tr w:rsidR="00B60546" w:rsidRPr="00A0555D" w14:paraId="2AFADC0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5E43C41"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4FE89129" w14:textId="2271E98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0.978</w:t>
            </w:r>
          </w:p>
        </w:tc>
        <w:tc>
          <w:tcPr>
            <w:tcW w:w="774" w:type="dxa"/>
            <w:tcBorders>
              <w:top w:val="nil"/>
              <w:left w:val="nil"/>
              <w:bottom w:val="nil"/>
              <w:right w:val="nil"/>
            </w:tcBorders>
            <w:shd w:val="clear" w:color="auto" w:fill="auto"/>
            <w:noWrap/>
            <w:vAlign w:val="bottom"/>
          </w:tcPr>
          <w:p w14:paraId="2815A9A3" w14:textId="0717A49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0.928</w:t>
            </w:r>
          </w:p>
        </w:tc>
        <w:tc>
          <w:tcPr>
            <w:tcW w:w="773" w:type="dxa"/>
            <w:tcBorders>
              <w:top w:val="nil"/>
              <w:left w:val="nil"/>
              <w:bottom w:val="nil"/>
              <w:right w:val="nil"/>
            </w:tcBorders>
            <w:shd w:val="clear" w:color="auto" w:fill="auto"/>
            <w:noWrap/>
            <w:vAlign w:val="bottom"/>
          </w:tcPr>
          <w:p w14:paraId="6219A097" w14:textId="3111636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1.133</w:t>
            </w:r>
          </w:p>
        </w:tc>
        <w:tc>
          <w:tcPr>
            <w:tcW w:w="845" w:type="dxa"/>
            <w:tcBorders>
              <w:top w:val="nil"/>
              <w:left w:val="nil"/>
              <w:bottom w:val="nil"/>
              <w:right w:val="nil"/>
            </w:tcBorders>
            <w:shd w:val="clear" w:color="auto" w:fill="auto"/>
            <w:noWrap/>
            <w:vAlign w:val="bottom"/>
          </w:tcPr>
          <w:p w14:paraId="0C329A8C" w14:textId="031F7BF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1.023</w:t>
            </w:r>
          </w:p>
        </w:tc>
        <w:tc>
          <w:tcPr>
            <w:tcW w:w="702" w:type="dxa"/>
            <w:tcBorders>
              <w:top w:val="nil"/>
              <w:left w:val="nil"/>
              <w:bottom w:val="nil"/>
              <w:right w:val="single" w:sz="4" w:space="0" w:color="auto"/>
            </w:tcBorders>
            <w:shd w:val="clear" w:color="auto" w:fill="auto"/>
            <w:noWrap/>
            <w:vAlign w:val="bottom"/>
          </w:tcPr>
          <w:p w14:paraId="0C5FB099" w14:textId="69E3EE9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0.969</w:t>
            </w:r>
          </w:p>
        </w:tc>
        <w:tc>
          <w:tcPr>
            <w:tcW w:w="774" w:type="dxa"/>
            <w:tcBorders>
              <w:left w:val="nil"/>
            </w:tcBorders>
            <w:vAlign w:val="bottom"/>
          </w:tcPr>
          <w:p w14:paraId="4E0698DA" w14:textId="6844658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0.921</w:t>
            </w:r>
          </w:p>
        </w:tc>
        <w:tc>
          <w:tcPr>
            <w:tcW w:w="773" w:type="dxa"/>
            <w:vAlign w:val="bottom"/>
          </w:tcPr>
          <w:p w14:paraId="6E22B0AB" w14:textId="22F8D58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1.059</w:t>
            </w:r>
          </w:p>
        </w:tc>
        <w:tc>
          <w:tcPr>
            <w:tcW w:w="774" w:type="dxa"/>
            <w:vAlign w:val="bottom"/>
          </w:tcPr>
          <w:p w14:paraId="43E08948" w14:textId="3F234BF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1.003</w:t>
            </w:r>
          </w:p>
        </w:tc>
        <w:tc>
          <w:tcPr>
            <w:tcW w:w="847" w:type="dxa"/>
            <w:vAlign w:val="bottom"/>
          </w:tcPr>
          <w:p w14:paraId="17FF5E0F" w14:textId="482632F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0.882</w:t>
            </w:r>
          </w:p>
        </w:tc>
        <w:tc>
          <w:tcPr>
            <w:tcW w:w="715" w:type="dxa"/>
            <w:vAlign w:val="bottom"/>
          </w:tcPr>
          <w:p w14:paraId="3AC82331" w14:textId="7C7E580A"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0.857</w:t>
            </w:r>
          </w:p>
        </w:tc>
      </w:tr>
      <w:tr w:rsidR="00B60546" w:rsidRPr="00A0555D" w14:paraId="3140E3B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4D8C2F9"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3ABCCC02" w14:textId="160472D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0.989</w:t>
            </w:r>
          </w:p>
        </w:tc>
        <w:tc>
          <w:tcPr>
            <w:tcW w:w="774" w:type="dxa"/>
            <w:tcBorders>
              <w:top w:val="nil"/>
              <w:left w:val="nil"/>
              <w:bottom w:val="nil"/>
              <w:right w:val="nil"/>
            </w:tcBorders>
            <w:shd w:val="clear" w:color="auto" w:fill="auto"/>
            <w:noWrap/>
            <w:vAlign w:val="bottom"/>
          </w:tcPr>
          <w:p w14:paraId="77EB44CF" w14:textId="43B5871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0.949</w:t>
            </w:r>
          </w:p>
        </w:tc>
        <w:tc>
          <w:tcPr>
            <w:tcW w:w="773" w:type="dxa"/>
            <w:tcBorders>
              <w:top w:val="nil"/>
              <w:left w:val="nil"/>
              <w:bottom w:val="nil"/>
              <w:right w:val="nil"/>
            </w:tcBorders>
            <w:shd w:val="clear" w:color="auto" w:fill="auto"/>
            <w:noWrap/>
            <w:vAlign w:val="bottom"/>
          </w:tcPr>
          <w:p w14:paraId="17BBC278" w14:textId="260BEB3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1.102</w:t>
            </w:r>
          </w:p>
        </w:tc>
        <w:tc>
          <w:tcPr>
            <w:tcW w:w="845" w:type="dxa"/>
            <w:tcBorders>
              <w:top w:val="nil"/>
              <w:left w:val="nil"/>
              <w:bottom w:val="nil"/>
              <w:right w:val="nil"/>
            </w:tcBorders>
            <w:shd w:val="clear" w:color="auto" w:fill="auto"/>
            <w:noWrap/>
            <w:vAlign w:val="bottom"/>
          </w:tcPr>
          <w:p w14:paraId="19204672" w14:textId="324BC53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0.973</w:t>
            </w:r>
          </w:p>
        </w:tc>
        <w:tc>
          <w:tcPr>
            <w:tcW w:w="702" w:type="dxa"/>
            <w:tcBorders>
              <w:top w:val="nil"/>
              <w:left w:val="nil"/>
              <w:bottom w:val="nil"/>
              <w:right w:val="single" w:sz="4" w:space="0" w:color="auto"/>
            </w:tcBorders>
            <w:shd w:val="clear" w:color="auto" w:fill="auto"/>
            <w:noWrap/>
            <w:vAlign w:val="bottom"/>
          </w:tcPr>
          <w:p w14:paraId="063B3685" w14:textId="1FD8E0B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1.018</w:t>
            </w:r>
          </w:p>
        </w:tc>
        <w:tc>
          <w:tcPr>
            <w:tcW w:w="774" w:type="dxa"/>
            <w:tcBorders>
              <w:left w:val="nil"/>
            </w:tcBorders>
            <w:vAlign w:val="bottom"/>
          </w:tcPr>
          <w:p w14:paraId="28A73B26" w14:textId="5E308B64"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0.971</w:t>
            </w:r>
          </w:p>
        </w:tc>
        <w:tc>
          <w:tcPr>
            <w:tcW w:w="773" w:type="dxa"/>
            <w:vAlign w:val="bottom"/>
          </w:tcPr>
          <w:p w14:paraId="3294E870" w14:textId="076051C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1.066</w:t>
            </w:r>
          </w:p>
        </w:tc>
        <w:tc>
          <w:tcPr>
            <w:tcW w:w="774" w:type="dxa"/>
            <w:vAlign w:val="bottom"/>
          </w:tcPr>
          <w:p w14:paraId="15A5DD0B" w14:textId="152ECA1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1.002</w:t>
            </w:r>
          </w:p>
        </w:tc>
        <w:tc>
          <w:tcPr>
            <w:tcW w:w="847" w:type="dxa"/>
            <w:vAlign w:val="bottom"/>
          </w:tcPr>
          <w:p w14:paraId="171DA5FF" w14:textId="3F0C8D8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0.913</w:t>
            </w:r>
          </w:p>
        </w:tc>
        <w:tc>
          <w:tcPr>
            <w:tcW w:w="715" w:type="dxa"/>
            <w:vAlign w:val="bottom"/>
          </w:tcPr>
          <w:p w14:paraId="6775E78C" w14:textId="5F9F645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0.937</w:t>
            </w:r>
          </w:p>
        </w:tc>
      </w:tr>
      <w:tr w:rsidR="00B60546" w:rsidRPr="00A0555D" w14:paraId="4FDC6EAA"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16DA97F"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070C2CD4" w14:textId="00D8483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1.004</w:t>
            </w:r>
          </w:p>
        </w:tc>
        <w:tc>
          <w:tcPr>
            <w:tcW w:w="774" w:type="dxa"/>
            <w:tcBorders>
              <w:top w:val="nil"/>
              <w:left w:val="nil"/>
              <w:bottom w:val="nil"/>
              <w:right w:val="nil"/>
            </w:tcBorders>
            <w:shd w:val="clear" w:color="auto" w:fill="auto"/>
            <w:noWrap/>
            <w:vAlign w:val="bottom"/>
          </w:tcPr>
          <w:p w14:paraId="792083A0" w14:textId="04569F0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0.942</w:t>
            </w:r>
          </w:p>
        </w:tc>
        <w:tc>
          <w:tcPr>
            <w:tcW w:w="773" w:type="dxa"/>
            <w:tcBorders>
              <w:top w:val="nil"/>
              <w:left w:val="nil"/>
              <w:bottom w:val="nil"/>
              <w:right w:val="nil"/>
            </w:tcBorders>
            <w:shd w:val="clear" w:color="auto" w:fill="auto"/>
            <w:noWrap/>
            <w:vAlign w:val="bottom"/>
          </w:tcPr>
          <w:p w14:paraId="6F667D52" w14:textId="0A1F828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1.096</w:t>
            </w:r>
          </w:p>
        </w:tc>
        <w:tc>
          <w:tcPr>
            <w:tcW w:w="845" w:type="dxa"/>
            <w:tcBorders>
              <w:top w:val="nil"/>
              <w:left w:val="nil"/>
              <w:bottom w:val="nil"/>
              <w:right w:val="nil"/>
            </w:tcBorders>
            <w:shd w:val="clear" w:color="auto" w:fill="auto"/>
            <w:noWrap/>
            <w:vAlign w:val="bottom"/>
          </w:tcPr>
          <w:p w14:paraId="49E297B8" w14:textId="75DE14E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1.083</w:t>
            </w:r>
          </w:p>
        </w:tc>
        <w:tc>
          <w:tcPr>
            <w:tcW w:w="702" w:type="dxa"/>
            <w:tcBorders>
              <w:top w:val="nil"/>
              <w:left w:val="nil"/>
              <w:bottom w:val="nil"/>
              <w:right w:val="single" w:sz="4" w:space="0" w:color="auto"/>
            </w:tcBorders>
            <w:shd w:val="clear" w:color="auto" w:fill="auto"/>
            <w:noWrap/>
            <w:vAlign w:val="bottom"/>
          </w:tcPr>
          <w:p w14:paraId="14E33B19" w14:textId="63D445B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74" w:type="dxa"/>
            <w:tcBorders>
              <w:left w:val="nil"/>
            </w:tcBorders>
            <w:vAlign w:val="bottom"/>
          </w:tcPr>
          <w:p w14:paraId="6C5EEBF8" w14:textId="6183C6F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0.915</w:t>
            </w:r>
          </w:p>
        </w:tc>
        <w:tc>
          <w:tcPr>
            <w:tcW w:w="773" w:type="dxa"/>
            <w:vAlign w:val="bottom"/>
          </w:tcPr>
          <w:p w14:paraId="108F8AA6" w14:textId="1774B5C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1.047</w:t>
            </w:r>
          </w:p>
        </w:tc>
        <w:tc>
          <w:tcPr>
            <w:tcW w:w="774" w:type="dxa"/>
            <w:vAlign w:val="bottom"/>
          </w:tcPr>
          <w:p w14:paraId="6DC6B807" w14:textId="736DF75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0.965</w:t>
            </w:r>
          </w:p>
        </w:tc>
        <w:tc>
          <w:tcPr>
            <w:tcW w:w="847" w:type="dxa"/>
            <w:vAlign w:val="bottom"/>
          </w:tcPr>
          <w:p w14:paraId="7B8EC772" w14:textId="5CB6CE52"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0.847</w:t>
            </w:r>
          </w:p>
        </w:tc>
        <w:tc>
          <w:tcPr>
            <w:tcW w:w="715" w:type="dxa"/>
            <w:vAlign w:val="bottom"/>
          </w:tcPr>
          <w:p w14:paraId="2F8657A0" w14:textId="6C161A9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0.837</w:t>
            </w:r>
          </w:p>
        </w:tc>
      </w:tr>
      <w:tr w:rsidR="00B60546" w:rsidRPr="00A0555D" w14:paraId="0448719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68E4BEB"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2C03603F" w14:textId="27072E4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0.965</w:t>
            </w:r>
          </w:p>
        </w:tc>
        <w:tc>
          <w:tcPr>
            <w:tcW w:w="774" w:type="dxa"/>
            <w:tcBorders>
              <w:top w:val="nil"/>
              <w:left w:val="nil"/>
              <w:bottom w:val="nil"/>
              <w:right w:val="nil"/>
            </w:tcBorders>
            <w:shd w:val="clear" w:color="auto" w:fill="auto"/>
            <w:noWrap/>
            <w:vAlign w:val="bottom"/>
          </w:tcPr>
          <w:p w14:paraId="18901D9E" w14:textId="5986695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0.936</w:t>
            </w:r>
          </w:p>
        </w:tc>
        <w:tc>
          <w:tcPr>
            <w:tcW w:w="773" w:type="dxa"/>
            <w:tcBorders>
              <w:top w:val="nil"/>
              <w:left w:val="nil"/>
              <w:bottom w:val="nil"/>
              <w:right w:val="nil"/>
            </w:tcBorders>
            <w:shd w:val="clear" w:color="auto" w:fill="auto"/>
            <w:noWrap/>
            <w:vAlign w:val="bottom"/>
          </w:tcPr>
          <w:p w14:paraId="6BCCE9DF" w14:textId="14837CB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1.101</w:t>
            </w:r>
          </w:p>
        </w:tc>
        <w:tc>
          <w:tcPr>
            <w:tcW w:w="845" w:type="dxa"/>
            <w:tcBorders>
              <w:top w:val="nil"/>
              <w:left w:val="nil"/>
              <w:bottom w:val="nil"/>
              <w:right w:val="nil"/>
            </w:tcBorders>
            <w:shd w:val="clear" w:color="auto" w:fill="auto"/>
            <w:noWrap/>
            <w:vAlign w:val="bottom"/>
          </w:tcPr>
          <w:p w14:paraId="2F35080C" w14:textId="1353E04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0.975</w:t>
            </w:r>
          </w:p>
        </w:tc>
        <w:tc>
          <w:tcPr>
            <w:tcW w:w="702" w:type="dxa"/>
            <w:tcBorders>
              <w:top w:val="nil"/>
              <w:left w:val="nil"/>
              <w:bottom w:val="nil"/>
              <w:right w:val="single" w:sz="4" w:space="0" w:color="auto"/>
            </w:tcBorders>
            <w:shd w:val="clear" w:color="auto" w:fill="auto"/>
            <w:noWrap/>
            <w:vAlign w:val="bottom"/>
          </w:tcPr>
          <w:p w14:paraId="20828DE7" w14:textId="13CFEA4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0.959</w:t>
            </w:r>
          </w:p>
        </w:tc>
        <w:tc>
          <w:tcPr>
            <w:tcW w:w="774" w:type="dxa"/>
            <w:tcBorders>
              <w:left w:val="nil"/>
            </w:tcBorders>
            <w:vAlign w:val="bottom"/>
          </w:tcPr>
          <w:p w14:paraId="4B8A8CB7" w14:textId="2A5C2BA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0.948</w:t>
            </w:r>
          </w:p>
        </w:tc>
        <w:tc>
          <w:tcPr>
            <w:tcW w:w="773" w:type="dxa"/>
            <w:vAlign w:val="bottom"/>
          </w:tcPr>
          <w:p w14:paraId="1D45325B" w14:textId="2D04129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1.050</w:t>
            </w:r>
          </w:p>
        </w:tc>
        <w:tc>
          <w:tcPr>
            <w:tcW w:w="774" w:type="dxa"/>
            <w:vAlign w:val="bottom"/>
          </w:tcPr>
          <w:p w14:paraId="02A999CA" w14:textId="104A120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0.978</w:t>
            </w:r>
          </w:p>
        </w:tc>
        <w:tc>
          <w:tcPr>
            <w:tcW w:w="847" w:type="dxa"/>
            <w:vAlign w:val="bottom"/>
          </w:tcPr>
          <w:p w14:paraId="3F7D8DDC" w14:textId="04A29B52"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0.946</w:t>
            </w:r>
          </w:p>
        </w:tc>
        <w:tc>
          <w:tcPr>
            <w:tcW w:w="715" w:type="dxa"/>
            <w:vAlign w:val="bottom"/>
          </w:tcPr>
          <w:p w14:paraId="4EB80298" w14:textId="6D2D472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0.894</w:t>
            </w:r>
          </w:p>
        </w:tc>
      </w:tr>
      <w:tr w:rsidR="00B60546" w:rsidRPr="00A0555D" w14:paraId="1A5358C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A3B5931"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01D99FBF" w14:textId="7D10272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0.976</w:t>
            </w:r>
          </w:p>
        </w:tc>
        <w:tc>
          <w:tcPr>
            <w:tcW w:w="774" w:type="dxa"/>
            <w:tcBorders>
              <w:top w:val="nil"/>
              <w:left w:val="nil"/>
              <w:bottom w:val="nil"/>
              <w:right w:val="nil"/>
            </w:tcBorders>
            <w:shd w:val="clear" w:color="auto" w:fill="auto"/>
            <w:noWrap/>
            <w:vAlign w:val="bottom"/>
          </w:tcPr>
          <w:p w14:paraId="14D207EE" w14:textId="6FBB81D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0.889</w:t>
            </w:r>
          </w:p>
        </w:tc>
        <w:tc>
          <w:tcPr>
            <w:tcW w:w="773" w:type="dxa"/>
            <w:tcBorders>
              <w:top w:val="nil"/>
              <w:left w:val="nil"/>
              <w:bottom w:val="nil"/>
              <w:right w:val="nil"/>
            </w:tcBorders>
            <w:shd w:val="clear" w:color="auto" w:fill="auto"/>
            <w:noWrap/>
            <w:vAlign w:val="bottom"/>
          </w:tcPr>
          <w:p w14:paraId="5886E903" w14:textId="07714AF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1.075</w:t>
            </w:r>
          </w:p>
        </w:tc>
        <w:tc>
          <w:tcPr>
            <w:tcW w:w="845" w:type="dxa"/>
            <w:tcBorders>
              <w:top w:val="nil"/>
              <w:left w:val="nil"/>
              <w:bottom w:val="nil"/>
              <w:right w:val="nil"/>
            </w:tcBorders>
            <w:shd w:val="clear" w:color="auto" w:fill="auto"/>
            <w:noWrap/>
            <w:vAlign w:val="bottom"/>
          </w:tcPr>
          <w:p w14:paraId="4AA607BC" w14:textId="20556CD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1.094</w:t>
            </w:r>
          </w:p>
        </w:tc>
        <w:tc>
          <w:tcPr>
            <w:tcW w:w="702" w:type="dxa"/>
            <w:tcBorders>
              <w:top w:val="nil"/>
              <w:left w:val="nil"/>
              <w:bottom w:val="nil"/>
              <w:right w:val="single" w:sz="4" w:space="0" w:color="auto"/>
            </w:tcBorders>
            <w:shd w:val="clear" w:color="auto" w:fill="auto"/>
            <w:noWrap/>
            <w:vAlign w:val="bottom"/>
          </w:tcPr>
          <w:p w14:paraId="5E83837F" w14:textId="083DA47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0.971</w:t>
            </w:r>
          </w:p>
        </w:tc>
        <w:tc>
          <w:tcPr>
            <w:tcW w:w="774" w:type="dxa"/>
            <w:tcBorders>
              <w:left w:val="nil"/>
            </w:tcBorders>
            <w:vAlign w:val="bottom"/>
          </w:tcPr>
          <w:p w14:paraId="765894EC" w14:textId="3FDC193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0.915</w:t>
            </w:r>
          </w:p>
        </w:tc>
        <w:tc>
          <w:tcPr>
            <w:tcW w:w="773" w:type="dxa"/>
            <w:vAlign w:val="bottom"/>
          </w:tcPr>
          <w:p w14:paraId="3F561041" w14:textId="79C0299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0.955</w:t>
            </w:r>
          </w:p>
        </w:tc>
        <w:tc>
          <w:tcPr>
            <w:tcW w:w="774" w:type="dxa"/>
            <w:vAlign w:val="bottom"/>
          </w:tcPr>
          <w:p w14:paraId="63BA6474" w14:textId="5C08AB8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0.953</w:t>
            </w:r>
          </w:p>
        </w:tc>
        <w:tc>
          <w:tcPr>
            <w:tcW w:w="847" w:type="dxa"/>
            <w:vAlign w:val="bottom"/>
          </w:tcPr>
          <w:p w14:paraId="00ACA3FD" w14:textId="53A8FE8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0.952</w:t>
            </w:r>
          </w:p>
        </w:tc>
        <w:tc>
          <w:tcPr>
            <w:tcW w:w="715" w:type="dxa"/>
            <w:vAlign w:val="bottom"/>
          </w:tcPr>
          <w:p w14:paraId="7A1BDF52" w14:textId="153992D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0.864</w:t>
            </w:r>
          </w:p>
        </w:tc>
      </w:tr>
      <w:tr w:rsidR="00B60546" w:rsidRPr="00A0555D" w14:paraId="4CDEBC60"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0A80D52F"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0B7F233A" w14:textId="5CC3A12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0.935</w:t>
            </w:r>
          </w:p>
        </w:tc>
        <w:tc>
          <w:tcPr>
            <w:tcW w:w="774" w:type="dxa"/>
            <w:tcBorders>
              <w:top w:val="nil"/>
              <w:left w:val="nil"/>
              <w:bottom w:val="single" w:sz="4" w:space="0" w:color="auto"/>
              <w:right w:val="nil"/>
            </w:tcBorders>
            <w:shd w:val="clear" w:color="auto" w:fill="auto"/>
            <w:noWrap/>
            <w:vAlign w:val="bottom"/>
          </w:tcPr>
          <w:p w14:paraId="27770F8F" w14:textId="580ABEA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0.964</w:t>
            </w:r>
          </w:p>
        </w:tc>
        <w:tc>
          <w:tcPr>
            <w:tcW w:w="773" w:type="dxa"/>
            <w:tcBorders>
              <w:top w:val="nil"/>
              <w:left w:val="nil"/>
              <w:bottom w:val="single" w:sz="4" w:space="0" w:color="auto"/>
              <w:right w:val="nil"/>
            </w:tcBorders>
            <w:shd w:val="clear" w:color="auto" w:fill="auto"/>
            <w:noWrap/>
            <w:vAlign w:val="bottom"/>
          </w:tcPr>
          <w:p w14:paraId="1D9CB03A" w14:textId="2F40997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1.051</w:t>
            </w:r>
          </w:p>
        </w:tc>
        <w:tc>
          <w:tcPr>
            <w:tcW w:w="845" w:type="dxa"/>
            <w:tcBorders>
              <w:top w:val="nil"/>
              <w:left w:val="nil"/>
              <w:bottom w:val="single" w:sz="4" w:space="0" w:color="auto"/>
              <w:right w:val="nil"/>
            </w:tcBorders>
            <w:shd w:val="clear" w:color="auto" w:fill="auto"/>
            <w:noWrap/>
            <w:vAlign w:val="bottom"/>
          </w:tcPr>
          <w:p w14:paraId="1F215B4B" w14:textId="5C4CDFD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0.891</w:t>
            </w:r>
          </w:p>
        </w:tc>
        <w:tc>
          <w:tcPr>
            <w:tcW w:w="702" w:type="dxa"/>
            <w:tcBorders>
              <w:top w:val="nil"/>
              <w:left w:val="nil"/>
              <w:bottom w:val="single" w:sz="4" w:space="0" w:color="auto"/>
              <w:right w:val="single" w:sz="4" w:space="0" w:color="auto"/>
            </w:tcBorders>
            <w:shd w:val="clear" w:color="auto" w:fill="auto"/>
            <w:noWrap/>
            <w:vAlign w:val="bottom"/>
          </w:tcPr>
          <w:p w14:paraId="5DB804E4" w14:textId="0C344B5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0.950</w:t>
            </w:r>
          </w:p>
        </w:tc>
        <w:tc>
          <w:tcPr>
            <w:tcW w:w="774" w:type="dxa"/>
            <w:tcBorders>
              <w:left w:val="nil"/>
              <w:bottom w:val="single" w:sz="4" w:space="0" w:color="auto"/>
            </w:tcBorders>
            <w:vAlign w:val="bottom"/>
          </w:tcPr>
          <w:p w14:paraId="77A084F4" w14:textId="4D3B3BB2"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0.953</w:t>
            </w:r>
          </w:p>
        </w:tc>
        <w:tc>
          <w:tcPr>
            <w:tcW w:w="773" w:type="dxa"/>
            <w:tcBorders>
              <w:bottom w:val="single" w:sz="4" w:space="0" w:color="auto"/>
            </w:tcBorders>
            <w:vAlign w:val="bottom"/>
          </w:tcPr>
          <w:p w14:paraId="64197495" w14:textId="746DF58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1.041</w:t>
            </w:r>
          </w:p>
        </w:tc>
        <w:tc>
          <w:tcPr>
            <w:tcW w:w="774" w:type="dxa"/>
            <w:tcBorders>
              <w:bottom w:val="single" w:sz="4" w:space="0" w:color="auto"/>
            </w:tcBorders>
            <w:vAlign w:val="bottom"/>
          </w:tcPr>
          <w:p w14:paraId="3F9A605B" w14:textId="3970278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1.015</w:t>
            </w:r>
          </w:p>
        </w:tc>
        <w:tc>
          <w:tcPr>
            <w:tcW w:w="847" w:type="dxa"/>
            <w:tcBorders>
              <w:bottom w:val="single" w:sz="4" w:space="0" w:color="auto"/>
            </w:tcBorders>
            <w:vAlign w:val="bottom"/>
          </w:tcPr>
          <w:p w14:paraId="206F4FF0" w14:textId="1EA98C5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0.935</w:t>
            </w:r>
          </w:p>
        </w:tc>
        <w:tc>
          <w:tcPr>
            <w:tcW w:w="715" w:type="dxa"/>
            <w:tcBorders>
              <w:bottom w:val="single" w:sz="4" w:space="0" w:color="auto"/>
            </w:tcBorders>
            <w:vAlign w:val="bottom"/>
          </w:tcPr>
          <w:p w14:paraId="695A6B99" w14:textId="69788EDC"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0.912</w:t>
            </w:r>
          </w:p>
        </w:tc>
      </w:tr>
      <w:tr w:rsidR="00CD6A1A" w:rsidRPr="00A0555D" w14:paraId="488012E2"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17ED8904" w14:textId="48D66DB9" w:rsidR="00CD6A1A" w:rsidRPr="009355EE" w:rsidRDefault="00CD6A1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0EAE25A3" w14:textId="77777777" w:rsidR="00CD6A1A" w:rsidRPr="006016B0" w:rsidRDefault="00CD6A1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49E6A71F" w14:textId="77777777" w:rsidR="00CD6A1A" w:rsidRPr="006016B0" w:rsidRDefault="00CD6A1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30A61FFD" w14:textId="77777777" w:rsidR="00CD6A1A" w:rsidRPr="006016B0" w:rsidRDefault="00CD6A1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7025EA93" w14:textId="77777777" w:rsidR="00CD6A1A" w:rsidRPr="006016B0" w:rsidRDefault="00CD6A1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79A4F60C" w14:textId="77777777" w:rsidR="00CD6A1A" w:rsidRPr="006016B0" w:rsidRDefault="00CD6A1A" w:rsidP="006016B0">
            <w:pPr>
              <w:tabs>
                <w:tab w:val="decimal" w:pos="256"/>
              </w:tabs>
              <w:spacing w:before="0" w:after="0" w:line="240" w:lineRule="auto"/>
              <w:ind w:firstLine="0"/>
              <w:rPr>
                <w:color w:val="000000"/>
                <w:sz w:val="16"/>
                <w:szCs w:val="16"/>
              </w:rPr>
            </w:pPr>
          </w:p>
        </w:tc>
      </w:tr>
      <w:tr w:rsidR="00B60546" w:rsidRPr="00A0555D" w14:paraId="29B24E97"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746150EC"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546A725B" w14:textId="20669CD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left w:val="nil"/>
              <w:bottom w:val="nil"/>
              <w:right w:val="nil"/>
            </w:tcBorders>
            <w:shd w:val="clear" w:color="auto" w:fill="auto"/>
            <w:noWrap/>
            <w:vAlign w:val="bottom"/>
          </w:tcPr>
          <w:p w14:paraId="12B1FA62" w14:textId="1B9BC04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3" w:type="dxa"/>
            <w:tcBorders>
              <w:left w:val="nil"/>
              <w:bottom w:val="nil"/>
              <w:right w:val="nil"/>
            </w:tcBorders>
            <w:shd w:val="clear" w:color="auto" w:fill="auto"/>
            <w:noWrap/>
            <w:vAlign w:val="bottom"/>
          </w:tcPr>
          <w:p w14:paraId="50DF359A" w14:textId="412BDA9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1.009</w:t>
            </w:r>
          </w:p>
        </w:tc>
        <w:tc>
          <w:tcPr>
            <w:tcW w:w="845" w:type="dxa"/>
            <w:tcBorders>
              <w:left w:val="nil"/>
              <w:bottom w:val="nil"/>
              <w:right w:val="nil"/>
            </w:tcBorders>
            <w:shd w:val="clear" w:color="auto" w:fill="auto"/>
            <w:noWrap/>
            <w:vAlign w:val="bottom"/>
          </w:tcPr>
          <w:p w14:paraId="1E183109" w14:textId="4A6D2C7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702" w:type="dxa"/>
            <w:tcBorders>
              <w:left w:val="nil"/>
              <w:bottom w:val="nil"/>
              <w:right w:val="single" w:sz="4" w:space="0" w:color="auto"/>
            </w:tcBorders>
            <w:shd w:val="clear" w:color="auto" w:fill="auto"/>
            <w:noWrap/>
            <w:vAlign w:val="bottom"/>
          </w:tcPr>
          <w:p w14:paraId="211DE2D0" w14:textId="5950B79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tcBorders>
            <w:vAlign w:val="bottom"/>
          </w:tcPr>
          <w:p w14:paraId="1293166A" w14:textId="08A0D3B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73" w:type="dxa"/>
            <w:vAlign w:val="bottom"/>
          </w:tcPr>
          <w:p w14:paraId="2FCF939C" w14:textId="1CE6A02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74" w:type="dxa"/>
            <w:vAlign w:val="bottom"/>
          </w:tcPr>
          <w:p w14:paraId="495E9CDD" w14:textId="569A79AA"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1.007</w:t>
            </w:r>
          </w:p>
        </w:tc>
        <w:tc>
          <w:tcPr>
            <w:tcW w:w="847" w:type="dxa"/>
            <w:vAlign w:val="bottom"/>
          </w:tcPr>
          <w:p w14:paraId="4DB4B848" w14:textId="7F3A60D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0.995</w:t>
            </w:r>
          </w:p>
        </w:tc>
        <w:tc>
          <w:tcPr>
            <w:tcW w:w="715" w:type="dxa"/>
            <w:vAlign w:val="bottom"/>
          </w:tcPr>
          <w:p w14:paraId="290E6E83" w14:textId="7DA33D5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r>
      <w:tr w:rsidR="00B60546" w:rsidRPr="00A0555D" w14:paraId="2769AB4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87DB6C5"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49D97B15" w14:textId="7A7586B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3753B477" w14:textId="09BE701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73" w:type="dxa"/>
            <w:tcBorders>
              <w:top w:val="nil"/>
              <w:left w:val="nil"/>
              <w:bottom w:val="nil"/>
              <w:right w:val="nil"/>
            </w:tcBorders>
            <w:shd w:val="clear" w:color="auto" w:fill="auto"/>
            <w:noWrap/>
            <w:vAlign w:val="bottom"/>
          </w:tcPr>
          <w:p w14:paraId="213EF8EC" w14:textId="69DF69E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1.010</w:t>
            </w:r>
          </w:p>
        </w:tc>
        <w:tc>
          <w:tcPr>
            <w:tcW w:w="845" w:type="dxa"/>
            <w:tcBorders>
              <w:top w:val="nil"/>
              <w:left w:val="nil"/>
              <w:bottom w:val="nil"/>
              <w:right w:val="nil"/>
            </w:tcBorders>
            <w:shd w:val="clear" w:color="auto" w:fill="auto"/>
            <w:noWrap/>
            <w:vAlign w:val="bottom"/>
          </w:tcPr>
          <w:p w14:paraId="07E03859" w14:textId="3AEE1E8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02" w:type="dxa"/>
            <w:tcBorders>
              <w:top w:val="nil"/>
              <w:left w:val="nil"/>
              <w:bottom w:val="nil"/>
              <w:right w:val="single" w:sz="4" w:space="0" w:color="auto"/>
            </w:tcBorders>
            <w:shd w:val="clear" w:color="auto" w:fill="auto"/>
            <w:noWrap/>
            <w:vAlign w:val="bottom"/>
          </w:tcPr>
          <w:p w14:paraId="3FDE742A" w14:textId="5C150A1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tcBorders>
            <w:vAlign w:val="bottom"/>
          </w:tcPr>
          <w:p w14:paraId="541B542F" w14:textId="2E2FE16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3779829D" w14:textId="7DE7F5B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0.994</w:t>
            </w:r>
          </w:p>
        </w:tc>
        <w:tc>
          <w:tcPr>
            <w:tcW w:w="774" w:type="dxa"/>
            <w:vAlign w:val="bottom"/>
          </w:tcPr>
          <w:p w14:paraId="4B949E52" w14:textId="46CAC65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1.007</w:t>
            </w:r>
          </w:p>
        </w:tc>
        <w:tc>
          <w:tcPr>
            <w:tcW w:w="847" w:type="dxa"/>
            <w:vAlign w:val="bottom"/>
          </w:tcPr>
          <w:p w14:paraId="1F8A8F1A" w14:textId="6C272B6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15" w:type="dxa"/>
            <w:vAlign w:val="bottom"/>
          </w:tcPr>
          <w:p w14:paraId="21A08DB9" w14:textId="35B8F2AC"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r>
      <w:tr w:rsidR="00B60546" w:rsidRPr="00A0555D" w14:paraId="280942E9"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BDD928D"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1E4BDC14" w14:textId="13428BD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5F46AF39" w14:textId="7AFAE13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73" w:type="dxa"/>
            <w:tcBorders>
              <w:top w:val="nil"/>
              <w:left w:val="nil"/>
              <w:bottom w:val="nil"/>
              <w:right w:val="nil"/>
            </w:tcBorders>
            <w:shd w:val="clear" w:color="auto" w:fill="auto"/>
            <w:noWrap/>
            <w:vAlign w:val="bottom"/>
          </w:tcPr>
          <w:p w14:paraId="35BD143F" w14:textId="059FB4D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1.008</w:t>
            </w:r>
          </w:p>
        </w:tc>
        <w:tc>
          <w:tcPr>
            <w:tcW w:w="845" w:type="dxa"/>
            <w:tcBorders>
              <w:top w:val="nil"/>
              <w:left w:val="nil"/>
              <w:bottom w:val="nil"/>
              <w:right w:val="nil"/>
            </w:tcBorders>
            <w:shd w:val="clear" w:color="auto" w:fill="auto"/>
            <w:noWrap/>
            <w:vAlign w:val="bottom"/>
          </w:tcPr>
          <w:p w14:paraId="31BE7600" w14:textId="5AEA0B5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0.993</w:t>
            </w:r>
          </w:p>
        </w:tc>
        <w:tc>
          <w:tcPr>
            <w:tcW w:w="702" w:type="dxa"/>
            <w:tcBorders>
              <w:top w:val="nil"/>
              <w:left w:val="nil"/>
              <w:bottom w:val="nil"/>
              <w:right w:val="single" w:sz="4" w:space="0" w:color="auto"/>
            </w:tcBorders>
            <w:shd w:val="clear" w:color="auto" w:fill="auto"/>
            <w:noWrap/>
            <w:vAlign w:val="bottom"/>
          </w:tcPr>
          <w:p w14:paraId="72C1B1EB" w14:textId="5FC254B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774" w:type="dxa"/>
            <w:tcBorders>
              <w:left w:val="nil"/>
            </w:tcBorders>
            <w:vAlign w:val="bottom"/>
          </w:tcPr>
          <w:p w14:paraId="0BD36EFF" w14:textId="3D389BD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4955F265" w14:textId="3FC04DA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4" w:type="dxa"/>
            <w:vAlign w:val="bottom"/>
          </w:tcPr>
          <w:p w14:paraId="0140EAA8" w14:textId="4F6F7D0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1.004</w:t>
            </w:r>
          </w:p>
        </w:tc>
        <w:tc>
          <w:tcPr>
            <w:tcW w:w="847" w:type="dxa"/>
            <w:vAlign w:val="bottom"/>
          </w:tcPr>
          <w:p w14:paraId="3276D9F7" w14:textId="031D017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0.994</w:t>
            </w:r>
          </w:p>
        </w:tc>
        <w:tc>
          <w:tcPr>
            <w:tcW w:w="715" w:type="dxa"/>
            <w:vAlign w:val="bottom"/>
          </w:tcPr>
          <w:p w14:paraId="1494B5A5" w14:textId="0ACEE0D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r>
      <w:tr w:rsidR="00B60546" w:rsidRPr="00A0555D" w14:paraId="1E7086E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658BD2D"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155E1EFC" w14:textId="3D9570E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nil"/>
              <w:right w:val="nil"/>
            </w:tcBorders>
            <w:shd w:val="clear" w:color="auto" w:fill="auto"/>
            <w:noWrap/>
            <w:vAlign w:val="bottom"/>
          </w:tcPr>
          <w:p w14:paraId="56D76B25" w14:textId="291A217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3" w:type="dxa"/>
            <w:tcBorders>
              <w:top w:val="nil"/>
              <w:left w:val="nil"/>
              <w:bottom w:val="nil"/>
              <w:right w:val="nil"/>
            </w:tcBorders>
            <w:shd w:val="clear" w:color="auto" w:fill="auto"/>
            <w:noWrap/>
            <w:vAlign w:val="bottom"/>
          </w:tcPr>
          <w:p w14:paraId="2136587A" w14:textId="6A83641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1.009</w:t>
            </w:r>
          </w:p>
        </w:tc>
        <w:tc>
          <w:tcPr>
            <w:tcW w:w="845" w:type="dxa"/>
            <w:tcBorders>
              <w:top w:val="nil"/>
              <w:left w:val="nil"/>
              <w:bottom w:val="nil"/>
              <w:right w:val="nil"/>
            </w:tcBorders>
            <w:shd w:val="clear" w:color="auto" w:fill="auto"/>
            <w:noWrap/>
            <w:vAlign w:val="bottom"/>
          </w:tcPr>
          <w:p w14:paraId="3CECFD03" w14:textId="4DA3C29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02" w:type="dxa"/>
            <w:tcBorders>
              <w:top w:val="nil"/>
              <w:left w:val="nil"/>
              <w:bottom w:val="nil"/>
              <w:right w:val="single" w:sz="4" w:space="0" w:color="auto"/>
            </w:tcBorders>
            <w:shd w:val="clear" w:color="auto" w:fill="auto"/>
            <w:noWrap/>
            <w:vAlign w:val="bottom"/>
          </w:tcPr>
          <w:p w14:paraId="6AB33ADF" w14:textId="1E6CD47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left w:val="nil"/>
            </w:tcBorders>
            <w:vAlign w:val="bottom"/>
          </w:tcPr>
          <w:p w14:paraId="78E67498" w14:textId="502019F2"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3C13E786" w14:textId="7A9039A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c>
          <w:tcPr>
            <w:tcW w:w="774" w:type="dxa"/>
            <w:vAlign w:val="bottom"/>
          </w:tcPr>
          <w:p w14:paraId="62A5E6B4" w14:textId="0A005BE4"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1.003</w:t>
            </w:r>
          </w:p>
        </w:tc>
        <w:tc>
          <w:tcPr>
            <w:tcW w:w="847" w:type="dxa"/>
            <w:vAlign w:val="bottom"/>
          </w:tcPr>
          <w:p w14:paraId="11907E3B" w14:textId="4AD1F18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15" w:type="dxa"/>
            <w:vAlign w:val="bottom"/>
          </w:tcPr>
          <w:p w14:paraId="6F47540E" w14:textId="732A93C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0.996</w:t>
            </w:r>
          </w:p>
        </w:tc>
      </w:tr>
      <w:tr w:rsidR="00B60546" w:rsidRPr="00A0555D" w14:paraId="589AE39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DF37839"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605800AA" w14:textId="43739EF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nil"/>
              <w:right w:val="nil"/>
            </w:tcBorders>
            <w:shd w:val="clear" w:color="auto" w:fill="auto"/>
            <w:noWrap/>
            <w:vAlign w:val="bottom"/>
          </w:tcPr>
          <w:p w14:paraId="2B1E716B" w14:textId="45A7598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73" w:type="dxa"/>
            <w:tcBorders>
              <w:top w:val="nil"/>
              <w:left w:val="nil"/>
              <w:bottom w:val="nil"/>
              <w:right w:val="nil"/>
            </w:tcBorders>
            <w:shd w:val="clear" w:color="auto" w:fill="auto"/>
            <w:noWrap/>
            <w:vAlign w:val="bottom"/>
          </w:tcPr>
          <w:p w14:paraId="49F1F2C8" w14:textId="402369E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845" w:type="dxa"/>
            <w:tcBorders>
              <w:top w:val="nil"/>
              <w:left w:val="nil"/>
              <w:bottom w:val="nil"/>
              <w:right w:val="nil"/>
            </w:tcBorders>
            <w:shd w:val="clear" w:color="auto" w:fill="auto"/>
            <w:noWrap/>
            <w:vAlign w:val="bottom"/>
          </w:tcPr>
          <w:p w14:paraId="61FBC57C" w14:textId="29A2FAD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2" w:type="dxa"/>
            <w:tcBorders>
              <w:top w:val="nil"/>
              <w:left w:val="nil"/>
              <w:bottom w:val="nil"/>
              <w:right w:val="single" w:sz="4" w:space="0" w:color="auto"/>
            </w:tcBorders>
            <w:shd w:val="clear" w:color="auto" w:fill="auto"/>
            <w:noWrap/>
            <w:vAlign w:val="bottom"/>
          </w:tcPr>
          <w:p w14:paraId="12D4164B" w14:textId="6C7EEDB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1.004</w:t>
            </w:r>
          </w:p>
        </w:tc>
        <w:tc>
          <w:tcPr>
            <w:tcW w:w="774" w:type="dxa"/>
            <w:tcBorders>
              <w:left w:val="nil"/>
            </w:tcBorders>
            <w:vAlign w:val="bottom"/>
          </w:tcPr>
          <w:p w14:paraId="6D67F277" w14:textId="5C7261D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47CDBA6A" w14:textId="2B215A24"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0.997</w:t>
            </w:r>
          </w:p>
        </w:tc>
        <w:tc>
          <w:tcPr>
            <w:tcW w:w="774" w:type="dxa"/>
            <w:vAlign w:val="bottom"/>
          </w:tcPr>
          <w:p w14:paraId="3A753FA9" w14:textId="398BDE6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1.002</w:t>
            </w:r>
          </w:p>
        </w:tc>
        <w:tc>
          <w:tcPr>
            <w:tcW w:w="847" w:type="dxa"/>
            <w:vAlign w:val="bottom"/>
          </w:tcPr>
          <w:p w14:paraId="3F18175A" w14:textId="45E038F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15" w:type="dxa"/>
            <w:vAlign w:val="bottom"/>
          </w:tcPr>
          <w:p w14:paraId="1A44B32F" w14:textId="45F70964"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r>
      <w:tr w:rsidR="00B60546" w:rsidRPr="00A0555D" w14:paraId="27EC200C"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491A3009"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0CB19FBE" w14:textId="3130261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single" w:sz="4" w:space="0" w:color="auto"/>
              <w:right w:val="nil"/>
            </w:tcBorders>
            <w:shd w:val="clear" w:color="auto" w:fill="auto"/>
            <w:noWrap/>
            <w:vAlign w:val="bottom"/>
          </w:tcPr>
          <w:p w14:paraId="1549E0AB" w14:textId="1F32BF6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3" w:type="dxa"/>
            <w:tcBorders>
              <w:top w:val="nil"/>
              <w:left w:val="nil"/>
              <w:bottom w:val="single" w:sz="4" w:space="0" w:color="auto"/>
              <w:right w:val="nil"/>
            </w:tcBorders>
            <w:shd w:val="clear" w:color="auto" w:fill="auto"/>
            <w:noWrap/>
            <w:vAlign w:val="bottom"/>
          </w:tcPr>
          <w:p w14:paraId="4E3CACC7" w14:textId="78E604A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1.007</w:t>
            </w:r>
          </w:p>
        </w:tc>
        <w:tc>
          <w:tcPr>
            <w:tcW w:w="845" w:type="dxa"/>
            <w:tcBorders>
              <w:top w:val="nil"/>
              <w:left w:val="nil"/>
              <w:bottom w:val="single" w:sz="4" w:space="0" w:color="auto"/>
              <w:right w:val="nil"/>
            </w:tcBorders>
            <w:shd w:val="clear" w:color="auto" w:fill="auto"/>
            <w:noWrap/>
            <w:vAlign w:val="bottom"/>
          </w:tcPr>
          <w:p w14:paraId="08BD3207" w14:textId="2B4E190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02" w:type="dxa"/>
            <w:tcBorders>
              <w:top w:val="nil"/>
              <w:left w:val="nil"/>
              <w:bottom w:val="single" w:sz="4" w:space="0" w:color="auto"/>
              <w:right w:val="single" w:sz="4" w:space="0" w:color="auto"/>
            </w:tcBorders>
            <w:shd w:val="clear" w:color="auto" w:fill="auto"/>
            <w:noWrap/>
            <w:vAlign w:val="bottom"/>
          </w:tcPr>
          <w:p w14:paraId="5D34E0F3" w14:textId="6E239DD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bottom w:val="single" w:sz="4" w:space="0" w:color="auto"/>
            </w:tcBorders>
            <w:vAlign w:val="bottom"/>
          </w:tcPr>
          <w:p w14:paraId="50A6C323" w14:textId="676A97E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tcBorders>
              <w:bottom w:val="single" w:sz="4" w:space="0" w:color="auto"/>
            </w:tcBorders>
            <w:vAlign w:val="bottom"/>
          </w:tcPr>
          <w:p w14:paraId="2898EF08" w14:textId="7F5209EC"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74" w:type="dxa"/>
            <w:tcBorders>
              <w:bottom w:val="single" w:sz="4" w:space="0" w:color="auto"/>
            </w:tcBorders>
            <w:vAlign w:val="bottom"/>
          </w:tcPr>
          <w:p w14:paraId="0E16CD2B" w14:textId="0953ABD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1.005</w:t>
            </w:r>
          </w:p>
        </w:tc>
        <w:tc>
          <w:tcPr>
            <w:tcW w:w="847" w:type="dxa"/>
            <w:tcBorders>
              <w:bottom w:val="single" w:sz="4" w:space="0" w:color="auto"/>
            </w:tcBorders>
            <w:vAlign w:val="bottom"/>
          </w:tcPr>
          <w:p w14:paraId="1BC99422" w14:textId="69F4B39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0.996</w:t>
            </w:r>
          </w:p>
        </w:tc>
        <w:tc>
          <w:tcPr>
            <w:tcW w:w="715" w:type="dxa"/>
            <w:tcBorders>
              <w:bottom w:val="single" w:sz="4" w:space="0" w:color="auto"/>
            </w:tcBorders>
            <w:vAlign w:val="bottom"/>
          </w:tcPr>
          <w:p w14:paraId="1F44A7F5" w14:textId="6B9BA40A"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r>
      <w:tr w:rsidR="00CD6A1A" w:rsidRPr="00A0555D" w14:paraId="431123A7"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28962F1F" w14:textId="48C1F5B1" w:rsidR="00CD6A1A" w:rsidRPr="009355EE" w:rsidRDefault="00CD6A1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Livneh</w:t>
            </w:r>
          </w:p>
        </w:tc>
        <w:tc>
          <w:tcPr>
            <w:tcW w:w="774" w:type="dxa"/>
            <w:tcBorders>
              <w:top w:val="single" w:sz="4" w:space="0" w:color="auto"/>
              <w:left w:val="single" w:sz="4" w:space="0" w:color="auto"/>
            </w:tcBorders>
            <w:shd w:val="clear" w:color="auto" w:fill="auto"/>
            <w:vAlign w:val="bottom"/>
          </w:tcPr>
          <w:p w14:paraId="249A8C09" w14:textId="77777777" w:rsidR="00CD6A1A" w:rsidRPr="006016B0" w:rsidRDefault="00CD6A1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57FAEB97" w14:textId="77777777" w:rsidR="00CD6A1A" w:rsidRPr="006016B0" w:rsidRDefault="00CD6A1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502CF425" w14:textId="77777777" w:rsidR="00CD6A1A" w:rsidRPr="006016B0" w:rsidRDefault="00CD6A1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679F05AF" w14:textId="77777777" w:rsidR="00CD6A1A" w:rsidRPr="006016B0" w:rsidRDefault="00CD6A1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5AA9E709" w14:textId="77777777" w:rsidR="00CD6A1A" w:rsidRPr="006016B0" w:rsidRDefault="00CD6A1A" w:rsidP="006016B0">
            <w:pPr>
              <w:tabs>
                <w:tab w:val="decimal" w:pos="256"/>
              </w:tabs>
              <w:spacing w:before="0" w:after="0" w:line="240" w:lineRule="auto"/>
              <w:ind w:firstLine="0"/>
              <w:rPr>
                <w:color w:val="000000"/>
                <w:sz w:val="16"/>
                <w:szCs w:val="16"/>
              </w:rPr>
            </w:pPr>
          </w:p>
        </w:tc>
      </w:tr>
      <w:tr w:rsidR="00B60546" w:rsidRPr="00A0555D" w14:paraId="4DF3A942"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0391A047"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04BE78C5" w14:textId="109B3A3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left w:val="nil"/>
              <w:bottom w:val="nil"/>
              <w:right w:val="nil"/>
            </w:tcBorders>
            <w:shd w:val="clear" w:color="auto" w:fill="auto"/>
            <w:noWrap/>
            <w:vAlign w:val="bottom"/>
          </w:tcPr>
          <w:p w14:paraId="1A2BE128" w14:textId="2E15FCA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3" w:type="dxa"/>
            <w:tcBorders>
              <w:left w:val="nil"/>
              <w:bottom w:val="nil"/>
              <w:right w:val="nil"/>
            </w:tcBorders>
            <w:shd w:val="clear" w:color="auto" w:fill="auto"/>
            <w:noWrap/>
            <w:vAlign w:val="bottom"/>
          </w:tcPr>
          <w:p w14:paraId="206968DD" w14:textId="1C8B030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845" w:type="dxa"/>
            <w:tcBorders>
              <w:left w:val="nil"/>
              <w:bottom w:val="nil"/>
              <w:right w:val="nil"/>
            </w:tcBorders>
            <w:shd w:val="clear" w:color="auto" w:fill="auto"/>
            <w:noWrap/>
            <w:vAlign w:val="bottom"/>
          </w:tcPr>
          <w:p w14:paraId="06E8BC02" w14:textId="1C00651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2" w:type="dxa"/>
            <w:tcBorders>
              <w:left w:val="nil"/>
              <w:bottom w:val="nil"/>
              <w:right w:val="single" w:sz="4" w:space="0" w:color="auto"/>
            </w:tcBorders>
            <w:shd w:val="clear" w:color="auto" w:fill="auto"/>
            <w:noWrap/>
            <w:vAlign w:val="bottom"/>
          </w:tcPr>
          <w:p w14:paraId="29814469" w14:textId="5632B74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left w:val="nil"/>
            </w:tcBorders>
            <w:vAlign w:val="bottom"/>
          </w:tcPr>
          <w:p w14:paraId="5F2A4603" w14:textId="72AE517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73CCC112" w14:textId="2479572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4" w:type="dxa"/>
            <w:vAlign w:val="bottom"/>
          </w:tcPr>
          <w:p w14:paraId="1117C388" w14:textId="5E10F06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1.002</w:t>
            </w:r>
          </w:p>
        </w:tc>
        <w:tc>
          <w:tcPr>
            <w:tcW w:w="847" w:type="dxa"/>
            <w:vAlign w:val="bottom"/>
          </w:tcPr>
          <w:p w14:paraId="57B4F2C6" w14:textId="4AE3373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15" w:type="dxa"/>
            <w:vAlign w:val="bottom"/>
          </w:tcPr>
          <w:p w14:paraId="53D282E0" w14:textId="09CB3C9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r>
      <w:tr w:rsidR="00B60546" w:rsidRPr="00A0555D" w14:paraId="672FB33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7B139AC"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04FE3628" w14:textId="54E0120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277058A0" w14:textId="3320274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0.998</w:t>
            </w:r>
          </w:p>
        </w:tc>
        <w:tc>
          <w:tcPr>
            <w:tcW w:w="773" w:type="dxa"/>
            <w:tcBorders>
              <w:top w:val="nil"/>
              <w:left w:val="nil"/>
              <w:bottom w:val="nil"/>
              <w:right w:val="nil"/>
            </w:tcBorders>
            <w:shd w:val="clear" w:color="auto" w:fill="auto"/>
            <w:noWrap/>
            <w:vAlign w:val="bottom"/>
          </w:tcPr>
          <w:p w14:paraId="1C04BF87" w14:textId="738EAF7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845" w:type="dxa"/>
            <w:tcBorders>
              <w:top w:val="nil"/>
              <w:left w:val="nil"/>
              <w:bottom w:val="nil"/>
              <w:right w:val="nil"/>
            </w:tcBorders>
            <w:shd w:val="clear" w:color="auto" w:fill="auto"/>
            <w:noWrap/>
            <w:vAlign w:val="bottom"/>
          </w:tcPr>
          <w:p w14:paraId="7D3469DE" w14:textId="43EF6E8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2" w:type="dxa"/>
            <w:tcBorders>
              <w:top w:val="nil"/>
              <w:left w:val="nil"/>
              <w:bottom w:val="nil"/>
              <w:right w:val="single" w:sz="4" w:space="0" w:color="auto"/>
            </w:tcBorders>
            <w:shd w:val="clear" w:color="auto" w:fill="auto"/>
            <w:noWrap/>
            <w:vAlign w:val="bottom"/>
          </w:tcPr>
          <w:p w14:paraId="5ECE62F5" w14:textId="537037B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tcBorders>
            <w:vAlign w:val="bottom"/>
          </w:tcPr>
          <w:p w14:paraId="2EB72DD7" w14:textId="13154471"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44666CF8" w14:textId="31EF4CF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0.995</w:t>
            </w:r>
          </w:p>
        </w:tc>
        <w:tc>
          <w:tcPr>
            <w:tcW w:w="774" w:type="dxa"/>
            <w:vAlign w:val="bottom"/>
          </w:tcPr>
          <w:p w14:paraId="286F3419" w14:textId="44675B4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1.003</w:t>
            </w:r>
          </w:p>
        </w:tc>
        <w:tc>
          <w:tcPr>
            <w:tcW w:w="847" w:type="dxa"/>
            <w:vAlign w:val="bottom"/>
          </w:tcPr>
          <w:p w14:paraId="4D2E59EE" w14:textId="4C2535D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c>
          <w:tcPr>
            <w:tcW w:w="715" w:type="dxa"/>
            <w:vAlign w:val="bottom"/>
          </w:tcPr>
          <w:p w14:paraId="063CD7CE" w14:textId="4A904A48"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1.002</w:t>
            </w:r>
          </w:p>
        </w:tc>
      </w:tr>
      <w:tr w:rsidR="00B60546" w:rsidRPr="00A0555D" w14:paraId="4FA6C95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BFBBD85"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73A25E0C" w14:textId="1C7E94A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36FEDE2F" w14:textId="3F1ABFF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3" w:type="dxa"/>
            <w:tcBorders>
              <w:top w:val="nil"/>
              <w:left w:val="nil"/>
              <w:bottom w:val="nil"/>
              <w:right w:val="nil"/>
            </w:tcBorders>
            <w:shd w:val="clear" w:color="auto" w:fill="auto"/>
            <w:noWrap/>
            <w:vAlign w:val="bottom"/>
          </w:tcPr>
          <w:p w14:paraId="6A9E733C" w14:textId="004317A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845" w:type="dxa"/>
            <w:tcBorders>
              <w:top w:val="nil"/>
              <w:left w:val="nil"/>
              <w:bottom w:val="nil"/>
              <w:right w:val="nil"/>
            </w:tcBorders>
            <w:shd w:val="clear" w:color="auto" w:fill="auto"/>
            <w:noWrap/>
            <w:vAlign w:val="bottom"/>
          </w:tcPr>
          <w:p w14:paraId="5BB7AD8C" w14:textId="28EF795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0.996</w:t>
            </w:r>
          </w:p>
        </w:tc>
        <w:tc>
          <w:tcPr>
            <w:tcW w:w="702" w:type="dxa"/>
            <w:tcBorders>
              <w:top w:val="nil"/>
              <w:left w:val="nil"/>
              <w:bottom w:val="nil"/>
              <w:right w:val="single" w:sz="4" w:space="0" w:color="auto"/>
            </w:tcBorders>
            <w:shd w:val="clear" w:color="auto" w:fill="auto"/>
            <w:noWrap/>
            <w:vAlign w:val="bottom"/>
          </w:tcPr>
          <w:p w14:paraId="3089AB27" w14:textId="060E313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tcBorders>
            <w:vAlign w:val="bottom"/>
          </w:tcPr>
          <w:p w14:paraId="2C77C219" w14:textId="69828E20"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095E0523" w14:textId="5093539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74" w:type="dxa"/>
            <w:vAlign w:val="bottom"/>
          </w:tcPr>
          <w:p w14:paraId="76F7D133" w14:textId="3EFAAC43"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847" w:type="dxa"/>
            <w:vAlign w:val="bottom"/>
          </w:tcPr>
          <w:p w14:paraId="1C21884B" w14:textId="31AF491A"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15" w:type="dxa"/>
            <w:vAlign w:val="bottom"/>
          </w:tcPr>
          <w:p w14:paraId="4D7654FA" w14:textId="2C943E37"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r>
      <w:tr w:rsidR="00B60546" w:rsidRPr="00A0555D" w14:paraId="16B490F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C871C98"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660D512" w14:textId="4E23A0A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7BDB1C48" w14:textId="47D78E0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3" w:type="dxa"/>
            <w:tcBorders>
              <w:top w:val="nil"/>
              <w:left w:val="nil"/>
              <w:bottom w:val="nil"/>
              <w:right w:val="nil"/>
            </w:tcBorders>
            <w:shd w:val="clear" w:color="auto" w:fill="auto"/>
            <w:noWrap/>
            <w:vAlign w:val="bottom"/>
          </w:tcPr>
          <w:p w14:paraId="1FD8E308" w14:textId="3371389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845" w:type="dxa"/>
            <w:tcBorders>
              <w:top w:val="nil"/>
              <w:left w:val="nil"/>
              <w:bottom w:val="nil"/>
              <w:right w:val="nil"/>
            </w:tcBorders>
            <w:shd w:val="clear" w:color="auto" w:fill="auto"/>
            <w:noWrap/>
            <w:vAlign w:val="bottom"/>
          </w:tcPr>
          <w:p w14:paraId="5E8A5A88" w14:textId="1995486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0.998</w:t>
            </w:r>
          </w:p>
        </w:tc>
        <w:tc>
          <w:tcPr>
            <w:tcW w:w="702" w:type="dxa"/>
            <w:tcBorders>
              <w:top w:val="nil"/>
              <w:left w:val="nil"/>
              <w:bottom w:val="nil"/>
              <w:right w:val="single" w:sz="4" w:space="0" w:color="auto"/>
            </w:tcBorders>
            <w:shd w:val="clear" w:color="auto" w:fill="auto"/>
            <w:noWrap/>
            <w:vAlign w:val="bottom"/>
          </w:tcPr>
          <w:p w14:paraId="7CC00F2F" w14:textId="0F079D2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left w:val="nil"/>
            </w:tcBorders>
            <w:vAlign w:val="bottom"/>
          </w:tcPr>
          <w:p w14:paraId="6F1380F9" w14:textId="322536D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5A47B6E2" w14:textId="58B6979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4" w:type="dxa"/>
            <w:vAlign w:val="bottom"/>
          </w:tcPr>
          <w:p w14:paraId="0C3FE1A2" w14:textId="6FE398B5"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c>
          <w:tcPr>
            <w:tcW w:w="847" w:type="dxa"/>
            <w:vAlign w:val="bottom"/>
          </w:tcPr>
          <w:p w14:paraId="09BFBC0D" w14:textId="096651D1"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c>
          <w:tcPr>
            <w:tcW w:w="715" w:type="dxa"/>
            <w:vAlign w:val="bottom"/>
          </w:tcPr>
          <w:p w14:paraId="1B9DFB0B" w14:textId="355D6E5B"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0.997</w:t>
            </w:r>
          </w:p>
        </w:tc>
      </w:tr>
      <w:tr w:rsidR="00B60546" w:rsidRPr="00A0555D" w14:paraId="142E40DF"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8292D04"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4EB0C686" w14:textId="5C5F721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6EBCD4E0" w14:textId="54A814A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3" w:type="dxa"/>
            <w:tcBorders>
              <w:top w:val="nil"/>
              <w:left w:val="nil"/>
              <w:bottom w:val="nil"/>
              <w:right w:val="nil"/>
            </w:tcBorders>
            <w:shd w:val="clear" w:color="auto" w:fill="auto"/>
            <w:noWrap/>
            <w:vAlign w:val="bottom"/>
          </w:tcPr>
          <w:p w14:paraId="5D3F792E" w14:textId="4F2D04A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845" w:type="dxa"/>
            <w:tcBorders>
              <w:top w:val="nil"/>
              <w:left w:val="nil"/>
              <w:bottom w:val="nil"/>
              <w:right w:val="nil"/>
            </w:tcBorders>
            <w:shd w:val="clear" w:color="auto" w:fill="auto"/>
            <w:noWrap/>
            <w:vAlign w:val="bottom"/>
          </w:tcPr>
          <w:p w14:paraId="6718B173" w14:textId="0D18B7D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2" w:type="dxa"/>
            <w:tcBorders>
              <w:top w:val="nil"/>
              <w:left w:val="nil"/>
              <w:bottom w:val="nil"/>
              <w:right w:val="single" w:sz="4" w:space="0" w:color="auto"/>
            </w:tcBorders>
            <w:shd w:val="clear" w:color="auto" w:fill="auto"/>
            <w:noWrap/>
            <w:vAlign w:val="bottom"/>
          </w:tcPr>
          <w:p w14:paraId="395C7D84" w14:textId="0852656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1.004</w:t>
            </w:r>
          </w:p>
        </w:tc>
        <w:tc>
          <w:tcPr>
            <w:tcW w:w="774" w:type="dxa"/>
            <w:tcBorders>
              <w:left w:val="nil"/>
            </w:tcBorders>
            <w:vAlign w:val="bottom"/>
          </w:tcPr>
          <w:p w14:paraId="2C480AA5" w14:textId="5C095BF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vAlign w:val="bottom"/>
          </w:tcPr>
          <w:p w14:paraId="62CD1FAD" w14:textId="6E19DF01"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0.997</w:t>
            </w:r>
          </w:p>
        </w:tc>
        <w:tc>
          <w:tcPr>
            <w:tcW w:w="774" w:type="dxa"/>
            <w:vAlign w:val="bottom"/>
          </w:tcPr>
          <w:p w14:paraId="7245117A" w14:textId="718D261E"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0.998</w:t>
            </w:r>
          </w:p>
        </w:tc>
        <w:tc>
          <w:tcPr>
            <w:tcW w:w="847" w:type="dxa"/>
            <w:vAlign w:val="bottom"/>
          </w:tcPr>
          <w:p w14:paraId="5EBC6928" w14:textId="4EFC375F"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15" w:type="dxa"/>
            <w:vAlign w:val="bottom"/>
          </w:tcPr>
          <w:p w14:paraId="7D1B1CD6" w14:textId="3CE515B2"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1.004</w:t>
            </w:r>
          </w:p>
        </w:tc>
      </w:tr>
      <w:tr w:rsidR="00B60546" w:rsidRPr="00A0555D" w14:paraId="6DF09E1C"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4D7B59B1"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102CBB5D" w14:textId="3B7E33D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1F1C8D05" w14:textId="73989C3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3" w:type="dxa"/>
            <w:tcBorders>
              <w:top w:val="nil"/>
              <w:left w:val="nil"/>
              <w:bottom w:val="single" w:sz="4" w:space="0" w:color="auto"/>
              <w:right w:val="nil"/>
            </w:tcBorders>
            <w:shd w:val="clear" w:color="auto" w:fill="auto"/>
            <w:noWrap/>
            <w:vAlign w:val="bottom"/>
          </w:tcPr>
          <w:p w14:paraId="255AAF11" w14:textId="40AD0E1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845" w:type="dxa"/>
            <w:tcBorders>
              <w:top w:val="nil"/>
              <w:left w:val="nil"/>
              <w:bottom w:val="single" w:sz="4" w:space="0" w:color="auto"/>
              <w:right w:val="nil"/>
            </w:tcBorders>
            <w:shd w:val="clear" w:color="auto" w:fill="auto"/>
            <w:noWrap/>
            <w:vAlign w:val="bottom"/>
          </w:tcPr>
          <w:p w14:paraId="22FAE623" w14:textId="4A037AB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2" w:type="dxa"/>
            <w:tcBorders>
              <w:top w:val="nil"/>
              <w:left w:val="nil"/>
              <w:bottom w:val="single" w:sz="4" w:space="0" w:color="auto"/>
              <w:right w:val="single" w:sz="4" w:space="0" w:color="auto"/>
            </w:tcBorders>
            <w:shd w:val="clear" w:color="auto" w:fill="auto"/>
            <w:noWrap/>
            <w:vAlign w:val="bottom"/>
          </w:tcPr>
          <w:p w14:paraId="0E5B80B8" w14:textId="028805A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left w:val="nil"/>
              <w:bottom w:val="single" w:sz="4" w:space="0" w:color="auto"/>
            </w:tcBorders>
            <w:vAlign w:val="bottom"/>
          </w:tcPr>
          <w:p w14:paraId="6765C891" w14:textId="374D36C6"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73" w:type="dxa"/>
            <w:tcBorders>
              <w:bottom w:val="single" w:sz="4" w:space="0" w:color="auto"/>
            </w:tcBorders>
            <w:vAlign w:val="bottom"/>
          </w:tcPr>
          <w:p w14:paraId="46CC4595" w14:textId="283B2DB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c>
          <w:tcPr>
            <w:tcW w:w="774" w:type="dxa"/>
            <w:tcBorders>
              <w:bottom w:val="single" w:sz="4" w:space="0" w:color="auto"/>
            </w:tcBorders>
            <w:vAlign w:val="bottom"/>
          </w:tcPr>
          <w:p w14:paraId="259635FA" w14:textId="0156740C"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1.001</w:t>
            </w:r>
          </w:p>
        </w:tc>
        <w:tc>
          <w:tcPr>
            <w:tcW w:w="847" w:type="dxa"/>
            <w:tcBorders>
              <w:bottom w:val="single" w:sz="4" w:space="0" w:color="auto"/>
            </w:tcBorders>
            <w:vAlign w:val="bottom"/>
          </w:tcPr>
          <w:p w14:paraId="0EA1914A" w14:textId="6CAE8F4D"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0.999</w:t>
            </w:r>
          </w:p>
        </w:tc>
        <w:tc>
          <w:tcPr>
            <w:tcW w:w="715" w:type="dxa"/>
            <w:tcBorders>
              <w:bottom w:val="single" w:sz="4" w:space="0" w:color="auto"/>
            </w:tcBorders>
            <w:vAlign w:val="bottom"/>
          </w:tcPr>
          <w:p w14:paraId="674F72B6" w14:textId="7FBC7DD9" w:rsidR="00B60546" w:rsidRPr="006016B0" w:rsidRDefault="00B60546" w:rsidP="006016B0">
            <w:pPr>
              <w:tabs>
                <w:tab w:val="decimal" w:pos="256"/>
              </w:tabs>
              <w:spacing w:before="0" w:after="0" w:line="240" w:lineRule="auto"/>
              <w:ind w:firstLine="0"/>
              <w:rPr>
                <w:color w:val="000000"/>
                <w:sz w:val="16"/>
                <w:szCs w:val="16"/>
              </w:rPr>
            </w:pPr>
            <w:r w:rsidRPr="00B60546">
              <w:rPr>
                <w:color w:val="000000"/>
                <w:sz w:val="16"/>
                <w:szCs w:val="16"/>
              </w:rPr>
              <w:t>1.000</w:t>
            </w:r>
          </w:p>
        </w:tc>
      </w:tr>
    </w:tbl>
    <w:p w14:paraId="42EE8AE3" w14:textId="77777777" w:rsidR="00CD6A1A" w:rsidRPr="009D4948" w:rsidRDefault="00CD6A1A" w:rsidP="00CD6A1A">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808"/>
        <w:gridCol w:w="740"/>
        <w:gridCol w:w="880"/>
      </w:tblGrid>
      <w:tr w:rsidR="00CD6A1A" w:rsidRPr="00A0555D" w14:paraId="19C7B231" w14:textId="77777777" w:rsidTr="00BD0EBA">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45303E6"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bottom"/>
            <w:hideMark/>
          </w:tcPr>
          <w:p w14:paraId="0FC97BCE" w14:textId="76A978A4" w:rsidR="00CD6A1A"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 (in./day)</w:t>
            </w:r>
          </w:p>
        </w:tc>
        <w:tc>
          <w:tcPr>
            <w:tcW w:w="774" w:type="dxa"/>
            <w:tcBorders>
              <w:top w:val="single" w:sz="4" w:space="0" w:color="auto"/>
              <w:left w:val="nil"/>
              <w:bottom w:val="single" w:sz="4" w:space="0" w:color="auto"/>
              <w:right w:val="single" w:sz="4" w:space="0" w:color="auto"/>
            </w:tcBorders>
            <w:vAlign w:val="bottom"/>
          </w:tcPr>
          <w:p w14:paraId="3F9F3ADE" w14:textId="63498C47" w:rsidR="00CD6A1A"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T95 (°F)</w:t>
            </w:r>
          </w:p>
        </w:tc>
        <w:tc>
          <w:tcPr>
            <w:tcW w:w="774" w:type="dxa"/>
            <w:tcBorders>
              <w:top w:val="single" w:sz="4" w:space="0" w:color="auto"/>
              <w:left w:val="single" w:sz="4" w:space="0" w:color="auto"/>
              <w:bottom w:val="single" w:sz="4" w:space="0" w:color="auto"/>
              <w:right w:val="single" w:sz="4" w:space="0" w:color="auto"/>
            </w:tcBorders>
            <w:vAlign w:val="bottom"/>
          </w:tcPr>
          <w:p w14:paraId="5AA236DB" w14:textId="699A934D" w:rsidR="00CD6A1A" w:rsidRPr="005447C1" w:rsidRDefault="00BD0EBA" w:rsidP="00874FCF">
            <w:pPr>
              <w:spacing w:before="0" w:after="0" w:line="240" w:lineRule="auto"/>
              <w:ind w:firstLine="0"/>
              <w:jc w:val="center"/>
              <w:rPr>
                <w:rFonts w:eastAsia="Times New Roman"/>
                <w:b/>
                <w:bCs/>
                <w:color w:val="000000"/>
                <w:sz w:val="16"/>
                <w:szCs w:val="16"/>
                <w:lang w:bidi="ar-SA"/>
              </w:rPr>
            </w:pPr>
            <w:r>
              <w:rPr>
                <w:b/>
                <w:bCs/>
                <w:color w:val="000000"/>
                <w:sz w:val="16"/>
                <w:szCs w:val="16"/>
              </w:rPr>
              <w:t>T05 (°F)</w:t>
            </w:r>
          </w:p>
        </w:tc>
        <w:tc>
          <w:tcPr>
            <w:tcW w:w="808" w:type="dxa"/>
            <w:tcBorders>
              <w:top w:val="single" w:sz="4" w:space="0" w:color="auto"/>
              <w:left w:val="single" w:sz="4" w:space="0" w:color="auto"/>
              <w:bottom w:val="single" w:sz="4" w:space="0" w:color="auto"/>
              <w:right w:val="single" w:sz="4" w:space="0" w:color="auto"/>
            </w:tcBorders>
            <w:vAlign w:val="bottom"/>
          </w:tcPr>
          <w:p w14:paraId="1C1F5218" w14:textId="7130E14F" w:rsidR="00CD6A1A" w:rsidRPr="005447C1" w:rsidRDefault="00CD6A1A" w:rsidP="00874FCF">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P95</w:t>
            </w:r>
            <w:r w:rsidR="00BD0EBA">
              <w:rPr>
                <w:b/>
                <w:bCs/>
                <w:color w:val="000000"/>
                <w:sz w:val="16"/>
                <w:szCs w:val="16"/>
              </w:rPr>
              <w:t xml:space="preserve"> </w:t>
            </w:r>
            <w:r w:rsidR="00BD0EBA" w:rsidRPr="00BD0EBA">
              <w:rPr>
                <w:b/>
                <w:bCs/>
                <w:color w:val="000000"/>
                <w:sz w:val="16"/>
                <w:szCs w:val="16"/>
              </w:rPr>
              <w:t>(in./day)</w:t>
            </w:r>
          </w:p>
        </w:tc>
        <w:tc>
          <w:tcPr>
            <w:tcW w:w="740" w:type="dxa"/>
            <w:tcBorders>
              <w:top w:val="single" w:sz="4" w:space="0" w:color="auto"/>
              <w:left w:val="single" w:sz="4" w:space="0" w:color="auto"/>
              <w:bottom w:val="single" w:sz="4" w:space="0" w:color="auto"/>
              <w:right w:val="single" w:sz="4" w:space="0" w:color="auto"/>
            </w:tcBorders>
            <w:vAlign w:val="bottom"/>
          </w:tcPr>
          <w:p w14:paraId="789D10B9" w14:textId="77777777" w:rsidR="00CD6A1A" w:rsidRPr="005447C1" w:rsidRDefault="00CD6A1A"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bottom"/>
          </w:tcPr>
          <w:p w14:paraId="3C977747" w14:textId="77777777" w:rsidR="00CD6A1A" w:rsidRPr="005447C1" w:rsidRDefault="00CD6A1A"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CD6A1A" w:rsidRPr="00A0555D" w14:paraId="003B1B96" w14:textId="77777777" w:rsidTr="00BD0EBA">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1D0BBBA6" w14:textId="77777777" w:rsidR="00CD6A1A" w:rsidRPr="00A0555D" w:rsidRDefault="00CD6A1A" w:rsidP="00874FCF">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662A8B78"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09357554"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62E2DF38"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349A6107" w14:textId="77777777" w:rsidR="00CD6A1A" w:rsidRPr="00A0555D" w:rsidRDefault="00CD6A1A"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218922C9"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2508394F"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478B5FB2"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808" w:type="dxa"/>
            <w:tcBorders>
              <w:top w:val="single" w:sz="4" w:space="0" w:color="auto"/>
              <w:left w:val="single" w:sz="4" w:space="0" w:color="auto"/>
              <w:bottom w:val="single" w:sz="4" w:space="0" w:color="auto"/>
              <w:right w:val="single" w:sz="4" w:space="0" w:color="auto"/>
            </w:tcBorders>
          </w:tcPr>
          <w:p w14:paraId="48E2FAE4"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40" w:type="dxa"/>
            <w:tcBorders>
              <w:top w:val="single" w:sz="4" w:space="0" w:color="auto"/>
              <w:left w:val="single" w:sz="4" w:space="0" w:color="auto"/>
              <w:bottom w:val="single" w:sz="4" w:space="0" w:color="auto"/>
              <w:right w:val="single" w:sz="4" w:space="0" w:color="auto"/>
            </w:tcBorders>
          </w:tcPr>
          <w:p w14:paraId="46BFE4C1" w14:textId="77777777" w:rsidR="00CD6A1A" w:rsidRPr="00A0555D" w:rsidRDefault="00CD6A1A" w:rsidP="00874FCF">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4AB7977B"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CD6A1A" w:rsidRPr="00A0555D" w14:paraId="012DB726"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69DEB0F" w14:textId="77777777" w:rsidR="00CD6A1A" w:rsidRPr="00A0555D" w:rsidRDefault="00CD6A1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234F86AE"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3CEE7630"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338D306"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560460E0"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01054719"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428535C4"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0B6C7613"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808" w:type="dxa"/>
            <w:tcBorders>
              <w:top w:val="single" w:sz="4" w:space="0" w:color="auto"/>
              <w:left w:val="single" w:sz="4" w:space="0" w:color="auto"/>
              <w:right w:val="single" w:sz="4" w:space="0" w:color="auto"/>
            </w:tcBorders>
          </w:tcPr>
          <w:p w14:paraId="5AFA7BFC"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740" w:type="dxa"/>
            <w:tcBorders>
              <w:top w:val="single" w:sz="4" w:space="0" w:color="auto"/>
              <w:left w:val="single" w:sz="4" w:space="0" w:color="auto"/>
              <w:right w:val="single" w:sz="4" w:space="0" w:color="auto"/>
            </w:tcBorders>
          </w:tcPr>
          <w:p w14:paraId="56735E84"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22FDE458" w14:textId="77777777" w:rsidR="00CD6A1A" w:rsidRPr="00A0555D" w:rsidRDefault="00CD6A1A" w:rsidP="00874FCF">
            <w:pPr>
              <w:spacing w:before="0" w:after="0" w:line="240" w:lineRule="auto"/>
              <w:ind w:firstLine="0"/>
              <w:jc w:val="center"/>
              <w:rPr>
                <w:rFonts w:eastAsia="Times New Roman"/>
                <w:b/>
                <w:bCs/>
                <w:color w:val="000000"/>
                <w:sz w:val="16"/>
                <w:szCs w:val="16"/>
                <w:lang w:bidi="ar-SA"/>
              </w:rPr>
            </w:pPr>
          </w:p>
        </w:tc>
      </w:tr>
      <w:tr w:rsidR="00B60546" w:rsidRPr="00A0555D" w14:paraId="3B5D6938"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1D7E29A"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621D17D2" w14:textId="0CBA822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0.815</w:t>
            </w:r>
          </w:p>
        </w:tc>
        <w:tc>
          <w:tcPr>
            <w:tcW w:w="774" w:type="dxa"/>
            <w:tcBorders>
              <w:top w:val="nil"/>
              <w:left w:val="nil"/>
              <w:bottom w:val="nil"/>
              <w:right w:val="nil"/>
            </w:tcBorders>
            <w:shd w:val="clear" w:color="auto" w:fill="auto"/>
            <w:noWrap/>
            <w:vAlign w:val="bottom"/>
          </w:tcPr>
          <w:p w14:paraId="1127AB7C" w14:textId="6A1FE13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0.790</w:t>
            </w:r>
          </w:p>
        </w:tc>
        <w:tc>
          <w:tcPr>
            <w:tcW w:w="773" w:type="dxa"/>
            <w:tcBorders>
              <w:top w:val="nil"/>
              <w:left w:val="nil"/>
              <w:bottom w:val="nil"/>
              <w:right w:val="nil"/>
            </w:tcBorders>
            <w:shd w:val="clear" w:color="auto" w:fill="auto"/>
            <w:noWrap/>
            <w:vAlign w:val="bottom"/>
          </w:tcPr>
          <w:p w14:paraId="39EA5F82" w14:textId="640FED0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0.866</w:t>
            </w:r>
          </w:p>
        </w:tc>
        <w:tc>
          <w:tcPr>
            <w:tcW w:w="843" w:type="dxa"/>
            <w:tcBorders>
              <w:top w:val="nil"/>
              <w:left w:val="nil"/>
              <w:bottom w:val="nil"/>
              <w:right w:val="nil"/>
            </w:tcBorders>
            <w:shd w:val="clear" w:color="auto" w:fill="auto"/>
            <w:noWrap/>
            <w:vAlign w:val="bottom"/>
          </w:tcPr>
          <w:p w14:paraId="6F5EBF30" w14:textId="5204C43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0.958</w:t>
            </w:r>
          </w:p>
        </w:tc>
        <w:tc>
          <w:tcPr>
            <w:tcW w:w="704" w:type="dxa"/>
            <w:tcBorders>
              <w:top w:val="nil"/>
              <w:left w:val="nil"/>
              <w:bottom w:val="nil"/>
              <w:right w:val="single" w:sz="4" w:space="0" w:color="auto"/>
            </w:tcBorders>
            <w:shd w:val="clear" w:color="auto" w:fill="auto"/>
            <w:noWrap/>
            <w:vAlign w:val="bottom"/>
          </w:tcPr>
          <w:p w14:paraId="20D980C9" w14:textId="1BE74A7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0.832</w:t>
            </w:r>
          </w:p>
        </w:tc>
        <w:tc>
          <w:tcPr>
            <w:tcW w:w="774" w:type="dxa"/>
            <w:tcBorders>
              <w:left w:val="nil"/>
              <w:right w:val="single" w:sz="4" w:space="0" w:color="auto"/>
            </w:tcBorders>
            <w:vAlign w:val="bottom"/>
          </w:tcPr>
          <w:p w14:paraId="532E6BAC" w14:textId="131FA53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1.144</w:t>
            </w:r>
          </w:p>
        </w:tc>
        <w:tc>
          <w:tcPr>
            <w:tcW w:w="774" w:type="dxa"/>
            <w:tcBorders>
              <w:left w:val="single" w:sz="4" w:space="0" w:color="auto"/>
              <w:right w:val="single" w:sz="4" w:space="0" w:color="auto"/>
            </w:tcBorders>
            <w:vAlign w:val="bottom"/>
          </w:tcPr>
          <w:p w14:paraId="36E5785B" w14:textId="4011485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0.927</w:t>
            </w:r>
          </w:p>
        </w:tc>
        <w:tc>
          <w:tcPr>
            <w:tcW w:w="808" w:type="dxa"/>
            <w:tcBorders>
              <w:left w:val="single" w:sz="4" w:space="0" w:color="auto"/>
              <w:right w:val="single" w:sz="4" w:space="0" w:color="auto"/>
            </w:tcBorders>
            <w:vAlign w:val="bottom"/>
          </w:tcPr>
          <w:p w14:paraId="1C4710DB" w14:textId="72109E3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0.757</w:t>
            </w:r>
          </w:p>
        </w:tc>
        <w:tc>
          <w:tcPr>
            <w:tcW w:w="740" w:type="dxa"/>
            <w:tcBorders>
              <w:left w:val="single" w:sz="4" w:space="0" w:color="auto"/>
              <w:right w:val="single" w:sz="4" w:space="0" w:color="auto"/>
            </w:tcBorders>
            <w:vAlign w:val="bottom"/>
          </w:tcPr>
          <w:p w14:paraId="6D5E5435" w14:textId="0291E2A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0.912</w:t>
            </w:r>
          </w:p>
        </w:tc>
        <w:tc>
          <w:tcPr>
            <w:tcW w:w="880" w:type="dxa"/>
            <w:tcBorders>
              <w:left w:val="single" w:sz="4" w:space="0" w:color="auto"/>
            </w:tcBorders>
            <w:vAlign w:val="bottom"/>
          </w:tcPr>
          <w:p w14:paraId="56D16D5D" w14:textId="31B09EC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0.878</w:t>
            </w:r>
          </w:p>
        </w:tc>
      </w:tr>
      <w:tr w:rsidR="00B60546" w:rsidRPr="00A0555D" w14:paraId="5E8A2B12"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99A5A6B"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018B82E2" w14:textId="5FC8BD3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0.560</w:t>
            </w:r>
          </w:p>
        </w:tc>
        <w:tc>
          <w:tcPr>
            <w:tcW w:w="774" w:type="dxa"/>
            <w:tcBorders>
              <w:top w:val="nil"/>
              <w:left w:val="nil"/>
              <w:bottom w:val="nil"/>
              <w:right w:val="nil"/>
            </w:tcBorders>
            <w:shd w:val="clear" w:color="auto" w:fill="auto"/>
            <w:noWrap/>
            <w:vAlign w:val="bottom"/>
          </w:tcPr>
          <w:p w14:paraId="6028BA91" w14:textId="330F03C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0.623</w:t>
            </w:r>
          </w:p>
        </w:tc>
        <w:tc>
          <w:tcPr>
            <w:tcW w:w="773" w:type="dxa"/>
            <w:tcBorders>
              <w:top w:val="nil"/>
              <w:left w:val="nil"/>
              <w:bottom w:val="nil"/>
              <w:right w:val="nil"/>
            </w:tcBorders>
            <w:shd w:val="clear" w:color="auto" w:fill="auto"/>
            <w:noWrap/>
            <w:vAlign w:val="bottom"/>
          </w:tcPr>
          <w:p w14:paraId="158A3BCC" w14:textId="6210B04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0.600</w:t>
            </w:r>
          </w:p>
        </w:tc>
        <w:tc>
          <w:tcPr>
            <w:tcW w:w="843" w:type="dxa"/>
            <w:tcBorders>
              <w:top w:val="nil"/>
              <w:left w:val="nil"/>
              <w:bottom w:val="nil"/>
              <w:right w:val="nil"/>
            </w:tcBorders>
            <w:shd w:val="clear" w:color="auto" w:fill="auto"/>
            <w:noWrap/>
            <w:vAlign w:val="bottom"/>
          </w:tcPr>
          <w:p w14:paraId="7324CE5C" w14:textId="3546619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0.664</w:t>
            </w:r>
          </w:p>
        </w:tc>
        <w:tc>
          <w:tcPr>
            <w:tcW w:w="704" w:type="dxa"/>
            <w:tcBorders>
              <w:top w:val="nil"/>
              <w:left w:val="nil"/>
              <w:bottom w:val="nil"/>
              <w:right w:val="single" w:sz="4" w:space="0" w:color="auto"/>
            </w:tcBorders>
            <w:shd w:val="clear" w:color="auto" w:fill="auto"/>
            <w:noWrap/>
            <w:vAlign w:val="bottom"/>
          </w:tcPr>
          <w:p w14:paraId="660D83AD" w14:textId="681BA01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0.647</w:t>
            </w:r>
          </w:p>
        </w:tc>
        <w:tc>
          <w:tcPr>
            <w:tcW w:w="774" w:type="dxa"/>
            <w:tcBorders>
              <w:left w:val="nil"/>
              <w:right w:val="single" w:sz="4" w:space="0" w:color="auto"/>
            </w:tcBorders>
            <w:vAlign w:val="bottom"/>
          </w:tcPr>
          <w:p w14:paraId="2F815F30" w14:textId="06DAA82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1.202</w:t>
            </w:r>
          </w:p>
        </w:tc>
        <w:tc>
          <w:tcPr>
            <w:tcW w:w="774" w:type="dxa"/>
            <w:tcBorders>
              <w:left w:val="single" w:sz="4" w:space="0" w:color="auto"/>
              <w:right w:val="single" w:sz="4" w:space="0" w:color="auto"/>
            </w:tcBorders>
            <w:vAlign w:val="bottom"/>
          </w:tcPr>
          <w:p w14:paraId="112D7807" w14:textId="0D724A7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1.221</w:t>
            </w:r>
          </w:p>
        </w:tc>
        <w:tc>
          <w:tcPr>
            <w:tcW w:w="808" w:type="dxa"/>
            <w:tcBorders>
              <w:left w:val="single" w:sz="4" w:space="0" w:color="auto"/>
              <w:right w:val="single" w:sz="4" w:space="0" w:color="auto"/>
            </w:tcBorders>
            <w:vAlign w:val="bottom"/>
          </w:tcPr>
          <w:p w14:paraId="186251E1" w14:textId="749FB70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0.606</w:t>
            </w:r>
          </w:p>
        </w:tc>
        <w:tc>
          <w:tcPr>
            <w:tcW w:w="740" w:type="dxa"/>
            <w:tcBorders>
              <w:left w:val="single" w:sz="4" w:space="0" w:color="auto"/>
              <w:right w:val="single" w:sz="4" w:space="0" w:color="auto"/>
            </w:tcBorders>
            <w:vAlign w:val="bottom"/>
          </w:tcPr>
          <w:p w14:paraId="0EEBD419" w14:textId="2E3E8FA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0.868</w:t>
            </w:r>
          </w:p>
        </w:tc>
        <w:tc>
          <w:tcPr>
            <w:tcW w:w="880" w:type="dxa"/>
            <w:tcBorders>
              <w:left w:val="single" w:sz="4" w:space="0" w:color="auto"/>
            </w:tcBorders>
            <w:vAlign w:val="bottom"/>
          </w:tcPr>
          <w:p w14:paraId="08346EC5" w14:textId="311974A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0.864</w:t>
            </w:r>
          </w:p>
        </w:tc>
      </w:tr>
      <w:tr w:rsidR="00B60546" w:rsidRPr="00A0555D" w14:paraId="765DD7BE"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5A33185"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0AFAF4F" w14:textId="389CD7A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0.924</w:t>
            </w:r>
          </w:p>
        </w:tc>
        <w:tc>
          <w:tcPr>
            <w:tcW w:w="774" w:type="dxa"/>
            <w:tcBorders>
              <w:top w:val="nil"/>
              <w:left w:val="nil"/>
              <w:bottom w:val="nil"/>
              <w:right w:val="nil"/>
            </w:tcBorders>
            <w:shd w:val="clear" w:color="auto" w:fill="auto"/>
            <w:noWrap/>
            <w:vAlign w:val="bottom"/>
          </w:tcPr>
          <w:p w14:paraId="3EE52412" w14:textId="7408EE5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1.009</w:t>
            </w:r>
          </w:p>
        </w:tc>
        <w:tc>
          <w:tcPr>
            <w:tcW w:w="773" w:type="dxa"/>
            <w:tcBorders>
              <w:top w:val="nil"/>
              <w:left w:val="nil"/>
              <w:bottom w:val="nil"/>
              <w:right w:val="nil"/>
            </w:tcBorders>
            <w:shd w:val="clear" w:color="auto" w:fill="auto"/>
            <w:noWrap/>
            <w:vAlign w:val="bottom"/>
          </w:tcPr>
          <w:p w14:paraId="77A58D1E" w14:textId="15AD4C7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0.936</w:t>
            </w:r>
          </w:p>
        </w:tc>
        <w:tc>
          <w:tcPr>
            <w:tcW w:w="843" w:type="dxa"/>
            <w:tcBorders>
              <w:top w:val="nil"/>
              <w:left w:val="nil"/>
              <w:bottom w:val="nil"/>
              <w:right w:val="nil"/>
            </w:tcBorders>
            <w:shd w:val="clear" w:color="auto" w:fill="auto"/>
            <w:noWrap/>
            <w:vAlign w:val="bottom"/>
          </w:tcPr>
          <w:p w14:paraId="2523BC26" w14:textId="345A38D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0.987</w:t>
            </w:r>
          </w:p>
        </w:tc>
        <w:tc>
          <w:tcPr>
            <w:tcW w:w="704" w:type="dxa"/>
            <w:tcBorders>
              <w:top w:val="nil"/>
              <w:left w:val="nil"/>
              <w:bottom w:val="nil"/>
              <w:right w:val="single" w:sz="4" w:space="0" w:color="auto"/>
            </w:tcBorders>
            <w:shd w:val="clear" w:color="auto" w:fill="auto"/>
            <w:noWrap/>
            <w:vAlign w:val="bottom"/>
          </w:tcPr>
          <w:p w14:paraId="66F5C835" w14:textId="04431C8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0.753</w:t>
            </w:r>
          </w:p>
        </w:tc>
        <w:tc>
          <w:tcPr>
            <w:tcW w:w="774" w:type="dxa"/>
            <w:tcBorders>
              <w:left w:val="nil"/>
              <w:right w:val="single" w:sz="4" w:space="0" w:color="auto"/>
            </w:tcBorders>
            <w:vAlign w:val="bottom"/>
          </w:tcPr>
          <w:p w14:paraId="7E0E8140" w14:textId="1DAAE02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1.051</w:t>
            </w:r>
          </w:p>
        </w:tc>
        <w:tc>
          <w:tcPr>
            <w:tcW w:w="774" w:type="dxa"/>
            <w:tcBorders>
              <w:left w:val="single" w:sz="4" w:space="0" w:color="auto"/>
              <w:right w:val="single" w:sz="4" w:space="0" w:color="auto"/>
            </w:tcBorders>
            <w:vAlign w:val="bottom"/>
          </w:tcPr>
          <w:p w14:paraId="0D8178F4" w14:textId="3F671CD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1.047</w:t>
            </w:r>
          </w:p>
        </w:tc>
        <w:tc>
          <w:tcPr>
            <w:tcW w:w="808" w:type="dxa"/>
            <w:tcBorders>
              <w:left w:val="single" w:sz="4" w:space="0" w:color="auto"/>
              <w:right w:val="single" w:sz="4" w:space="0" w:color="auto"/>
            </w:tcBorders>
            <w:vAlign w:val="bottom"/>
          </w:tcPr>
          <w:p w14:paraId="3B09D021" w14:textId="71C9BBD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0.661</w:t>
            </w:r>
          </w:p>
        </w:tc>
        <w:tc>
          <w:tcPr>
            <w:tcW w:w="740" w:type="dxa"/>
            <w:tcBorders>
              <w:left w:val="single" w:sz="4" w:space="0" w:color="auto"/>
              <w:right w:val="single" w:sz="4" w:space="0" w:color="auto"/>
            </w:tcBorders>
            <w:vAlign w:val="bottom"/>
          </w:tcPr>
          <w:p w14:paraId="02825144" w14:textId="63391F1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1.222</w:t>
            </w:r>
          </w:p>
        </w:tc>
        <w:tc>
          <w:tcPr>
            <w:tcW w:w="880" w:type="dxa"/>
            <w:tcBorders>
              <w:left w:val="single" w:sz="4" w:space="0" w:color="auto"/>
            </w:tcBorders>
            <w:vAlign w:val="bottom"/>
          </w:tcPr>
          <w:p w14:paraId="5C7457EC" w14:textId="216AC7D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0.839</w:t>
            </w:r>
          </w:p>
        </w:tc>
      </w:tr>
      <w:tr w:rsidR="00B60546" w:rsidRPr="00A0555D" w14:paraId="32BB566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92A9128"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410F6C32" w14:textId="1881611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0.831</w:t>
            </w:r>
          </w:p>
        </w:tc>
        <w:tc>
          <w:tcPr>
            <w:tcW w:w="774" w:type="dxa"/>
            <w:tcBorders>
              <w:top w:val="nil"/>
              <w:left w:val="nil"/>
              <w:bottom w:val="nil"/>
              <w:right w:val="nil"/>
            </w:tcBorders>
            <w:shd w:val="clear" w:color="auto" w:fill="auto"/>
            <w:noWrap/>
            <w:vAlign w:val="bottom"/>
          </w:tcPr>
          <w:p w14:paraId="07B68AA4" w14:textId="36759A7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0.866</w:t>
            </w:r>
          </w:p>
        </w:tc>
        <w:tc>
          <w:tcPr>
            <w:tcW w:w="773" w:type="dxa"/>
            <w:tcBorders>
              <w:top w:val="nil"/>
              <w:left w:val="nil"/>
              <w:bottom w:val="nil"/>
              <w:right w:val="nil"/>
            </w:tcBorders>
            <w:shd w:val="clear" w:color="auto" w:fill="auto"/>
            <w:noWrap/>
            <w:vAlign w:val="bottom"/>
          </w:tcPr>
          <w:p w14:paraId="00F16C34" w14:textId="58B3F0D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0.910</w:t>
            </w:r>
          </w:p>
        </w:tc>
        <w:tc>
          <w:tcPr>
            <w:tcW w:w="843" w:type="dxa"/>
            <w:tcBorders>
              <w:top w:val="nil"/>
              <w:left w:val="nil"/>
              <w:bottom w:val="nil"/>
              <w:right w:val="nil"/>
            </w:tcBorders>
            <w:shd w:val="clear" w:color="auto" w:fill="auto"/>
            <w:noWrap/>
            <w:vAlign w:val="bottom"/>
          </w:tcPr>
          <w:p w14:paraId="48D0CA53" w14:textId="0A2C577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1.113</w:t>
            </w:r>
          </w:p>
        </w:tc>
        <w:tc>
          <w:tcPr>
            <w:tcW w:w="704" w:type="dxa"/>
            <w:tcBorders>
              <w:top w:val="nil"/>
              <w:left w:val="nil"/>
              <w:bottom w:val="nil"/>
              <w:right w:val="single" w:sz="4" w:space="0" w:color="auto"/>
            </w:tcBorders>
            <w:shd w:val="clear" w:color="auto" w:fill="auto"/>
            <w:noWrap/>
            <w:vAlign w:val="bottom"/>
          </w:tcPr>
          <w:p w14:paraId="0CEEBE47" w14:textId="6224D39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0.712</w:t>
            </w:r>
          </w:p>
        </w:tc>
        <w:tc>
          <w:tcPr>
            <w:tcW w:w="774" w:type="dxa"/>
            <w:tcBorders>
              <w:left w:val="nil"/>
              <w:right w:val="single" w:sz="4" w:space="0" w:color="auto"/>
            </w:tcBorders>
            <w:vAlign w:val="bottom"/>
          </w:tcPr>
          <w:p w14:paraId="3E066CDB" w14:textId="39D518E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1.159</w:t>
            </w:r>
          </w:p>
        </w:tc>
        <w:tc>
          <w:tcPr>
            <w:tcW w:w="774" w:type="dxa"/>
            <w:tcBorders>
              <w:left w:val="single" w:sz="4" w:space="0" w:color="auto"/>
              <w:right w:val="single" w:sz="4" w:space="0" w:color="auto"/>
            </w:tcBorders>
            <w:vAlign w:val="bottom"/>
          </w:tcPr>
          <w:p w14:paraId="178AD6D7" w14:textId="3F290460"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0.965</w:t>
            </w:r>
          </w:p>
        </w:tc>
        <w:tc>
          <w:tcPr>
            <w:tcW w:w="808" w:type="dxa"/>
            <w:tcBorders>
              <w:left w:val="single" w:sz="4" w:space="0" w:color="auto"/>
              <w:right w:val="single" w:sz="4" w:space="0" w:color="auto"/>
            </w:tcBorders>
            <w:vAlign w:val="bottom"/>
          </w:tcPr>
          <w:p w14:paraId="4460C24F" w14:textId="2399A20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0.660</w:t>
            </w:r>
          </w:p>
        </w:tc>
        <w:tc>
          <w:tcPr>
            <w:tcW w:w="740" w:type="dxa"/>
            <w:tcBorders>
              <w:left w:val="single" w:sz="4" w:space="0" w:color="auto"/>
              <w:right w:val="single" w:sz="4" w:space="0" w:color="auto"/>
            </w:tcBorders>
            <w:vAlign w:val="bottom"/>
          </w:tcPr>
          <w:p w14:paraId="4F0B201F" w14:textId="57E9C780"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1.074</w:t>
            </w:r>
          </w:p>
        </w:tc>
        <w:tc>
          <w:tcPr>
            <w:tcW w:w="880" w:type="dxa"/>
            <w:tcBorders>
              <w:left w:val="single" w:sz="4" w:space="0" w:color="auto"/>
            </w:tcBorders>
            <w:vAlign w:val="bottom"/>
          </w:tcPr>
          <w:p w14:paraId="78DC33C7" w14:textId="3E9754FD"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0.834</w:t>
            </w:r>
          </w:p>
        </w:tc>
      </w:tr>
      <w:tr w:rsidR="00B60546" w:rsidRPr="00A0555D" w14:paraId="693BBFD2"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57EF5442"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13805ED1" w14:textId="4EA43F6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0.709</w:t>
            </w:r>
          </w:p>
        </w:tc>
        <w:tc>
          <w:tcPr>
            <w:tcW w:w="774" w:type="dxa"/>
            <w:tcBorders>
              <w:top w:val="nil"/>
              <w:left w:val="nil"/>
              <w:bottom w:val="nil"/>
              <w:right w:val="nil"/>
            </w:tcBorders>
            <w:shd w:val="clear" w:color="auto" w:fill="auto"/>
            <w:noWrap/>
            <w:vAlign w:val="bottom"/>
          </w:tcPr>
          <w:p w14:paraId="3EC22E8D" w14:textId="0E2250C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0.932</w:t>
            </w:r>
          </w:p>
        </w:tc>
        <w:tc>
          <w:tcPr>
            <w:tcW w:w="773" w:type="dxa"/>
            <w:tcBorders>
              <w:top w:val="nil"/>
              <w:left w:val="nil"/>
              <w:bottom w:val="nil"/>
              <w:right w:val="nil"/>
            </w:tcBorders>
            <w:shd w:val="clear" w:color="auto" w:fill="auto"/>
            <w:noWrap/>
            <w:vAlign w:val="bottom"/>
          </w:tcPr>
          <w:p w14:paraId="3A809AA9" w14:textId="5581B8C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0.687</w:t>
            </w:r>
          </w:p>
        </w:tc>
        <w:tc>
          <w:tcPr>
            <w:tcW w:w="843" w:type="dxa"/>
            <w:tcBorders>
              <w:top w:val="nil"/>
              <w:left w:val="nil"/>
              <w:bottom w:val="nil"/>
              <w:right w:val="nil"/>
            </w:tcBorders>
            <w:shd w:val="clear" w:color="auto" w:fill="auto"/>
            <w:noWrap/>
            <w:vAlign w:val="bottom"/>
          </w:tcPr>
          <w:p w14:paraId="72BA0B26" w14:textId="6C99DBD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0.925</w:t>
            </w:r>
          </w:p>
        </w:tc>
        <w:tc>
          <w:tcPr>
            <w:tcW w:w="704" w:type="dxa"/>
            <w:tcBorders>
              <w:top w:val="nil"/>
              <w:left w:val="nil"/>
              <w:bottom w:val="nil"/>
              <w:right w:val="single" w:sz="4" w:space="0" w:color="auto"/>
            </w:tcBorders>
            <w:shd w:val="clear" w:color="auto" w:fill="auto"/>
            <w:noWrap/>
            <w:vAlign w:val="bottom"/>
          </w:tcPr>
          <w:p w14:paraId="664AB520" w14:textId="6593C07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0.759</w:t>
            </w:r>
          </w:p>
        </w:tc>
        <w:tc>
          <w:tcPr>
            <w:tcW w:w="774" w:type="dxa"/>
            <w:tcBorders>
              <w:left w:val="nil"/>
              <w:right w:val="single" w:sz="4" w:space="0" w:color="auto"/>
            </w:tcBorders>
            <w:vAlign w:val="bottom"/>
          </w:tcPr>
          <w:p w14:paraId="5B13846F" w14:textId="704C5F2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1.349</w:t>
            </w:r>
          </w:p>
        </w:tc>
        <w:tc>
          <w:tcPr>
            <w:tcW w:w="774" w:type="dxa"/>
            <w:tcBorders>
              <w:left w:val="single" w:sz="4" w:space="0" w:color="auto"/>
              <w:right w:val="single" w:sz="4" w:space="0" w:color="auto"/>
            </w:tcBorders>
            <w:vAlign w:val="bottom"/>
          </w:tcPr>
          <w:p w14:paraId="16CC812D" w14:textId="3CEAB8D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0.899</w:t>
            </w:r>
          </w:p>
        </w:tc>
        <w:tc>
          <w:tcPr>
            <w:tcW w:w="808" w:type="dxa"/>
            <w:tcBorders>
              <w:left w:val="single" w:sz="4" w:space="0" w:color="auto"/>
              <w:right w:val="single" w:sz="4" w:space="0" w:color="auto"/>
            </w:tcBorders>
            <w:vAlign w:val="bottom"/>
          </w:tcPr>
          <w:p w14:paraId="3E844F93" w14:textId="13C255D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0.617</w:t>
            </w:r>
          </w:p>
        </w:tc>
        <w:tc>
          <w:tcPr>
            <w:tcW w:w="740" w:type="dxa"/>
            <w:tcBorders>
              <w:left w:val="single" w:sz="4" w:space="0" w:color="auto"/>
              <w:right w:val="single" w:sz="4" w:space="0" w:color="auto"/>
            </w:tcBorders>
            <w:vAlign w:val="bottom"/>
          </w:tcPr>
          <w:p w14:paraId="74ED8507" w14:textId="2164005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1.014</w:t>
            </w:r>
          </w:p>
        </w:tc>
        <w:tc>
          <w:tcPr>
            <w:tcW w:w="880" w:type="dxa"/>
            <w:tcBorders>
              <w:left w:val="single" w:sz="4" w:space="0" w:color="auto"/>
            </w:tcBorders>
            <w:vAlign w:val="bottom"/>
          </w:tcPr>
          <w:p w14:paraId="57155A73" w14:textId="146E887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0.838</w:t>
            </w:r>
          </w:p>
        </w:tc>
      </w:tr>
      <w:tr w:rsidR="00B60546" w:rsidRPr="00A0555D" w14:paraId="4A7850E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43AD785"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506AE94D" w14:textId="6F75014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0.742</w:t>
            </w:r>
          </w:p>
        </w:tc>
        <w:tc>
          <w:tcPr>
            <w:tcW w:w="774" w:type="dxa"/>
            <w:tcBorders>
              <w:top w:val="nil"/>
              <w:left w:val="nil"/>
              <w:bottom w:val="single" w:sz="4" w:space="0" w:color="auto"/>
              <w:right w:val="nil"/>
            </w:tcBorders>
            <w:shd w:val="clear" w:color="auto" w:fill="auto"/>
            <w:noWrap/>
            <w:vAlign w:val="bottom"/>
          </w:tcPr>
          <w:p w14:paraId="3084FC9A" w14:textId="76C01E9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0.727</w:t>
            </w:r>
          </w:p>
        </w:tc>
        <w:tc>
          <w:tcPr>
            <w:tcW w:w="773" w:type="dxa"/>
            <w:tcBorders>
              <w:top w:val="nil"/>
              <w:left w:val="nil"/>
              <w:bottom w:val="single" w:sz="4" w:space="0" w:color="auto"/>
              <w:right w:val="nil"/>
            </w:tcBorders>
            <w:shd w:val="clear" w:color="auto" w:fill="auto"/>
            <w:noWrap/>
            <w:vAlign w:val="bottom"/>
          </w:tcPr>
          <w:p w14:paraId="78DB5A50" w14:textId="43639B6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0.725</w:t>
            </w:r>
          </w:p>
        </w:tc>
        <w:tc>
          <w:tcPr>
            <w:tcW w:w="843" w:type="dxa"/>
            <w:tcBorders>
              <w:top w:val="nil"/>
              <w:left w:val="nil"/>
              <w:bottom w:val="single" w:sz="4" w:space="0" w:color="auto"/>
              <w:right w:val="nil"/>
            </w:tcBorders>
            <w:shd w:val="clear" w:color="auto" w:fill="auto"/>
            <w:noWrap/>
            <w:vAlign w:val="bottom"/>
          </w:tcPr>
          <w:p w14:paraId="12249C03" w14:textId="5F4D3F3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0.852</w:t>
            </w:r>
          </w:p>
        </w:tc>
        <w:tc>
          <w:tcPr>
            <w:tcW w:w="704" w:type="dxa"/>
            <w:tcBorders>
              <w:top w:val="nil"/>
              <w:left w:val="nil"/>
              <w:bottom w:val="single" w:sz="4" w:space="0" w:color="auto"/>
              <w:right w:val="single" w:sz="4" w:space="0" w:color="auto"/>
            </w:tcBorders>
            <w:shd w:val="clear" w:color="auto" w:fill="auto"/>
            <w:noWrap/>
            <w:vAlign w:val="bottom"/>
          </w:tcPr>
          <w:p w14:paraId="2181D6C4" w14:textId="3180074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0.711</w:t>
            </w:r>
          </w:p>
        </w:tc>
        <w:tc>
          <w:tcPr>
            <w:tcW w:w="774" w:type="dxa"/>
            <w:tcBorders>
              <w:left w:val="nil"/>
              <w:bottom w:val="single" w:sz="4" w:space="0" w:color="auto"/>
              <w:right w:val="single" w:sz="4" w:space="0" w:color="auto"/>
            </w:tcBorders>
            <w:vAlign w:val="bottom"/>
          </w:tcPr>
          <w:p w14:paraId="0D18CF1C" w14:textId="17A46C9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0.928</w:t>
            </w:r>
          </w:p>
        </w:tc>
        <w:tc>
          <w:tcPr>
            <w:tcW w:w="774" w:type="dxa"/>
            <w:tcBorders>
              <w:left w:val="single" w:sz="4" w:space="0" w:color="auto"/>
              <w:bottom w:val="single" w:sz="4" w:space="0" w:color="auto"/>
              <w:right w:val="single" w:sz="4" w:space="0" w:color="auto"/>
            </w:tcBorders>
            <w:vAlign w:val="bottom"/>
          </w:tcPr>
          <w:p w14:paraId="0BCE179A" w14:textId="19E6940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1.078</w:t>
            </w:r>
          </w:p>
        </w:tc>
        <w:tc>
          <w:tcPr>
            <w:tcW w:w="808" w:type="dxa"/>
            <w:tcBorders>
              <w:left w:val="single" w:sz="4" w:space="0" w:color="auto"/>
              <w:bottom w:val="single" w:sz="4" w:space="0" w:color="auto"/>
              <w:right w:val="single" w:sz="4" w:space="0" w:color="auto"/>
            </w:tcBorders>
            <w:vAlign w:val="bottom"/>
          </w:tcPr>
          <w:p w14:paraId="7C6C2BC9" w14:textId="3DC8B83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0.611</w:t>
            </w:r>
          </w:p>
        </w:tc>
        <w:tc>
          <w:tcPr>
            <w:tcW w:w="740" w:type="dxa"/>
            <w:tcBorders>
              <w:left w:val="single" w:sz="4" w:space="0" w:color="auto"/>
              <w:bottom w:val="single" w:sz="4" w:space="0" w:color="auto"/>
              <w:right w:val="single" w:sz="4" w:space="0" w:color="auto"/>
            </w:tcBorders>
            <w:vAlign w:val="bottom"/>
          </w:tcPr>
          <w:p w14:paraId="5CD8AABD" w14:textId="584FE54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0.883</w:t>
            </w:r>
          </w:p>
        </w:tc>
        <w:tc>
          <w:tcPr>
            <w:tcW w:w="880" w:type="dxa"/>
            <w:tcBorders>
              <w:left w:val="single" w:sz="4" w:space="0" w:color="auto"/>
              <w:bottom w:val="single" w:sz="4" w:space="0" w:color="auto"/>
            </w:tcBorders>
            <w:vAlign w:val="bottom"/>
          </w:tcPr>
          <w:p w14:paraId="7F1B0413" w14:textId="0C1ACF3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0.782</w:t>
            </w:r>
          </w:p>
        </w:tc>
      </w:tr>
      <w:tr w:rsidR="00CD6A1A" w:rsidRPr="00A0555D" w14:paraId="396F2BAA" w14:textId="77777777" w:rsidTr="00BD0EBA">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04C5700A" w14:textId="77777777" w:rsidR="00CD6A1A" w:rsidRPr="00A0555D" w:rsidRDefault="00CD6A1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2567DE3D"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1CC5A341"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6514A6F7"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64562DF7"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592E4D92" w14:textId="77777777" w:rsidR="00CD6A1A" w:rsidRPr="00A0555D" w:rsidRDefault="00CD6A1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6062C902" w14:textId="77777777" w:rsidR="00CD6A1A" w:rsidRPr="006016B0" w:rsidRDefault="00CD6A1A"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48C62BF1" w14:textId="77777777" w:rsidR="00CD6A1A" w:rsidRPr="006016B0" w:rsidRDefault="00CD6A1A"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right w:val="single" w:sz="4" w:space="0" w:color="auto"/>
            </w:tcBorders>
            <w:vAlign w:val="bottom"/>
          </w:tcPr>
          <w:p w14:paraId="75908AB3" w14:textId="77777777" w:rsidR="00CD6A1A" w:rsidRPr="006016B0" w:rsidRDefault="00CD6A1A"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right w:val="single" w:sz="4" w:space="0" w:color="auto"/>
            </w:tcBorders>
            <w:vAlign w:val="bottom"/>
          </w:tcPr>
          <w:p w14:paraId="4525E02D" w14:textId="77777777" w:rsidR="00CD6A1A" w:rsidRPr="006016B0" w:rsidRDefault="00CD6A1A"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5915EE98" w14:textId="77777777" w:rsidR="00CD6A1A" w:rsidRPr="006016B0" w:rsidRDefault="00CD6A1A" w:rsidP="006016B0">
            <w:pPr>
              <w:tabs>
                <w:tab w:val="decimal" w:pos="184"/>
              </w:tabs>
              <w:spacing w:before="0" w:after="0" w:line="240" w:lineRule="auto"/>
              <w:ind w:firstLine="0"/>
              <w:rPr>
                <w:color w:val="000000"/>
                <w:sz w:val="16"/>
                <w:szCs w:val="16"/>
              </w:rPr>
            </w:pPr>
          </w:p>
        </w:tc>
      </w:tr>
      <w:tr w:rsidR="00B60546" w:rsidRPr="00A0555D" w14:paraId="58CEF7DF"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8EAE88E"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66E87A95" w14:textId="535CC24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0.668</w:t>
            </w:r>
          </w:p>
        </w:tc>
        <w:tc>
          <w:tcPr>
            <w:tcW w:w="774" w:type="dxa"/>
            <w:tcBorders>
              <w:top w:val="nil"/>
              <w:left w:val="nil"/>
              <w:bottom w:val="nil"/>
              <w:right w:val="nil"/>
            </w:tcBorders>
            <w:shd w:val="clear" w:color="auto" w:fill="auto"/>
            <w:noWrap/>
            <w:vAlign w:val="bottom"/>
          </w:tcPr>
          <w:p w14:paraId="7FB38EA6" w14:textId="2896357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0.866</w:t>
            </w:r>
          </w:p>
        </w:tc>
        <w:tc>
          <w:tcPr>
            <w:tcW w:w="773" w:type="dxa"/>
            <w:tcBorders>
              <w:top w:val="nil"/>
              <w:left w:val="nil"/>
              <w:bottom w:val="nil"/>
              <w:right w:val="nil"/>
            </w:tcBorders>
            <w:shd w:val="clear" w:color="auto" w:fill="auto"/>
            <w:noWrap/>
            <w:vAlign w:val="bottom"/>
          </w:tcPr>
          <w:p w14:paraId="2674856B" w14:textId="258D48D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0.740</w:t>
            </w:r>
          </w:p>
        </w:tc>
        <w:tc>
          <w:tcPr>
            <w:tcW w:w="843" w:type="dxa"/>
            <w:tcBorders>
              <w:top w:val="nil"/>
              <w:left w:val="nil"/>
              <w:bottom w:val="nil"/>
              <w:right w:val="nil"/>
            </w:tcBorders>
            <w:shd w:val="clear" w:color="auto" w:fill="auto"/>
            <w:noWrap/>
            <w:vAlign w:val="bottom"/>
          </w:tcPr>
          <w:p w14:paraId="5F2F3150" w14:textId="382FD4D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0.823</w:t>
            </w:r>
          </w:p>
        </w:tc>
        <w:tc>
          <w:tcPr>
            <w:tcW w:w="704" w:type="dxa"/>
            <w:tcBorders>
              <w:top w:val="nil"/>
              <w:left w:val="nil"/>
              <w:bottom w:val="nil"/>
              <w:right w:val="single" w:sz="4" w:space="0" w:color="auto"/>
            </w:tcBorders>
            <w:shd w:val="clear" w:color="auto" w:fill="auto"/>
            <w:noWrap/>
            <w:vAlign w:val="bottom"/>
          </w:tcPr>
          <w:p w14:paraId="3083A2EE" w14:textId="1E06190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0.669</w:t>
            </w:r>
          </w:p>
        </w:tc>
        <w:tc>
          <w:tcPr>
            <w:tcW w:w="774" w:type="dxa"/>
            <w:tcBorders>
              <w:left w:val="nil"/>
              <w:right w:val="single" w:sz="4" w:space="0" w:color="auto"/>
            </w:tcBorders>
            <w:vAlign w:val="bottom"/>
          </w:tcPr>
          <w:p w14:paraId="450E4845" w14:textId="6AFBB760"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1.125</w:t>
            </w:r>
          </w:p>
        </w:tc>
        <w:tc>
          <w:tcPr>
            <w:tcW w:w="774" w:type="dxa"/>
            <w:tcBorders>
              <w:left w:val="single" w:sz="4" w:space="0" w:color="auto"/>
              <w:right w:val="single" w:sz="4" w:space="0" w:color="auto"/>
            </w:tcBorders>
            <w:vAlign w:val="bottom"/>
          </w:tcPr>
          <w:p w14:paraId="4FF767AA" w14:textId="55B6CBCB"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1.093</w:t>
            </w:r>
          </w:p>
        </w:tc>
        <w:tc>
          <w:tcPr>
            <w:tcW w:w="808" w:type="dxa"/>
            <w:tcBorders>
              <w:left w:val="single" w:sz="4" w:space="0" w:color="auto"/>
              <w:right w:val="single" w:sz="4" w:space="0" w:color="auto"/>
            </w:tcBorders>
            <w:vAlign w:val="bottom"/>
          </w:tcPr>
          <w:p w14:paraId="6150D479" w14:textId="60B5169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0.755</w:t>
            </w:r>
          </w:p>
        </w:tc>
        <w:tc>
          <w:tcPr>
            <w:tcW w:w="740" w:type="dxa"/>
            <w:tcBorders>
              <w:left w:val="single" w:sz="4" w:space="0" w:color="auto"/>
              <w:right w:val="single" w:sz="4" w:space="0" w:color="auto"/>
            </w:tcBorders>
            <w:vAlign w:val="bottom"/>
          </w:tcPr>
          <w:p w14:paraId="74F41F7D" w14:textId="1E2FA12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0.954</w:t>
            </w:r>
          </w:p>
        </w:tc>
        <w:tc>
          <w:tcPr>
            <w:tcW w:w="880" w:type="dxa"/>
            <w:tcBorders>
              <w:left w:val="single" w:sz="4" w:space="0" w:color="auto"/>
            </w:tcBorders>
            <w:vAlign w:val="bottom"/>
          </w:tcPr>
          <w:p w14:paraId="5468F013" w14:textId="24452A6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0.790</w:t>
            </w:r>
          </w:p>
        </w:tc>
      </w:tr>
      <w:tr w:rsidR="00B60546" w:rsidRPr="00A0555D" w14:paraId="00D682A7"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1708003A"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28FD7F39" w14:textId="0C78B33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0.944</w:t>
            </w:r>
          </w:p>
        </w:tc>
        <w:tc>
          <w:tcPr>
            <w:tcW w:w="774" w:type="dxa"/>
            <w:tcBorders>
              <w:top w:val="nil"/>
              <w:left w:val="nil"/>
              <w:bottom w:val="nil"/>
              <w:right w:val="nil"/>
            </w:tcBorders>
            <w:shd w:val="clear" w:color="auto" w:fill="auto"/>
            <w:noWrap/>
            <w:vAlign w:val="bottom"/>
          </w:tcPr>
          <w:p w14:paraId="2006727E" w14:textId="0D7F4FB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1.149</w:t>
            </w:r>
          </w:p>
        </w:tc>
        <w:tc>
          <w:tcPr>
            <w:tcW w:w="773" w:type="dxa"/>
            <w:tcBorders>
              <w:top w:val="nil"/>
              <w:left w:val="nil"/>
              <w:bottom w:val="nil"/>
              <w:right w:val="nil"/>
            </w:tcBorders>
            <w:shd w:val="clear" w:color="auto" w:fill="auto"/>
            <w:noWrap/>
            <w:vAlign w:val="bottom"/>
          </w:tcPr>
          <w:p w14:paraId="32631BDF" w14:textId="6822156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1.009</w:t>
            </w:r>
          </w:p>
        </w:tc>
        <w:tc>
          <w:tcPr>
            <w:tcW w:w="843" w:type="dxa"/>
            <w:tcBorders>
              <w:top w:val="nil"/>
              <w:left w:val="nil"/>
              <w:bottom w:val="nil"/>
              <w:right w:val="nil"/>
            </w:tcBorders>
            <w:shd w:val="clear" w:color="auto" w:fill="auto"/>
            <w:noWrap/>
            <w:vAlign w:val="bottom"/>
          </w:tcPr>
          <w:p w14:paraId="1F311A86" w14:textId="7E9C7FF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0.917</w:t>
            </w:r>
          </w:p>
        </w:tc>
        <w:tc>
          <w:tcPr>
            <w:tcW w:w="704" w:type="dxa"/>
            <w:tcBorders>
              <w:top w:val="nil"/>
              <w:left w:val="nil"/>
              <w:bottom w:val="nil"/>
              <w:right w:val="single" w:sz="4" w:space="0" w:color="auto"/>
            </w:tcBorders>
            <w:shd w:val="clear" w:color="auto" w:fill="auto"/>
            <w:noWrap/>
            <w:vAlign w:val="bottom"/>
          </w:tcPr>
          <w:p w14:paraId="39D3385C" w14:textId="54E5F54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1.067</w:t>
            </w:r>
          </w:p>
        </w:tc>
        <w:tc>
          <w:tcPr>
            <w:tcW w:w="774" w:type="dxa"/>
            <w:tcBorders>
              <w:left w:val="nil"/>
              <w:right w:val="single" w:sz="4" w:space="0" w:color="auto"/>
            </w:tcBorders>
            <w:vAlign w:val="bottom"/>
          </w:tcPr>
          <w:p w14:paraId="7725E54E" w14:textId="14FEA63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1.003</w:t>
            </w:r>
          </w:p>
        </w:tc>
        <w:tc>
          <w:tcPr>
            <w:tcW w:w="774" w:type="dxa"/>
            <w:tcBorders>
              <w:left w:val="single" w:sz="4" w:space="0" w:color="auto"/>
              <w:right w:val="single" w:sz="4" w:space="0" w:color="auto"/>
            </w:tcBorders>
            <w:vAlign w:val="bottom"/>
          </w:tcPr>
          <w:p w14:paraId="03DAD0E8" w14:textId="083C540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1.104</w:t>
            </w:r>
          </w:p>
        </w:tc>
        <w:tc>
          <w:tcPr>
            <w:tcW w:w="808" w:type="dxa"/>
            <w:tcBorders>
              <w:left w:val="single" w:sz="4" w:space="0" w:color="auto"/>
              <w:right w:val="single" w:sz="4" w:space="0" w:color="auto"/>
            </w:tcBorders>
            <w:vAlign w:val="bottom"/>
          </w:tcPr>
          <w:p w14:paraId="7C8D1996" w14:textId="0D6FFFD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0.945</w:t>
            </w:r>
          </w:p>
        </w:tc>
        <w:tc>
          <w:tcPr>
            <w:tcW w:w="740" w:type="dxa"/>
            <w:tcBorders>
              <w:left w:val="single" w:sz="4" w:space="0" w:color="auto"/>
              <w:right w:val="single" w:sz="4" w:space="0" w:color="auto"/>
            </w:tcBorders>
            <w:vAlign w:val="bottom"/>
          </w:tcPr>
          <w:p w14:paraId="4C1B905E" w14:textId="1CB67B2D"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1.032</w:t>
            </w:r>
          </w:p>
        </w:tc>
        <w:tc>
          <w:tcPr>
            <w:tcW w:w="880" w:type="dxa"/>
            <w:tcBorders>
              <w:left w:val="single" w:sz="4" w:space="0" w:color="auto"/>
            </w:tcBorders>
            <w:vAlign w:val="bottom"/>
          </w:tcPr>
          <w:p w14:paraId="587E502C" w14:textId="1FA03D4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0.873</w:t>
            </w:r>
          </w:p>
        </w:tc>
      </w:tr>
      <w:tr w:rsidR="00B60546" w:rsidRPr="00A0555D" w14:paraId="22EAED3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405EEBE7"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48CCF58" w14:textId="615C5F2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1.067</w:t>
            </w:r>
          </w:p>
        </w:tc>
        <w:tc>
          <w:tcPr>
            <w:tcW w:w="774" w:type="dxa"/>
            <w:tcBorders>
              <w:top w:val="nil"/>
              <w:left w:val="nil"/>
              <w:bottom w:val="nil"/>
              <w:right w:val="nil"/>
            </w:tcBorders>
            <w:shd w:val="clear" w:color="auto" w:fill="auto"/>
            <w:noWrap/>
            <w:vAlign w:val="bottom"/>
          </w:tcPr>
          <w:p w14:paraId="78FB1A6A" w14:textId="2FBC47F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1.311</w:t>
            </w:r>
          </w:p>
        </w:tc>
        <w:tc>
          <w:tcPr>
            <w:tcW w:w="773" w:type="dxa"/>
            <w:tcBorders>
              <w:top w:val="nil"/>
              <w:left w:val="nil"/>
              <w:bottom w:val="nil"/>
              <w:right w:val="nil"/>
            </w:tcBorders>
            <w:shd w:val="clear" w:color="auto" w:fill="auto"/>
            <w:noWrap/>
            <w:vAlign w:val="bottom"/>
          </w:tcPr>
          <w:p w14:paraId="54313E3B" w14:textId="6522C4C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1.019</w:t>
            </w:r>
          </w:p>
        </w:tc>
        <w:tc>
          <w:tcPr>
            <w:tcW w:w="843" w:type="dxa"/>
            <w:tcBorders>
              <w:top w:val="nil"/>
              <w:left w:val="nil"/>
              <w:bottom w:val="nil"/>
              <w:right w:val="nil"/>
            </w:tcBorders>
            <w:shd w:val="clear" w:color="auto" w:fill="auto"/>
            <w:noWrap/>
            <w:vAlign w:val="bottom"/>
          </w:tcPr>
          <w:p w14:paraId="002D42AA" w14:textId="01E3B02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1.069</w:t>
            </w:r>
          </w:p>
        </w:tc>
        <w:tc>
          <w:tcPr>
            <w:tcW w:w="704" w:type="dxa"/>
            <w:tcBorders>
              <w:top w:val="nil"/>
              <w:left w:val="nil"/>
              <w:bottom w:val="nil"/>
              <w:right w:val="single" w:sz="4" w:space="0" w:color="auto"/>
            </w:tcBorders>
            <w:shd w:val="clear" w:color="auto" w:fill="auto"/>
            <w:noWrap/>
            <w:vAlign w:val="bottom"/>
          </w:tcPr>
          <w:p w14:paraId="63633671" w14:textId="16EA9CC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0.973</w:t>
            </w:r>
          </w:p>
        </w:tc>
        <w:tc>
          <w:tcPr>
            <w:tcW w:w="774" w:type="dxa"/>
            <w:tcBorders>
              <w:left w:val="nil"/>
              <w:right w:val="single" w:sz="4" w:space="0" w:color="auto"/>
            </w:tcBorders>
            <w:vAlign w:val="bottom"/>
          </w:tcPr>
          <w:p w14:paraId="702C8037" w14:textId="418DE78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1.217</w:t>
            </w:r>
          </w:p>
        </w:tc>
        <w:tc>
          <w:tcPr>
            <w:tcW w:w="774" w:type="dxa"/>
            <w:tcBorders>
              <w:left w:val="single" w:sz="4" w:space="0" w:color="auto"/>
              <w:right w:val="single" w:sz="4" w:space="0" w:color="auto"/>
            </w:tcBorders>
            <w:vAlign w:val="bottom"/>
          </w:tcPr>
          <w:p w14:paraId="763FAD2C" w14:textId="7BF8C17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1.107</w:t>
            </w:r>
          </w:p>
        </w:tc>
        <w:tc>
          <w:tcPr>
            <w:tcW w:w="808" w:type="dxa"/>
            <w:tcBorders>
              <w:left w:val="single" w:sz="4" w:space="0" w:color="auto"/>
              <w:right w:val="single" w:sz="4" w:space="0" w:color="auto"/>
            </w:tcBorders>
            <w:vAlign w:val="bottom"/>
          </w:tcPr>
          <w:p w14:paraId="03E3601B" w14:textId="1124049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0.928</w:t>
            </w:r>
          </w:p>
        </w:tc>
        <w:tc>
          <w:tcPr>
            <w:tcW w:w="740" w:type="dxa"/>
            <w:tcBorders>
              <w:left w:val="single" w:sz="4" w:space="0" w:color="auto"/>
              <w:right w:val="single" w:sz="4" w:space="0" w:color="auto"/>
            </w:tcBorders>
            <w:vAlign w:val="bottom"/>
          </w:tcPr>
          <w:p w14:paraId="44EAADAC" w14:textId="2DD124F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1.185</w:t>
            </w:r>
          </w:p>
        </w:tc>
        <w:tc>
          <w:tcPr>
            <w:tcW w:w="880" w:type="dxa"/>
            <w:tcBorders>
              <w:left w:val="single" w:sz="4" w:space="0" w:color="auto"/>
            </w:tcBorders>
            <w:vAlign w:val="bottom"/>
          </w:tcPr>
          <w:p w14:paraId="7A156C5C" w14:textId="4B8316B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0.836</w:t>
            </w:r>
          </w:p>
        </w:tc>
      </w:tr>
      <w:tr w:rsidR="00B60546" w:rsidRPr="00A0555D" w14:paraId="034EA7D9"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99A8709"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283B1F04" w14:textId="7F0AD97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0.824</w:t>
            </w:r>
          </w:p>
        </w:tc>
        <w:tc>
          <w:tcPr>
            <w:tcW w:w="774" w:type="dxa"/>
            <w:tcBorders>
              <w:top w:val="nil"/>
              <w:left w:val="nil"/>
              <w:bottom w:val="nil"/>
              <w:right w:val="nil"/>
            </w:tcBorders>
            <w:shd w:val="clear" w:color="auto" w:fill="auto"/>
            <w:noWrap/>
            <w:vAlign w:val="bottom"/>
          </w:tcPr>
          <w:p w14:paraId="7F219F83" w14:textId="5E45C7E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1.058</w:t>
            </w:r>
          </w:p>
        </w:tc>
        <w:tc>
          <w:tcPr>
            <w:tcW w:w="773" w:type="dxa"/>
            <w:tcBorders>
              <w:top w:val="nil"/>
              <w:left w:val="nil"/>
              <w:bottom w:val="nil"/>
              <w:right w:val="nil"/>
            </w:tcBorders>
            <w:shd w:val="clear" w:color="auto" w:fill="auto"/>
            <w:noWrap/>
            <w:vAlign w:val="bottom"/>
          </w:tcPr>
          <w:p w14:paraId="47F1543C" w14:textId="3611E32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0.892</w:t>
            </w:r>
          </w:p>
        </w:tc>
        <w:tc>
          <w:tcPr>
            <w:tcW w:w="843" w:type="dxa"/>
            <w:tcBorders>
              <w:top w:val="nil"/>
              <w:left w:val="nil"/>
              <w:bottom w:val="nil"/>
              <w:right w:val="nil"/>
            </w:tcBorders>
            <w:shd w:val="clear" w:color="auto" w:fill="auto"/>
            <w:noWrap/>
            <w:vAlign w:val="bottom"/>
          </w:tcPr>
          <w:p w14:paraId="10394E27" w14:textId="6744E00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1.093</w:t>
            </w:r>
          </w:p>
        </w:tc>
        <w:tc>
          <w:tcPr>
            <w:tcW w:w="704" w:type="dxa"/>
            <w:tcBorders>
              <w:top w:val="nil"/>
              <w:left w:val="nil"/>
              <w:bottom w:val="nil"/>
              <w:right w:val="single" w:sz="4" w:space="0" w:color="auto"/>
            </w:tcBorders>
            <w:shd w:val="clear" w:color="auto" w:fill="auto"/>
            <w:noWrap/>
            <w:vAlign w:val="bottom"/>
          </w:tcPr>
          <w:p w14:paraId="0177E52B" w14:textId="5854677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0.791</w:t>
            </w:r>
          </w:p>
        </w:tc>
        <w:tc>
          <w:tcPr>
            <w:tcW w:w="774" w:type="dxa"/>
            <w:tcBorders>
              <w:left w:val="nil"/>
              <w:right w:val="single" w:sz="4" w:space="0" w:color="auto"/>
            </w:tcBorders>
            <w:vAlign w:val="bottom"/>
          </w:tcPr>
          <w:p w14:paraId="6F9F6288" w14:textId="3911BC5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1.019</w:t>
            </w:r>
          </w:p>
        </w:tc>
        <w:tc>
          <w:tcPr>
            <w:tcW w:w="774" w:type="dxa"/>
            <w:tcBorders>
              <w:left w:val="single" w:sz="4" w:space="0" w:color="auto"/>
              <w:right w:val="single" w:sz="4" w:space="0" w:color="auto"/>
            </w:tcBorders>
            <w:vAlign w:val="bottom"/>
          </w:tcPr>
          <w:p w14:paraId="5093F949" w14:textId="7872F7F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1.099</w:t>
            </w:r>
          </w:p>
        </w:tc>
        <w:tc>
          <w:tcPr>
            <w:tcW w:w="808" w:type="dxa"/>
            <w:tcBorders>
              <w:left w:val="single" w:sz="4" w:space="0" w:color="auto"/>
              <w:right w:val="single" w:sz="4" w:space="0" w:color="auto"/>
            </w:tcBorders>
            <w:vAlign w:val="bottom"/>
          </w:tcPr>
          <w:p w14:paraId="57CF50E4" w14:textId="6DA0D9C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0.943</w:t>
            </w:r>
          </w:p>
        </w:tc>
        <w:tc>
          <w:tcPr>
            <w:tcW w:w="740" w:type="dxa"/>
            <w:tcBorders>
              <w:left w:val="single" w:sz="4" w:space="0" w:color="auto"/>
              <w:right w:val="single" w:sz="4" w:space="0" w:color="auto"/>
            </w:tcBorders>
            <w:vAlign w:val="bottom"/>
          </w:tcPr>
          <w:p w14:paraId="475F1FD5" w14:textId="4ECFE07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0.959</w:t>
            </w:r>
          </w:p>
        </w:tc>
        <w:tc>
          <w:tcPr>
            <w:tcW w:w="880" w:type="dxa"/>
            <w:tcBorders>
              <w:left w:val="single" w:sz="4" w:space="0" w:color="auto"/>
            </w:tcBorders>
            <w:vAlign w:val="bottom"/>
          </w:tcPr>
          <w:p w14:paraId="27550286" w14:textId="17E2229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0.848</w:t>
            </w:r>
          </w:p>
        </w:tc>
      </w:tr>
      <w:tr w:rsidR="00B60546" w:rsidRPr="00A0555D" w14:paraId="7BD5F810"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B89E926"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74C25548" w14:textId="59560F5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0.969</w:t>
            </w:r>
          </w:p>
        </w:tc>
        <w:tc>
          <w:tcPr>
            <w:tcW w:w="774" w:type="dxa"/>
            <w:tcBorders>
              <w:top w:val="nil"/>
              <w:left w:val="nil"/>
              <w:bottom w:val="nil"/>
              <w:right w:val="nil"/>
            </w:tcBorders>
            <w:shd w:val="clear" w:color="auto" w:fill="auto"/>
            <w:noWrap/>
            <w:vAlign w:val="bottom"/>
          </w:tcPr>
          <w:p w14:paraId="5E4EB373" w14:textId="55983D1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1.294</w:t>
            </w:r>
          </w:p>
        </w:tc>
        <w:tc>
          <w:tcPr>
            <w:tcW w:w="773" w:type="dxa"/>
            <w:tcBorders>
              <w:top w:val="nil"/>
              <w:left w:val="nil"/>
              <w:bottom w:val="nil"/>
              <w:right w:val="nil"/>
            </w:tcBorders>
            <w:shd w:val="clear" w:color="auto" w:fill="auto"/>
            <w:noWrap/>
            <w:vAlign w:val="bottom"/>
          </w:tcPr>
          <w:p w14:paraId="0C472C34" w14:textId="4C6BD70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1.014</w:t>
            </w:r>
          </w:p>
        </w:tc>
        <w:tc>
          <w:tcPr>
            <w:tcW w:w="843" w:type="dxa"/>
            <w:tcBorders>
              <w:top w:val="nil"/>
              <w:left w:val="nil"/>
              <w:bottom w:val="nil"/>
              <w:right w:val="nil"/>
            </w:tcBorders>
            <w:shd w:val="clear" w:color="auto" w:fill="auto"/>
            <w:noWrap/>
            <w:vAlign w:val="bottom"/>
          </w:tcPr>
          <w:p w14:paraId="2177902C" w14:textId="6024C1D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1.012</w:t>
            </w:r>
          </w:p>
        </w:tc>
        <w:tc>
          <w:tcPr>
            <w:tcW w:w="704" w:type="dxa"/>
            <w:tcBorders>
              <w:top w:val="nil"/>
              <w:left w:val="nil"/>
              <w:bottom w:val="nil"/>
              <w:right w:val="single" w:sz="4" w:space="0" w:color="auto"/>
            </w:tcBorders>
            <w:shd w:val="clear" w:color="auto" w:fill="auto"/>
            <w:noWrap/>
            <w:vAlign w:val="bottom"/>
          </w:tcPr>
          <w:p w14:paraId="02E2B431" w14:textId="7D2D4BF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1.022</w:t>
            </w:r>
          </w:p>
        </w:tc>
        <w:tc>
          <w:tcPr>
            <w:tcW w:w="774" w:type="dxa"/>
            <w:tcBorders>
              <w:left w:val="nil"/>
              <w:right w:val="single" w:sz="4" w:space="0" w:color="auto"/>
            </w:tcBorders>
            <w:vAlign w:val="bottom"/>
          </w:tcPr>
          <w:p w14:paraId="4E2764DC" w14:textId="4DC7398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1.160</w:t>
            </w:r>
          </w:p>
        </w:tc>
        <w:tc>
          <w:tcPr>
            <w:tcW w:w="774" w:type="dxa"/>
            <w:tcBorders>
              <w:left w:val="single" w:sz="4" w:space="0" w:color="auto"/>
              <w:right w:val="single" w:sz="4" w:space="0" w:color="auto"/>
            </w:tcBorders>
            <w:vAlign w:val="bottom"/>
          </w:tcPr>
          <w:p w14:paraId="58553A71" w14:textId="6EF726A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1.031</w:t>
            </w:r>
          </w:p>
        </w:tc>
        <w:tc>
          <w:tcPr>
            <w:tcW w:w="808" w:type="dxa"/>
            <w:tcBorders>
              <w:left w:val="single" w:sz="4" w:space="0" w:color="auto"/>
              <w:right w:val="single" w:sz="4" w:space="0" w:color="auto"/>
            </w:tcBorders>
            <w:vAlign w:val="bottom"/>
          </w:tcPr>
          <w:p w14:paraId="58AFEED2" w14:textId="1A9254A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0.967</w:t>
            </w:r>
          </w:p>
        </w:tc>
        <w:tc>
          <w:tcPr>
            <w:tcW w:w="740" w:type="dxa"/>
            <w:tcBorders>
              <w:left w:val="single" w:sz="4" w:space="0" w:color="auto"/>
              <w:right w:val="single" w:sz="4" w:space="0" w:color="auto"/>
            </w:tcBorders>
            <w:vAlign w:val="bottom"/>
          </w:tcPr>
          <w:p w14:paraId="7069CC19" w14:textId="7AC6FDF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1.112</w:t>
            </w:r>
          </w:p>
        </w:tc>
        <w:tc>
          <w:tcPr>
            <w:tcW w:w="880" w:type="dxa"/>
            <w:tcBorders>
              <w:left w:val="single" w:sz="4" w:space="0" w:color="auto"/>
            </w:tcBorders>
            <w:vAlign w:val="bottom"/>
          </w:tcPr>
          <w:p w14:paraId="25C7C4CF" w14:textId="3F09980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0.872</w:t>
            </w:r>
          </w:p>
        </w:tc>
      </w:tr>
      <w:tr w:rsidR="00B60546" w:rsidRPr="00A0555D" w14:paraId="05C12C81"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5A9A66DC"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7068F93C" w14:textId="6E1A912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0.815</w:t>
            </w:r>
          </w:p>
        </w:tc>
        <w:tc>
          <w:tcPr>
            <w:tcW w:w="774" w:type="dxa"/>
            <w:tcBorders>
              <w:top w:val="nil"/>
              <w:left w:val="nil"/>
              <w:bottom w:val="single" w:sz="4" w:space="0" w:color="auto"/>
              <w:right w:val="nil"/>
            </w:tcBorders>
            <w:shd w:val="clear" w:color="auto" w:fill="auto"/>
            <w:noWrap/>
            <w:vAlign w:val="bottom"/>
          </w:tcPr>
          <w:p w14:paraId="062E618B" w14:textId="0C40212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773" w:type="dxa"/>
            <w:tcBorders>
              <w:top w:val="nil"/>
              <w:left w:val="nil"/>
              <w:bottom w:val="single" w:sz="4" w:space="0" w:color="auto"/>
              <w:right w:val="nil"/>
            </w:tcBorders>
            <w:shd w:val="clear" w:color="auto" w:fill="auto"/>
            <w:noWrap/>
            <w:vAlign w:val="bottom"/>
          </w:tcPr>
          <w:p w14:paraId="3C60D6F5" w14:textId="1344727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0.802</w:t>
            </w:r>
          </w:p>
        </w:tc>
        <w:tc>
          <w:tcPr>
            <w:tcW w:w="843" w:type="dxa"/>
            <w:tcBorders>
              <w:top w:val="nil"/>
              <w:left w:val="nil"/>
              <w:bottom w:val="single" w:sz="4" w:space="0" w:color="auto"/>
              <w:right w:val="nil"/>
            </w:tcBorders>
            <w:shd w:val="clear" w:color="auto" w:fill="auto"/>
            <w:noWrap/>
            <w:vAlign w:val="bottom"/>
          </w:tcPr>
          <w:p w14:paraId="6A233717" w14:textId="43E819E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0.954</w:t>
            </w:r>
          </w:p>
        </w:tc>
        <w:tc>
          <w:tcPr>
            <w:tcW w:w="704" w:type="dxa"/>
            <w:tcBorders>
              <w:top w:val="nil"/>
              <w:left w:val="nil"/>
              <w:bottom w:val="single" w:sz="4" w:space="0" w:color="auto"/>
              <w:right w:val="single" w:sz="4" w:space="0" w:color="auto"/>
            </w:tcBorders>
            <w:shd w:val="clear" w:color="auto" w:fill="auto"/>
            <w:noWrap/>
            <w:vAlign w:val="bottom"/>
          </w:tcPr>
          <w:p w14:paraId="64054F23" w14:textId="3A3637C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0.907</w:t>
            </w:r>
          </w:p>
        </w:tc>
        <w:tc>
          <w:tcPr>
            <w:tcW w:w="774" w:type="dxa"/>
            <w:tcBorders>
              <w:left w:val="nil"/>
              <w:bottom w:val="single" w:sz="4" w:space="0" w:color="auto"/>
              <w:right w:val="single" w:sz="4" w:space="0" w:color="auto"/>
            </w:tcBorders>
            <w:vAlign w:val="bottom"/>
          </w:tcPr>
          <w:p w14:paraId="3AB9CD21" w14:textId="4D0712C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0.989</w:t>
            </w:r>
          </w:p>
        </w:tc>
        <w:tc>
          <w:tcPr>
            <w:tcW w:w="774" w:type="dxa"/>
            <w:tcBorders>
              <w:left w:val="single" w:sz="4" w:space="0" w:color="auto"/>
              <w:bottom w:val="single" w:sz="4" w:space="0" w:color="auto"/>
              <w:right w:val="single" w:sz="4" w:space="0" w:color="auto"/>
            </w:tcBorders>
            <w:vAlign w:val="bottom"/>
          </w:tcPr>
          <w:p w14:paraId="04FF358C" w14:textId="23693B2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1.076</w:t>
            </w:r>
          </w:p>
        </w:tc>
        <w:tc>
          <w:tcPr>
            <w:tcW w:w="808" w:type="dxa"/>
            <w:tcBorders>
              <w:left w:val="single" w:sz="4" w:space="0" w:color="auto"/>
              <w:bottom w:val="single" w:sz="4" w:space="0" w:color="auto"/>
              <w:right w:val="single" w:sz="4" w:space="0" w:color="auto"/>
            </w:tcBorders>
            <w:vAlign w:val="bottom"/>
          </w:tcPr>
          <w:p w14:paraId="4DB5E512" w14:textId="1710457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0.896</w:t>
            </w:r>
          </w:p>
        </w:tc>
        <w:tc>
          <w:tcPr>
            <w:tcW w:w="740" w:type="dxa"/>
            <w:tcBorders>
              <w:left w:val="single" w:sz="4" w:space="0" w:color="auto"/>
              <w:bottom w:val="single" w:sz="4" w:space="0" w:color="auto"/>
              <w:right w:val="single" w:sz="4" w:space="0" w:color="auto"/>
            </w:tcBorders>
            <w:vAlign w:val="bottom"/>
          </w:tcPr>
          <w:p w14:paraId="5621B9A1" w14:textId="664542A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0.953</w:t>
            </w:r>
          </w:p>
        </w:tc>
        <w:tc>
          <w:tcPr>
            <w:tcW w:w="880" w:type="dxa"/>
            <w:tcBorders>
              <w:left w:val="single" w:sz="4" w:space="0" w:color="auto"/>
              <w:bottom w:val="single" w:sz="4" w:space="0" w:color="auto"/>
            </w:tcBorders>
            <w:vAlign w:val="bottom"/>
          </w:tcPr>
          <w:p w14:paraId="66DB4A60" w14:textId="0A1A5CB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0.853</w:t>
            </w:r>
          </w:p>
        </w:tc>
      </w:tr>
      <w:tr w:rsidR="00CD6A1A" w:rsidRPr="00A0555D" w14:paraId="09067546" w14:textId="77777777" w:rsidTr="00BD0EBA">
        <w:trPr>
          <w:trHeight w:val="144"/>
        </w:trPr>
        <w:tc>
          <w:tcPr>
            <w:tcW w:w="5474" w:type="dxa"/>
            <w:gridSpan w:val="6"/>
            <w:tcBorders>
              <w:top w:val="single" w:sz="4" w:space="0" w:color="auto"/>
            </w:tcBorders>
            <w:shd w:val="clear" w:color="auto" w:fill="auto"/>
            <w:noWrap/>
            <w:vAlign w:val="bottom"/>
            <w:hideMark/>
          </w:tcPr>
          <w:p w14:paraId="5ED50C5B" w14:textId="28CE679D" w:rsidR="00CD6A1A" w:rsidRPr="009355EE" w:rsidRDefault="00CD6A1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2E47E171" w14:textId="77777777" w:rsidR="00CD6A1A" w:rsidRPr="006016B0" w:rsidRDefault="00CD6A1A"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6A0727C" w14:textId="77777777" w:rsidR="00CD6A1A" w:rsidRPr="006016B0" w:rsidRDefault="00CD6A1A"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2454CEFF" w14:textId="77777777" w:rsidR="00CD6A1A" w:rsidRPr="006016B0" w:rsidRDefault="00CD6A1A"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6495DF35" w14:textId="77777777" w:rsidR="00CD6A1A" w:rsidRPr="006016B0" w:rsidRDefault="00CD6A1A"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64A0D489" w14:textId="77777777" w:rsidR="00CD6A1A" w:rsidRPr="006016B0" w:rsidRDefault="00CD6A1A" w:rsidP="006016B0">
            <w:pPr>
              <w:tabs>
                <w:tab w:val="decimal" w:pos="184"/>
              </w:tabs>
              <w:spacing w:before="0" w:after="0" w:line="240" w:lineRule="auto"/>
              <w:ind w:firstLine="0"/>
              <w:rPr>
                <w:color w:val="000000"/>
                <w:sz w:val="16"/>
                <w:szCs w:val="16"/>
              </w:rPr>
            </w:pPr>
          </w:p>
        </w:tc>
      </w:tr>
      <w:tr w:rsidR="00B60546" w:rsidRPr="00A0555D" w14:paraId="4DD85916"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57CDA850"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07BEF383" w14:textId="75CACC4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4" w:type="dxa"/>
            <w:tcBorders>
              <w:left w:val="nil"/>
              <w:bottom w:val="nil"/>
              <w:right w:val="nil"/>
            </w:tcBorders>
            <w:shd w:val="clear" w:color="auto" w:fill="auto"/>
            <w:noWrap/>
            <w:vAlign w:val="bottom"/>
          </w:tcPr>
          <w:p w14:paraId="43909206" w14:textId="000C100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773" w:type="dxa"/>
            <w:tcBorders>
              <w:left w:val="nil"/>
              <w:bottom w:val="nil"/>
              <w:right w:val="nil"/>
            </w:tcBorders>
            <w:shd w:val="clear" w:color="auto" w:fill="auto"/>
            <w:noWrap/>
            <w:vAlign w:val="bottom"/>
          </w:tcPr>
          <w:p w14:paraId="1C3EDB2E" w14:textId="69CF6143"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0.992</w:t>
            </w:r>
          </w:p>
        </w:tc>
        <w:tc>
          <w:tcPr>
            <w:tcW w:w="843" w:type="dxa"/>
            <w:tcBorders>
              <w:left w:val="nil"/>
              <w:bottom w:val="nil"/>
              <w:right w:val="nil"/>
            </w:tcBorders>
            <w:shd w:val="clear" w:color="auto" w:fill="auto"/>
            <w:noWrap/>
            <w:vAlign w:val="bottom"/>
          </w:tcPr>
          <w:p w14:paraId="326B35E0" w14:textId="53D3323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04" w:type="dxa"/>
            <w:tcBorders>
              <w:left w:val="nil"/>
              <w:bottom w:val="nil"/>
              <w:right w:val="single" w:sz="4" w:space="0" w:color="auto"/>
            </w:tcBorders>
            <w:shd w:val="clear" w:color="auto" w:fill="auto"/>
            <w:noWrap/>
            <w:vAlign w:val="bottom"/>
          </w:tcPr>
          <w:p w14:paraId="55FE94C3" w14:textId="683943A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0.989</w:t>
            </w:r>
          </w:p>
        </w:tc>
        <w:tc>
          <w:tcPr>
            <w:tcW w:w="774" w:type="dxa"/>
            <w:tcBorders>
              <w:left w:val="nil"/>
              <w:right w:val="single" w:sz="4" w:space="0" w:color="auto"/>
            </w:tcBorders>
            <w:vAlign w:val="bottom"/>
          </w:tcPr>
          <w:p w14:paraId="229DD422" w14:textId="77E59DA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1.006</w:t>
            </w:r>
          </w:p>
        </w:tc>
        <w:tc>
          <w:tcPr>
            <w:tcW w:w="774" w:type="dxa"/>
            <w:tcBorders>
              <w:left w:val="single" w:sz="4" w:space="0" w:color="auto"/>
              <w:right w:val="single" w:sz="4" w:space="0" w:color="auto"/>
            </w:tcBorders>
            <w:vAlign w:val="bottom"/>
          </w:tcPr>
          <w:p w14:paraId="1BDFE748" w14:textId="3EDD37A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0.993</w:t>
            </w:r>
          </w:p>
        </w:tc>
        <w:tc>
          <w:tcPr>
            <w:tcW w:w="808" w:type="dxa"/>
            <w:tcBorders>
              <w:left w:val="single" w:sz="4" w:space="0" w:color="auto"/>
              <w:right w:val="single" w:sz="4" w:space="0" w:color="auto"/>
            </w:tcBorders>
            <w:vAlign w:val="bottom"/>
          </w:tcPr>
          <w:p w14:paraId="77B88135" w14:textId="47ABE4F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0.999</w:t>
            </w:r>
          </w:p>
        </w:tc>
        <w:tc>
          <w:tcPr>
            <w:tcW w:w="740" w:type="dxa"/>
            <w:tcBorders>
              <w:left w:val="single" w:sz="4" w:space="0" w:color="auto"/>
              <w:right w:val="single" w:sz="4" w:space="0" w:color="auto"/>
            </w:tcBorders>
            <w:vAlign w:val="bottom"/>
          </w:tcPr>
          <w:p w14:paraId="7C41B61A" w14:textId="287CC56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1.000</w:t>
            </w:r>
          </w:p>
        </w:tc>
        <w:tc>
          <w:tcPr>
            <w:tcW w:w="880" w:type="dxa"/>
            <w:tcBorders>
              <w:left w:val="single" w:sz="4" w:space="0" w:color="auto"/>
            </w:tcBorders>
            <w:vAlign w:val="bottom"/>
          </w:tcPr>
          <w:p w14:paraId="7FF3FA5A" w14:textId="55AD03A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0.935</w:t>
            </w:r>
          </w:p>
        </w:tc>
      </w:tr>
      <w:tr w:rsidR="00B60546" w:rsidRPr="00A0555D" w14:paraId="712D6EA6"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FDE8DB6"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17EF6E77" w14:textId="69725A0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74" w:type="dxa"/>
            <w:tcBorders>
              <w:top w:val="nil"/>
              <w:left w:val="nil"/>
              <w:bottom w:val="nil"/>
              <w:right w:val="nil"/>
            </w:tcBorders>
            <w:shd w:val="clear" w:color="auto" w:fill="auto"/>
            <w:noWrap/>
            <w:vAlign w:val="bottom"/>
          </w:tcPr>
          <w:p w14:paraId="576D7BB5" w14:textId="62F4FDD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73" w:type="dxa"/>
            <w:tcBorders>
              <w:top w:val="nil"/>
              <w:left w:val="nil"/>
              <w:bottom w:val="nil"/>
              <w:right w:val="nil"/>
            </w:tcBorders>
            <w:shd w:val="clear" w:color="auto" w:fill="auto"/>
            <w:noWrap/>
            <w:vAlign w:val="bottom"/>
          </w:tcPr>
          <w:p w14:paraId="1E2FBC9A" w14:textId="6BBACA2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843" w:type="dxa"/>
            <w:tcBorders>
              <w:top w:val="nil"/>
              <w:left w:val="nil"/>
              <w:bottom w:val="nil"/>
              <w:right w:val="nil"/>
            </w:tcBorders>
            <w:shd w:val="clear" w:color="auto" w:fill="auto"/>
            <w:noWrap/>
            <w:vAlign w:val="bottom"/>
          </w:tcPr>
          <w:p w14:paraId="28631E5D" w14:textId="77EA9BC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04" w:type="dxa"/>
            <w:tcBorders>
              <w:top w:val="nil"/>
              <w:left w:val="nil"/>
              <w:bottom w:val="nil"/>
              <w:right w:val="single" w:sz="4" w:space="0" w:color="auto"/>
            </w:tcBorders>
            <w:shd w:val="clear" w:color="auto" w:fill="auto"/>
            <w:noWrap/>
            <w:vAlign w:val="bottom"/>
          </w:tcPr>
          <w:p w14:paraId="7D909505" w14:textId="7E66F82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774" w:type="dxa"/>
            <w:tcBorders>
              <w:left w:val="nil"/>
              <w:right w:val="single" w:sz="4" w:space="0" w:color="auto"/>
            </w:tcBorders>
            <w:vAlign w:val="bottom"/>
          </w:tcPr>
          <w:p w14:paraId="2EB1ECB5" w14:textId="4F4A1E4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1.005</w:t>
            </w:r>
          </w:p>
        </w:tc>
        <w:tc>
          <w:tcPr>
            <w:tcW w:w="774" w:type="dxa"/>
            <w:tcBorders>
              <w:left w:val="single" w:sz="4" w:space="0" w:color="auto"/>
              <w:right w:val="single" w:sz="4" w:space="0" w:color="auto"/>
            </w:tcBorders>
            <w:vAlign w:val="bottom"/>
          </w:tcPr>
          <w:p w14:paraId="7AD2BA63" w14:textId="697828E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0.976</w:t>
            </w:r>
          </w:p>
        </w:tc>
        <w:tc>
          <w:tcPr>
            <w:tcW w:w="808" w:type="dxa"/>
            <w:tcBorders>
              <w:left w:val="single" w:sz="4" w:space="0" w:color="auto"/>
              <w:right w:val="single" w:sz="4" w:space="0" w:color="auto"/>
            </w:tcBorders>
            <w:vAlign w:val="bottom"/>
          </w:tcPr>
          <w:p w14:paraId="0145519E" w14:textId="41C574E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740" w:type="dxa"/>
            <w:tcBorders>
              <w:left w:val="single" w:sz="4" w:space="0" w:color="auto"/>
              <w:right w:val="single" w:sz="4" w:space="0" w:color="auto"/>
            </w:tcBorders>
            <w:vAlign w:val="bottom"/>
          </w:tcPr>
          <w:p w14:paraId="5B58D25E" w14:textId="4F2316C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798B5449" w14:textId="102E1EC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0.913</w:t>
            </w:r>
          </w:p>
        </w:tc>
      </w:tr>
      <w:tr w:rsidR="00B60546" w:rsidRPr="00A0555D" w14:paraId="25CC3760"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6FAD980"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07705CE" w14:textId="546042A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nil"/>
              <w:right w:val="nil"/>
            </w:tcBorders>
            <w:shd w:val="clear" w:color="auto" w:fill="auto"/>
            <w:noWrap/>
            <w:vAlign w:val="bottom"/>
          </w:tcPr>
          <w:p w14:paraId="41265E84" w14:textId="0BEA435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1.012</w:t>
            </w:r>
          </w:p>
        </w:tc>
        <w:tc>
          <w:tcPr>
            <w:tcW w:w="773" w:type="dxa"/>
            <w:tcBorders>
              <w:top w:val="nil"/>
              <w:left w:val="nil"/>
              <w:bottom w:val="nil"/>
              <w:right w:val="nil"/>
            </w:tcBorders>
            <w:shd w:val="clear" w:color="auto" w:fill="auto"/>
            <w:noWrap/>
            <w:vAlign w:val="bottom"/>
          </w:tcPr>
          <w:p w14:paraId="7804CE02" w14:textId="3525E9F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0.996</w:t>
            </w:r>
          </w:p>
        </w:tc>
        <w:tc>
          <w:tcPr>
            <w:tcW w:w="843" w:type="dxa"/>
            <w:tcBorders>
              <w:top w:val="nil"/>
              <w:left w:val="nil"/>
              <w:bottom w:val="nil"/>
              <w:right w:val="nil"/>
            </w:tcBorders>
            <w:shd w:val="clear" w:color="auto" w:fill="auto"/>
            <w:noWrap/>
            <w:vAlign w:val="bottom"/>
          </w:tcPr>
          <w:p w14:paraId="6B601DAE" w14:textId="0A8DC3F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4" w:type="dxa"/>
            <w:tcBorders>
              <w:top w:val="nil"/>
              <w:left w:val="nil"/>
              <w:bottom w:val="nil"/>
              <w:right w:val="single" w:sz="4" w:space="0" w:color="auto"/>
            </w:tcBorders>
            <w:shd w:val="clear" w:color="auto" w:fill="auto"/>
            <w:noWrap/>
            <w:vAlign w:val="bottom"/>
          </w:tcPr>
          <w:p w14:paraId="615F9F42" w14:textId="7BA45BC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0.993</w:t>
            </w:r>
          </w:p>
        </w:tc>
        <w:tc>
          <w:tcPr>
            <w:tcW w:w="774" w:type="dxa"/>
            <w:tcBorders>
              <w:left w:val="nil"/>
              <w:right w:val="single" w:sz="4" w:space="0" w:color="auto"/>
            </w:tcBorders>
            <w:vAlign w:val="bottom"/>
          </w:tcPr>
          <w:p w14:paraId="2C6D9B57" w14:textId="6B62F60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1.007</w:t>
            </w:r>
          </w:p>
        </w:tc>
        <w:tc>
          <w:tcPr>
            <w:tcW w:w="774" w:type="dxa"/>
            <w:tcBorders>
              <w:left w:val="single" w:sz="4" w:space="0" w:color="auto"/>
              <w:right w:val="single" w:sz="4" w:space="0" w:color="auto"/>
            </w:tcBorders>
            <w:vAlign w:val="bottom"/>
          </w:tcPr>
          <w:p w14:paraId="03ED35D2" w14:textId="4E86599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0.988</w:t>
            </w:r>
          </w:p>
        </w:tc>
        <w:tc>
          <w:tcPr>
            <w:tcW w:w="808" w:type="dxa"/>
            <w:tcBorders>
              <w:left w:val="single" w:sz="4" w:space="0" w:color="auto"/>
              <w:right w:val="single" w:sz="4" w:space="0" w:color="auto"/>
            </w:tcBorders>
            <w:vAlign w:val="bottom"/>
          </w:tcPr>
          <w:p w14:paraId="3E366B44" w14:textId="1328D6D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0.995</w:t>
            </w:r>
          </w:p>
        </w:tc>
        <w:tc>
          <w:tcPr>
            <w:tcW w:w="740" w:type="dxa"/>
            <w:tcBorders>
              <w:left w:val="single" w:sz="4" w:space="0" w:color="auto"/>
              <w:right w:val="single" w:sz="4" w:space="0" w:color="auto"/>
            </w:tcBorders>
            <w:vAlign w:val="bottom"/>
          </w:tcPr>
          <w:p w14:paraId="48BDEF76" w14:textId="20C6EB2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399860F4" w14:textId="0A37B9A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0.924</w:t>
            </w:r>
          </w:p>
        </w:tc>
      </w:tr>
      <w:tr w:rsidR="00B60546" w:rsidRPr="00A0555D" w14:paraId="0246652D"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26752356"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76D95C53" w14:textId="16D9A23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nil"/>
              <w:right w:val="nil"/>
            </w:tcBorders>
            <w:shd w:val="clear" w:color="auto" w:fill="auto"/>
            <w:noWrap/>
            <w:vAlign w:val="bottom"/>
          </w:tcPr>
          <w:p w14:paraId="0BB7E44D" w14:textId="363014E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773" w:type="dxa"/>
            <w:tcBorders>
              <w:top w:val="nil"/>
              <w:left w:val="nil"/>
              <w:bottom w:val="nil"/>
              <w:right w:val="nil"/>
            </w:tcBorders>
            <w:shd w:val="clear" w:color="auto" w:fill="auto"/>
            <w:noWrap/>
            <w:vAlign w:val="bottom"/>
          </w:tcPr>
          <w:p w14:paraId="28BE1319" w14:textId="6D9FD43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843" w:type="dxa"/>
            <w:tcBorders>
              <w:top w:val="nil"/>
              <w:left w:val="nil"/>
              <w:bottom w:val="nil"/>
              <w:right w:val="nil"/>
            </w:tcBorders>
            <w:shd w:val="clear" w:color="auto" w:fill="auto"/>
            <w:noWrap/>
            <w:vAlign w:val="bottom"/>
          </w:tcPr>
          <w:p w14:paraId="1EEF779B" w14:textId="279D0F1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04" w:type="dxa"/>
            <w:tcBorders>
              <w:top w:val="nil"/>
              <w:left w:val="nil"/>
              <w:bottom w:val="nil"/>
              <w:right w:val="single" w:sz="4" w:space="0" w:color="auto"/>
            </w:tcBorders>
            <w:shd w:val="clear" w:color="auto" w:fill="auto"/>
            <w:noWrap/>
            <w:vAlign w:val="bottom"/>
          </w:tcPr>
          <w:p w14:paraId="63CC40C2" w14:textId="4F586F0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774" w:type="dxa"/>
            <w:tcBorders>
              <w:left w:val="nil"/>
              <w:right w:val="single" w:sz="4" w:space="0" w:color="auto"/>
            </w:tcBorders>
            <w:vAlign w:val="bottom"/>
          </w:tcPr>
          <w:p w14:paraId="2DDD4F4F" w14:textId="0EA7FD3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774" w:type="dxa"/>
            <w:tcBorders>
              <w:left w:val="single" w:sz="4" w:space="0" w:color="auto"/>
              <w:right w:val="single" w:sz="4" w:space="0" w:color="auto"/>
            </w:tcBorders>
            <w:vAlign w:val="bottom"/>
          </w:tcPr>
          <w:p w14:paraId="1E3854B4" w14:textId="5DA9FE1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0.987</w:t>
            </w:r>
          </w:p>
        </w:tc>
        <w:tc>
          <w:tcPr>
            <w:tcW w:w="808" w:type="dxa"/>
            <w:tcBorders>
              <w:left w:val="single" w:sz="4" w:space="0" w:color="auto"/>
              <w:right w:val="single" w:sz="4" w:space="0" w:color="auto"/>
            </w:tcBorders>
            <w:vAlign w:val="bottom"/>
          </w:tcPr>
          <w:p w14:paraId="72165069" w14:textId="5D86CE9D"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1.000</w:t>
            </w:r>
          </w:p>
        </w:tc>
        <w:tc>
          <w:tcPr>
            <w:tcW w:w="740" w:type="dxa"/>
            <w:tcBorders>
              <w:left w:val="single" w:sz="4" w:space="0" w:color="auto"/>
              <w:right w:val="single" w:sz="4" w:space="0" w:color="auto"/>
            </w:tcBorders>
            <w:vAlign w:val="bottom"/>
          </w:tcPr>
          <w:p w14:paraId="5D17AFDF" w14:textId="17B157B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1.002</w:t>
            </w:r>
          </w:p>
        </w:tc>
        <w:tc>
          <w:tcPr>
            <w:tcW w:w="880" w:type="dxa"/>
            <w:tcBorders>
              <w:left w:val="single" w:sz="4" w:space="0" w:color="auto"/>
            </w:tcBorders>
            <w:vAlign w:val="bottom"/>
          </w:tcPr>
          <w:p w14:paraId="70C2F538" w14:textId="097E086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0.934</w:t>
            </w:r>
          </w:p>
        </w:tc>
      </w:tr>
      <w:tr w:rsidR="00B60546" w:rsidRPr="00A0555D" w14:paraId="4750929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61A41E53"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702C5215" w14:textId="43152ED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nil"/>
              <w:right w:val="nil"/>
            </w:tcBorders>
            <w:shd w:val="clear" w:color="auto" w:fill="auto"/>
            <w:noWrap/>
            <w:vAlign w:val="bottom"/>
          </w:tcPr>
          <w:p w14:paraId="6F55F11A" w14:textId="1EB386C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3" w:type="dxa"/>
            <w:tcBorders>
              <w:top w:val="nil"/>
              <w:left w:val="nil"/>
              <w:bottom w:val="nil"/>
              <w:right w:val="nil"/>
            </w:tcBorders>
            <w:shd w:val="clear" w:color="auto" w:fill="auto"/>
            <w:noWrap/>
            <w:vAlign w:val="bottom"/>
          </w:tcPr>
          <w:p w14:paraId="4F0F6DDA" w14:textId="6846B73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1.007</w:t>
            </w:r>
          </w:p>
        </w:tc>
        <w:tc>
          <w:tcPr>
            <w:tcW w:w="843" w:type="dxa"/>
            <w:tcBorders>
              <w:top w:val="nil"/>
              <w:left w:val="nil"/>
              <w:bottom w:val="nil"/>
              <w:right w:val="nil"/>
            </w:tcBorders>
            <w:shd w:val="clear" w:color="auto" w:fill="auto"/>
            <w:noWrap/>
            <w:vAlign w:val="bottom"/>
          </w:tcPr>
          <w:p w14:paraId="1DF62455" w14:textId="7BEEBB6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0.996</w:t>
            </w:r>
          </w:p>
        </w:tc>
        <w:tc>
          <w:tcPr>
            <w:tcW w:w="704" w:type="dxa"/>
            <w:tcBorders>
              <w:top w:val="nil"/>
              <w:left w:val="nil"/>
              <w:bottom w:val="nil"/>
              <w:right w:val="single" w:sz="4" w:space="0" w:color="auto"/>
            </w:tcBorders>
            <w:shd w:val="clear" w:color="auto" w:fill="auto"/>
            <w:noWrap/>
            <w:vAlign w:val="bottom"/>
          </w:tcPr>
          <w:p w14:paraId="06DC8615" w14:textId="109827C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74" w:type="dxa"/>
            <w:tcBorders>
              <w:left w:val="nil"/>
              <w:right w:val="single" w:sz="4" w:space="0" w:color="auto"/>
            </w:tcBorders>
            <w:vAlign w:val="bottom"/>
          </w:tcPr>
          <w:p w14:paraId="551085C1" w14:textId="383AAA2D"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1.002</w:t>
            </w:r>
          </w:p>
        </w:tc>
        <w:tc>
          <w:tcPr>
            <w:tcW w:w="774" w:type="dxa"/>
            <w:tcBorders>
              <w:left w:val="single" w:sz="4" w:space="0" w:color="auto"/>
              <w:right w:val="single" w:sz="4" w:space="0" w:color="auto"/>
            </w:tcBorders>
            <w:vAlign w:val="bottom"/>
          </w:tcPr>
          <w:p w14:paraId="75E82ACE" w14:textId="3D9F529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1.011</w:t>
            </w:r>
          </w:p>
        </w:tc>
        <w:tc>
          <w:tcPr>
            <w:tcW w:w="808" w:type="dxa"/>
            <w:tcBorders>
              <w:left w:val="single" w:sz="4" w:space="0" w:color="auto"/>
              <w:right w:val="single" w:sz="4" w:space="0" w:color="auto"/>
            </w:tcBorders>
            <w:vAlign w:val="bottom"/>
          </w:tcPr>
          <w:p w14:paraId="66BF1E0A" w14:textId="2431622C"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1.006</w:t>
            </w:r>
          </w:p>
        </w:tc>
        <w:tc>
          <w:tcPr>
            <w:tcW w:w="740" w:type="dxa"/>
            <w:tcBorders>
              <w:left w:val="single" w:sz="4" w:space="0" w:color="auto"/>
              <w:right w:val="single" w:sz="4" w:space="0" w:color="auto"/>
            </w:tcBorders>
            <w:vAlign w:val="bottom"/>
          </w:tcPr>
          <w:p w14:paraId="4CF0538D" w14:textId="1590059B"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3AC233F8" w14:textId="5133DA0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0.923</w:t>
            </w:r>
          </w:p>
        </w:tc>
      </w:tr>
      <w:tr w:rsidR="00B60546" w:rsidRPr="00A0555D" w14:paraId="79B707A0"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7913F74D"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0E034661" w14:textId="4D41479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1.000</w:t>
            </w:r>
          </w:p>
        </w:tc>
        <w:tc>
          <w:tcPr>
            <w:tcW w:w="774" w:type="dxa"/>
            <w:tcBorders>
              <w:top w:val="nil"/>
              <w:left w:val="nil"/>
              <w:bottom w:val="single" w:sz="4" w:space="0" w:color="auto"/>
              <w:right w:val="nil"/>
            </w:tcBorders>
            <w:shd w:val="clear" w:color="auto" w:fill="auto"/>
            <w:noWrap/>
            <w:vAlign w:val="bottom"/>
          </w:tcPr>
          <w:p w14:paraId="2EAF9F07" w14:textId="5C654DE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1.010</w:t>
            </w:r>
          </w:p>
        </w:tc>
        <w:tc>
          <w:tcPr>
            <w:tcW w:w="773" w:type="dxa"/>
            <w:tcBorders>
              <w:top w:val="nil"/>
              <w:left w:val="nil"/>
              <w:bottom w:val="single" w:sz="4" w:space="0" w:color="auto"/>
              <w:right w:val="nil"/>
            </w:tcBorders>
            <w:shd w:val="clear" w:color="auto" w:fill="auto"/>
            <w:noWrap/>
            <w:vAlign w:val="bottom"/>
          </w:tcPr>
          <w:p w14:paraId="22749454" w14:textId="356A0755"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843" w:type="dxa"/>
            <w:tcBorders>
              <w:top w:val="nil"/>
              <w:left w:val="nil"/>
              <w:bottom w:val="single" w:sz="4" w:space="0" w:color="auto"/>
              <w:right w:val="nil"/>
            </w:tcBorders>
            <w:shd w:val="clear" w:color="auto" w:fill="auto"/>
            <w:noWrap/>
            <w:vAlign w:val="bottom"/>
          </w:tcPr>
          <w:p w14:paraId="6D6B2A9D" w14:textId="3FA82A1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0.998</w:t>
            </w:r>
          </w:p>
        </w:tc>
        <w:tc>
          <w:tcPr>
            <w:tcW w:w="704" w:type="dxa"/>
            <w:tcBorders>
              <w:top w:val="nil"/>
              <w:left w:val="nil"/>
              <w:bottom w:val="single" w:sz="4" w:space="0" w:color="auto"/>
              <w:right w:val="single" w:sz="4" w:space="0" w:color="auto"/>
            </w:tcBorders>
            <w:shd w:val="clear" w:color="auto" w:fill="auto"/>
            <w:noWrap/>
            <w:vAlign w:val="bottom"/>
          </w:tcPr>
          <w:p w14:paraId="434EA98B" w14:textId="3164530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0.996</w:t>
            </w:r>
          </w:p>
        </w:tc>
        <w:tc>
          <w:tcPr>
            <w:tcW w:w="774" w:type="dxa"/>
            <w:tcBorders>
              <w:left w:val="nil"/>
              <w:bottom w:val="single" w:sz="4" w:space="0" w:color="auto"/>
              <w:right w:val="single" w:sz="4" w:space="0" w:color="auto"/>
            </w:tcBorders>
            <w:vAlign w:val="bottom"/>
          </w:tcPr>
          <w:p w14:paraId="3BCB118A" w14:textId="70D2321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1.002</w:t>
            </w:r>
          </w:p>
        </w:tc>
        <w:tc>
          <w:tcPr>
            <w:tcW w:w="774" w:type="dxa"/>
            <w:tcBorders>
              <w:left w:val="single" w:sz="4" w:space="0" w:color="auto"/>
              <w:bottom w:val="single" w:sz="4" w:space="0" w:color="auto"/>
              <w:right w:val="single" w:sz="4" w:space="0" w:color="auto"/>
            </w:tcBorders>
            <w:vAlign w:val="bottom"/>
          </w:tcPr>
          <w:p w14:paraId="786C9F04" w14:textId="4AD8BAE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0.983</w:t>
            </w:r>
          </w:p>
        </w:tc>
        <w:tc>
          <w:tcPr>
            <w:tcW w:w="808" w:type="dxa"/>
            <w:tcBorders>
              <w:left w:val="single" w:sz="4" w:space="0" w:color="auto"/>
              <w:bottom w:val="single" w:sz="4" w:space="0" w:color="auto"/>
              <w:right w:val="single" w:sz="4" w:space="0" w:color="auto"/>
            </w:tcBorders>
            <w:vAlign w:val="bottom"/>
          </w:tcPr>
          <w:p w14:paraId="7A1D4C05" w14:textId="7787173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0.995</w:t>
            </w:r>
          </w:p>
        </w:tc>
        <w:tc>
          <w:tcPr>
            <w:tcW w:w="740" w:type="dxa"/>
            <w:tcBorders>
              <w:left w:val="single" w:sz="4" w:space="0" w:color="auto"/>
              <w:bottom w:val="single" w:sz="4" w:space="0" w:color="auto"/>
              <w:right w:val="single" w:sz="4" w:space="0" w:color="auto"/>
            </w:tcBorders>
            <w:vAlign w:val="bottom"/>
          </w:tcPr>
          <w:p w14:paraId="50FA477D" w14:textId="149391D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bottom w:val="single" w:sz="4" w:space="0" w:color="auto"/>
            </w:tcBorders>
            <w:vAlign w:val="bottom"/>
          </w:tcPr>
          <w:p w14:paraId="2C956100" w14:textId="7C4FE4A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0.930</w:t>
            </w:r>
          </w:p>
        </w:tc>
      </w:tr>
      <w:tr w:rsidR="00CD6A1A" w:rsidRPr="00A0555D" w14:paraId="7A1A60ED" w14:textId="77777777" w:rsidTr="00BD0EBA">
        <w:trPr>
          <w:trHeight w:val="144"/>
        </w:trPr>
        <w:tc>
          <w:tcPr>
            <w:tcW w:w="5474" w:type="dxa"/>
            <w:gridSpan w:val="6"/>
            <w:tcBorders>
              <w:top w:val="single" w:sz="4" w:space="0" w:color="auto"/>
            </w:tcBorders>
            <w:shd w:val="clear" w:color="auto" w:fill="auto"/>
            <w:noWrap/>
            <w:vAlign w:val="bottom"/>
            <w:hideMark/>
          </w:tcPr>
          <w:p w14:paraId="7DAC8207" w14:textId="4F569C96" w:rsidR="00CD6A1A" w:rsidRPr="009355EE" w:rsidRDefault="00CD6A1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Livneh</w:t>
            </w:r>
          </w:p>
        </w:tc>
        <w:tc>
          <w:tcPr>
            <w:tcW w:w="774" w:type="dxa"/>
            <w:tcBorders>
              <w:top w:val="single" w:sz="4" w:space="0" w:color="auto"/>
              <w:left w:val="single" w:sz="4" w:space="0" w:color="auto"/>
            </w:tcBorders>
            <w:shd w:val="clear" w:color="auto" w:fill="auto"/>
            <w:vAlign w:val="bottom"/>
          </w:tcPr>
          <w:p w14:paraId="5E053EF4" w14:textId="77777777" w:rsidR="00CD6A1A" w:rsidRPr="006016B0" w:rsidRDefault="00CD6A1A" w:rsidP="006016B0">
            <w:pPr>
              <w:tabs>
                <w:tab w:val="decimal" w:pos="184"/>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0A4CEC96" w14:textId="77777777" w:rsidR="00CD6A1A" w:rsidRPr="006016B0" w:rsidRDefault="00CD6A1A" w:rsidP="006016B0">
            <w:pPr>
              <w:tabs>
                <w:tab w:val="decimal" w:pos="184"/>
              </w:tabs>
              <w:spacing w:before="0" w:after="0" w:line="240" w:lineRule="auto"/>
              <w:ind w:firstLine="0"/>
              <w:rPr>
                <w:color w:val="000000"/>
                <w:sz w:val="16"/>
                <w:szCs w:val="16"/>
              </w:rPr>
            </w:pPr>
          </w:p>
        </w:tc>
        <w:tc>
          <w:tcPr>
            <w:tcW w:w="808" w:type="dxa"/>
            <w:tcBorders>
              <w:top w:val="single" w:sz="4" w:space="0" w:color="auto"/>
              <w:left w:val="single" w:sz="4" w:space="0" w:color="auto"/>
            </w:tcBorders>
            <w:shd w:val="clear" w:color="auto" w:fill="auto"/>
            <w:vAlign w:val="bottom"/>
          </w:tcPr>
          <w:p w14:paraId="441CF715" w14:textId="77777777" w:rsidR="00CD6A1A" w:rsidRPr="006016B0" w:rsidRDefault="00CD6A1A" w:rsidP="006016B0">
            <w:pPr>
              <w:tabs>
                <w:tab w:val="decimal" w:pos="184"/>
              </w:tabs>
              <w:spacing w:before="0" w:after="0" w:line="240" w:lineRule="auto"/>
              <w:ind w:firstLine="0"/>
              <w:rPr>
                <w:color w:val="000000"/>
                <w:sz w:val="16"/>
                <w:szCs w:val="16"/>
              </w:rPr>
            </w:pPr>
          </w:p>
        </w:tc>
        <w:tc>
          <w:tcPr>
            <w:tcW w:w="740" w:type="dxa"/>
            <w:tcBorders>
              <w:top w:val="single" w:sz="4" w:space="0" w:color="auto"/>
              <w:left w:val="single" w:sz="4" w:space="0" w:color="auto"/>
            </w:tcBorders>
            <w:shd w:val="clear" w:color="auto" w:fill="auto"/>
            <w:vAlign w:val="bottom"/>
          </w:tcPr>
          <w:p w14:paraId="263FAA23" w14:textId="77777777" w:rsidR="00CD6A1A" w:rsidRPr="006016B0" w:rsidRDefault="00CD6A1A" w:rsidP="006016B0">
            <w:pPr>
              <w:tabs>
                <w:tab w:val="decimal" w:pos="184"/>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736EBB75" w14:textId="77777777" w:rsidR="00CD6A1A" w:rsidRPr="006016B0" w:rsidRDefault="00CD6A1A" w:rsidP="006016B0">
            <w:pPr>
              <w:tabs>
                <w:tab w:val="decimal" w:pos="184"/>
              </w:tabs>
              <w:spacing w:before="0" w:after="0" w:line="240" w:lineRule="auto"/>
              <w:ind w:firstLine="0"/>
              <w:rPr>
                <w:color w:val="000000"/>
                <w:sz w:val="16"/>
                <w:szCs w:val="16"/>
              </w:rPr>
            </w:pPr>
          </w:p>
        </w:tc>
      </w:tr>
      <w:tr w:rsidR="00B60546" w:rsidRPr="00A0555D" w14:paraId="301F63DA" w14:textId="77777777" w:rsidTr="00BD0EBA">
        <w:trPr>
          <w:trHeight w:val="144"/>
        </w:trPr>
        <w:tc>
          <w:tcPr>
            <w:tcW w:w="1613" w:type="dxa"/>
            <w:tcBorders>
              <w:left w:val="nil"/>
              <w:bottom w:val="nil"/>
              <w:right w:val="single" w:sz="4" w:space="0" w:color="auto"/>
            </w:tcBorders>
            <w:shd w:val="clear" w:color="auto" w:fill="auto"/>
            <w:noWrap/>
            <w:vAlign w:val="bottom"/>
            <w:hideMark/>
          </w:tcPr>
          <w:p w14:paraId="610553D0"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246D4C2C" w14:textId="19D83A3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774" w:type="dxa"/>
            <w:tcBorders>
              <w:left w:val="nil"/>
              <w:bottom w:val="nil"/>
              <w:right w:val="nil"/>
            </w:tcBorders>
            <w:shd w:val="clear" w:color="auto" w:fill="auto"/>
            <w:noWrap/>
            <w:vAlign w:val="bottom"/>
          </w:tcPr>
          <w:p w14:paraId="10100642" w14:textId="173E112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1.008</w:t>
            </w:r>
          </w:p>
        </w:tc>
        <w:tc>
          <w:tcPr>
            <w:tcW w:w="773" w:type="dxa"/>
            <w:tcBorders>
              <w:left w:val="nil"/>
              <w:bottom w:val="nil"/>
              <w:right w:val="nil"/>
            </w:tcBorders>
            <w:shd w:val="clear" w:color="auto" w:fill="auto"/>
            <w:noWrap/>
            <w:vAlign w:val="bottom"/>
          </w:tcPr>
          <w:p w14:paraId="51CCD663" w14:textId="4325798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843" w:type="dxa"/>
            <w:tcBorders>
              <w:left w:val="nil"/>
              <w:bottom w:val="nil"/>
              <w:right w:val="nil"/>
            </w:tcBorders>
            <w:shd w:val="clear" w:color="auto" w:fill="auto"/>
            <w:noWrap/>
            <w:vAlign w:val="bottom"/>
          </w:tcPr>
          <w:p w14:paraId="3A496796" w14:textId="0FB356B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704" w:type="dxa"/>
            <w:tcBorders>
              <w:left w:val="nil"/>
              <w:bottom w:val="nil"/>
              <w:right w:val="single" w:sz="4" w:space="0" w:color="auto"/>
            </w:tcBorders>
            <w:shd w:val="clear" w:color="auto" w:fill="auto"/>
            <w:noWrap/>
            <w:vAlign w:val="bottom"/>
          </w:tcPr>
          <w:p w14:paraId="2D17B43E" w14:textId="6E1309F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0.998</w:t>
            </w:r>
          </w:p>
        </w:tc>
        <w:tc>
          <w:tcPr>
            <w:tcW w:w="774" w:type="dxa"/>
            <w:tcBorders>
              <w:left w:val="nil"/>
              <w:right w:val="single" w:sz="4" w:space="0" w:color="auto"/>
            </w:tcBorders>
            <w:vAlign w:val="bottom"/>
          </w:tcPr>
          <w:p w14:paraId="016A84B2" w14:textId="6B7328B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1.005</w:t>
            </w:r>
          </w:p>
        </w:tc>
        <w:tc>
          <w:tcPr>
            <w:tcW w:w="774" w:type="dxa"/>
            <w:tcBorders>
              <w:left w:val="single" w:sz="4" w:space="0" w:color="auto"/>
              <w:right w:val="single" w:sz="4" w:space="0" w:color="auto"/>
            </w:tcBorders>
            <w:vAlign w:val="bottom"/>
          </w:tcPr>
          <w:p w14:paraId="6E714FCB" w14:textId="3BEEE85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1.016</w:t>
            </w:r>
          </w:p>
        </w:tc>
        <w:tc>
          <w:tcPr>
            <w:tcW w:w="808" w:type="dxa"/>
            <w:tcBorders>
              <w:left w:val="single" w:sz="4" w:space="0" w:color="auto"/>
              <w:right w:val="single" w:sz="4" w:space="0" w:color="auto"/>
            </w:tcBorders>
            <w:vAlign w:val="bottom"/>
          </w:tcPr>
          <w:p w14:paraId="0C0F0241" w14:textId="57548AC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0.996</w:t>
            </w:r>
          </w:p>
        </w:tc>
        <w:tc>
          <w:tcPr>
            <w:tcW w:w="740" w:type="dxa"/>
            <w:tcBorders>
              <w:left w:val="single" w:sz="4" w:space="0" w:color="auto"/>
              <w:right w:val="single" w:sz="4" w:space="0" w:color="auto"/>
            </w:tcBorders>
            <w:vAlign w:val="bottom"/>
          </w:tcPr>
          <w:p w14:paraId="36D63F05" w14:textId="615BE19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1.000</w:t>
            </w:r>
          </w:p>
        </w:tc>
        <w:tc>
          <w:tcPr>
            <w:tcW w:w="880" w:type="dxa"/>
            <w:tcBorders>
              <w:left w:val="single" w:sz="4" w:space="0" w:color="auto"/>
            </w:tcBorders>
            <w:vAlign w:val="bottom"/>
          </w:tcPr>
          <w:p w14:paraId="543C80A0" w14:textId="1CE9F84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0.987</w:t>
            </w:r>
          </w:p>
        </w:tc>
      </w:tr>
      <w:tr w:rsidR="00B60546" w:rsidRPr="00A0555D" w14:paraId="57EEF01E"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F4660FC"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0A0385A2" w14:textId="56E7A6B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4" w:type="dxa"/>
            <w:tcBorders>
              <w:top w:val="nil"/>
              <w:left w:val="nil"/>
              <w:bottom w:val="nil"/>
              <w:right w:val="nil"/>
            </w:tcBorders>
            <w:shd w:val="clear" w:color="auto" w:fill="auto"/>
            <w:noWrap/>
            <w:vAlign w:val="bottom"/>
          </w:tcPr>
          <w:p w14:paraId="442A4269" w14:textId="0FF4C222"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1.001</w:t>
            </w:r>
          </w:p>
        </w:tc>
        <w:tc>
          <w:tcPr>
            <w:tcW w:w="773" w:type="dxa"/>
            <w:tcBorders>
              <w:top w:val="nil"/>
              <w:left w:val="nil"/>
              <w:bottom w:val="nil"/>
              <w:right w:val="nil"/>
            </w:tcBorders>
            <w:shd w:val="clear" w:color="auto" w:fill="auto"/>
            <w:noWrap/>
            <w:vAlign w:val="bottom"/>
          </w:tcPr>
          <w:p w14:paraId="24429694" w14:textId="3BC85689"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1.010</w:t>
            </w:r>
          </w:p>
        </w:tc>
        <w:tc>
          <w:tcPr>
            <w:tcW w:w="843" w:type="dxa"/>
            <w:tcBorders>
              <w:top w:val="nil"/>
              <w:left w:val="nil"/>
              <w:bottom w:val="nil"/>
              <w:right w:val="nil"/>
            </w:tcBorders>
            <w:shd w:val="clear" w:color="auto" w:fill="auto"/>
            <w:noWrap/>
            <w:vAlign w:val="bottom"/>
          </w:tcPr>
          <w:p w14:paraId="29977CD7" w14:textId="0FACAAD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339D0C1D" w14:textId="6E2321F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0.993</w:t>
            </w:r>
          </w:p>
        </w:tc>
        <w:tc>
          <w:tcPr>
            <w:tcW w:w="774" w:type="dxa"/>
            <w:tcBorders>
              <w:left w:val="nil"/>
              <w:right w:val="single" w:sz="4" w:space="0" w:color="auto"/>
            </w:tcBorders>
            <w:vAlign w:val="bottom"/>
          </w:tcPr>
          <w:p w14:paraId="2AE67D5E" w14:textId="54DA15F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1.005</w:t>
            </w:r>
          </w:p>
        </w:tc>
        <w:tc>
          <w:tcPr>
            <w:tcW w:w="774" w:type="dxa"/>
            <w:tcBorders>
              <w:left w:val="single" w:sz="4" w:space="0" w:color="auto"/>
              <w:right w:val="single" w:sz="4" w:space="0" w:color="auto"/>
            </w:tcBorders>
            <w:vAlign w:val="bottom"/>
          </w:tcPr>
          <w:p w14:paraId="676447E7" w14:textId="4D89382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1.019</w:t>
            </w:r>
          </w:p>
        </w:tc>
        <w:tc>
          <w:tcPr>
            <w:tcW w:w="808" w:type="dxa"/>
            <w:tcBorders>
              <w:left w:val="single" w:sz="4" w:space="0" w:color="auto"/>
              <w:right w:val="single" w:sz="4" w:space="0" w:color="auto"/>
            </w:tcBorders>
            <w:vAlign w:val="bottom"/>
          </w:tcPr>
          <w:p w14:paraId="0D275112" w14:textId="243B724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1.002</w:t>
            </w:r>
          </w:p>
        </w:tc>
        <w:tc>
          <w:tcPr>
            <w:tcW w:w="740" w:type="dxa"/>
            <w:tcBorders>
              <w:left w:val="single" w:sz="4" w:space="0" w:color="auto"/>
              <w:right w:val="single" w:sz="4" w:space="0" w:color="auto"/>
            </w:tcBorders>
            <w:vAlign w:val="bottom"/>
          </w:tcPr>
          <w:p w14:paraId="385DE573" w14:textId="179BE64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05383251" w14:textId="52DE45D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0.977</w:t>
            </w:r>
          </w:p>
        </w:tc>
      </w:tr>
      <w:tr w:rsidR="00B60546" w:rsidRPr="00A0555D" w14:paraId="49112E13"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047E8C90"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05E325BE" w14:textId="342A930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top w:val="nil"/>
              <w:left w:val="nil"/>
              <w:bottom w:val="nil"/>
              <w:right w:val="nil"/>
            </w:tcBorders>
            <w:shd w:val="clear" w:color="auto" w:fill="auto"/>
            <w:noWrap/>
            <w:vAlign w:val="bottom"/>
          </w:tcPr>
          <w:p w14:paraId="762B8AB0" w14:textId="6057AE1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1.013</w:t>
            </w:r>
          </w:p>
        </w:tc>
        <w:tc>
          <w:tcPr>
            <w:tcW w:w="773" w:type="dxa"/>
            <w:tcBorders>
              <w:top w:val="nil"/>
              <w:left w:val="nil"/>
              <w:bottom w:val="nil"/>
              <w:right w:val="nil"/>
            </w:tcBorders>
            <w:shd w:val="clear" w:color="auto" w:fill="auto"/>
            <w:noWrap/>
            <w:vAlign w:val="bottom"/>
          </w:tcPr>
          <w:p w14:paraId="7F7489A1" w14:textId="1EBF7351"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0.997</w:t>
            </w:r>
          </w:p>
        </w:tc>
        <w:tc>
          <w:tcPr>
            <w:tcW w:w="843" w:type="dxa"/>
            <w:tcBorders>
              <w:top w:val="nil"/>
              <w:left w:val="nil"/>
              <w:bottom w:val="nil"/>
              <w:right w:val="nil"/>
            </w:tcBorders>
            <w:shd w:val="clear" w:color="auto" w:fill="auto"/>
            <w:noWrap/>
            <w:vAlign w:val="bottom"/>
          </w:tcPr>
          <w:p w14:paraId="34D0E3E5" w14:textId="31B7A9A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1.005</w:t>
            </w:r>
          </w:p>
        </w:tc>
        <w:tc>
          <w:tcPr>
            <w:tcW w:w="704" w:type="dxa"/>
            <w:tcBorders>
              <w:top w:val="nil"/>
              <w:left w:val="nil"/>
              <w:bottom w:val="nil"/>
              <w:right w:val="single" w:sz="4" w:space="0" w:color="auto"/>
            </w:tcBorders>
            <w:shd w:val="clear" w:color="auto" w:fill="auto"/>
            <w:noWrap/>
            <w:vAlign w:val="bottom"/>
          </w:tcPr>
          <w:p w14:paraId="4CC38C27" w14:textId="6DF4C448"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right w:val="single" w:sz="4" w:space="0" w:color="auto"/>
            </w:tcBorders>
            <w:vAlign w:val="bottom"/>
          </w:tcPr>
          <w:p w14:paraId="04E48458" w14:textId="621B0314"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774" w:type="dxa"/>
            <w:tcBorders>
              <w:left w:val="single" w:sz="4" w:space="0" w:color="auto"/>
              <w:right w:val="single" w:sz="4" w:space="0" w:color="auto"/>
            </w:tcBorders>
            <w:vAlign w:val="bottom"/>
          </w:tcPr>
          <w:p w14:paraId="4DB5E515" w14:textId="4151F919"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1.007</w:t>
            </w:r>
          </w:p>
        </w:tc>
        <w:tc>
          <w:tcPr>
            <w:tcW w:w="808" w:type="dxa"/>
            <w:tcBorders>
              <w:left w:val="single" w:sz="4" w:space="0" w:color="auto"/>
              <w:right w:val="single" w:sz="4" w:space="0" w:color="auto"/>
            </w:tcBorders>
            <w:vAlign w:val="bottom"/>
          </w:tcPr>
          <w:p w14:paraId="56222A8C" w14:textId="00CDFDF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0.999</w:t>
            </w:r>
          </w:p>
        </w:tc>
        <w:tc>
          <w:tcPr>
            <w:tcW w:w="740" w:type="dxa"/>
            <w:tcBorders>
              <w:left w:val="single" w:sz="4" w:space="0" w:color="auto"/>
              <w:right w:val="single" w:sz="4" w:space="0" w:color="auto"/>
            </w:tcBorders>
            <w:vAlign w:val="bottom"/>
          </w:tcPr>
          <w:p w14:paraId="77C7277B" w14:textId="7994A3F3"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2E4285BB" w14:textId="56629C76"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0.982</w:t>
            </w:r>
          </w:p>
        </w:tc>
      </w:tr>
      <w:tr w:rsidR="00B60546" w:rsidRPr="00A0555D" w14:paraId="6190481A"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33217242"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25292246" w14:textId="2019319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774" w:type="dxa"/>
            <w:tcBorders>
              <w:top w:val="nil"/>
              <w:left w:val="nil"/>
              <w:bottom w:val="nil"/>
              <w:right w:val="nil"/>
            </w:tcBorders>
            <w:shd w:val="clear" w:color="auto" w:fill="auto"/>
            <w:noWrap/>
            <w:vAlign w:val="bottom"/>
          </w:tcPr>
          <w:p w14:paraId="3614982B" w14:textId="018F1ADD"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1.006</w:t>
            </w:r>
          </w:p>
        </w:tc>
        <w:tc>
          <w:tcPr>
            <w:tcW w:w="773" w:type="dxa"/>
            <w:tcBorders>
              <w:top w:val="nil"/>
              <w:left w:val="nil"/>
              <w:bottom w:val="nil"/>
              <w:right w:val="nil"/>
            </w:tcBorders>
            <w:shd w:val="clear" w:color="auto" w:fill="auto"/>
            <w:noWrap/>
            <w:vAlign w:val="bottom"/>
          </w:tcPr>
          <w:p w14:paraId="4F1E8110" w14:textId="6A06309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1.007</w:t>
            </w:r>
          </w:p>
        </w:tc>
        <w:tc>
          <w:tcPr>
            <w:tcW w:w="843" w:type="dxa"/>
            <w:tcBorders>
              <w:top w:val="nil"/>
              <w:left w:val="nil"/>
              <w:bottom w:val="nil"/>
              <w:right w:val="nil"/>
            </w:tcBorders>
            <w:shd w:val="clear" w:color="auto" w:fill="auto"/>
            <w:noWrap/>
            <w:vAlign w:val="bottom"/>
          </w:tcPr>
          <w:p w14:paraId="604A1BAD" w14:textId="0A8282A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0.994</w:t>
            </w:r>
          </w:p>
        </w:tc>
        <w:tc>
          <w:tcPr>
            <w:tcW w:w="704" w:type="dxa"/>
            <w:tcBorders>
              <w:top w:val="nil"/>
              <w:left w:val="nil"/>
              <w:bottom w:val="nil"/>
              <w:right w:val="single" w:sz="4" w:space="0" w:color="auto"/>
            </w:tcBorders>
            <w:shd w:val="clear" w:color="auto" w:fill="auto"/>
            <w:noWrap/>
            <w:vAlign w:val="bottom"/>
          </w:tcPr>
          <w:p w14:paraId="1614A606" w14:textId="4BD9DF6F"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left w:val="nil"/>
              <w:right w:val="single" w:sz="4" w:space="0" w:color="auto"/>
            </w:tcBorders>
            <w:vAlign w:val="bottom"/>
          </w:tcPr>
          <w:p w14:paraId="3131F66B" w14:textId="005D7EB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1.008</w:t>
            </w:r>
          </w:p>
        </w:tc>
        <w:tc>
          <w:tcPr>
            <w:tcW w:w="774" w:type="dxa"/>
            <w:tcBorders>
              <w:left w:val="single" w:sz="4" w:space="0" w:color="auto"/>
              <w:right w:val="single" w:sz="4" w:space="0" w:color="auto"/>
            </w:tcBorders>
            <w:vAlign w:val="bottom"/>
          </w:tcPr>
          <w:p w14:paraId="64C73039" w14:textId="1DD300B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1.008</w:t>
            </w:r>
          </w:p>
        </w:tc>
        <w:tc>
          <w:tcPr>
            <w:tcW w:w="808" w:type="dxa"/>
            <w:tcBorders>
              <w:left w:val="single" w:sz="4" w:space="0" w:color="auto"/>
              <w:right w:val="single" w:sz="4" w:space="0" w:color="auto"/>
            </w:tcBorders>
            <w:vAlign w:val="bottom"/>
          </w:tcPr>
          <w:p w14:paraId="4891F43E" w14:textId="42CEEB82"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0.998</w:t>
            </w:r>
          </w:p>
        </w:tc>
        <w:tc>
          <w:tcPr>
            <w:tcW w:w="740" w:type="dxa"/>
            <w:tcBorders>
              <w:left w:val="single" w:sz="4" w:space="0" w:color="auto"/>
              <w:right w:val="single" w:sz="4" w:space="0" w:color="auto"/>
            </w:tcBorders>
            <w:vAlign w:val="bottom"/>
          </w:tcPr>
          <w:p w14:paraId="2253B9D4" w14:textId="172DB49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1.001</w:t>
            </w:r>
          </w:p>
        </w:tc>
        <w:tc>
          <w:tcPr>
            <w:tcW w:w="880" w:type="dxa"/>
            <w:tcBorders>
              <w:left w:val="single" w:sz="4" w:space="0" w:color="auto"/>
            </w:tcBorders>
            <w:vAlign w:val="bottom"/>
          </w:tcPr>
          <w:p w14:paraId="010CC28D" w14:textId="4F75E0F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0.983</w:t>
            </w:r>
          </w:p>
        </w:tc>
      </w:tr>
      <w:tr w:rsidR="00B60546" w:rsidRPr="00A0555D" w14:paraId="6BA7448B" w14:textId="77777777" w:rsidTr="00BD0EBA">
        <w:trPr>
          <w:trHeight w:val="144"/>
        </w:trPr>
        <w:tc>
          <w:tcPr>
            <w:tcW w:w="1613" w:type="dxa"/>
            <w:tcBorders>
              <w:top w:val="nil"/>
              <w:left w:val="nil"/>
              <w:bottom w:val="nil"/>
              <w:right w:val="single" w:sz="4" w:space="0" w:color="auto"/>
            </w:tcBorders>
            <w:shd w:val="clear" w:color="auto" w:fill="auto"/>
            <w:noWrap/>
            <w:vAlign w:val="bottom"/>
            <w:hideMark/>
          </w:tcPr>
          <w:p w14:paraId="772B0614"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48952381" w14:textId="7843607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774" w:type="dxa"/>
            <w:tcBorders>
              <w:top w:val="nil"/>
              <w:left w:val="nil"/>
              <w:bottom w:val="nil"/>
              <w:right w:val="nil"/>
            </w:tcBorders>
            <w:shd w:val="clear" w:color="auto" w:fill="auto"/>
            <w:noWrap/>
            <w:vAlign w:val="bottom"/>
          </w:tcPr>
          <w:p w14:paraId="1C7FD79E" w14:textId="4BD8395A"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1.007</w:t>
            </w:r>
          </w:p>
        </w:tc>
        <w:tc>
          <w:tcPr>
            <w:tcW w:w="773" w:type="dxa"/>
            <w:tcBorders>
              <w:top w:val="nil"/>
              <w:left w:val="nil"/>
              <w:bottom w:val="nil"/>
              <w:right w:val="nil"/>
            </w:tcBorders>
            <w:shd w:val="clear" w:color="auto" w:fill="auto"/>
            <w:noWrap/>
            <w:vAlign w:val="bottom"/>
          </w:tcPr>
          <w:p w14:paraId="6F7F9460" w14:textId="411D0B3C"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1.010</w:t>
            </w:r>
          </w:p>
        </w:tc>
        <w:tc>
          <w:tcPr>
            <w:tcW w:w="843" w:type="dxa"/>
            <w:tcBorders>
              <w:top w:val="nil"/>
              <w:left w:val="nil"/>
              <w:bottom w:val="nil"/>
              <w:right w:val="nil"/>
            </w:tcBorders>
            <w:shd w:val="clear" w:color="auto" w:fill="auto"/>
            <w:noWrap/>
            <w:vAlign w:val="bottom"/>
          </w:tcPr>
          <w:p w14:paraId="0C6C07C3" w14:textId="1244D8F6"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0.999</w:t>
            </w:r>
          </w:p>
        </w:tc>
        <w:tc>
          <w:tcPr>
            <w:tcW w:w="704" w:type="dxa"/>
            <w:tcBorders>
              <w:top w:val="nil"/>
              <w:left w:val="nil"/>
              <w:bottom w:val="nil"/>
              <w:right w:val="single" w:sz="4" w:space="0" w:color="auto"/>
            </w:tcBorders>
            <w:shd w:val="clear" w:color="auto" w:fill="auto"/>
            <w:noWrap/>
            <w:vAlign w:val="bottom"/>
          </w:tcPr>
          <w:p w14:paraId="27727213" w14:textId="764418E0"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0.998</w:t>
            </w:r>
          </w:p>
        </w:tc>
        <w:tc>
          <w:tcPr>
            <w:tcW w:w="774" w:type="dxa"/>
            <w:tcBorders>
              <w:left w:val="nil"/>
              <w:right w:val="single" w:sz="4" w:space="0" w:color="auto"/>
            </w:tcBorders>
            <w:vAlign w:val="bottom"/>
          </w:tcPr>
          <w:p w14:paraId="6C8EF926" w14:textId="2D7B3C77"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0.999</w:t>
            </w:r>
          </w:p>
        </w:tc>
        <w:tc>
          <w:tcPr>
            <w:tcW w:w="774" w:type="dxa"/>
            <w:tcBorders>
              <w:left w:val="single" w:sz="4" w:space="0" w:color="auto"/>
              <w:right w:val="single" w:sz="4" w:space="0" w:color="auto"/>
            </w:tcBorders>
            <w:vAlign w:val="bottom"/>
          </w:tcPr>
          <w:p w14:paraId="43F91420" w14:textId="6BCB7B1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1.028</w:t>
            </w:r>
          </w:p>
        </w:tc>
        <w:tc>
          <w:tcPr>
            <w:tcW w:w="808" w:type="dxa"/>
            <w:tcBorders>
              <w:left w:val="single" w:sz="4" w:space="0" w:color="auto"/>
              <w:right w:val="single" w:sz="4" w:space="0" w:color="auto"/>
            </w:tcBorders>
            <w:vAlign w:val="bottom"/>
          </w:tcPr>
          <w:p w14:paraId="4585EA10" w14:textId="783D333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1.010</w:t>
            </w:r>
          </w:p>
        </w:tc>
        <w:tc>
          <w:tcPr>
            <w:tcW w:w="740" w:type="dxa"/>
            <w:tcBorders>
              <w:left w:val="single" w:sz="4" w:space="0" w:color="auto"/>
              <w:right w:val="single" w:sz="4" w:space="0" w:color="auto"/>
            </w:tcBorders>
            <w:vAlign w:val="bottom"/>
          </w:tcPr>
          <w:p w14:paraId="3D714ADE" w14:textId="5EE27828"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1.000</w:t>
            </w:r>
          </w:p>
        </w:tc>
        <w:tc>
          <w:tcPr>
            <w:tcW w:w="880" w:type="dxa"/>
            <w:tcBorders>
              <w:left w:val="single" w:sz="4" w:space="0" w:color="auto"/>
            </w:tcBorders>
            <w:vAlign w:val="bottom"/>
          </w:tcPr>
          <w:p w14:paraId="3E52056F" w14:textId="312872C5"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0.974</w:t>
            </w:r>
          </w:p>
        </w:tc>
      </w:tr>
      <w:tr w:rsidR="00B60546" w:rsidRPr="00A0555D" w14:paraId="7FC7C5A2" w14:textId="77777777" w:rsidTr="00BD0EBA">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0AFD84CE" w14:textId="77777777" w:rsidR="00B60546" w:rsidRPr="00A0555D" w:rsidRDefault="00B60546" w:rsidP="00B60546">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3ADC9380" w14:textId="77C7BA0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774" w:type="dxa"/>
            <w:tcBorders>
              <w:top w:val="nil"/>
              <w:left w:val="nil"/>
              <w:bottom w:val="single" w:sz="4" w:space="0" w:color="auto"/>
              <w:right w:val="nil"/>
            </w:tcBorders>
            <w:shd w:val="clear" w:color="auto" w:fill="auto"/>
            <w:noWrap/>
            <w:vAlign w:val="bottom"/>
          </w:tcPr>
          <w:p w14:paraId="3B1365F9" w14:textId="443926F7"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1.014</w:t>
            </w:r>
          </w:p>
        </w:tc>
        <w:tc>
          <w:tcPr>
            <w:tcW w:w="773" w:type="dxa"/>
            <w:tcBorders>
              <w:top w:val="nil"/>
              <w:left w:val="nil"/>
              <w:bottom w:val="single" w:sz="4" w:space="0" w:color="auto"/>
              <w:right w:val="nil"/>
            </w:tcBorders>
            <w:shd w:val="clear" w:color="auto" w:fill="auto"/>
            <w:noWrap/>
            <w:vAlign w:val="bottom"/>
          </w:tcPr>
          <w:p w14:paraId="723BDE71" w14:textId="5F98AC04"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1.003</w:t>
            </w:r>
          </w:p>
        </w:tc>
        <w:tc>
          <w:tcPr>
            <w:tcW w:w="843" w:type="dxa"/>
            <w:tcBorders>
              <w:top w:val="nil"/>
              <w:left w:val="nil"/>
              <w:bottom w:val="single" w:sz="4" w:space="0" w:color="auto"/>
              <w:right w:val="nil"/>
            </w:tcBorders>
            <w:shd w:val="clear" w:color="auto" w:fill="auto"/>
            <w:noWrap/>
            <w:vAlign w:val="bottom"/>
          </w:tcPr>
          <w:p w14:paraId="7DD17ED9" w14:textId="7F0C10EE"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0.995</w:t>
            </w:r>
          </w:p>
        </w:tc>
        <w:tc>
          <w:tcPr>
            <w:tcW w:w="704" w:type="dxa"/>
            <w:tcBorders>
              <w:top w:val="nil"/>
              <w:left w:val="nil"/>
              <w:bottom w:val="single" w:sz="4" w:space="0" w:color="auto"/>
              <w:right w:val="single" w:sz="4" w:space="0" w:color="auto"/>
            </w:tcBorders>
            <w:shd w:val="clear" w:color="auto" w:fill="auto"/>
            <w:noWrap/>
            <w:vAlign w:val="bottom"/>
          </w:tcPr>
          <w:p w14:paraId="68FC36F4" w14:textId="0CF287DB" w:rsidR="00B60546" w:rsidRPr="005D66A1" w:rsidRDefault="00B60546" w:rsidP="005D66A1">
            <w:pPr>
              <w:tabs>
                <w:tab w:val="decimal" w:pos="172"/>
              </w:tabs>
              <w:spacing w:before="0" w:after="0" w:line="240" w:lineRule="auto"/>
              <w:ind w:firstLine="0"/>
              <w:rPr>
                <w:color w:val="000000"/>
                <w:sz w:val="16"/>
                <w:szCs w:val="16"/>
              </w:rPr>
            </w:pPr>
            <w:r w:rsidRPr="00B60546">
              <w:rPr>
                <w:color w:val="000000"/>
                <w:sz w:val="16"/>
                <w:szCs w:val="16"/>
              </w:rPr>
              <w:t>1.002</w:t>
            </w:r>
          </w:p>
        </w:tc>
        <w:tc>
          <w:tcPr>
            <w:tcW w:w="774" w:type="dxa"/>
            <w:tcBorders>
              <w:left w:val="nil"/>
              <w:bottom w:val="single" w:sz="4" w:space="0" w:color="auto"/>
              <w:right w:val="single" w:sz="4" w:space="0" w:color="auto"/>
            </w:tcBorders>
            <w:vAlign w:val="bottom"/>
          </w:tcPr>
          <w:p w14:paraId="2ED50CAD" w14:textId="4F5286BE"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1.004</w:t>
            </w:r>
          </w:p>
        </w:tc>
        <w:tc>
          <w:tcPr>
            <w:tcW w:w="774" w:type="dxa"/>
            <w:tcBorders>
              <w:left w:val="single" w:sz="4" w:space="0" w:color="auto"/>
              <w:bottom w:val="single" w:sz="4" w:space="0" w:color="auto"/>
              <w:right w:val="single" w:sz="4" w:space="0" w:color="auto"/>
            </w:tcBorders>
            <w:vAlign w:val="bottom"/>
          </w:tcPr>
          <w:p w14:paraId="3E54211D" w14:textId="2C080AFB"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1.022</w:t>
            </w:r>
          </w:p>
        </w:tc>
        <w:tc>
          <w:tcPr>
            <w:tcW w:w="808" w:type="dxa"/>
            <w:tcBorders>
              <w:left w:val="single" w:sz="4" w:space="0" w:color="auto"/>
              <w:bottom w:val="single" w:sz="4" w:space="0" w:color="auto"/>
              <w:right w:val="single" w:sz="4" w:space="0" w:color="auto"/>
            </w:tcBorders>
            <w:vAlign w:val="bottom"/>
          </w:tcPr>
          <w:p w14:paraId="3C872E53" w14:textId="4B99FE7F"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0.998</w:t>
            </w:r>
          </w:p>
        </w:tc>
        <w:tc>
          <w:tcPr>
            <w:tcW w:w="740" w:type="dxa"/>
            <w:tcBorders>
              <w:left w:val="single" w:sz="4" w:space="0" w:color="auto"/>
              <w:bottom w:val="single" w:sz="4" w:space="0" w:color="auto"/>
              <w:right w:val="single" w:sz="4" w:space="0" w:color="auto"/>
            </w:tcBorders>
            <w:vAlign w:val="bottom"/>
          </w:tcPr>
          <w:p w14:paraId="2909095C" w14:textId="6DC53AA1"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1.000</w:t>
            </w:r>
          </w:p>
        </w:tc>
        <w:tc>
          <w:tcPr>
            <w:tcW w:w="880" w:type="dxa"/>
            <w:tcBorders>
              <w:left w:val="single" w:sz="4" w:space="0" w:color="auto"/>
              <w:bottom w:val="single" w:sz="4" w:space="0" w:color="auto"/>
            </w:tcBorders>
            <w:vAlign w:val="bottom"/>
          </w:tcPr>
          <w:p w14:paraId="5AB8D4C7" w14:textId="4267334A" w:rsidR="00B60546" w:rsidRPr="006016B0" w:rsidRDefault="00B60546" w:rsidP="006016B0">
            <w:pPr>
              <w:tabs>
                <w:tab w:val="decimal" w:pos="184"/>
              </w:tabs>
              <w:spacing w:before="0" w:after="0" w:line="240" w:lineRule="auto"/>
              <w:ind w:firstLine="0"/>
              <w:rPr>
                <w:color w:val="000000"/>
                <w:sz w:val="16"/>
                <w:szCs w:val="16"/>
              </w:rPr>
            </w:pPr>
            <w:r w:rsidRPr="00B60546">
              <w:rPr>
                <w:color w:val="000000"/>
                <w:sz w:val="16"/>
                <w:szCs w:val="16"/>
              </w:rPr>
              <w:t>0.972</w:t>
            </w:r>
          </w:p>
        </w:tc>
      </w:tr>
    </w:tbl>
    <w:p w14:paraId="0722A4CB" w14:textId="45FF6453" w:rsidR="000E607E" w:rsidRDefault="000E607E" w:rsidP="007E69F2">
      <w:pPr>
        <w:pStyle w:val="BodyText"/>
        <w:rPr>
          <w:rFonts w:eastAsiaTheme="minorEastAsia"/>
          <w:lang w:eastAsia="zh-TW"/>
        </w:rPr>
      </w:pPr>
    </w:p>
    <w:p w14:paraId="71B8942C" w14:textId="51195BE3" w:rsidR="00CD6A1A" w:rsidRDefault="00CD6A1A" w:rsidP="007E69F2">
      <w:pPr>
        <w:pStyle w:val="BodyText"/>
        <w:rPr>
          <w:rFonts w:eastAsiaTheme="minorEastAsia"/>
          <w:lang w:eastAsia="zh-TW"/>
        </w:rPr>
      </w:pPr>
    </w:p>
    <w:p w14:paraId="6A8DC609" w14:textId="267326DE" w:rsidR="0011335A" w:rsidRPr="00485D84" w:rsidRDefault="00DF1929" w:rsidP="00667AF7">
      <w:pPr>
        <w:pStyle w:val="AppendixFigureCaption"/>
        <w:rPr>
          <w:rFonts w:eastAsia="PMingLiU"/>
        </w:rPr>
      </w:pPr>
      <w:r>
        <w:lastRenderedPageBreak/>
        <w:t xml:space="preserve">Table </w:t>
      </w:r>
      <w:fldSimple w:instr=" STYLEREF 9 \s ">
        <w:r w:rsidR="00EE0BF5">
          <w:rPr>
            <w:noProof/>
          </w:rPr>
          <w:t>D</w:t>
        </w:r>
      </w:fldSimple>
      <w:r>
        <w:t>.</w:t>
      </w:r>
      <w:fldSimple w:instr=" SEQ Table_Apx \* ARABIC \s 9 ">
        <w:r w:rsidR="00EE0BF5">
          <w:rPr>
            <w:noProof/>
          </w:rPr>
          <w:t>5</w:t>
        </w:r>
      </w:fldSimple>
      <w:r w:rsidRPr="00485D84">
        <w:rPr>
          <w:rFonts w:eastAsia="PMingLiU"/>
          <w:lang w:bidi="en-US"/>
        </w:rPr>
        <w:t xml:space="preserve">. </w:t>
      </w:r>
      <w:r w:rsidR="00440BBA" w:rsidRPr="00440BBA">
        <w:rPr>
          <w:rFonts w:eastAsiaTheme="minorEastAsia"/>
          <w:lang w:eastAsia="zh-TW"/>
        </w:rPr>
        <w:t>Biases with respect to Daymet</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11335A" w:rsidRPr="00A0555D" w14:paraId="1BCA4EFE" w14:textId="77777777" w:rsidTr="00874FCF">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BF337F6"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1CB6B967" w14:textId="202425FC" w:rsidR="0011335A"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w:t>
            </w:r>
            <w:r w:rsidR="0011335A">
              <w:rPr>
                <w:rFonts w:eastAsia="Times New Roman"/>
                <w:b/>
                <w:bCs/>
                <w:color w:val="000000"/>
                <w:sz w:val="16"/>
                <w:szCs w:val="16"/>
                <w:lang w:bidi="ar-SA"/>
              </w:rPr>
              <w:t xml:space="preserve"> </w:t>
            </w:r>
            <w:r w:rsidR="0011335A" w:rsidRPr="0011335A">
              <w:rPr>
                <w:rFonts w:eastAsia="Times New Roman" w:hint="eastAsia"/>
                <w:b/>
                <w:bCs/>
                <w:color w:val="000000"/>
                <w:sz w:val="16"/>
                <w:szCs w:val="16"/>
                <w:lang w:bidi="ar-SA"/>
              </w:rPr>
              <w:t>(</w:t>
            </w:r>
            <w:r w:rsidR="00181D81">
              <w:rPr>
                <w:rFonts w:eastAsia="Times New Roman" w:hint="eastAsia"/>
                <w:b/>
                <w:bCs/>
                <w:color w:val="000000"/>
                <w:sz w:val="16"/>
                <w:szCs w:val="16"/>
                <w:lang w:bidi="ar-SA"/>
              </w:rPr>
              <w:t>°F</w:t>
            </w:r>
            <w:r w:rsidR="0011335A" w:rsidRPr="0011335A">
              <w:rPr>
                <w:rFonts w:eastAsia="Times New Roman" w:hint="eastAsia"/>
                <w:b/>
                <w:bCs/>
                <w:color w:val="000000"/>
                <w:sz w:val="16"/>
                <w:szCs w:val="16"/>
                <w:lang w:bidi="ar-SA"/>
              </w:rPr>
              <w:t>)</w:t>
            </w:r>
          </w:p>
        </w:tc>
        <w:tc>
          <w:tcPr>
            <w:tcW w:w="3883" w:type="dxa"/>
            <w:gridSpan w:val="5"/>
            <w:tcBorders>
              <w:top w:val="single" w:sz="4" w:space="0" w:color="auto"/>
              <w:left w:val="nil"/>
              <w:bottom w:val="single" w:sz="4" w:space="0" w:color="auto"/>
            </w:tcBorders>
          </w:tcPr>
          <w:p w14:paraId="28F36083" w14:textId="109CBE0E" w:rsidR="0011335A"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w:t>
            </w:r>
            <w:r w:rsidR="0011335A">
              <w:rPr>
                <w:rFonts w:eastAsia="Times New Roman"/>
                <w:b/>
                <w:bCs/>
                <w:color w:val="000000"/>
                <w:sz w:val="16"/>
                <w:szCs w:val="16"/>
                <w:lang w:bidi="ar-SA"/>
              </w:rPr>
              <w:t xml:space="preserve"> </w:t>
            </w:r>
            <w:r w:rsidR="0011335A" w:rsidRPr="0011335A">
              <w:rPr>
                <w:rFonts w:eastAsia="Times New Roman" w:hint="eastAsia"/>
                <w:b/>
                <w:bCs/>
                <w:color w:val="000000"/>
                <w:sz w:val="16"/>
                <w:szCs w:val="16"/>
                <w:lang w:bidi="ar-SA"/>
              </w:rPr>
              <w:t>(</w:t>
            </w:r>
            <w:r w:rsidR="00181D81">
              <w:rPr>
                <w:rFonts w:eastAsia="Times New Roman" w:hint="eastAsia"/>
                <w:b/>
                <w:bCs/>
                <w:color w:val="000000"/>
                <w:sz w:val="16"/>
                <w:szCs w:val="16"/>
                <w:lang w:bidi="ar-SA"/>
              </w:rPr>
              <w:t>°F</w:t>
            </w:r>
            <w:r w:rsidR="0011335A" w:rsidRPr="0011335A">
              <w:rPr>
                <w:rFonts w:eastAsia="Times New Roman" w:hint="eastAsia"/>
                <w:b/>
                <w:bCs/>
                <w:color w:val="000000"/>
                <w:sz w:val="16"/>
                <w:szCs w:val="16"/>
                <w:lang w:bidi="ar-SA"/>
              </w:rPr>
              <w:t>)</w:t>
            </w:r>
          </w:p>
        </w:tc>
      </w:tr>
      <w:tr w:rsidR="0011335A" w:rsidRPr="00A0555D" w14:paraId="2C8E4837" w14:textId="77777777"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3B45321A" w14:textId="77777777" w:rsidR="0011335A" w:rsidRPr="00A0555D" w:rsidRDefault="0011335A" w:rsidP="00874FCF">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689FE264"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58BCF317"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63C68E3F"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534BFF5F" w14:textId="77777777" w:rsidR="0011335A" w:rsidRPr="00A0555D" w:rsidRDefault="0011335A"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2590BC5A"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3C967E32"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74741229"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23E9B278"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57707DEF" w14:textId="3F662214" w:rsidR="0011335A" w:rsidRPr="00A0555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119C1996"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11335A" w:rsidRPr="00A0555D" w14:paraId="287CC2F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9752CB6" w14:textId="77777777" w:rsidR="0011335A" w:rsidRPr="00A0555D" w:rsidRDefault="0011335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4F412DF0"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128C38A4"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865A6FF"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5EC4600C"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2EA59D47"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228F7C5E"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75A2F83D"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081A310D"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6FD880FC"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5FD92567" w14:textId="77777777" w:rsidR="0011335A" w:rsidRPr="00181D81" w:rsidRDefault="0011335A" w:rsidP="00874FCF">
            <w:pPr>
              <w:spacing w:before="0" w:after="0" w:line="240" w:lineRule="auto"/>
              <w:ind w:firstLine="0"/>
              <w:jc w:val="center"/>
              <w:rPr>
                <w:rFonts w:eastAsia="Times New Roman"/>
                <w:b/>
                <w:bCs/>
                <w:color w:val="000000"/>
                <w:sz w:val="16"/>
                <w:szCs w:val="16"/>
                <w:lang w:bidi="ar-SA"/>
              </w:rPr>
            </w:pPr>
          </w:p>
        </w:tc>
      </w:tr>
      <w:tr w:rsidR="00181D81" w:rsidRPr="00A0555D" w14:paraId="6312B7F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54FB8A5"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6E6B8002" w14:textId="5F00AF3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5.76</w:t>
            </w:r>
          </w:p>
        </w:tc>
        <w:tc>
          <w:tcPr>
            <w:tcW w:w="774" w:type="dxa"/>
            <w:tcBorders>
              <w:top w:val="nil"/>
              <w:left w:val="nil"/>
              <w:bottom w:val="nil"/>
              <w:right w:val="nil"/>
            </w:tcBorders>
            <w:shd w:val="clear" w:color="auto" w:fill="auto"/>
            <w:noWrap/>
            <w:vAlign w:val="bottom"/>
          </w:tcPr>
          <w:p w14:paraId="2D1AC669" w14:textId="384F369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7.29</w:t>
            </w:r>
          </w:p>
        </w:tc>
        <w:tc>
          <w:tcPr>
            <w:tcW w:w="773" w:type="dxa"/>
            <w:tcBorders>
              <w:top w:val="nil"/>
              <w:left w:val="nil"/>
              <w:bottom w:val="nil"/>
              <w:right w:val="nil"/>
            </w:tcBorders>
            <w:shd w:val="clear" w:color="auto" w:fill="auto"/>
            <w:noWrap/>
            <w:vAlign w:val="bottom"/>
          </w:tcPr>
          <w:p w14:paraId="773A8362" w14:textId="51ECFAC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6.94</w:t>
            </w:r>
          </w:p>
        </w:tc>
        <w:tc>
          <w:tcPr>
            <w:tcW w:w="845" w:type="dxa"/>
            <w:tcBorders>
              <w:top w:val="nil"/>
              <w:left w:val="nil"/>
              <w:bottom w:val="nil"/>
              <w:right w:val="nil"/>
            </w:tcBorders>
            <w:shd w:val="clear" w:color="auto" w:fill="auto"/>
            <w:noWrap/>
            <w:vAlign w:val="bottom"/>
          </w:tcPr>
          <w:p w14:paraId="1ACF2D42" w14:textId="0B5D23D9"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2.89</w:t>
            </w:r>
          </w:p>
        </w:tc>
        <w:tc>
          <w:tcPr>
            <w:tcW w:w="702" w:type="dxa"/>
            <w:tcBorders>
              <w:top w:val="nil"/>
              <w:left w:val="nil"/>
              <w:bottom w:val="nil"/>
              <w:right w:val="single" w:sz="4" w:space="0" w:color="auto"/>
            </w:tcBorders>
            <w:shd w:val="clear" w:color="auto" w:fill="auto"/>
            <w:noWrap/>
            <w:vAlign w:val="bottom"/>
          </w:tcPr>
          <w:p w14:paraId="1907EAC3" w14:textId="0F34EBDD"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5.89</w:t>
            </w:r>
          </w:p>
        </w:tc>
        <w:tc>
          <w:tcPr>
            <w:tcW w:w="774" w:type="dxa"/>
            <w:tcBorders>
              <w:left w:val="nil"/>
            </w:tcBorders>
            <w:vAlign w:val="bottom"/>
          </w:tcPr>
          <w:p w14:paraId="5FC5EDA4" w14:textId="3550DB1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2.08</w:t>
            </w:r>
          </w:p>
        </w:tc>
        <w:tc>
          <w:tcPr>
            <w:tcW w:w="773" w:type="dxa"/>
            <w:vAlign w:val="bottom"/>
          </w:tcPr>
          <w:p w14:paraId="473A8C43" w14:textId="32DC3C9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2.23</w:t>
            </w:r>
          </w:p>
        </w:tc>
        <w:tc>
          <w:tcPr>
            <w:tcW w:w="774" w:type="dxa"/>
            <w:vAlign w:val="bottom"/>
          </w:tcPr>
          <w:p w14:paraId="2C23BE75" w14:textId="05F0B14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1.89</w:t>
            </w:r>
          </w:p>
        </w:tc>
        <w:tc>
          <w:tcPr>
            <w:tcW w:w="847" w:type="dxa"/>
            <w:vAlign w:val="bottom"/>
          </w:tcPr>
          <w:p w14:paraId="724E595B" w14:textId="330CC55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1.82</w:t>
            </w:r>
          </w:p>
        </w:tc>
        <w:tc>
          <w:tcPr>
            <w:tcW w:w="715" w:type="dxa"/>
            <w:vAlign w:val="bottom"/>
          </w:tcPr>
          <w:p w14:paraId="42C6E382" w14:textId="7764F11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2.46</w:t>
            </w:r>
          </w:p>
        </w:tc>
      </w:tr>
      <w:tr w:rsidR="00181D81" w:rsidRPr="00A0555D" w14:paraId="06346809"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0291C81"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24377887" w14:textId="7C494151"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2.34</w:t>
            </w:r>
          </w:p>
        </w:tc>
        <w:tc>
          <w:tcPr>
            <w:tcW w:w="774" w:type="dxa"/>
            <w:tcBorders>
              <w:top w:val="nil"/>
              <w:left w:val="nil"/>
              <w:bottom w:val="nil"/>
              <w:right w:val="nil"/>
            </w:tcBorders>
            <w:shd w:val="clear" w:color="auto" w:fill="auto"/>
            <w:noWrap/>
            <w:vAlign w:val="bottom"/>
          </w:tcPr>
          <w:p w14:paraId="7F178996" w14:textId="215BBDE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6.29</w:t>
            </w:r>
          </w:p>
        </w:tc>
        <w:tc>
          <w:tcPr>
            <w:tcW w:w="773" w:type="dxa"/>
            <w:tcBorders>
              <w:top w:val="nil"/>
              <w:left w:val="nil"/>
              <w:bottom w:val="nil"/>
              <w:right w:val="nil"/>
            </w:tcBorders>
            <w:shd w:val="clear" w:color="auto" w:fill="auto"/>
            <w:noWrap/>
            <w:vAlign w:val="bottom"/>
          </w:tcPr>
          <w:p w14:paraId="450648B0" w14:textId="579236E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4.68</w:t>
            </w:r>
          </w:p>
        </w:tc>
        <w:tc>
          <w:tcPr>
            <w:tcW w:w="845" w:type="dxa"/>
            <w:tcBorders>
              <w:top w:val="nil"/>
              <w:left w:val="nil"/>
              <w:bottom w:val="nil"/>
              <w:right w:val="nil"/>
            </w:tcBorders>
            <w:shd w:val="clear" w:color="auto" w:fill="auto"/>
            <w:noWrap/>
            <w:vAlign w:val="bottom"/>
          </w:tcPr>
          <w:p w14:paraId="1D1F51E5" w14:textId="0B468245"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4.22</w:t>
            </w:r>
          </w:p>
        </w:tc>
        <w:tc>
          <w:tcPr>
            <w:tcW w:w="702" w:type="dxa"/>
            <w:tcBorders>
              <w:top w:val="nil"/>
              <w:left w:val="nil"/>
              <w:bottom w:val="nil"/>
              <w:right w:val="single" w:sz="4" w:space="0" w:color="auto"/>
            </w:tcBorders>
            <w:shd w:val="clear" w:color="auto" w:fill="auto"/>
            <w:noWrap/>
            <w:vAlign w:val="bottom"/>
          </w:tcPr>
          <w:p w14:paraId="55957C62" w14:textId="1F50A41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2.69</w:t>
            </w:r>
          </w:p>
        </w:tc>
        <w:tc>
          <w:tcPr>
            <w:tcW w:w="774" w:type="dxa"/>
            <w:tcBorders>
              <w:left w:val="nil"/>
            </w:tcBorders>
            <w:vAlign w:val="bottom"/>
          </w:tcPr>
          <w:p w14:paraId="62D18C4C" w14:textId="47C8912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1.68</w:t>
            </w:r>
          </w:p>
        </w:tc>
        <w:tc>
          <w:tcPr>
            <w:tcW w:w="773" w:type="dxa"/>
            <w:vAlign w:val="bottom"/>
          </w:tcPr>
          <w:p w14:paraId="1C003181" w14:textId="57546FA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0.77</w:t>
            </w:r>
          </w:p>
        </w:tc>
        <w:tc>
          <w:tcPr>
            <w:tcW w:w="774" w:type="dxa"/>
            <w:vAlign w:val="bottom"/>
          </w:tcPr>
          <w:p w14:paraId="4E77D8EF" w14:textId="79317249"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1.76</w:t>
            </w:r>
          </w:p>
        </w:tc>
        <w:tc>
          <w:tcPr>
            <w:tcW w:w="847" w:type="dxa"/>
            <w:vAlign w:val="bottom"/>
          </w:tcPr>
          <w:p w14:paraId="66CA3611" w14:textId="372C805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2.09</w:t>
            </w:r>
          </w:p>
        </w:tc>
        <w:tc>
          <w:tcPr>
            <w:tcW w:w="715" w:type="dxa"/>
            <w:vAlign w:val="bottom"/>
          </w:tcPr>
          <w:p w14:paraId="768923EE" w14:textId="54F5ADB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2.16</w:t>
            </w:r>
          </w:p>
        </w:tc>
      </w:tr>
      <w:tr w:rsidR="00181D81" w:rsidRPr="00A0555D" w14:paraId="6F1BE72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387DD70"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2E46E60F" w14:textId="73B3E955"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3.95</w:t>
            </w:r>
          </w:p>
        </w:tc>
        <w:tc>
          <w:tcPr>
            <w:tcW w:w="774" w:type="dxa"/>
            <w:tcBorders>
              <w:top w:val="nil"/>
              <w:left w:val="nil"/>
              <w:bottom w:val="nil"/>
              <w:right w:val="nil"/>
            </w:tcBorders>
            <w:shd w:val="clear" w:color="auto" w:fill="auto"/>
            <w:noWrap/>
            <w:vAlign w:val="bottom"/>
          </w:tcPr>
          <w:p w14:paraId="70F49527" w14:textId="580B600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5.02</w:t>
            </w:r>
          </w:p>
        </w:tc>
        <w:tc>
          <w:tcPr>
            <w:tcW w:w="773" w:type="dxa"/>
            <w:tcBorders>
              <w:top w:val="nil"/>
              <w:left w:val="nil"/>
              <w:bottom w:val="nil"/>
              <w:right w:val="nil"/>
            </w:tcBorders>
            <w:shd w:val="clear" w:color="auto" w:fill="auto"/>
            <w:noWrap/>
            <w:vAlign w:val="bottom"/>
          </w:tcPr>
          <w:p w14:paraId="720AF2D9" w14:textId="2CDA080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5.02</w:t>
            </w:r>
          </w:p>
        </w:tc>
        <w:tc>
          <w:tcPr>
            <w:tcW w:w="845" w:type="dxa"/>
            <w:tcBorders>
              <w:top w:val="nil"/>
              <w:left w:val="nil"/>
              <w:bottom w:val="nil"/>
              <w:right w:val="nil"/>
            </w:tcBorders>
            <w:shd w:val="clear" w:color="auto" w:fill="auto"/>
            <w:noWrap/>
            <w:vAlign w:val="bottom"/>
          </w:tcPr>
          <w:p w14:paraId="29136E70" w14:textId="43728A3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4.07</w:t>
            </w:r>
          </w:p>
        </w:tc>
        <w:tc>
          <w:tcPr>
            <w:tcW w:w="702" w:type="dxa"/>
            <w:tcBorders>
              <w:top w:val="nil"/>
              <w:left w:val="nil"/>
              <w:bottom w:val="nil"/>
              <w:right w:val="single" w:sz="4" w:space="0" w:color="auto"/>
            </w:tcBorders>
            <w:shd w:val="clear" w:color="auto" w:fill="auto"/>
            <w:noWrap/>
            <w:vAlign w:val="bottom"/>
          </w:tcPr>
          <w:p w14:paraId="69807F0C" w14:textId="1C2C8CF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1.68</w:t>
            </w:r>
          </w:p>
        </w:tc>
        <w:tc>
          <w:tcPr>
            <w:tcW w:w="774" w:type="dxa"/>
            <w:tcBorders>
              <w:left w:val="nil"/>
            </w:tcBorders>
            <w:vAlign w:val="bottom"/>
          </w:tcPr>
          <w:p w14:paraId="0196F0B1" w14:textId="7BC04D3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0.99</w:t>
            </w:r>
          </w:p>
        </w:tc>
        <w:tc>
          <w:tcPr>
            <w:tcW w:w="773" w:type="dxa"/>
            <w:vAlign w:val="bottom"/>
          </w:tcPr>
          <w:p w14:paraId="169C570C" w14:textId="74288950"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0.52</w:t>
            </w:r>
          </w:p>
        </w:tc>
        <w:tc>
          <w:tcPr>
            <w:tcW w:w="774" w:type="dxa"/>
            <w:vAlign w:val="bottom"/>
          </w:tcPr>
          <w:p w14:paraId="06C4294D" w14:textId="2829336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0.30</w:t>
            </w:r>
          </w:p>
        </w:tc>
        <w:tc>
          <w:tcPr>
            <w:tcW w:w="847" w:type="dxa"/>
            <w:vAlign w:val="bottom"/>
          </w:tcPr>
          <w:p w14:paraId="2E7127F5" w14:textId="4C0A7D5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0.73</w:t>
            </w:r>
          </w:p>
        </w:tc>
        <w:tc>
          <w:tcPr>
            <w:tcW w:w="715" w:type="dxa"/>
            <w:vAlign w:val="bottom"/>
          </w:tcPr>
          <w:p w14:paraId="4616ADF2" w14:textId="7293C62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3.44</w:t>
            </w:r>
          </w:p>
        </w:tc>
      </w:tr>
      <w:tr w:rsidR="00181D81" w:rsidRPr="00A0555D" w14:paraId="75B1A49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C7EC6CA"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469CF924" w14:textId="5228BAF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2.88</w:t>
            </w:r>
          </w:p>
        </w:tc>
        <w:tc>
          <w:tcPr>
            <w:tcW w:w="774" w:type="dxa"/>
            <w:tcBorders>
              <w:top w:val="nil"/>
              <w:left w:val="nil"/>
              <w:bottom w:val="nil"/>
              <w:right w:val="nil"/>
            </w:tcBorders>
            <w:shd w:val="clear" w:color="auto" w:fill="auto"/>
            <w:noWrap/>
            <w:vAlign w:val="bottom"/>
          </w:tcPr>
          <w:p w14:paraId="0F0EB80B" w14:textId="7F9AA911"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3.95</w:t>
            </w:r>
          </w:p>
        </w:tc>
        <w:tc>
          <w:tcPr>
            <w:tcW w:w="773" w:type="dxa"/>
            <w:tcBorders>
              <w:top w:val="nil"/>
              <w:left w:val="nil"/>
              <w:bottom w:val="nil"/>
              <w:right w:val="nil"/>
            </w:tcBorders>
            <w:shd w:val="clear" w:color="auto" w:fill="auto"/>
            <w:noWrap/>
            <w:vAlign w:val="bottom"/>
          </w:tcPr>
          <w:p w14:paraId="42B728EE" w14:textId="6B54E89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4.71</w:t>
            </w:r>
          </w:p>
        </w:tc>
        <w:tc>
          <w:tcPr>
            <w:tcW w:w="845" w:type="dxa"/>
            <w:tcBorders>
              <w:top w:val="nil"/>
              <w:left w:val="nil"/>
              <w:bottom w:val="nil"/>
              <w:right w:val="nil"/>
            </w:tcBorders>
            <w:shd w:val="clear" w:color="auto" w:fill="auto"/>
            <w:noWrap/>
            <w:vAlign w:val="bottom"/>
          </w:tcPr>
          <w:p w14:paraId="07AA0F60" w14:textId="336C9731"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1.28</w:t>
            </w:r>
          </w:p>
        </w:tc>
        <w:tc>
          <w:tcPr>
            <w:tcW w:w="702" w:type="dxa"/>
            <w:tcBorders>
              <w:top w:val="nil"/>
              <w:left w:val="nil"/>
              <w:bottom w:val="nil"/>
              <w:right w:val="single" w:sz="4" w:space="0" w:color="auto"/>
            </w:tcBorders>
            <w:shd w:val="clear" w:color="auto" w:fill="auto"/>
            <w:noWrap/>
            <w:vAlign w:val="bottom"/>
          </w:tcPr>
          <w:p w14:paraId="221C9258" w14:textId="67F109A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1.55</w:t>
            </w:r>
          </w:p>
        </w:tc>
        <w:tc>
          <w:tcPr>
            <w:tcW w:w="774" w:type="dxa"/>
            <w:tcBorders>
              <w:left w:val="nil"/>
            </w:tcBorders>
            <w:vAlign w:val="bottom"/>
          </w:tcPr>
          <w:p w14:paraId="3D2703D9" w14:textId="2A7A62E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4.35</w:t>
            </w:r>
          </w:p>
        </w:tc>
        <w:tc>
          <w:tcPr>
            <w:tcW w:w="773" w:type="dxa"/>
            <w:vAlign w:val="bottom"/>
          </w:tcPr>
          <w:p w14:paraId="1CCB796C" w14:textId="6589A6A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2.36</w:t>
            </w:r>
          </w:p>
        </w:tc>
        <w:tc>
          <w:tcPr>
            <w:tcW w:w="774" w:type="dxa"/>
            <w:vAlign w:val="bottom"/>
          </w:tcPr>
          <w:p w14:paraId="44FDD2B1" w14:textId="382BAD8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2.83</w:t>
            </w:r>
          </w:p>
        </w:tc>
        <w:tc>
          <w:tcPr>
            <w:tcW w:w="847" w:type="dxa"/>
            <w:vAlign w:val="bottom"/>
          </w:tcPr>
          <w:p w14:paraId="58889B74" w14:textId="6F84A64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6.56</w:t>
            </w:r>
          </w:p>
        </w:tc>
        <w:tc>
          <w:tcPr>
            <w:tcW w:w="715" w:type="dxa"/>
            <w:vAlign w:val="bottom"/>
          </w:tcPr>
          <w:p w14:paraId="0BC0921A" w14:textId="435800F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5.64</w:t>
            </w:r>
          </w:p>
        </w:tc>
      </w:tr>
      <w:tr w:rsidR="00181D81" w:rsidRPr="00A0555D" w14:paraId="4B44BA8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B034690"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07B6CDC5" w14:textId="250BC66D"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3.48</w:t>
            </w:r>
          </w:p>
        </w:tc>
        <w:tc>
          <w:tcPr>
            <w:tcW w:w="774" w:type="dxa"/>
            <w:tcBorders>
              <w:top w:val="nil"/>
              <w:left w:val="nil"/>
              <w:bottom w:val="nil"/>
              <w:right w:val="nil"/>
            </w:tcBorders>
            <w:shd w:val="clear" w:color="auto" w:fill="auto"/>
            <w:noWrap/>
            <w:vAlign w:val="bottom"/>
          </w:tcPr>
          <w:p w14:paraId="0B00AEAD" w14:textId="50B85B41"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2.16</w:t>
            </w:r>
          </w:p>
        </w:tc>
        <w:tc>
          <w:tcPr>
            <w:tcW w:w="773" w:type="dxa"/>
            <w:tcBorders>
              <w:top w:val="nil"/>
              <w:left w:val="nil"/>
              <w:bottom w:val="nil"/>
              <w:right w:val="nil"/>
            </w:tcBorders>
            <w:shd w:val="clear" w:color="auto" w:fill="auto"/>
            <w:noWrap/>
            <w:vAlign w:val="bottom"/>
          </w:tcPr>
          <w:p w14:paraId="3439C77D" w14:textId="4B91BC1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4.45</w:t>
            </w:r>
          </w:p>
        </w:tc>
        <w:tc>
          <w:tcPr>
            <w:tcW w:w="845" w:type="dxa"/>
            <w:tcBorders>
              <w:top w:val="nil"/>
              <w:left w:val="nil"/>
              <w:bottom w:val="nil"/>
              <w:right w:val="nil"/>
            </w:tcBorders>
            <w:shd w:val="clear" w:color="auto" w:fill="auto"/>
            <w:noWrap/>
            <w:vAlign w:val="bottom"/>
          </w:tcPr>
          <w:p w14:paraId="27A6D96F" w14:textId="30EA3C7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3.13</w:t>
            </w:r>
          </w:p>
        </w:tc>
        <w:tc>
          <w:tcPr>
            <w:tcW w:w="702" w:type="dxa"/>
            <w:tcBorders>
              <w:top w:val="nil"/>
              <w:left w:val="nil"/>
              <w:bottom w:val="nil"/>
              <w:right w:val="single" w:sz="4" w:space="0" w:color="auto"/>
            </w:tcBorders>
            <w:shd w:val="clear" w:color="auto" w:fill="auto"/>
            <w:noWrap/>
            <w:vAlign w:val="bottom"/>
          </w:tcPr>
          <w:p w14:paraId="46F034B1" w14:textId="251D6C5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4.12</w:t>
            </w:r>
          </w:p>
        </w:tc>
        <w:tc>
          <w:tcPr>
            <w:tcW w:w="774" w:type="dxa"/>
            <w:tcBorders>
              <w:left w:val="nil"/>
            </w:tcBorders>
            <w:vAlign w:val="bottom"/>
          </w:tcPr>
          <w:p w14:paraId="08223B14" w14:textId="434467C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5.06</w:t>
            </w:r>
          </w:p>
        </w:tc>
        <w:tc>
          <w:tcPr>
            <w:tcW w:w="773" w:type="dxa"/>
            <w:vAlign w:val="bottom"/>
          </w:tcPr>
          <w:p w14:paraId="24411A67" w14:textId="5DDBFBE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6.91</w:t>
            </w:r>
          </w:p>
        </w:tc>
        <w:tc>
          <w:tcPr>
            <w:tcW w:w="774" w:type="dxa"/>
            <w:vAlign w:val="bottom"/>
          </w:tcPr>
          <w:p w14:paraId="709E945E" w14:textId="042B17D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4.14</w:t>
            </w:r>
          </w:p>
        </w:tc>
        <w:tc>
          <w:tcPr>
            <w:tcW w:w="847" w:type="dxa"/>
            <w:vAlign w:val="bottom"/>
          </w:tcPr>
          <w:p w14:paraId="0EAEC7C6" w14:textId="43740C6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4.33</w:t>
            </w:r>
          </w:p>
        </w:tc>
        <w:tc>
          <w:tcPr>
            <w:tcW w:w="715" w:type="dxa"/>
            <w:vAlign w:val="bottom"/>
          </w:tcPr>
          <w:p w14:paraId="6232A083" w14:textId="3747B60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4.93</w:t>
            </w:r>
          </w:p>
        </w:tc>
      </w:tr>
      <w:tr w:rsidR="00181D81" w:rsidRPr="00A0555D" w14:paraId="5A58ACA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6B486F7"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76AA74DD" w14:textId="49E5A964"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0.43</w:t>
            </w:r>
          </w:p>
        </w:tc>
        <w:tc>
          <w:tcPr>
            <w:tcW w:w="774" w:type="dxa"/>
            <w:tcBorders>
              <w:top w:val="nil"/>
              <w:left w:val="nil"/>
              <w:bottom w:val="single" w:sz="4" w:space="0" w:color="auto"/>
              <w:right w:val="nil"/>
            </w:tcBorders>
            <w:shd w:val="clear" w:color="auto" w:fill="auto"/>
            <w:noWrap/>
            <w:vAlign w:val="bottom"/>
          </w:tcPr>
          <w:p w14:paraId="045238E7" w14:textId="74D2A67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3.50</w:t>
            </w:r>
          </w:p>
        </w:tc>
        <w:tc>
          <w:tcPr>
            <w:tcW w:w="773" w:type="dxa"/>
            <w:tcBorders>
              <w:top w:val="nil"/>
              <w:left w:val="nil"/>
              <w:bottom w:val="single" w:sz="4" w:space="0" w:color="auto"/>
              <w:right w:val="nil"/>
            </w:tcBorders>
            <w:shd w:val="clear" w:color="auto" w:fill="auto"/>
            <w:noWrap/>
            <w:vAlign w:val="bottom"/>
          </w:tcPr>
          <w:p w14:paraId="615D97B5" w14:textId="7B605B08"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0.01</w:t>
            </w:r>
          </w:p>
        </w:tc>
        <w:tc>
          <w:tcPr>
            <w:tcW w:w="845" w:type="dxa"/>
            <w:tcBorders>
              <w:top w:val="nil"/>
              <w:left w:val="nil"/>
              <w:bottom w:val="single" w:sz="4" w:space="0" w:color="auto"/>
              <w:right w:val="nil"/>
            </w:tcBorders>
            <w:shd w:val="clear" w:color="auto" w:fill="auto"/>
            <w:noWrap/>
            <w:vAlign w:val="bottom"/>
          </w:tcPr>
          <w:p w14:paraId="5E91F7E2" w14:textId="7093CA13"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3.79</w:t>
            </w:r>
          </w:p>
        </w:tc>
        <w:tc>
          <w:tcPr>
            <w:tcW w:w="702" w:type="dxa"/>
            <w:tcBorders>
              <w:top w:val="nil"/>
              <w:left w:val="nil"/>
              <w:bottom w:val="single" w:sz="4" w:space="0" w:color="auto"/>
              <w:right w:val="single" w:sz="4" w:space="0" w:color="auto"/>
            </w:tcBorders>
            <w:shd w:val="clear" w:color="auto" w:fill="auto"/>
            <w:noWrap/>
            <w:vAlign w:val="bottom"/>
          </w:tcPr>
          <w:p w14:paraId="20DF7FFB" w14:textId="7BFE5CF9"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1.31</w:t>
            </w:r>
          </w:p>
        </w:tc>
        <w:tc>
          <w:tcPr>
            <w:tcW w:w="774" w:type="dxa"/>
            <w:tcBorders>
              <w:left w:val="nil"/>
              <w:bottom w:val="single" w:sz="4" w:space="0" w:color="auto"/>
            </w:tcBorders>
            <w:vAlign w:val="bottom"/>
          </w:tcPr>
          <w:p w14:paraId="393D82B8" w14:textId="3E81DF09"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6.97</w:t>
            </w:r>
          </w:p>
        </w:tc>
        <w:tc>
          <w:tcPr>
            <w:tcW w:w="773" w:type="dxa"/>
            <w:tcBorders>
              <w:bottom w:val="single" w:sz="4" w:space="0" w:color="auto"/>
            </w:tcBorders>
            <w:vAlign w:val="bottom"/>
          </w:tcPr>
          <w:p w14:paraId="07CCB213" w14:textId="6227392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4.35</w:t>
            </w:r>
          </w:p>
        </w:tc>
        <w:tc>
          <w:tcPr>
            <w:tcW w:w="774" w:type="dxa"/>
            <w:tcBorders>
              <w:bottom w:val="single" w:sz="4" w:space="0" w:color="auto"/>
            </w:tcBorders>
            <w:vAlign w:val="bottom"/>
          </w:tcPr>
          <w:p w14:paraId="52D84596" w14:textId="6B2F27B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7.12</w:t>
            </w:r>
          </w:p>
        </w:tc>
        <w:tc>
          <w:tcPr>
            <w:tcW w:w="847" w:type="dxa"/>
            <w:tcBorders>
              <w:bottom w:val="single" w:sz="4" w:space="0" w:color="auto"/>
            </w:tcBorders>
            <w:vAlign w:val="bottom"/>
          </w:tcPr>
          <w:p w14:paraId="4DF27EA8" w14:textId="1DB41FC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8.46</w:t>
            </w:r>
          </w:p>
        </w:tc>
        <w:tc>
          <w:tcPr>
            <w:tcW w:w="715" w:type="dxa"/>
            <w:tcBorders>
              <w:bottom w:val="single" w:sz="4" w:space="0" w:color="auto"/>
            </w:tcBorders>
            <w:vAlign w:val="bottom"/>
          </w:tcPr>
          <w:p w14:paraId="6AF1D3D6" w14:textId="6A5C575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7.89</w:t>
            </w:r>
          </w:p>
        </w:tc>
      </w:tr>
      <w:tr w:rsidR="0011335A" w:rsidRPr="00A0555D" w14:paraId="3E01E446" w14:textId="77777777"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16E482E0" w14:textId="77777777" w:rsidR="0011335A" w:rsidRPr="00A0555D" w:rsidRDefault="0011335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577D76AF"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033EF0F8"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0AF01F5"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74EADFC1"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7196F874"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47C67865" w14:textId="77777777" w:rsidR="0011335A" w:rsidRPr="006016B0" w:rsidRDefault="0011335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24059714"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0581B2AF" w14:textId="77777777" w:rsidR="0011335A" w:rsidRPr="006016B0" w:rsidRDefault="0011335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5BB0A3F0" w14:textId="77777777" w:rsidR="0011335A" w:rsidRPr="006016B0" w:rsidRDefault="0011335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228E0927"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3805518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99F39BA"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1C768EC8" w14:textId="5049010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9.58</w:t>
            </w:r>
          </w:p>
        </w:tc>
        <w:tc>
          <w:tcPr>
            <w:tcW w:w="774" w:type="dxa"/>
            <w:tcBorders>
              <w:top w:val="nil"/>
              <w:left w:val="nil"/>
              <w:bottom w:val="nil"/>
              <w:right w:val="nil"/>
            </w:tcBorders>
            <w:shd w:val="clear" w:color="auto" w:fill="auto"/>
            <w:noWrap/>
            <w:vAlign w:val="bottom"/>
          </w:tcPr>
          <w:p w14:paraId="0B504BF3" w14:textId="1BB9C65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13.29</w:t>
            </w:r>
          </w:p>
        </w:tc>
        <w:tc>
          <w:tcPr>
            <w:tcW w:w="773" w:type="dxa"/>
            <w:tcBorders>
              <w:top w:val="nil"/>
              <w:left w:val="nil"/>
              <w:bottom w:val="nil"/>
              <w:right w:val="nil"/>
            </w:tcBorders>
            <w:shd w:val="clear" w:color="auto" w:fill="auto"/>
            <w:noWrap/>
            <w:vAlign w:val="bottom"/>
          </w:tcPr>
          <w:p w14:paraId="227E7315" w14:textId="40FB763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11.86</w:t>
            </w:r>
          </w:p>
        </w:tc>
        <w:tc>
          <w:tcPr>
            <w:tcW w:w="845" w:type="dxa"/>
            <w:tcBorders>
              <w:top w:val="nil"/>
              <w:left w:val="nil"/>
              <w:bottom w:val="nil"/>
              <w:right w:val="nil"/>
            </w:tcBorders>
            <w:shd w:val="clear" w:color="auto" w:fill="auto"/>
            <w:noWrap/>
            <w:vAlign w:val="bottom"/>
          </w:tcPr>
          <w:p w14:paraId="6811C33E" w14:textId="09F2D7B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5.81</w:t>
            </w:r>
          </w:p>
        </w:tc>
        <w:tc>
          <w:tcPr>
            <w:tcW w:w="702" w:type="dxa"/>
            <w:tcBorders>
              <w:top w:val="nil"/>
              <w:left w:val="nil"/>
              <w:bottom w:val="nil"/>
              <w:right w:val="single" w:sz="4" w:space="0" w:color="auto"/>
            </w:tcBorders>
            <w:shd w:val="clear" w:color="auto" w:fill="auto"/>
            <w:noWrap/>
            <w:vAlign w:val="bottom"/>
          </w:tcPr>
          <w:p w14:paraId="0C7C20D4" w14:textId="4449BEF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7.42</w:t>
            </w:r>
          </w:p>
        </w:tc>
        <w:tc>
          <w:tcPr>
            <w:tcW w:w="774" w:type="dxa"/>
            <w:tcBorders>
              <w:left w:val="nil"/>
            </w:tcBorders>
            <w:vAlign w:val="bottom"/>
          </w:tcPr>
          <w:p w14:paraId="11042FCC" w14:textId="5C2F50B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2.65</w:t>
            </w:r>
          </w:p>
        </w:tc>
        <w:tc>
          <w:tcPr>
            <w:tcW w:w="773" w:type="dxa"/>
            <w:vAlign w:val="bottom"/>
          </w:tcPr>
          <w:p w14:paraId="68AA6339" w14:textId="1E38273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7.74</w:t>
            </w:r>
          </w:p>
        </w:tc>
        <w:tc>
          <w:tcPr>
            <w:tcW w:w="774" w:type="dxa"/>
            <w:vAlign w:val="bottom"/>
          </w:tcPr>
          <w:p w14:paraId="6BAD71CC" w14:textId="6B444AC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4.26</w:t>
            </w:r>
          </w:p>
        </w:tc>
        <w:tc>
          <w:tcPr>
            <w:tcW w:w="847" w:type="dxa"/>
            <w:vAlign w:val="bottom"/>
          </w:tcPr>
          <w:p w14:paraId="77F3951E" w14:textId="040B3240"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0.82</w:t>
            </w:r>
          </w:p>
        </w:tc>
        <w:tc>
          <w:tcPr>
            <w:tcW w:w="715" w:type="dxa"/>
            <w:vAlign w:val="bottom"/>
          </w:tcPr>
          <w:p w14:paraId="56ACA366" w14:textId="028137C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0.51</w:t>
            </w:r>
          </w:p>
        </w:tc>
      </w:tr>
      <w:tr w:rsidR="00181D81" w:rsidRPr="00A0555D" w14:paraId="3ED555D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F148659"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1172DEEC" w14:textId="35F6B00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5.85</w:t>
            </w:r>
          </w:p>
        </w:tc>
        <w:tc>
          <w:tcPr>
            <w:tcW w:w="774" w:type="dxa"/>
            <w:tcBorders>
              <w:top w:val="nil"/>
              <w:left w:val="nil"/>
              <w:bottom w:val="nil"/>
              <w:right w:val="nil"/>
            </w:tcBorders>
            <w:shd w:val="clear" w:color="auto" w:fill="auto"/>
            <w:noWrap/>
            <w:vAlign w:val="bottom"/>
          </w:tcPr>
          <w:p w14:paraId="7EDECE5C" w14:textId="53CBEBA9"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6.61</w:t>
            </w:r>
          </w:p>
        </w:tc>
        <w:tc>
          <w:tcPr>
            <w:tcW w:w="773" w:type="dxa"/>
            <w:tcBorders>
              <w:top w:val="nil"/>
              <w:left w:val="nil"/>
              <w:bottom w:val="nil"/>
              <w:right w:val="nil"/>
            </w:tcBorders>
            <w:shd w:val="clear" w:color="auto" w:fill="auto"/>
            <w:noWrap/>
            <w:vAlign w:val="bottom"/>
          </w:tcPr>
          <w:p w14:paraId="449F9C54" w14:textId="511C9A8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7.29</w:t>
            </w:r>
          </w:p>
        </w:tc>
        <w:tc>
          <w:tcPr>
            <w:tcW w:w="845" w:type="dxa"/>
            <w:tcBorders>
              <w:top w:val="nil"/>
              <w:left w:val="nil"/>
              <w:bottom w:val="nil"/>
              <w:right w:val="nil"/>
            </w:tcBorders>
            <w:shd w:val="clear" w:color="auto" w:fill="auto"/>
            <w:noWrap/>
            <w:vAlign w:val="bottom"/>
          </w:tcPr>
          <w:p w14:paraId="3A3D1490" w14:textId="5161B2C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4.55</w:t>
            </w:r>
          </w:p>
        </w:tc>
        <w:tc>
          <w:tcPr>
            <w:tcW w:w="702" w:type="dxa"/>
            <w:tcBorders>
              <w:top w:val="nil"/>
              <w:left w:val="nil"/>
              <w:bottom w:val="nil"/>
              <w:right w:val="single" w:sz="4" w:space="0" w:color="auto"/>
            </w:tcBorders>
            <w:shd w:val="clear" w:color="auto" w:fill="auto"/>
            <w:noWrap/>
            <w:vAlign w:val="bottom"/>
          </w:tcPr>
          <w:p w14:paraId="544AAE2E" w14:textId="2C13F51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4.91</w:t>
            </w:r>
          </w:p>
        </w:tc>
        <w:tc>
          <w:tcPr>
            <w:tcW w:w="774" w:type="dxa"/>
            <w:tcBorders>
              <w:left w:val="nil"/>
            </w:tcBorders>
            <w:vAlign w:val="bottom"/>
          </w:tcPr>
          <w:p w14:paraId="5008FAB2" w14:textId="17C4D71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0.97</w:t>
            </w:r>
          </w:p>
        </w:tc>
        <w:tc>
          <w:tcPr>
            <w:tcW w:w="773" w:type="dxa"/>
            <w:vAlign w:val="bottom"/>
          </w:tcPr>
          <w:p w14:paraId="03864C4B" w14:textId="14AEAF8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0.43</w:t>
            </w:r>
          </w:p>
        </w:tc>
        <w:tc>
          <w:tcPr>
            <w:tcW w:w="774" w:type="dxa"/>
            <w:vAlign w:val="bottom"/>
          </w:tcPr>
          <w:p w14:paraId="5229939D" w14:textId="527294F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0.45</w:t>
            </w:r>
          </w:p>
        </w:tc>
        <w:tc>
          <w:tcPr>
            <w:tcW w:w="847" w:type="dxa"/>
            <w:vAlign w:val="bottom"/>
          </w:tcPr>
          <w:p w14:paraId="2010DAFC" w14:textId="5257063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1.82</w:t>
            </w:r>
          </w:p>
        </w:tc>
        <w:tc>
          <w:tcPr>
            <w:tcW w:w="715" w:type="dxa"/>
            <w:vAlign w:val="bottom"/>
          </w:tcPr>
          <w:p w14:paraId="41ADAD12" w14:textId="578A574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2.10</w:t>
            </w:r>
          </w:p>
        </w:tc>
      </w:tr>
      <w:tr w:rsidR="00181D81" w:rsidRPr="00A0555D" w14:paraId="5175B5E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94C06AF"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14A923AB" w14:textId="0C8F9F2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8.51</w:t>
            </w:r>
          </w:p>
        </w:tc>
        <w:tc>
          <w:tcPr>
            <w:tcW w:w="774" w:type="dxa"/>
            <w:tcBorders>
              <w:top w:val="nil"/>
              <w:left w:val="nil"/>
              <w:bottom w:val="nil"/>
              <w:right w:val="nil"/>
            </w:tcBorders>
            <w:shd w:val="clear" w:color="auto" w:fill="auto"/>
            <w:noWrap/>
            <w:vAlign w:val="bottom"/>
          </w:tcPr>
          <w:p w14:paraId="37CA2486" w14:textId="7CD9C3AE"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8.75</w:t>
            </w:r>
          </w:p>
        </w:tc>
        <w:tc>
          <w:tcPr>
            <w:tcW w:w="773" w:type="dxa"/>
            <w:tcBorders>
              <w:top w:val="nil"/>
              <w:left w:val="nil"/>
              <w:bottom w:val="nil"/>
              <w:right w:val="nil"/>
            </w:tcBorders>
            <w:shd w:val="clear" w:color="auto" w:fill="auto"/>
            <w:noWrap/>
            <w:vAlign w:val="bottom"/>
          </w:tcPr>
          <w:p w14:paraId="60E7F481" w14:textId="4934D79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10.69</w:t>
            </w:r>
          </w:p>
        </w:tc>
        <w:tc>
          <w:tcPr>
            <w:tcW w:w="845" w:type="dxa"/>
            <w:tcBorders>
              <w:top w:val="nil"/>
              <w:left w:val="nil"/>
              <w:bottom w:val="nil"/>
              <w:right w:val="nil"/>
            </w:tcBorders>
            <w:shd w:val="clear" w:color="auto" w:fill="auto"/>
            <w:noWrap/>
            <w:vAlign w:val="bottom"/>
          </w:tcPr>
          <w:p w14:paraId="3D9BF22C" w14:textId="0B4036A5"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8.26</w:t>
            </w:r>
          </w:p>
        </w:tc>
        <w:tc>
          <w:tcPr>
            <w:tcW w:w="702" w:type="dxa"/>
            <w:tcBorders>
              <w:top w:val="nil"/>
              <w:left w:val="nil"/>
              <w:bottom w:val="nil"/>
              <w:right w:val="single" w:sz="4" w:space="0" w:color="auto"/>
            </w:tcBorders>
            <w:shd w:val="clear" w:color="auto" w:fill="auto"/>
            <w:noWrap/>
            <w:vAlign w:val="bottom"/>
          </w:tcPr>
          <w:p w14:paraId="22A65EBF" w14:textId="397D098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6.33</w:t>
            </w:r>
          </w:p>
        </w:tc>
        <w:tc>
          <w:tcPr>
            <w:tcW w:w="774" w:type="dxa"/>
            <w:tcBorders>
              <w:left w:val="nil"/>
            </w:tcBorders>
            <w:vAlign w:val="bottom"/>
          </w:tcPr>
          <w:p w14:paraId="638D9A47" w14:textId="0CE3FCC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0.93</w:t>
            </w:r>
          </w:p>
        </w:tc>
        <w:tc>
          <w:tcPr>
            <w:tcW w:w="773" w:type="dxa"/>
            <w:vAlign w:val="bottom"/>
          </w:tcPr>
          <w:p w14:paraId="4A648E47" w14:textId="21652B9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3.13</w:t>
            </w:r>
          </w:p>
        </w:tc>
        <w:tc>
          <w:tcPr>
            <w:tcW w:w="774" w:type="dxa"/>
            <w:vAlign w:val="bottom"/>
          </w:tcPr>
          <w:p w14:paraId="0EB316A2" w14:textId="4147379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2.75</w:t>
            </w:r>
          </w:p>
        </w:tc>
        <w:tc>
          <w:tcPr>
            <w:tcW w:w="847" w:type="dxa"/>
            <w:vAlign w:val="bottom"/>
          </w:tcPr>
          <w:p w14:paraId="0777FA5B" w14:textId="6D72EAA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0.08</w:t>
            </w:r>
          </w:p>
        </w:tc>
        <w:tc>
          <w:tcPr>
            <w:tcW w:w="715" w:type="dxa"/>
            <w:vAlign w:val="bottom"/>
          </w:tcPr>
          <w:p w14:paraId="20CC1CB3" w14:textId="76997EE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2.03</w:t>
            </w:r>
          </w:p>
        </w:tc>
      </w:tr>
      <w:tr w:rsidR="00181D81" w:rsidRPr="00A0555D" w14:paraId="2113136B"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BCF2AB8"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45A68E3D" w14:textId="642DA5D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6.50</w:t>
            </w:r>
          </w:p>
        </w:tc>
        <w:tc>
          <w:tcPr>
            <w:tcW w:w="774" w:type="dxa"/>
            <w:tcBorders>
              <w:top w:val="nil"/>
              <w:left w:val="nil"/>
              <w:bottom w:val="nil"/>
              <w:right w:val="nil"/>
            </w:tcBorders>
            <w:shd w:val="clear" w:color="auto" w:fill="auto"/>
            <w:noWrap/>
            <w:vAlign w:val="bottom"/>
          </w:tcPr>
          <w:p w14:paraId="21AB993F" w14:textId="463F9267"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8.97</w:t>
            </w:r>
          </w:p>
        </w:tc>
        <w:tc>
          <w:tcPr>
            <w:tcW w:w="773" w:type="dxa"/>
            <w:tcBorders>
              <w:top w:val="nil"/>
              <w:left w:val="nil"/>
              <w:bottom w:val="nil"/>
              <w:right w:val="nil"/>
            </w:tcBorders>
            <w:shd w:val="clear" w:color="auto" w:fill="auto"/>
            <w:noWrap/>
            <w:vAlign w:val="bottom"/>
          </w:tcPr>
          <w:p w14:paraId="4F22CC9E" w14:textId="0FE051D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9.67</w:t>
            </w:r>
          </w:p>
        </w:tc>
        <w:tc>
          <w:tcPr>
            <w:tcW w:w="845" w:type="dxa"/>
            <w:tcBorders>
              <w:top w:val="nil"/>
              <w:left w:val="nil"/>
              <w:bottom w:val="nil"/>
              <w:right w:val="nil"/>
            </w:tcBorders>
            <w:shd w:val="clear" w:color="auto" w:fill="auto"/>
            <w:noWrap/>
            <w:vAlign w:val="bottom"/>
          </w:tcPr>
          <w:p w14:paraId="0510B539" w14:textId="2BB03F1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2.85</w:t>
            </w:r>
          </w:p>
        </w:tc>
        <w:tc>
          <w:tcPr>
            <w:tcW w:w="702" w:type="dxa"/>
            <w:tcBorders>
              <w:top w:val="nil"/>
              <w:left w:val="nil"/>
              <w:bottom w:val="nil"/>
              <w:right w:val="single" w:sz="4" w:space="0" w:color="auto"/>
            </w:tcBorders>
            <w:shd w:val="clear" w:color="auto" w:fill="auto"/>
            <w:noWrap/>
            <w:vAlign w:val="bottom"/>
          </w:tcPr>
          <w:p w14:paraId="6D050DCB" w14:textId="2371C9C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4.53</w:t>
            </w:r>
          </w:p>
        </w:tc>
        <w:tc>
          <w:tcPr>
            <w:tcW w:w="774" w:type="dxa"/>
            <w:tcBorders>
              <w:left w:val="nil"/>
            </w:tcBorders>
            <w:vAlign w:val="bottom"/>
          </w:tcPr>
          <w:p w14:paraId="75EF0686" w14:textId="5F567809"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3" w:type="dxa"/>
            <w:vAlign w:val="bottom"/>
          </w:tcPr>
          <w:p w14:paraId="6DDA4487" w14:textId="1347D99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3.09</w:t>
            </w:r>
          </w:p>
        </w:tc>
        <w:tc>
          <w:tcPr>
            <w:tcW w:w="774" w:type="dxa"/>
            <w:vAlign w:val="bottom"/>
          </w:tcPr>
          <w:p w14:paraId="6983E700" w14:textId="467289E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2.62</w:t>
            </w:r>
          </w:p>
        </w:tc>
        <w:tc>
          <w:tcPr>
            <w:tcW w:w="847" w:type="dxa"/>
            <w:vAlign w:val="bottom"/>
          </w:tcPr>
          <w:p w14:paraId="0441E3DD" w14:textId="560FA595"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3.42</w:t>
            </w:r>
          </w:p>
        </w:tc>
        <w:tc>
          <w:tcPr>
            <w:tcW w:w="715" w:type="dxa"/>
            <w:vAlign w:val="bottom"/>
          </w:tcPr>
          <w:p w14:paraId="6ECF483C" w14:textId="6898CF1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1.96</w:t>
            </w:r>
          </w:p>
        </w:tc>
      </w:tr>
      <w:tr w:rsidR="00181D81" w:rsidRPr="00A0555D" w14:paraId="62381A3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3DCBFD1"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76B7ADDB" w14:textId="332086C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6.20</w:t>
            </w:r>
          </w:p>
        </w:tc>
        <w:tc>
          <w:tcPr>
            <w:tcW w:w="774" w:type="dxa"/>
            <w:tcBorders>
              <w:top w:val="nil"/>
              <w:left w:val="nil"/>
              <w:bottom w:val="nil"/>
              <w:right w:val="nil"/>
            </w:tcBorders>
            <w:shd w:val="clear" w:color="auto" w:fill="auto"/>
            <w:noWrap/>
            <w:vAlign w:val="bottom"/>
          </w:tcPr>
          <w:p w14:paraId="7F95B15A" w14:textId="01DE8A49"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5.76</w:t>
            </w:r>
          </w:p>
        </w:tc>
        <w:tc>
          <w:tcPr>
            <w:tcW w:w="773" w:type="dxa"/>
            <w:tcBorders>
              <w:top w:val="nil"/>
              <w:left w:val="nil"/>
              <w:bottom w:val="nil"/>
              <w:right w:val="nil"/>
            </w:tcBorders>
            <w:shd w:val="clear" w:color="auto" w:fill="auto"/>
            <w:noWrap/>
            <w:vAlign w:val="bottom"/>
          </w:tcPr>
          <w:p w14:paraId="2CC1C135" w14:textId="516BC2C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8.19</w:t>
            </w:r>
          </w:p>
        </w:tc>
        <w:tc>
          <w:tcPr>
            <w:tcW w:w="845" w:type="dxa"/>
            <w:tcBorders>
              <w:top w:val="nil"/>
              <w:left w:val="nil"/>
              <w:bottom w:val="nil"/>
              <w:right w:val="nil"/>
            </w:tcBorders>
            <w:shd w:val="clear" w:color="auto" w:fill="auto"/>
            <w:noWrap/>
            <w:vAlign w:val="bottom"/>
          </w:tcPr>
          <w:p w14:paraId="201DDD4E" w14:textId="2E1BFEE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5.23</w:t>
            </w:r>
          </w:p>
        </w:tc>
        <w:tc>
          <w:tcPr>
            <w:tcW w:w="702" w:type="dxa"/>
            <w:tcBorders>
              <w:top w:val="nil"/>
              <w:left w:val="nil"/>
              <w:bottom w:val="nil"/>
              <w:right w:val="single" w:sz="4" w:space="0" w:color="auto"/>
            </w:tcBorders>
            <w:shd w:val="clear" w:color="auto" w:fill="auto"/>
            <w:noWrap/>
            <w:vAlign w:val="bottom"/>
          </w:tcPr>
          <w:p w14:paraId="34BFC504" w14:textId="030D92C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5.60</w:t>
            </w:r>
          </w:p>
        </w:tc>
        <w:tc>
          <w:tcPr>
            <w:tcW w:w="774" w:type="dxa"/>
            <w:tcBorders>
              <w:left w:val="nil"/>
            </w:tcBorders>
            <w:vAlign w:val="bottom"/>
          </w:tcPr>
          <w:p w14:paraId="3BF5EF76" w14:textId="6D2B7CB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1.18</w:t>
            </w:r>
          </w:p>
        </w:tc>
        <w:tc>
          <w:tcPr>
            <w:tcW w:w="773" w:type="dxa"/>
            <w:vAlign w:val="bottom"/>
          </w:tcPr>
          <w:p w14:paraId="64F066DE" w14:textId="3608BDC5"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0.92</w:t>
            </w:r>
          </w:p>
        </w:tc>
        <w:tc>
          <w:tcPr>
            <w:tcW w:w="774" w:type="dxa"/>
            <w:vAlign w:val="bottom"/>
          </w:tcPr>
          <w:p w14:paraId="75A74D27" w14:textId="3AC55129"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847" w:type="dxa"/>
            <w:vAlign w:val="bottom"/>
          </w:tcPr>
          <w:p w14:paraId="2E47D0B3" w14:textId="47C03EB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1.83</w:t>
            </w:r>
          </w:p>
        </w:tc>
        <w:tc>
          <w:tcPr>
            <w:tcW w:w="715" w:type="dxa"/>
            <w:vAlign w:val="bottom"/>
          </w:tcPr>
          <w:p w14:paraId="141E1C80" w14:textId="7E9D94D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2.15</w:t>
            </w:r>
          </w:p>
        </w:tc>
      </w:tr>
      <w:tr w:rsidR="00181D81" w:rsidRPr="00A0555D" w14:paraId="5CEC6DB3"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1D518C6A"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5C848457" w14:textId="3EC75C7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4.02</w:t>
            </w:r>
          </w:p>
        </w:tc>
        <w:tc>
          <w:tcPr>
            <w:tcW w:w="774" w:type="dxa"/>
            <w:tcBorders>
              <w:top w:val="nil"/>
              <w:left w:val="nil"/>
              <w:bottom w:val="single" w:sz="4" w:space="0" w:color="auto"/>
              <w:right w:val="nil"/>
            </w:tcBorders>
            <w:shd w:val="clear" w:color="auto" w:fill="auto"/>
            <w:noWrap/>
            <w:vAlign w:val="bottom"/>
          </w:tcPr>
          <w:p w14:paraId="62D5E288" w14:textId="01328E5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6.46</w:t>
            </w:r>
          </w:p>
        </w:tc>
        <w:tc>
          <w:tcPr>
            <w:tcW w:w="773" w:type="dxa"/>
            <w:tcBorders>
              <w:top w:val="nil"/>
              <w:left w:val="nil"/>
              <w:bottom w:val="single" w:sz="4" w:space="0" w:color="auto"/>
              <w:right w:val="nil"/>
            </w:tcBorders>
            <w:shd w:val="clear" w:color="auto" w:fill="auto"/>
            <w:noWrap/>
            <w:vAlign w:val="bottom"/>
          </w:tcPr>
          <w:p w14:paraId="42606EF2" w14:textId="0B8C0617"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4.80</w:t>
            </w:r>
          </w:p>
        </w:tc>
        <w:tc>
          <w:tcPr>
            <w:tcW w:w="845" w:type="dxa"/>
            <w:tcBorders>
              <w:top w:val="nil"/>
              <w:left w:val="nil"/>
              <w:bottom w:val="single" w:sz="4" w:space="0" w:color="auto"/>
              <w:right w:val="nil"/>
            </w:tcBorders>
            <w:shd w:val="clear" w:color="auto" w:fill="auto"/>
            <w:noWrap/>
            <w:vAlign w:val="bottom"/>
          </w:tcPr>
          <w:p w14:paraId="088D1734" w14:textId="15D2495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1.32</w:t>
            </w:r>
          </w:p>
        </w:tc>
        <w:tc>
          <w:tcPr>
            <w:tcW w:w="702" w:type="dxa"/>
            <w:tcBorders>
              <w:top w:val="nil"/>
              <w:left w:val="nil"/>
              <w:bottom w:val="single" w:sz="4" w:space="0" w:color="auto"/>
              <w:right w:val="single" w:sz="4" w:space="0" w:color="auto"/>
            </w:tcBorders>
            <w:shd w:val="clear" w:color="auto" w:fill="auto"/>
            <w:noWrap/>
            <w:vAlign w:val="bottom"/>
          </w:tcPr>
          <w:p w14:paraId="27BFDED7" w14:textId="3F5481A9"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3.49</w:t>
            </w:r>
          </w:p>
        </w:tc>
        <w:tc>
          <w:tcPr>
            <w:tcW w:w="774" w:type="dxa"/>
            <w:tcBorders>
              <w:left w:val="nil"/>
              <w:bottom w:val="single" w:sz="4" w:space="0" w:color="auto"/>
            </w:tcBorders>
            <w:vAlign w:val="bottom"/>
          </w:tcPr>
          <w:p w14:paraId="06D49362" w14:textId="7997426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2.56</w:t>
            </w:r>
          </w:p>
        </w:tc>
        <w:tc>
          <w:tcPr>
            <w:tcW w:w="773" w:type="dxa"/>
            <w:tcBorders>
              <w:bottom w:val="single" w:sz="4" w:space="0" w:color="auto"/>
            </w:tcBorders>
            <w:vAlign w:val="bottom"/>
          </w:tcPr>
          <w:p w14:paraId="2426CFB3" w14:textId="2A7687B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0.03</w:t>
            </w:r>
          </w:p>
        </w:tc>
        <w:tc>
          <w:tcPr>
            <w:tcW w:w="774" w:type="dxa"/>
            <w:tcBorders>
              <w:bottom w:val="single" w:sz="4" w:space="0" w:color="auto"/>
            </w:tcBorders>
            <w:vAlign w:val="bottom"/>
          </w:tcPr>
          <w:p w14:paraId="7FFAC93C" w14:textId="7F5BE7B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2.21</w:t>
            </w:r>
          </w:p>
        </w:tc>
        <w:tc>
          <w:tcPr>
            <w:tcW w:w="847" w:type="dxa"/>
            <w:tcBorders>
              <w:bottom w:val="single" w:sz="4" w:space="0" w:color="auto"/>
            </w:tcBorders>
            <w:vAlign w:val="bottom"/>
          </w:tcPr>
          <w:p w14:paraId="53070060" w14:textId="10CCAF0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4.66</w:t>
            </w:r>
          </w:p>
        </w:tc>
        <w:tc>
          <w:tcPr>
            <w:tcW w:w="715" w:type="dxa"/>
            <w:tcBorders>
              <w:bottom w:val="single" w:sz="4" w:space="0" w:color="auto"/>
            </w:tcBorders>
            <w:vAlign w:val="bottom"/>
          </w:tcPr>
          <w:p w14:paraId="4EA64D33" w14:textId="7DF2A8A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3.32</w:t>
            </w:r>
          </w:p>
        </w:tc>
      </w:tr>
      <w:tr w:rsidR="0011335A" w:rsidRPr="00A0555D" w14:paraId="5C45D709"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75395380" w14:textId="77777777" w:rsidR="0011335A" w:rsidRPr="009355EE" w:rsidRDefault="0011335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33454FC9" w14:textId="77777777" w:rsidR="0011335A" w:rsidRPr="006016B0" w:rsidRDefault="0011335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05129648"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351C0DD7" w14:textId="77777777" w:rsidR="0011335A" w:rsidRPr="006016B0" w:rsidRDefault="0011335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104BC81A" w14:textId="77777777" w:rsidR="0011335A" w:rsidRPr="006016B0" w:rsidRDefault="0011335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46483C80"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103DEFA8"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7E575A9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783C643E" w14:textId="27FEF39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4" w:type="dxa"/>
            <w:tcBorders>
              <w:left w:val="nil"/>
              <w:bottom w:val="nil"/>
              <w:right w:val="nil"/>
            </w:tcBorders>
            <w:shd w:val="clear" w:color="auto" w:fill="auto"/>
            <w:noWrap/>
            <w:vAlign w:val="bottom"/>
          </w:tcPr>
          <w:p w14:paraId="3FDEA0AD" w14:textId="7AD2E8A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3" w:type="dxa"/>
            <w:tcBorders>
              <w:left w:val="nil"/>
              <w:bottom w:val="nil"/>
              <w:right w:val="nil"/>
            </w:tcBorders>
            <w:shd w:val="clear" w:color="auto" w:fill="auto"/>
            <w:noWrap/>
            <w:vAlign w:val="bottom"/>
          </w:tcPr>
          <w:p w14:paraId="5AC6D3F4" w14:textId="083331F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c>
          <w:tcPr>
            <w:tcW w:w="845" w:type="dxa"/>
            <w:tcBorders>
              <w:left w:val="nil"/>
              <w:bottom w:val="nil"/>
              <w:right w:val="nil"/>
            </w:tcBorders>
            <w:shd w:val="clear" w:color="auto" w:fill="auto"/>
            <w:noWrap/>
            <w:vAlign w:val="bottom"/>
          </w:tcPr>
          <w:p w14:paraId="18BE1FF2" w14:textId="2F11BE75"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0.04</w:t>
            </w:r>
          </w:p>
        </w:tc>
        <w:tc>
          <w:tcPr>
            <w:tcW w:w="702" w:type="dxa"/>
            <w:tcBorders>
              <w:left w:val="nil"/>
              <w:bottom w:val="nil"/>
              <w:right w:val="single" w:sz="4" w:space="0" w:color="auto"/>
            </w:tcBorders>
            <w:shd w:val="clear" w:color="auto" w:fill="auto"/>
            <w:noWrap/>
            <w:vAlign w:val="bottom"/>
          </w:tcPr>
          <w:p w14:paraId="50DC3465" w14:textId="56C4588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4" w:type="dxa"/>
            <w:tcBorders>
              <w:left w:val="nil"/>
            </w:tcBorders>
            <w:vAlign w:val="bottom"/>
          </w:tcPr>
          <w:p w14:paraId="2AD2EA59" w14:textId="458544E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0.04</w:t>
            </w:r>
          </w:p>
        </w:tc>
        <w:tc>
          <w:tcPr>
            <w:tcW w:w="773" w:type="dxa"/>
            <w:vAlign w:val="bottom"/>
          </w:tcPr>
          <w:p w14:paraId="78752222" w14:textId="24B22B0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0.11</w:t>
            </w:r>
          </w:p>
        </w:tc>
        <w:tc>
          <w:tcPr>
            <w:tcW w:w="774" w:type="dxa"/>
            <w:vAlign w:val="bottom"/>
          </w:tcPr>
          <w:p w14:paraId="40AB6F55" w14:textId="6229EA89"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847" w:type="dxa"/>
            <w:vAlign w:val="bottom"/>
          </w:tcPr>
          <w:p w14:paraId="0BDAE8D3" w14:textId="7D1763A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15" w:type="dxa"/>
            <w:vAlign w:val="bottom"/>
          </w:tcPr>
          <w:p w14:paraId="68228B11" w14:textId="5C9C4BF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0.05</w:t>
            </w:r>
          </w:p>
        </w:tc>
      </w:tr>
      <w:tr w:rsidR="00181D81" w:rsidRPr="00A0555D" w14:paraId="056A64E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31FC9C3"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658C0D7D" w14:textId="0558093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w:t>
            </w:r>
          </w:p>
        </w:tc>
        <w:tc>
          <w:tcPr>
            <w:tcW w:w="774" w:type="dxa"/>
            <w:tcBorders>
              <w:top w:val="nil"/>
              <w:left w:val="nil"/>
              <w:bottom w:val="nil"/>
              <w:right w:val="nil"/>
            </w:tcBorders>
            <w:shd w:val="clear" w:color="auto" w:fill="auto"/>
            <w:noWrap/>
            <w:vAlign w:val="bottom"/>
          </w:tcPr>
          <w:p w14:paraId="48EE5179" w14:textId="1D66585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773" w:type="dxa"/>
            <w:tcBorders>
              <w:top w:val="nil"/>
              <w:left w:val="nil"/>
              <w:bottom w:val="nil"/>
              <w:right w:val="nil"/>
            </w:tcBorders>
            <w:shd w:val="clear" w:color="auto" w:fill="auto"/>
            <w:noWrap/>
            <w:vAlign w:val="bottom"/>
          </w:tcPr>
          <w:p w14:paraId="79B8595C" w14:textId="7A573DB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w:t>
            </w:r>
          </w:p>
        </w:tc>
        <w:tc>
          <w:tcPr>
            <w:tcW w:w="845" w:type="dxa"/>
            <w:tcBorders>
              <w:top w:val="nil"/>
              <w:left w:val="nil"/>
              <w:bottom w:val="nil"/>
              <w:right w:val="nil"/>
            </w:tcBorders>
            <w:shd w:val="clear" w:color="auto" w:fill="auto"/>
            <w:noWrap/>
            <w:vAlign w:val="bottom"/>
          </w:tcPr>
          <w:p w14:paraId="3049066C" w14:textId="5B971817"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0.01</w:t>
            </w:r>
          </w:p>
        </w:tc>
        <w:tc>
          <w:tcPr>
            <w:tcW w:w="702" w:type="dxa"/>
            <w:tcBorders>
              <w:top w:val="nil"/>
              <w:left w:val="nil"/>
              <w:bottom w:val="nil"/>
              <w:right w:val="single" w:sz="4" w:space="0" w:color="auto"/>
            </w:tcBorders>
            <w:shd w:val="clear" w:color="auto" w:fill="auto"/>
            <w:noWrap/>
            <w:vAlign w:val="bottom"/>
          </w:tcPr>
          <w:p w14:paraId="7C883B91" w14:textId="7FE7A65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74" w:type="dxa"/>
            <w:tcBorders>
              <w:left w:val="nil"/>
            </w:tcBorders>
            <w:vAlign w:val="bottom"/>
          </w:tcPr>
          <w:p w14:paraId="11621DD1" w14:textId="74E44F9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3" w:type="dxa"/>
            <w:vAlign w:val="bottom"/>
          </w:tcPr>
          <w:p w14:paraId="7C1EA361" w14:textId="75CEF9F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0.21</w:t>
            </w:r>
          </w:p>
        </w:tc>
        <w:tc>
          <w:tcPr>
            <w:tcW w:w="774" w:type="dxa"/>
            <w:vAlign w:val="bottom"/>
          </w:tcPr>
          <w:p w14:paraId="3E6EB2E1" w14:textId="2057B6D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847" w:type="dxa"/>
            <w:vAlign w:val="bottom"/>
          </w:tcPr>
          <w:p w14:paraId="37D13848" w14:textId="35D9F98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0.02</w:t>
            </w:r>
          </w:p>
        </w:tc>
        <w:tc>
          <w:tcPr>
            <w:tcW w:w="715" w:type="dxa"/>
            <w:vAlign w:val="bottom"/>
          </w:tcPr>
          <w:p w14:paraId="7068F420" w14:textId="7B3043A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0.03</w:t>
            </w:r>
          </w:p>
        </w:tc>
      </w:tr>
      <w:tr w:rsidR="00181D81" w:rsidRPr="00A0555D" w14:paraId="2EC65869"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DAD3CA4"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59FC5A29" w14:textId="600F498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4" w:type="dxa"/>
            <w:tcBorders>
              <w:top w:val="nil"/>
              <w:left w:val="nil"/>
              <w:bottom w:val="nil"/>
              <w:right w:val="nil"/>
            </w:tcBorders>
            <w:shd w:val="clear" w:color="auto" w:fill="auto"/>
            <w:noWrap/>
            <w:vAlign w:val="bottom"/>
          </w:tcPr>
          <w:p w14:paraId="411BB707" w14:textId="4584829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0.11</w:t>
            </w:r>
          </w:p>
        </w:tc>
        <w:tc>
          <w:tcPr>
            <w:tcW w:w="773" w:type="dxa"/>
            <w:tcBorders>
              <w:top w:val="nil"/>
              <w:left w:val="nil"/>
              <w:bottom w:val="nil"/>
              <w:right w:val="nil"/>
            </w:tcBorders>
            <w:shd w:val="clear" w:color="auto" w:fill="auto"/>
            <w:noWrap/>
            <w:vAlign w:val="bottom"/>
          </w:tcPr>
          <w:p w14:paraId="5F49631B" w14:textId="07924CF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845" w:type="dxa"/>
            <w:tcBorders>
              <w:top w:val="nil"/>
              <w:left w:val="nil"/>
              <w:bottom w:val="nil"/>
              <w:right w:val="nil"/>
            </w:tcBorders>
            <w:shd w:val="clear" w:color="auto" w:fill="auto"/>
            <w:noWrap/>
            <w:vAlign w:val="bottom"/>
          </w:tcPr>
          <w:p w14:paraId="1D6BDB4D" w14:textId="08250CE1"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0.02</w:t>
            </w:r>
          </w:p>
        </w:tc>
        <w:tc>
          <w:tcPr>
            <w:tcW w:w="702" w:type="dxa"/>
            <w:tcBorders>
              <w:top w:val="nil"/>
              <w:left w:val="nil"/>
              <w:bottom w:val="nil"/>
              <w:right w:val="single" w:sz="4" w:space="0" w:color="auto"/>
            </w:tcBorders>
            <w:shd w:val="clear" w:color="auto" w:fill="auto"/>
            <w:noWrap/>
            <w:vAlign w:val="bottom"/>
          </w:tcPr>
          <w:p w14:paraId="4DC8E04E" w14:textId="1039AC81"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0.00</w:t>
            </w:r>
          </w:p>
        </w:tc>
        <w:tc>
          <w:tcPr>
            <w:tcW w:w="774" w:type="dxa"/>
            <w:tcBorders>
              <w:left w:val="nil"/>
            </w:tcBorders>
            <w:vAlign w:val="bottom"/>
          </w:tcPr>
          <w:p w14:paraId="2E51E72E" w14:textId="12A0955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0.04</w:t>
            </w:r>
          </w:p>
        </w:tc>
        <w:tc>
          <w:tcPr>
            <w:tcW w:w="773" w:type="dxa"/>
            <w:vAlign w:val="bottom"/>
          </w:tcPr>
          <w:p w14:paraId="171E9732" w14:textId="358D5DF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0.15</w:t>
            </w:r>
          </w:p>
        </w:tc>
        <w:tc>
          <w:tcPr>
            <w:tcW w:w="774" w:type="dxa"/>
            <w:vAlign w:val="bottom"/>
          </w:tcPr>
          <w:p w14:paraId="0B9B1795" w14:textId="0B5A3A7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0.06</w:t>
            </w:r>
          </w:p>
        </w:tc>
        <w:tc>
          <w:tcPr>
            <w:tcW w:w="847" w:type="dxa"/>
            <w:vAlign w:val="bottom"/>
          </w:tcPr>
          <w:p w14:paraId="57E46E5E" w14:textId="142808E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0.03</w:t>
            </w:r>
          </w:p>
        </w:tc>
        <w:tc>
          <w:tcPr>
            <w:tcW w:w="715" w:type="dxa"/>
            <w:vAlign w:val="bottom"/>
          </w:tcPr>
          <w:p w14:paraId="716AF1AC" w14:textId="0131ED85"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0.06</w:t>
            </w:r>
          </w:p>
        </w:tc>
      </w:tr>
      <w:tr w:rsidR="00181D81" w:rsidRPr="00A0555D" w14:paraId="2FE9AE3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A3A709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EFF00E9" w14:textId="1F811B55"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4" w:type="dxa"/>
            <w:tcBorders>
              <w:top w:val="nil"/>
              <w:left w:val="nil"/>
              <w:bottom w:val="nil"/>
              <w:right w:val="nil"/>
            </w:tcBorders>
            <w:shd w:val="clear" w:color="auto" w:fill="auto"/>
            <w:noWrap/>
            <w:vAlign w:val="bottom"/>
          </w:tcPr>
          <w:p w14:paraId="17D2EE99" w14:textId="02AAE693"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0.04</w:t>
            </w:r>
          </w:p>
        </w:tc>
        <w:tc>
          <w:tcPr>
            <w:tcW w:w="773" w:type="dxa"/>
            <w:tcBorders>
              <w:top w:val="nil"/>
              <w:left w:val="nil"/>
              <w:bottom w:val="nil"/>
              <w:right w:val="nil"/>
            </w:tcBorders>
            <w:shd w:val="clear" w:color="auto" w:fill="auto"/>
            <w:noWrap/>
            <w:vAlign w:val="bottom"/>
          </w:tcPr>
          <w:p w14:paraId="1218121E" w14:textId="37023F4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0.24</w:t>
            </w:r>
          </w:p>
        </w:tc>
        <w:tc>
          <w:tcPr>
            <w:tcW w:w="845" w:type="dxa"/>
            <w:tcBorders>
              <w:top w:val="nil"/>
              <w:left w:val="nil"/>
              <w:bottom w:val="nil"/>
              <w:right w:val="nil"/>
            </w:tcBorders>
            <w:shd w:val="clear" w:color="auto" w:fill="auto"/>
            <w:noWrap/>
            <w:vAlign w:val="bottom"/>
          </w:tcPr>
          <w:p w14:paraId="407BB4A8" w14:textId="6AEC21EE"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0.04</w:t>
            </w:r>
          </w:p>
        </w:tc>
        <w:tc>
          <w:tcPr>
            <w:tcW w:w="702" w:type="dxa"/>
            <w:tcBorders>
              <w:top w:val="nil"/>
              <w:left w:val="nil"/>
              <w:bottom w:val="nil"/>
              <w:right w:val="single" w:sz="4" w:space="0" w:color="auto"/>
            </w:tcBorders>
            <w:shd w:val="clear" w:color="auto" w:fill="auto"/>
            <w:noWrap/>
            <w:vAlign w:val="bottom"/>
          </w:tcPr>
          <w:p w14:paraId="64CE6DDE" w14:textId="1BECD545"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0.02</w:t>
            </w:r>
          </w:p>
        </w:tc>
        <w:tc>
          <w:tcPr>
            <w:tcW w:w="774" w:type="dxa"/>
            <w:tcBorders>
              <w:left w:val="nil"/>
            </w:tcBorders>
            <w:vAlign w:val="bottom"/>
          </w:tcPr>
          <w:p w14:paraId="5E59B982" w14:textId="6C4277D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73" w:type="dxa"/>
            <w:vAlign w:val="bottom"/>
          </w:tcPr>
          <w:p w14:paraId="332EA497" w14:textId="700EAFB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0.04</w:t>
            </w:r>
          </w:p>
        </w:tc>
        <w:tc>
          <w:tcPr>
            <w:tcW w:w="774" w:type="dxa"/>
            <w:vAlign w:val="bottom"/>
          </w:tcPr>
          <w:p w14:paraId="1F6D1212" w14:textId="4CFD106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w:t>
            </w:r>
          </w:p>
        </w:tc>
        <w:tc>
          <w:tcPr>
            <w:tcW w:w="847" w:type="dxa"/>
            <w:vAlign w:val="bottom"/>
          </w:tcPr>
          <w:p w14:paraId="365AEE84" w14:textId="1B4449A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0.07</w:t>
            </w:r>
          </w:p>
        </w:tc>
        <w:tc>
          <w:tcPr>
            <w:tcW w:w="715" w:type="dxa"/>
            <w:vAlign w:val="bottom"/>
          </w:tcPr>
          <w:p w14:paraId="597D1DB6" w14:textId="586CDC90"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0.02</w:t>
            </w:r>
          </w:p>
        </w:tc>
      </w:tr>
      <w:tr w:rsidR="00181D81" w:rsidRPr="00A0555D" w14:paraId="50C259FE"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2CCC7A0"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75130A95" w14:textId="236C402D"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0.15</w:t>
            </w:r>
          </w:p>
        </w:tc>
        <w:tc>
          <w:tcPr>
            <w:tcW w:w="774" w:type="dxa"/>
            <w:tcBorders>
              <w:top w:val="nil"/>
              <w:left w:val="nil"/>
              <w:bottom w:val="nil"/>
              <w:right w:val="nil"/>
            </w:tcBorders>
            <w:shd w:val="clear" w:color="auto" w:fill="auto"/>
            <w:noWrap/>
            <w:vAlign w:val="bottom"/>
          </w:tcPr>
          <w:p w14:paraId="7689DE93" w14:textId="0AE6CDA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w:t>
            </w:r>
          </w:p>
        </w:tc>
        <w:tc>
          <w:tcPr>
            <w:tcW w:w="773" w:type="dxa"/>
            <w:tcBorders>
              <w:top w:val="nil"/>
              <w:left w:val="nil"/>
              <w:bottom w:val="nil"/>
              <w:right w:val="nil"/>
            </w:tcBorders>
            <w:shd w:val="clear" w:color="auto" w:fill="auto"/>
            <w:noWrap/>
            <w:vAlign w:val="bottom"/>
          </w:tcPr>
          <w:p w14:paraId="222CB5B3" w14:textId="536B2D5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w:t>
            </w:r>
          </w:p>
        </w:tc>
        <w:tc>
          <w:tcPr>
            <w:tcW w:w="845" w:type="dxa"/>
            <w:tcBorders>
              <w:top w:val="nil"/>
              <w:left w:val="nil"/>
              <w:bottom w:val="nil"/>
              <w:right w:val="nil"/>
            </w:tcBorders>
            <w:shd w:val="clear" w:color="auto" w:fill="auto"/>
            <w:noWrap/>
            <w:vAlign w:val="bottom"/>
          </w:tcPr>
          <w:p w14:paraId="28435717" w14:textId="51B767F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c>
          <w:tcPr>
            <w:tcW w:w="702" w:type="dxa"/>
            <w:tcBorders>
              <w:top w:val="nil"/>
              <w:left w:val="nil"/>
              <w:bottom w:val="nil"/>
              <w:right w:val="single" w:sz="4" w:space="0" w:color="auto"/>
            </w:tcBorders>
            <w:shd w:val="clear" w:color="auto" w:fill="auto"/>
            <w:noWrap/>
            <w:vAlign w:val="bottom"/>
          </w:tcPr>
          <w:p w14:paraId="3A70D6A3" w14:textId="041CC7F4"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0.15</w:t>
            </w:r>
          </w:p>
        </w:tc>
        <w:tc>
          <w:tcPr>
            <w:tcW w:w="774" w:type="dxa"/>
            <w:tcBorders>
              <w:left w:val="nil"/>
            </w:tcBorders>
            <w:vAlign w:val="bottom"/>
          </w:tcPr>
          <w:p w14:paraId="15E6F76B" w14:textId="5F2F7ED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c>
          <w:tcPr>
            <w:tcW w:w="773" w:type="dxa"/>
            <w:vAlign w:val="bottom"/>
          </w:tcPr>
          <w:p w14:paraId="58AE934B" w14:textId="3C227FA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w:t>
            </w:r>
          </w:p>
        </w:tc>
        <w:tc>
          <w:tcPr>
            <w:tcW w:w="774" w:type="dxa"/>
            <w:vAlign w:val="bottom"/>
          </w:tcPr>
          <w:p w14:paraId="3C5592C4" w14:textId="12874F2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0.11</w:t>
            </w:r>
          </w:p>
        </w:tc>
        <w:tc>
          <w:tcPr>
            <w:tcW w:w="847" w:type="dxa"/>
            <w:vAlign w:val="bottom"/>
          </w:tcPr>
          <w:p w14:paraId="39EC3FF9" w14:textId="6BF47B2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15" w:type="dxa"/>
            <w:vAlign w:val="bottom"/>
          </w:tcPr>
          <w:p w14:paraId="375EF3F9" w14:textId="1D26A91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r>
      <w:tr w:rsidR="00181D81" w:rsidRPr="00A0555D" w14:paraId="7B096948"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4B034A80"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584DF98C" w14:textId="6F32C53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c>
          <w:tcPr>
            <w:tcW w:w="774" w:type="dxa"/>
            <w:tcBorders>
              <w:top w:val="nil"/>
              <w:left w:val="nil"/>
              <w:bottom w:val="single" w:sz="4" w:space="0" w:color="auto"/>
              <w:right w:val="nil"/>
            </w:tcBorders>
            <w:shd w:val="clear" w:color="auto" w:fill="auto"/>
            <w:noWrap/>
            <w:vAlign w:val="bottom"/>
          </w:tcPr>
          <w:p w14:paraId="426B6306" w14:textId="09C54067"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773" w:type="dxa"/>
            <w:tcBorders>
              <w:top w:val="nil"/>
              <w:left w:val="nil"/>
              <w:bottom w:val="single" w:sz="4" w:space="0" w:color="auto"/>
              <w:right w:val="nil"/>
            </w:tcBorders>
            <w:shd w:val="clear" w:color="auto" w:fill="auto"/>
            <w:noWrap/>
            <w:vAlign w:val="bottom"/>
          </w:tcPr>
          <w:p w14:paraId="2CC2BDFD" w14:textId="6F446C7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c>
          <w:tcPr>
            <w:tcW w:w="845" w:type="dxa"/>
            <w:tcBorders>
              <w:top w:val="nil"/>
              <w:left w:val="nil"/>
              <w:bottom w:val="single" w:sz="4" w:space="0" w:color="auto"/>
              <w:right w:val="nil"/>
            </w:tcBorders>
            <w:shd w:val="clear" w:color="auto" w:fill="auto"/>
            <w:noWrap/>
            <w:vAlign w:val="bottom"/>
          </w:tcPr>
          <w:p w14:paraId="45FF6076" w14:textId="2F02AC5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02" w:type="dxa"/>
            <w:tcBorders>
              <w:top w:val="nil"/>
              <w:left w:val="nil"/>
              <w:bottom w:val="single" w:sz="4" w:space="0" w:color="auto"/>
              <w:right w:val="single" w:sz="4" w:space="0" w:color="auto"/>
            </w:tcBorders>
            <w:shd w:val="clear" w:color="auto" w:fill="auto"/>
            <w:noWrap/>
            <w:vAlign w:val="bottom"/>
          </w:tcPr>
          <w:p w14:paraId="712468A1" w14:textId="01FBCC03"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0.01</w:t>
            </w:r>
          </w:p>
        </w:tc>
        <w:tc>
          <w:tcPr>
            <w:tcW w:w="774" w:type="dxa"/>
            <w:tcBorders>
              <w:left w:val="nil"/>
              <w:bottom w:val="single" w:sz="4" w:space="0" w:color="auto"/>
            </w:tcBorders>
            <w:vAlign w:val="bottom"/>
          </w:tcPr>
          <w:p w14:paraId="1CCED98F" w14:textId="149935D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3" w:type="dxa"/>
            <w:tcBorders>
              <w:bottom w:val="single" w:sz="4" w:space="0" w:color="auto"/>
            </w:tcBorders>
            <w:vAlign w:val="bottom"/>
          </w:tcPr>
          <w:p w14:paraId="467CFA2C" w14:textId="54B2EBC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0.13</w:t>
            </w:r>
          </w:p>
        </w:tc>
        <w:tc>
          <w:tcPr>
            <w:tcW w:w="774" w:type="dxa"/>
            <w:tcBorders>
              <w:bottom w:val="single" w:sz="4" w:space="0" w:color="auto"/>
            </w:tcBorders>
            <w:vAlign w:val="bottom"/>
          </w:tcPr>
          <w:p w14:paraId="43963ECE" w14:textId="2DEF684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0.01</w:t>
            </w:r>
          </w:p>
        </w:tc>
        <w:tc>
          <w:tcPr>
            <w:tcW w:w="847" w:type="dxa"/>
            <w:tcBorders>
              <w:bottom w:val="single" w:sz="4" w:space="0" w:color="auto"/>
            </w:tcBorders>
            <w:vAlign w:val="bottom"/>
          </w:tcPr>
          <w:p w14:paraId="75F42FFC" w14:textId="6F0BB1A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715" w:type="dxa"/>
            <w:tcBorders>
              <w:bottom w:val="single" w:sz="4" w:space="0" w:color="auto"/>
            </w:tcBorders>
            <w:vAlign w:val="bottom"/>
          </w:tcPr>
          <w:p w14:paraId="33E1DDDE" w14:textId="436CCE4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w:t>
            </w:r>
          </w:p>
        </w:tc>
      </w:tr>
      <w:tr w:rsidR="0011335A" w:rsidRPr="00A0555D" w14:paraId="3669F9A1"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3318F4FB" w14:textId="31D442A3" w:rsidR="0011335A" w:rsidRPr="009355EE" w:rsidRDefault="0011335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Daymet</w:t>
            </w:r>
          </w:p>
        </w:tc>
        <w:tc>
          <w:tcPr>
            <w:tcW w:w="774" w:type="dxa"/>
            <w:tcBorders>
              <w:top w:val="single" w:sz="4" w:space="0" w:color="auto"/>
              <w:left w:val="single" w:sz="4" w:space="0" w:color="auto"/>
            </w:tcBorders>
            <w:shd w:val="clear" w:color="auto" w:fill="auto"/>
            <w:vAlign w:val="bottom"/>
          </w:tcPr>
          <w:p w14:paraId="5F7B048B" w14:textId="77777777" w:rsidR="0011335A" w:rsidRPr="006016B0" w:rsidRDefault="0011335A"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0D6A2DA7"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3D661B63" w14:textId="77777777" w:rsidR="0011335A" w:rsidRPr="006016B0" w:rsidRDefault="0011335A"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113575E4" w14:textId="77777777" w:rsidR="0011335A" w:rsidRPr="006016B0" w:rsidRDefault="0011335A"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4AF865E6"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47A526D4"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1A9A5D7F"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2F0199F8" w14:textId="2EABC371"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w:t>
            </w:r>
          </w:p>
        </w:tc>
        <w:tc>
          <w:tcPr>
            <w:tcW w:w="774" w:type="dxa"/>
            <w:tcBorders>
              <w:left w:val="nil"/>
              <w:bottom w:val="nil"/>
              <w:right w:val="nil"/>
            </w:tcBorders>
            <w:shd w:val="clear" w:color="auto" w:fill="auto"/>
            <w:noWrap/>
            <w:vAlign w:val="bottom"/>
          </w:tcPr>
          <w:p w14:paraId="6B7C87D9" w14:textId="0E75831F"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0.12</w:t>
            </w:r>
          </w:p>
        </w:tc>
        <w:tc>
          <w:tcPr>
            <w:tcW w:w="773" w:type="dxa"/>
            <w:tcBorders>
              <w:left w:val="nil"/>
              <w:bottom w:val="nil"/>
              <w:right w:val="nil"/>
            </w:tcBorders>
            <w:shd w:val="clear" w:color="auto" w:fill="auto"/>
            <w:noWrap/>
            <w:vAlign w:val="bottom"/>
          </w:tcPr>
          <w:p w14:paraId="237477FC" w14:textId="4D33F129"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0.06</w:t>
            </w:r>
          </w:p>
        </w:tc>
        <w:tc>
          <w:tcPr>
            <w:tcW w:w="845" w:type="dxa"/>
            <w:tcBorders>
              <w:left w:val="nil"/>
              <w:bottom w:val="nil"/>
              <w:right w:val="nil"/>
            </w:tcBorders>
            <w:shd w:val="clear" w:color="auto" w:fill="auto"/>
            <w:noWrap/>
            <w:vAlign w:val="bottom"/>
          </w:tcPr>
          <w:p w14:paraId="462BC49B" w14:textId="5CB794E0"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702" w:type="dxa"/>
            <w:tcBorders>
              <w:left w:val="nil"/>
              <w:bottom w:val="nil"/>
              <w:right w:val="single" w:sz="4" w:space="0" w:color="auto"/>
            </w:tcBorders>
            <w:shd w:val="clear" w:color="auto" w:fill="auto"/>
            <w:noWrap/>
            <w:vAlign w:val="bottom"/>
          </w:tcPr>
          <w:p w14:paraId="182241C8" w14:textId="09D72D3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774" w:type="dxa"/>
            <w:tcBorders>
              <w:left w:val="nil"/>
            </w:tcBorders>
            <w:vAlign w:val="bottom"/>
          </w:tcPr>
          <w:p w14:paraId="75425677" w14:textId="1EED862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3" w:type="dxa"/>
            <w:vAlign w:val="bottom"/>
          </w:tcPr>
          <w:p w14:paraId="0CFC1802" w14:textId="19400F0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0.12</w:t>
            </w:r>
          </w:p>
        </w:tc>
        <w:tc>
          <w:tcPr>
            <w:tcW w:w="774" w:type="dxa"/>
            <w:vAlign w:val="bottom"/>
          </w:tcPr>
          <w:p w14:paraId="3E31B31C" w14:textId="498CAA3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0.06</w:t>
            </w:r>
          </w:p>
        </w:tc>
        <w:tc>
          <w:tcPr>
            <w:tcW w:w="847" w:type="dxa"/>
            <w:vAlign w:val="bottom"/>
          </w:tcPr>
          <w:p w14:paraId="13B0FD5C" w14:textId="79EFCA6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0.03</w:t>
            </w:r>
          </w:p>
        </w:tc>
        <w:tc>
          <w:tcPr>
            <w:tcW w:w="715" w:type="dxa"/>
            <w:vAlign w:val="bottom"/>
          </w:tcPr>
          <w:p w14:paraId="07F47124" w14:textId="346A44A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r>
      <w:tr w:rsidR="00181D81" w:rsidRPr="00A0555D" w14:paraId="1FA38B7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5CF6810"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20D7E782" w14:textId="6BD8007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0.11</w:t>
            </w:r>
          </w:p>
        </w:tc>
        <w:tc>
          <w:tcPr>
            <w:tcW w:w="774" w:type="dxa"/>
            <w:tcBorders>
              <w:top w:val="nil"/>
              <w:left w:val="nil"/>
              <w:bottom w:val="nil"/>
              <w:right w:val="nil"/>
            </w:tcBorders>
            <w:shd w:val="clear" w:color="auto" w:fill="auto"/>
            <w:noWrap/>
            <w:vAlign w:val="bottom"/>
          </w:tcPr>
          <w:p w14:paraId="15D93AD3" w14:textId="5896107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0.27</w:t>
            </w:r>
          </w:p>
        </w:tc>
        <w:tc>
          <w:tcPr>
            <w:tcW w:w="773" w:type="dxa"/>
            <w:tcBorders>
              <w:top w:val="nil"/>
              <w:left w:val="nil"/>
              <w:bottom w:val="nil"/>
              <w:right w:val="nil"/>
            </w:tcBorders>
            <w:shd w:val="clear" w:color="auto" w:fill="auto"/>
            <w:noWrap/>
            <w:vAlign w:val="bottom"/>
          </w:tcPr>
          <w:p w14:paraId="49B266E6" w14:textId="1001C92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845" w:type="dxa"/>
            <w:tcBorders>
              <w:top w:val="nil"/>
              <w:left w:val="nil"/>
              <w:bottom w:val="nil"/>
              <w:right w:val="nil"/>
            </w:tcBorders>
            <w:shd w:val="clear" w:color="auto" w:fill="auto"/>
            <w:noWrap/>
            <w:vAlign w:val="bottom"/>
          </w:tcPr>
          <w:p w14:paraId="5C2272E0" w14:textId="6E99DBB7"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0.07</w:t>
            </w:r>
          </w:p>
        </w:tc>
        <w:tc>
          <w:tcPr>
            <w:tcW w:w="702" w:type="dxa"/>
            <w:tcBorders>
              <w:top w:val="nil"/>
              <w:left w:val="nil"/>
              <w:bottom w:val="nil"/>
              <w:right w:val="single" w:sz="4" w:space="0" w:color="auto"/>
            </w:tcBorders>
            <w:shd w:val="clear" w:color="auto" w:fill="auto"/>
            <w:noWrap/>
            <w:vAlign w:val="bottom"/>
          </w:tcPr>
          <w:p w14:paraId="309DD5BD" w14:textId="2F8E6137"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0.03</w:t>
            </w:r>
          </w:p>
        </w:tc>
        <w:tc>
          <w:tcPr>
            <w:tcW w:w="774" w:type="dxa"/>
            <w:tcBorders>
              <w:left w:val="nil"/>
            </w:tcBorders>
            <w:vAlign w:val="bottom"/>
          </w:tcPr>
          <w:p w14:paraId="321D8FC0" w14:textId="04344D7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3" w:type="dxa"/>
            <w:vAlign w:val="bottom"/>
          </w:tcPr>
          <w:p w14:paraId="3320754B" w14:textId="658D1AA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0.23</w:t>
            </w:r>
          </w:p>
        </w:tc>
        <w:tc>
          <w:tcPr>
            <w:tcW w:w="774" w:type="dxa"/>
            <w:vAlign w:val="bottom"/>
          </w:tcPr>
          <w:p w14:paraId="7F408F17" w14:textId="7143A67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847" w:type="dxa"/>
            <w:vAlign w:val="bottom"/>
          </w:tcPr>
          <w:p w14:paraId="6ABE652E" w14:textId="022589A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0.12</w:t>
            </w:r>
          </w:p>
        </w:tc>
        <w:tc>
          <w:tcPr>
            <w:tcW w:w="715" w:type="dxa"/>
            <w:vAlign w:val="bottom"/>
          </w:tcPr>
          <w:p w14:paraId="253C916B" w14:textId="4B563FD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w:t>
            </w:r>
          </w:p>
        </w:tc>
      </w:tr>
      <w:tr w:rsidR="00181D81" w:rsidRPr="00A0555D" w14:paraId="1F93768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60293229"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27762D02" w14:textId="46DB9A2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c>
          <w:tcPr>
            <w:tcW w:w="774" w:type="dxa"/>
            <w:tcBorders>
              <w:top w:val="nil"/>
              <w:left w:val="nil"/>
              <w:bottom w:val="nil"/>
              <w:right w:val="nil"/>
            </w:tcBorders>
            <w:shd w:val="clear" w:color="auto" w:fill="auto"/>
            <w:noWrap/>
            <w:vAlign w:val="bottom"/>
          </w:tcPr>
          <w:p w14:paraId="7BA95E98" w14:textId="71B4D65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0.19</w:t>
            </w:r>
          </w:p>
        </w:tc>
        <w:tc>
          <w:tcPr>
            <w:tcW w:w="773" w:type="dxa"/>
            <w:tcBorders>
              <w:top w:val="nil"/>
              <w:left w:val="nil"/>
              <w:bottom w:val="nil"/>
              <w:right w:val="nil"/>
            </w:tcBorders>
            <w:shd w:val="clear" w:color="auto" w:fill="auto"/>
            <w:noWrap/>
            <w:vAlign w:val="bottom"/>
          </w:tcPr>
          <w:p w14:paraId="2B9EE841" w14:textId="418F356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0.12</w:t>
            </w:r>
          </w:p>
        </w:tc>
        <w:tc>
          <w:tcPr>
            <w:tcW w:w="845" w:type="dxa"/>
            <w:tcBorders>
              <w:top w:val="nil"/>
              <w:left w:val="nil"/>
              <w:bottom w:val="nil"/>
              <w:right w:val="nil"/>
            </w:tcBorders>
            <w:shd w:val="clear" w:color="auto" w:fill="auto"/>
            <w:noWrap/>
            <w:vAlign w:val="bottom"/>
          </w:tcPr>
          <w:p w14:paraId="0A40C2FC" w14:textId="2E005EA6"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w:t>
            </w:r>
          </w:p>
        </w:tc>
        <w:tc>
          <w:tcPr>
            <w:tcW w:w="702" w:type="dxa"/>
            <w:tcBorders>
              <w:top w:val="nil"/>
              <w:left w:val="nil"/>
              <w:bottom w:val="nil"/>
              <w:right w:val="single" w:sz="4" w:space="0" w:color="auto"/>
            </w:tcBorders>
            <w:shd w:val="clear" w:color="auto" w:fill="auto"/>
            <w:noWrap/>
            <w:vAlign w:val="bottom"/>
          </w:tcPr>
          <w:p w14:paraId="7184E7F4" w14:textId="4E41F613"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0.02</w:t>
            </w:r>
          </w:p>
        </w:tc>
        <w:tc>
          <w:tcPr>
            <w:tcW w:w="774" w:type="dxa"/>
            <w:tcBorders>
              <w:left w:val="nil"/>
            </w:tcBorders>
            <w:vAlign w:val="bottom"/>
          </w:tcPr>
          <w:p w14:paraId="12C37481" w14:textId="5F3BE2E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3" w:type="dxa"/>
            <w:vAlign w:val="bottom"/>
          </w:tcPr>
          <w:p w14:paraId="6F592BE3" w14:textId="177D185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0.12</w:t>
            </w:r>
          </w:p>
        </w:tc>
        <w:tc>
          <w:tcPr>
            <w:tcW w:w="774" w:type="dxa"/>
            <w:vAlign w:val="bottom"/>
          </w:tcPr>
          <w:p w14:paraId="4AF5980E" w14:textId="351B28E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847" w:type="dxa"/>
            <w:vAlign w:val="bottom"/>
          </w:tcPr>
          <w:p w14:paraId="4AD71CD7" w14:textId="41A8D90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0.04</w:t>
            </w:r>
          </w:p>
        </w:tc>
        <w:tc>
          <w:tcPr>
            <w:tcW w:w="715" w:type="dxa"/>
            <w:vAlign w:val="bottom"/>
          </w:tcPr>
          <w:p w14:paraId="397A3015" w14:textId="3A44F48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0.01</w:t>
            </w:r>
          </w:p>
        </w:tc>
      </w:tr>
      <w:tr w:rsidR="00181D81" w:rsidRPr="00A0555D" w14:paraId="5DEFBF33"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736541B"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A458BD0" w14:textId="6DFC1BD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w:t>
            </w:r>
          </w:p>
        </w:tc>
        <w:tc>
          <w:tcPr>
            <w:tcW w:w="774" w:type="dxa"/>
            <w:tcBorders>
              <w:top w:val="nil"/>
              <w:left w:val="nil"/>
              <w:bottom w:val="nil"/>
              <w:right w:val="nil"/>
            </w:tcBorders>
            <w:shd w:val="clear" w:color="auto" w:fill="auto"/>
            <w:noWrap/>
            <w:vAlign w:val="bottom"/>
          </w:tcPr>
          <w:p w14:paraId="59119C14" w14:textId="67F84526"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0.01</w:t>
            </w:r>
          </w:p>
        </w:tc>
        <w:tc>
          <w:tcPr>
            <w:tcW w:w="773" w:type="dxa"/>
            <w:tcBorders>
              <w:top w:val="nil"/>
              <w:left w:val="nil"/>
              <w:bottom w:val="nil"/>
              <w:right w:val="nil"/>
            </w:tcBorders>
            <w:shd w:val="clear" w:color="auto" w:fill="auto"/>
            <w:noWrap/>
            <w:vAlign w:val="bottom"/>
          </w:tcPr>
          <w:p w14:paraId="139D8C4D" w14:textId="7BC4508E"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0.22</w:t>
            </w:r>
          </w:p>
        </w:tc>
        <w:tc>
          <w:tcPr>
            <w:tcW w:w="845" w:type="dxa"/>
            <w:tcBorders>
              <w:top w:val="nil"/>
              <w:left w:val="nil"/>
              <w:bottom w:val="nil"/>
              <w:right w:val="nil"/>
            </w:tcBorders>
            <w:shd w:val="clear" w:color="auto" w:fill="auto"/>
            <w:noWrap/>
            <w:vAlign w:val="bottom"/>
          </w:tcPr>
          <w:p w14:paraId="1E1C2211" w14:textId="643CB7B0" w:rsidR="00181D81" w:rsidRPr="005D66A1" w:rsidRDefault="00181D81" w:rsidP="005D66A1">
            <w:pPr>
              <w:tabs>
                <w:tab w:val="decimal" w:pos="262"/>
              </w:tabs>
              <w:spacing w:before="0" w:after="0" w:line="240" w:lineRule="auto"/>
              <w:ind w:firstLine="0"/>
              <w:rPr>
                <w:color w:val="000000"/>
                <w:sz w:val="16"/>
                <w:szCs w:val="16"/>
              </w:rPr>
            </w:pPr>
            <w:r w:rsidRPr="00181D81">
              <w:rPr>
                <w:color w:val="000000"/>
                <w:sz w:val="16"/>
                <w:szCs w:val="16"/>
              </w:rPr>
              <w:t>0.10</w:t>
            </w:r>
          </w:p>
        </w:tc>
        <w:tc>
          <w:tcPr>
            <w:tcW w:w="702" w:type="dxa"/>
            <w:tcBorders>
              <w:top w:val="nil"/>
              <w:left w:val="nil"/>
              <w:bottom w:val="nil"/>
              <w:right w:val="single" w:sz="4" w:space="0" w:color="auto"/>
            </w:tcBorders>
            <w:shd w:val="clear" w:color="auto" w:fill="auto"/>
            <w:noWrap/>
            <w:vAlign w:val="bottom"/>
          </w:tcPr>
          <w:p w14:paraId="3853B394" w14:textId="35534EC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774" w:type="dxa"/>
            <w:tcBorders>
              <w:left w:val="nil"/>
            </w:tcBorders>
            <w:vAlign w:val="bottom"/>
          </w:tcPr>
          <w:p w14:paraId="7E1D0097" w14:textId="5802C1A6"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0.04</w:t>
            </w:r>
          </w:p>
        </w:tc>
        <w:tc>
          <w:tcPr>
            <w:tcW w:w="773" w:type="dxa"/>
            <w:vAlign w:val="bottom"/>
          </w:tcPr>
          <w:p w14:paraId="39AC9A2A" w14:textId="04DBF4B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0.02</w:t>
            </w:r>
          </w:p>
        </w:tc>
        <w:tc>
          <w:tcPr>
            <w:tcW w:w="774" w:type="dxa"/>
            <w:vAlign w:val="bottom"/>
          </w:tcPr>
          <w:p w14:paraId="2DA31A18" w14:textId="7CCBD97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847" w:type="dxa"/>
            <w:vAlign w:val="bottom"/>
          </w:tcPr>
          <w:p w14:paraId="652CE694" w14:textId="188151C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0.11</w:t>
            </w:r>
          </w:p>
        </w:tc>
        <w:tc>
          <w:tcPr>
            <w:tcW w:w="715" w:type="dxa"/>
            <w:vAlign w:val="bottom"/>
          </w:tcPr>
          <w:p w14:paraId="0696B022" w14:textId="3362941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0.06</w:t>
            </w:r>
          </w:p>
        </w:tc>
      </w:tr>
      <w:tr w:rsidR="00181D81" w:rsidRPr="00A0555D" w14:paraId="42AA2597"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186DFD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3E472768" w14:textId="67D89C9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774" w:type="dxa"/>
            <w:tcBorders>
              <w:top w:val="nil"/>
              <w:left w:val="nil"/>
              <w:bottom w:val="nil"/>
              <w:right w:val="nil"/>
            </w:tcBorders>
            <w:shd w:val="clear" w:color="auto" w:fill="auto"/>
            <w:noWrap/>
            <w:vAlign w:val="bottom"/>
          </w:tcPr>
          <w:p w14:paraId="4ABF9FDD" w14:textId="7BFCED7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w:t>
            </w:r>
          </w:p>
        </w:tc>
        <w:tc>
          <w:tcPr>
            <w:tcW w:w="773" w:type="dxa"/>
            <w:tcBorders>
              <w:top w:val="nil"/>
              <w:left w:val="nil"/>
              <w:bottom w:val="nil"/>
              <w:right w:val="nil"/>
            </w:tcBorders>
            <w:shd w:val="clear" w:color="auto" w:fill="auto"/>
            <w:noWrap/>
            <w:vAlign w:val="bottom"/>
          </w:tcPr>
          <w:p w14:paraId="3464CE62" w14:textId="312F553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w:t>
            </w:r>
          </w:p>
        </w:tc>
        <w:tc>
          <w:tcPr>
            <w:tcW w:w="845" w:type="dxa"/>
            <w:tcBorders>
              <w:top w:val="nil"/>
              <w:left w:val="nil"/>
              <w:bottom w:val="nil"/>
              <w:right w:val="nil"/>
            </w:tcBorders>
            <w:shd w:val="clear" w:color="auto" w:fill="auto"/>
            <w:noWrap/>
            <w:vAlign w:val="bottom"/>
          </w:tcPr>
          <w:p w14:paraId="1A4E4B10" w14:textId="7FE5B8A2"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c>
          <w:tcPr>
            <w:tcW w:w="702" w:type="dxa"/>
            <w:tcBorders>
              <w:top w:val="nil"/>
              <w:left w:val="nil"/>
              <w:bottom w:val="nil"/>
              <w:right w:val="single" w:sz="4" w:space="0" w:color="auto"/>
            </w:tcBorders>
            <w:shd w:val="clear" w:color="auto" w:fill="auto"/>
            <w:noWrap/>
            <w:vAlign w:val="bottom"/>
          </w:tcPr>
          <w:p w14:paraId="48A266E6" w14:textId="2AE916E3"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0.14</w:t>
            </w:r>
          </w:p>
        </w:tc>
        <w:tc>
          <w:tcPr>
            <w:tcW w:w="774" w:type="dxa"/>
            <w:tcBorders>
              <w:left w:val="nil"/>
            </w:tcBorders>
            <w:vAlign w:val="bottom"/>
          </w:tcPr>
          <w:p w14:paraId="19526757" w14:textId="4B1FDC0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3" w:type="dxa"/>
            <w:vAlign w:val="bottom"/>
          </w:tcPr>
          <w:p w14:paraId="095329A9" w14:textId="2047EE8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0.04</w:t>
            </w:r>
          </w:p>
        </w:tc>
        <w:tc>
          <w:tcPr>
            <w:tcW w:w="774" w:type="dxa"/>
            <w:vAlign w:val="bottom"/>
          </w:tcPr>
          <w:p w14:paraId="5671DC95" w14:textId="0296748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c>
          <w:tcPr>
            <w:tcW w:w="847" w:type="dxa"/>
            <w:vAlign w:val="bottom"/>
          </w:tcPr>
          <w:p w14:paraId="69283610" w14:textId="2BD6256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0.04</w:t>
            </w:r>
          </w:p>
        </w:tc>
        <w:tc>
          <w:tcPr>
            <w:tcW w:w="715" w:type="dxa"/>
            <w:vAlign w:val="bottom"/>
          </w:tcPr>
          <w:p w14:paraId="46AF0045" w14:textId="61023850"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0.12</w:t>
            </w:r>
          </w:p>
        </w:tc>
      </w:tr>
      <w:tr w:rsidR="00181D81" w:rsidRPr="00A0555D" w14:paraId="418B72E4"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1470F97C"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4D1FC58A" w14:textId="2D372EE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0.11</w:t>
            </w:r>
          </w:p>
        </w:tc>
        <w:tc>
          <w:tcPr>
            <w:tcW w:w="774" w:type="dxa"/>
            <w:tcBorders>
              <w:top w:val="nil"/>
              <w:left w:val="nil"/>
              <w:bottom w:val="single" w:sz="4" w:space="0" w:color="auto"/>
              <w:right w:val="nil"/>
            </w:tcBorders>
            <w:shd w:val="clear" w:color="auto" w:fill="auto"/>
            <w:noWrap/>
            <w:vAlign w:val="bottom"/>
          </w:tcPr>
          <w:p w14:paraId="56EA2183" w14:textId="390F3C98"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0.20</w:t>
            </w:r>
          </w:p>
        </w:tc>
        <w:tc>
          <w:tcPr>
            <w:tcW w:w="773" w:type="dxa"/>
            <w:tcBorders>
              <w:top w:val="nil"/>
              <w:left w:val="nil"/>
              <w:bottom w:val="single" w:sz="4" w:space="0" w:color="auto"/>
              <w:right w:val="nil"/>
            </w:tcBorders>
            <w:shd w:val="clear" w:color="auto" w:fill="auto"/>
            <w:noWrap/>
            <w:vAlign w:val="bottom"/>
          </w:tcPr>
          <w:p w14:paraId="6F148B62" w14:textId="1894638B"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c>
          <w:tcPr>
            <w:tcW w:w="845" w:type="dxa"/>
            <w:tcBorders>
              <w:top w:val="nil"/>
              <w:left w:val="nil"/>
              <w:bottom w:val="single" w:sz="4" w:space="0" w:color="auto"/>
              <w:right w:val="nil"/>
            </w:tcBorders>
            <w:shd w:val="clear" w:color="auto" w:fill="auto"/>
            <w:noWrap/>
            <w:vAlign w:val="bottom"/>
          </w:tcPr>
          <w:p w14:paraId="023424EB" w14:textId="0FBB9A8C"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w:t>
            </w:r>
          </w:p>
        </w:tc>
        <w:tc>
          <w:tcPr>
            <w:tcW w:w="702" w:type="dxa"/>
            <w:tcBorders>
              <w:top w:val="nil"/>
              <w:left w:val="nil"/>
              <w:bottom w:val="single" w:sz="4" w:space="0" w:color="auto"/>
              <w:right w:val="single" w:sz="4" w:space="0" w:color="auto"/>
            </w:tcBorders>
            <w:shd w:val="clear" w:color="auto" w:fill="auto"/>
            <w:noWrap/>
            <w:vAlign w:val="bottom"/>
          </w:tcPr>
          <w:p w14:paraId="2578F7A8" w14:textId="2B24B88A" w:rsidR="00181D81" w:rsidRPr="005D66A1" w:rsidRDefault="005D66A1" w:rsidP="005D66A1">
            <w:pPr>
              <w:tabs>
                <w:tab w:val="decimal" w:pos="26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4" w:type="dxa"/>
            <w:tcBorders>
              <w:left w:val="nil"/>
              <w:bottom w:val="single" w:sz="4" w:space="0" w:color="auto"/>
            </w:tcBorders>
            <w:vAlign w:val="bottom"/>
          </w:tcPr>
          <w:p w14:paraId="2CC1A8EC" w14:textId="3AC84B2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0.08</w:t>
            </w:r>
          </w:p>
        </w:tc>
        <w:tc>
          <w:tcPr>
            <w:tcW w:w="773" w:type="dxa"/>
            <w:tcBorders>
              <w:bottom w:val="single" w:sz="4" w:space="0" w:color="auto"/>
            </w:tcBorders>
            <w:vAlign w:val="bottom"/>
          </w:tcPr>
          <w:p w14:paraId="1C7A3BC1" w14:textId="30F7891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0.13</w:t>
            </w:r>
          </w:p>
        </w:tc>
        <w:tc>
          <w:tcPr>
            <w:tcW w:w="774" w:type="dxa"/>
            <w:tcBorders>
              <w:bottom w:val="single" w:sz="4" w:space="0" w:color="auto"/>
            </w:tcBorders>
            <w:vAlign w:val="bottom"/>
          </w:tcPr>
          <w:p w14:paraId="185322AC" w14:textId="2352BEC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847" w:type="dxa"/>
            <w:tcBorders>
              <w:bottom w:val="single" w:sz="4" w:space="0" w:color="auto"/>
            </w:tcBorders>
            <w:vAlign w:val="bottom"/>
          </w:tcPr>
          <w:p w14:paraId="4865E5DE" w14:textId="386D8B1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w:t>
            </w:r>
          </w:p>
        </w:tc>
        <w:tc>
          <w:tcPr>
            <w:tcW w:w="715" w:type="dxa"/>
            <w:tcBorders>
              <w:bottom w:val="single" w:sz="4" w:space="0" w:color="auto"/>
            </w:tcBorders>
            <w:vAlign w:val="bottom"/>
          </w:tcPr>
          <w:p w14:paraId="08305722" w14:textId="5D7DF76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0.09</w:t>
            </w:r>
          </w:p>
        </w:tc>
      </w:tr>
    </w:tbl>
    <w:p w14:paraId="1DC36FDE" w14:textId="77777777" w:rsidR="0011335A" w:rsidRPr="009D4948" w:rsidRDefault="0011335A" w:rsidP="0011335A">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774"/>
        <w:gridCol w:w="774"/>
        <w:gridCol w:w="880"/>
      </w:tblGrid>
      <w:tr w:rsidR="0011335A" w:rsidRPr="00A0555D" w14:paraId="07FB45A5" w14:textId="77777777" w:rsidTr="0011335A">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6DA765B9"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9F64E63" w14:textId="44890289" w:rsidR="0011335A" w:rsidRPr="00A0555D" w:rsidRDefault="00BD0EBA" w:rsidP="0011335A">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w:t>
            </w:r>
            <w:r w:rsidR="0011335A" w:rsidRPr="0011335A">
              <w:rPr>
                <w:rFonts w:eastAsia="Times New Roman"/>
                <w:b/>
                <w:bCs/>
                <w:color w:val="000000"/>
                <w:sz w:val="16"/>
                <w:szCs w:val="16"/>
                <w:lang w:bidi="ar-SA"/>
              </w:rPr>
              <w:t xml:space="preserve"> (</w:t>
            </w:r>
            <w:r w:rsidR="00BC3DBB">
              <w:rPr>
                <w:rFonts w:eastAsia="Times New Roman"/>
                <w:b/>
                <w:bCs/>
                <w:color w:val="000000"/>
                <w:sz w:val="16"/>
                <w:szCs w:val="16"/>
                <w:lang w:bidi="ar-SA"/>
              </w:rPr>
              <w:t>in</w:t>
            </w:r>
            <w:r>
              <w:rPr>
                <w:rFonts w:eastAsia="Times New Roman"/>
                <w:b/>
                <w:bCs/>
                <w:color w:val="000000"/>
                <w:sz w:val="16"/>
                <w:szCs w:val="16"/>
                <w:lang w:bidi="ar-SA"/>
              </w:rPr>
              <w:t>.</w:t>
            </w:r>
            <w:r w:rsidR="0011335A" w:rsidRPr="0011335A">
              <w:rPr>
                <w:rFonts w:eastAsia="Times New Roman"/>
                <w:b/>
                <w:bCs/>
                <w:color w:val="000000"/>
                <w:sz w:val="16"/>
                <w:szCs w:val="16"/>
                <w:lang w:bidi="ar-SA"/>
              </w:rPr>
              <w:t>/day)</w:t>
            </w:r>
          </w:p>
        </w:tc>
        <w:tc>
          <w:tcPr>
            <w:tcW w:w="774" w:type="dxa"/>
            <w:tcBorders>
              <w:top w:val="single" w:sz="4" w:space="0" w:color="auto"/>
              <w:left w:val="nil"/>
              <w:bottom w:val="single" w:sz="4" w:space="0" w:color="auto"/>
              <w:right w:val="single" w:sz="4" w:space="0" w:color="auto"/>
            </w:tcBorders>
            <w:vAlign w:val="center"/>
          </w:tcPr>
          <w:p w14:paraId="092A0043" w14:textId="52761137" w:rsidR="0011335A" w:rsidRPr="005447C1" w:rsidRDefault="0011335A" w:rsidP="00BD0EBA">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T95</w:t>
            </w:r>
            <w:r w:rsidR="00BD0EBA">
              <w:rPr>
                <w:b/>
                <w:bCs/>
                <w:color w:val="000000"/>
                <w:sz w:val="16"/>
                <w:szCs w:val="16"/>
              </w:rPr>
              <w:t xml:space="preserve"> </w:t>
            </w:r>
            <w:r w:rsidRPr="0011335A">
              <w:rPr>
                <w:rFonts w:hint="eastAsia"/>
                <w:b/>
                <w:bCs/>
                <w:color w:val="000000"/>
                <w:sz w:val="16"/>
                <w:szCs w:val="16"/>
              </w:rPr>
              <w:t>(</w:t>
            </w:r>
            <w:r w:rsidR="00BD0EBA">
              <w:rPr>
                <w:b/>
                <w:bCs/>
                <w:color w:val="000000"/>
                <w:sz w:val="16"/>
                <w:szCs w:val="16"/>
              </w:rPr>
              <w:t>°</w:t>
            </w:r>
            <w:r w:rsidR="00181D81">
              <w:rPr>
                <w:rFonts w:hint="eastAsia"/>
                <w:b/>
                <w:bCs/>
                <w:color w:val="000000"/>
                <w:sz w:val="16"/>
                <w:szCs w:val="16"/>
              </w:rPr>
              <w:t>F</w:t>
            </w:r>
            <w:r w:rsidRPr="0011335A">
              <w:rPr>
                <w:rFonts w:hint="eastAsia"/>
                <w:b/>
                <w:bCs/>
                <w:color w:val="000000"/>
                <w:sz w:val="16"/>
                <w:szCs w:val="16"/>
              </w:rPr>
              <w:t>)</w:t>
            </w:r>
          </w:p>
        </w:tc>
        <w:tc>
          <w:tcPr>
            <w:tcW w:w="774" w:type="dxa"/>
            <w:tcBorders>
              <w:top w:val="single" w:sz="4" w:space="0" w:color="auto"/>
              <w:left w:val="single" w:sz="4" w:space="0" w:color="auto"/>
              <w:bottom w:val="single" w:sz="4" w:space="0" w:color="auto"/>
              <w:right w:val="single" w:sz="4" w:space="0" w:color="auto"/>
            </w:tcBorders>
            <w:vAlign w:val="center"/>
          </w:tcPr>
          <w:p w14:paraId="2B58CB14" w14:textId="14E10F46" w:rsidR="0011335A" w:rsidRPr="005447C1" w:rsidRDefault="0011335A" w:rsidP="00BD0EBA">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T05</w:t>
            </w:r>
            <w:r w:rsidR="00BD0EBA">
              <w:rPr>
                <w:b/>
                <w:bCs/>
                <w:color w:val="000000"/>
                <w:sz w:val="16"/>
                <w:szCs w:val="16"/>
              </w:rPr>
              <w:t xml:space="preserve"> </w:t>
            </w:r>
            <w:r w:rsidRPr="0011335A">
              <w:rPr>
                <w:rFonts w:hint="eastAsia"/>
                <w:b/>
                <w:bCs/>
                <w:color w:val="000000"/>
                <w:sz w:val="16"/>
                <w:szCs w:val="16"/>
              </w:rPr>
              <w:t>(</w:t>
            </w:r>
            <w:r w:rsidR="00BD0EBA">
              <w:rPr>
                <w:b/>
                <w:bCs/>
                <w:color w:val="000000"/>
                <w:sz w:val="16"/>
                <w:szCs w:val="16"/>
              </w:rPr>
              <w:t>°</w:t>
            </w:r>
            <w:r w:rsidR="00181D81">
              <w:rPr>
                <w:rFonts w:hint="eastAsia"/>
                <w:b/>
                <w:bCs/>
                <w:color w:val="000000"/>
                <w:sz w:val="16"/>
                <w:szCs w:val="16"/>
              </w:rPr>
              <w:t>F</w:t>
            </w:r>
            <w:r w:rsidRPr="0011335A">
              <w:rPr>
                <w:rFonts w:hint="eastAsia"/>
                <w:b/>
                <w:bCs/>
                <w:color w:val="000000"/>
                <w:sz w:val="16"/>
                <w:szCs w:val="16"/>
              </w:rPr>
              <w:t>)</w:t>
            </w:r>
          </w:p>
        </w:tc>
        <w:tc>
          <w:tcPr>
            <w:tcW w:w="77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87395B6" w14:textId="57330C9F" w:rsidR="0011335A" w:rsidRPr="005447C1" w:rsidRDefault="0011335A" w:rsidP="00BD0EBA">
            <w:pPr>
              <w:spacing w:before="0" w:after="0" w:line="240" w:lineRule="auto"/>
              <w:ind w:firstLine="0"/>
              <w:jc w:val="center"/>
              <w:rPr>
                <w:rFonts w:eastAsia="Times New Roman"/>
                <w:b/>
                <w:bCs/>
                <w:color w:val="000000"/>
                <w:sz w:val="16"/>
                <w:szCs w:val="16"/>
                <w:lang w:bidi="ar-SA"/>
              </w:rPr>
            </w:pPr>
            <w:r w:rsidRPr="005447C1">
              <w:rPr>
                <w:b/>
                <w:bCs/>
                <w:color w:val="000000"/>
                <w:sz w:val="16"/>
                <w:szCs w:val="16"/>
              </w:rPr>
              <w:t>P95</w:t>
            </w:r>
            <w:r w:rsidR="00BD0EBA">
              <w:rPr>
                <w:b/>
                <w:bCs/>
                <w:color w:val="000000"/>
                <w:sz w:val="16"/>
                <w:szCs w:val="16"/>
              </w:rPr>
              <w:t xml:space="preserve"> </w:t>
            </w:r>
            <w:r w:rsidRPr="0011335A">
              <w:rPr>
                <w:rFonts w:eastAsia="Times New Roman"/>
                <w:b/>
                <w:bCs/>
                <w:color w:val="000000"/>
                <w:sz w:val="16"/>
                <w:szCs w:val="16"/>
                <w:lang w:bidi="ar-SA"/>
              </w:rPr>
              <w:t>(</w:t>
            </w:r>
            <w:r w:rsidR="00BC3DBB">
              <w:rPr>
                <w:rFonts w:eastAsia="Times New Roman"/>
                <w:b/>
                <w:bCs/>
                <w:color w:val="000000"/>
                <w:sz w:val="16"/>
                <w:szCs w:val="16"/>
                <w:lang w:bidi="ar-SA"/>
              </w:rPr>
              <w:t>in</w:t>
            </w:r>
            <w:r w:rsidR="00BD0EBA">
              <w:rPr>
                <w:rFonts w:eastAsia="Times New Roman"/>
                <w:b/>
                <w:bCs/>
                <w:color w:val="000000"/>
                <w:sz w:val="16"/>
                <w:szCs w:val="16"/>
                <w:lang w:bidi="ar-SA"/>
              </w:rPr>
              <w:t>.</w:t>
            </w:r>
            <w:r w:rsidRPr="0011335A">
              <w:rPr>
                <w:rFonts w:eastAsia="Times New Roman"/>
                <w:b/>
                <w:bCs/>
                <w:color w:val="000000"/>
                <w:sz w:val="16"/>
                <w:szCs w:val="16"/>
                <w:lang w:bidi="ar-SA"/>
              </w:rPr>
              <w:t>/day)</w:t>
            </w:r>
          </w:p>
        </w:tc>
        <w:tc>
          <w:tcPr>
            <w:tcW w:w="774" w:type="dxa"/>
            <w:tcBorders>
              <w:top w:val="single" w:sz="4" w:space="0" w:color="auto"/>
              <w:left w:val="single" w:sz="4" w:space="0" w:color="auto"/>
              <w:bottom w:val="single" w:sz="4" w:space="0" w:color="auto"/>
              <w:right w:val="single" w:sz="4" w:space="0" w:color="auto"/>
            </w:tcBorders>
            <w:vAlign w:val="center"/>
          </w:tcPr>
          <w:p w14:paraId="5543199E" w14:textId="77777777" w:rsidR="0011335A" w:rsidRPr="005447C1" w:rsidRDefault="0011335A" w:rsidP="0011335A">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center"/>
          </w:tcPr>
          <w:p w14:paraId="0A3AAC93" w14:textId="77777777" w:rsidR="0011335A" w:rsidRPr="005447C1" w:rsidRDefault="0011335A" w:rsidP="0011335A">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11335A" w:rsidRPr="00A0555D" w14:paraId="6405C1C7" w14:textId="77777777" w:rsidTr="00A13B8D">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4DAB6DEF" w14:textId="77777777" w:rsidR="0011335A" w:rsidRPr="00A0555D" w:rsidRDefault="0011335A" w:rsidP="00874FCF">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44A53CFF"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1221CDF1"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35E65F15"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61DA7BDF" w14:textId="52705133" w:rsidR="0011335A" w:rsidRPr="00A0555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15CF12A6"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440B2EB7"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7C0BF619"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71ED1231"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2EDFDE68" w14:textId="77777777" w:rsidR="0011335A" w:rsidRPr="00A0555D" w:rsidRDefault="0011335A" w:rsidP="00874FCF">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5D641851"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11335A" w:rsidRPr="00A0555D" w14:paraId="28C2D6C9"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BE7CDC7" w14:textId="77777777" w:rsidR="0011335A" w:rsidRPr="00A0555D" w:rsidRDefault="0011335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16CE2702"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7DBB37C9"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125825D7"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5AB05A7B"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3A8C156C"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2B1EA9ED"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5269ACD5"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3B184903"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2DB5C591"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31691E79" w14:textId="77777777" w:rsidR="0011335A" w:rsidRPr="00A0555D" w:rsidRDefault="0011335A" w:rsidP="00874FCF">
            <w:pPr>
              <w:spacing w:before="0" w:after="0" w:line="240" w:lineRule="auto"/>
              <w:ind w:firstLine="0"/>
              <w:jc w:val="center"/>
              <w:rPr>
                <w:rFonts w:eastAsia="Times New Roman"/>
                <w:b/>
                <w:bCs/>
                <w:color w:val="000000"/>
                <w:sz w:val="16"/>
                <w:szCs w:val="16"/>
                <w:lang w:bidi="ar-SA"/>
              </w:rPr>
            </w:pPr>
          </w:p>
        </w:tc>
      </w:tr>
      <w:tr w:rsidR="00181D81" w:rsidRPr="00A0555D" w14:paraId="0EF22CBF"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55B693CB"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5850A41E" w14:textId="3D47E6FC"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0.012</w:t>
            </w:r>
          </w:p>
        </w:tc>
        <w:tc>
          <w:tcPr>
            <w:tcW w:w="774" w:type="dxa"/>
            <w:tcBorders>
              <w:top w:val="nil"/>
              <w:left w:val="nil"/>
              <w:bottom w:val="nil"/>
              <w:right w:val="nil"/>
            </w:tcBorders>
            <w:shd w:val="clear" w:color="auto" w:fill="auto"/>
            <w:noWrap/>
            <w:vAlign w:val="bottom"/>
          </w:tcPr>
          <w:p w14:paraId="28B4F6C8" w14:textId="4D4D63B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0.010</w:t>
            </w:r>
          </w:p>
        </w:tc>
        <w:tc>
          <w:tcPr>
            <w:tcW w:w="773" w:type="dxa"/>
            <w:tcBorders>
              <w:top w:val="nil"/>
              <w:left w:val="nil"/>
              <w:bottom w:val="nil"/>
              <w:right w:val="nil"/>
            </w:tcBorders>
            <w:shd w:val="clear" w:color="auto" w:fill="auto"/>
            <w:noWrap/>
            <w:vAlign w:val="bottom"/>
          </w:tcPr>
          <w:p w14:paraId="416C0F01" w14:textId="51217C5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0.020</w:t>
            </w:r>
          </w:p>
        </w:tc>
        <w:tc>
          <w:tcPr>
            <w:tcW w:w="843" w:type="dxa"/>
            <w:tcBorders>
              <w:top w:val="nil"/>
              <w:left w:val="nil"/>
              <w:bottom w:val="nil"/>
              <w:right w:val="nil"/>
            </w:tcBorders>
            <w:shd w:val="clear" w:color="auto" w:fill="auto"/>
            <w:noWrap/>
            <w:vAlign w:val="bottom"/>
          </w:tcPr>
          <w:p w14:paraId="6988639D" w14:textId="12738DB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0.008</w:t>
            </w:r>
          </w:p>
        </w:tc>
        <w:tc>
          <w:tcPr>
            <w:tcW w:w="704" w:type="dxa"/>
            <w:tcBorders>
              <w:top w:val="nil"/>
              <w:left w:val="nil"/>
              <w:bottom w:val="nil"/>
              <w:right w:val="single" w:sz="4" w:space="0" w:color="auto"/>
            </w:tcBorders>
            <w:shd w:val="clear" w:color="auto" w:fill="auto"/>
            <w:noWrap/>
            <w:vAlign w:val="bottom"/>
          </w:tcPr>
          <w:p w14:paraId="30627E77" w14:textId="05A31BA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0.008</w:t>
            </w:r>
          </w:p>
        </w:tc>
        <w:tc>
          <w:tcPr>
            <w:tcW w:w="774" w:type="dxa"/>
            <w:tcBorders>
              <w:left w:val="nil"/>
              <w:right w:val="single" w:sz="4" w:space="0" w:color="auto"/>
            </w:tcBorders>
            <w:vAlign w:val="bottom"/>
          </w:tcPr>
          <w:p w14:paraId="4D9A5B72" w14:textId="5C781B3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1.95</w:t>
            </w:r>
          </w:p>
        </w:tc>
        <w:tc>
          <w:tcPr>
            <w:tcW w:w="774" w:type="dxa"/>
            <w:tcBorders>
              <w:left w:val="single" w:sz="4" w:space="0" w:color="auto"/>
              <w:right w:val="single" w:sz="4" w:space="0" w:color="auto"/>
            </w:tcBorders>
            <w:vAlign w:val="bottom"/>
          </w:tcPr>
          <w:p w14:paraId="35B2F171" w14:textId="308475D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3.43</w:t>
            </w:r>
          </w:p>
        </w:tc>
        <w:tc>
          <w:tcPr>
            <w:tcW w:w="774" w:type="dxa"/>
            <w:tcBorders>
              <w:left w:val="single" w:sz="4" w:space="0" w:color="auto"/>
              <w:right w:val="single" w:sz="4" w:space="0" w:color="auto"/>
            </w:tcBorders>
            <w:vAlign w:val="bottom"/>
          </w:tcPr>
          <w:p w14:paraId="2CE54B67" w14:textId="06B8AC3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0.194</w:t>
            </w:r>
          </w:p>
        </w:tc>
        <w:tc>
          <w:tcPr>
            <w:tcW w:w="774" w:type="dxa"/>
            <w:tcBorders>
              <w:left w:val="single" w:sz="4" w:space="0" w:color="auto"/>
              <w:right w:val="single" w:sz="4" w:space="0" w:color="auto"/>
            </w:tcBorders>
            <w:vAlign w:val="bottom"/>
          </w:tcPr>
          <w:p w14:paraId="738A6F9A" w14:textId="07C2299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41.45</w:t>
            </w:r>
          </w:p>
        </w:tc>
        <w:tc>
          <w:tcPr>
            <w:tcW w:w="880" w:type="dxa"/>
            <w:tcBorders>
              <w:left w:val="single" w:sz="4" w:space="0" w:color="auto"/>
            </w:tcBorders>
            <w:vAlign w:val="bottom"/>
          </w:tcPr>
          <w:p w14:paraId="20E86833" w14:textId="75B3FD1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11.19</w:t>
            </w:r>
          </w:p>
        </w:tc>
      </w:tr>
      <w:tr w:rsidR="00181D81" w:rsidRPr="00A0555D" w14:paraId="790C714F"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BAB420C"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7411BC12" w14:textId="15015B43"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0.003</w:t>
            </w:r>
          </w:p>
        </w:tc>
        <w:tc>
          <w:tcPr>
            <w:tcW w:w="774" w:type="dxa"/>
            <w:tcBorders>
              <w:top w:val="nil"/>
              <w:left w:val="nil"/>
              <w:bottom w:val="nil"/>
              <w:right w:val="nil"/>
            </w:tcBorders>
            <w:shd w:val="clear" w:color="auto" w:fill="auto"/>
            <w:noWrap/>
            <w:vAlign w:val="bottom"/>
          </w:tcPr>
          <w:p w14:paraId="6768E62A" w14:textId="4AECC68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0.013</w:t>
            </w:r>
          </w:p>
        </w:tc>
        <w:tc>
          <w:tcPr>
            <w:tcW w:w="773" w:type="dxa"/>
            <w:tcBorders>
              <w:top w:val="nil"/>
              <w:left w:val="nil"/>
              <w:bottom w:val="nil"/>
              <w:right w:val="nil"/>
            </w:tcBorders>
            <w:shd w:val="clear" w:color="auto" w:fill="auto"/>
            <w:noWrap/>
            <w:vAlign w:val="bottom"/>
          </w:tcPr>
          <w:p w14:paraId="3E52BB31" w14:textId="5205E38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06E409CA" w14:textId="7016CF36"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0.025</w:t>
            </w:r>
          </w:p>
        </w:tc>
        <w:tc>
          <w:tcPr>
            <w:tcW w:w="704" w:type="dxa"/>
            <w:tcBorders>
              <w:top w:val="nil"/>
              <w:left w:val="nil"/>
              <w:bottom w:val="nil"/>
              <w:right w:val="single" w:sz="4" w:space="0" w:color="auto"/>
            </w:tcBorders>
            <w:shd w:val="clear" w:color="auto" w:fill="auto"/>
            <w:noWrap/>
            <w:vAlign w:val="bottom"/>
          </w:tcPr>
          <w:p w14:paraId="75584CB1" w14:textId="36183B76"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0.002</w:t>
            </w:r>
          </w:p>
        </w:tc>
        <w:tc>
          <w:tcPr>
            <w:tcW w:w="774" w:type="dxa"/>
            <w:tcBorders>
              <w:left w:val="nil"/>
              <w:right w:val="single" w:sz="4" w:space="0" w:color="auto"/>
            </w:tcBorders>
            <w:vAlign w:val="bottom"/>
          </w:tcPr>
          <w:p w14:paraId="578318FC" w14:textId="590B8DE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7.05</w:t>
            </w:r>
          </w:p>
        </w:tc>
        <w:tc>
          <w:tcPr>
            <w:tcW w:w="774" w:type="dxa"/>
            <w:tcBorders>
              <w:left w:val="single" w:sz="4" w:space="0" w:color="auto"/>
              <w:right w:val="single" w:sz="4" w:space="0" w:color="auto"/>
            </w:tcBorders>
            <w:vAlign w:val="bottom"/>
          </w:tcPr>
          <w:p w14:paraId="5B6270F5" w14:textId="5AADE69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2.52</w:t>
            </w:r>
          </w:p>
        </w:tc>
        <w:tc>
          <w:tcPr>
            <w:tcW w:w="774" w:type="dxa"/>
            <w:tcBorders>
              <w:left w:val="single" w:sz="4" w:space="0" w:color="auto"/>
              <w:right w:val="single" w:sz="4" w:space="0" w:color="auto"/>
            </w:tcBorders>
            <w:vAlign w:val="bottom"/>
          </w:tcPr>
          <w:p w14:paraId="6A94590B" w14:textId="5C7549E9"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0.292</w:t>
            </w:r>
          </w:p>
        </w:tc>
        <w:tc>
          <w:tcPr>
            <w:tcW w:w="774" w:type="dxa"/>
            <w:tcBorders>
              <w:left w:val="single" w:sz="4" w:space="0" w:color="auto"/>
              <w:right w:val="single" w:sz="4" w:space="0" w:color="auto"/>
            </w:tcBorders>
            <w:vAlign w:val="bottom"/>
          </w:tcPr>
          <w:p w14:paraId="5828E65E" w14:textId="37BE21D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38.67</w:t>
            </w:r>
          </w:p>
        </w:tc>
        <w:tc>
          <w:tcPr>
            <w:tcW w:w="880" w:type="dxa"/>
            <w:tcBorders>
              <w:left w:val="single" w:sz="4" w:space="0" w:color="auto"/>
            </w:tcBorders>
            <w:vAlign w:val="bottom"/>
          </w:tcPr>
          <w:p w14:paraId="341A8927" w14:textId="1AA15BE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17.94</w:t>
            </w:r>
          </w:p>
        </w:tc>
      </w:tr>
      <w:tr w:rsidR="00181D81" w:rsidRPr="00A0555D" w14:paraId="6D27DE6E"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6D63E33A"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2C1107E8" w14:textId="3AE9193D"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0.009</w:t>
            </w:r>
          </w:p>
        </w:tc>
        <w:tc>
          <w:tcPr>
            <w:tcW w:w="774" w:type="dxa"/>
            <w:tcBorders>
              <w:top w:val="nil"/>
              <w:left w:val="nil"/>
              <w:bottom w:val="nil"/>
              <w:right w:val="nil"/>
            </w:tcBorders>
            <w:shd w:val="clear" w:color="auto" w:fill="auto"/>
            <w:noWrap/>
            <w:vAlign w:val="bottom"/>
          </w:tcPr>
          <w:p w14:paraId="24690F0C" w14:textId="337D0C97"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0.013</w:t>
            </w:r>
          </w:p>
        </w:tc>
        <w:tc>
          <w:tcPr>
            <w:tcW w:w="773" w:type="dxa"/>
            <w:tcBorders>
              <w:top w:val="nil"/>
              <w:left w:val="nil"/>
              <w:bottom w:val="nil"/>
              <w:right w:val="nil"/>
            </w:tcBorders>
            <w:shd w:val="clear" w:color="auto" w:fill="auto"/>
            <w:noWrap/>
            <w:vAlign w:val="bottom"/>
          </w:tcPr>
          <w:p w14:paraId="6D7308F0" w14:textId="6B7F5B5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0.020</w:t>
            </w:r>
          </w:p>
        </w:tc>
        <w:tc>
          <w:tcPr>
            <w:tcW w:w="843" w:type="dxa"/>
            <w:tcBorders>
              <w:top w:val="nil"/>
              <w:left w:val="nil"/>
              <w:bottom w:val="nil"/>
              <w:right w:val="nil"/>
            </w:tcBorders>
            <w:shd w:val="clear" w:color="auto" w:fill="auto"/>
            <w:noWrap/>
            <w:vAlign w:val="bottom"/>
          </w:tcPr>
          <w:p w14:paraId="712AC743" w14:textId="4FCF4C7D"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112B3AB9" w14:textId="0DA9202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0.004</w:t>
            </w:r>
          </w:p>
        </w:tc>
        <w:tc>
          <w:tcPr>
            <w:tcW w:w="774" w:type="dxa"/>
            <w:tcBorders>
              <w:left w:val="nil"/>
              <w:right w:val="single" w:sz="4" w:space="0" w:color="auto"/>
            </w:tcBorders>
            <w:vAlign w:val="bottom"/>
          </w:tcPr>
          <w:p w14:paraId="4278758B" w14:textId="3B500BE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3.42</w:t>
            </w:r>
          </w:p>
        </w:tc>
        <w:tc>
          <w:tcPr>
            <w:tcW w:w="774" w:type="dxa"/>
            <w:tcBorders>
              <w:left w:val="single" w:sz="4" w:space="0" w:color="auto"/>
              <w:right w:val="single" w:sz="4" w:space="0" w:color="auto"/>
            </w:tcBorders>
            <w:vAlign w:val="bottom"/>
          </w:tcPr>
          <w:p w14:paraId="22422107" w14:textId="08E58C5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0.89</w:t>
            </w:r>
          </w:p>
        </w:tc>
        <w:tc>
          <w:tcPr>
            <w:tcW w:w="774" w:type="dxa"/>
            <w:tcBorders>
              <w:left w:val="single" w:sz="4" w:space="0" w:color="auto"/>
              <w:right w:val="single" w:sz="4" w:space="0" w:color="auto"/>
            </w:tcBorders>
            <w:vAlign w:val="bottom"/>
          </w:tcPr>
          <w:p w14:paraId="5DF9C09D" w14:textId="69459CE6"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0.184</w:t>
            </w:r>
          </w:p>
        </w:tc>
        <w:tc>
          <w:tcPr>
            <w:tcW w:w="774" w:type="dxa"/>
            <w:tcBorders>
              <w:left w:val="single" w:sz="4" w:space="0" w:color="auto"/>
              <w:right w:val="single" w:sz="4" w:space="0" w:color="auto"/>
            </w:tcBorders>
            <w:vAlign w:val="bottom"/>
          </w:tcPr>
          <w:p w14:paraId="515F3448" w14:textId="5A8A979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34.34</w:t>
            </w:r>
          </w:p>
        </w:tc>
        <w:tc>
          <w:tcPr>
            <w:tcW w:w="880" w:type="dxa"/>
            <w:tcBorders>
              <w:left w:val="single" w:sz="4" w:space="0" w:color="auto"/>
            </w:tcBorders>
            <w:vAlign w:val="bottom"/>
          </w:tcPr>
          <w:p w14:paraId="4C65818D" w14:textId="2EA125B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8.98</w:t>
            </w:r>
          </w:p>
        </w:tc>
      </w:tr>
      <w:tr w:rsidR="00181D81" w:rsidRPr="00A0555D" w14:paraId="39F1D0CA"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2D8D047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15F22A38" w14:textId="6D7B102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0.004</w:t>
            </w:r>
          </w:p>
        </w:tc>
        <w:tc>
          <w:tcPr>
            <w:tcW w:w="774" w:type="dxa"/>
            <w:tcBorders>
              <w:top w:val="nil"/>
              <w:left w:val="nil"/>
              <w:bottom w:val="nil"/>
              <w:right w:val="nil"/>
            </w:tcBorders>
            <w:shd w:val="clear" w:color="auto" w:fill="auto"/>
            <w:noWrap/>
            <w:vAlign w:val="bottom"/>
          </w:tcPr>
          <w:p w14:paraId="064A7506" w14:textId="0A2BE3A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0.019</w:t>
            </w:r>
          </w:p>
        </w:tc>
        <w:tc>
          <w:tcPr>
            <w:tcW w:w="773" w:type="dxa"/>
            <w:tcBorders>
              <w:top w:val="nil"/>
              <w:left w:val="nil"/>
              <w:bottom w:val="nil"/>
              <w:right w:val="nil"/>
            </w:tcBorders>
            <w:shd w:val="clear" w:color="auto" w:fill="auto"/>
            <w:noWrap/>
            <w:vAlign w:val="bottom"/>
          </w:tcPr>
          <w:p w14:paraId="71781003" w14:textId="5E89B33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0.015</w:t>
            </w:r>
          </w:p>
        </w:tc>
        <w:tc>
          <w:tcPr>
            <w:tcW w:w="843" w:type="dxa"/>
            <w:tcBorders>
              <w:top w:val="nil"/>
              <w:left w:val="nil"/>
              <w:bottom w:val="nil"/>
              <w:right w:val="nil"/>
            </w:tcBorders>
            <w:shd w:val="clear" w:color="auto" w:fill="auto"/>
            <w:noWrap/>
            <w:vAlign w:val="bottom"/>
          </w:tcPr>
          <w:p w14:paraId="260B4312" w14:textId="773057C8"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0.007</w:t>
            </w:r>
          </w:p>
        </w:tc>
        <w:tc>
          <w:tcPr>
            <w:tcW w:w="704" w:type="dxa"/>
            <w:tcBorders>
              <w:top w:val="nil"/>
              <w:left w:val="nil"/>
              <w:bottom w:val="nil"/>
              <w:right w:val="single" w:sz="4" w:space="0" w:color="auto"/>
            </w:tcBorders>
            <w:shd w:val="clear" w:color="auto" w:fill="auto"/>
            <w:noWrap/>
            <w:vAlign w:val="bottom"/>
          </w:tcPr>
          <w:p w14:paraId="1918C64F" w14:textId="14A49B5B"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0.012</w:t>
            </w:r>
          </w:p>
        </w:tc>
        <w:tc>
          <w:tcPr>
            <w:tcW w:w="774" w:type="dxa"/>
            <w:tcBorders>
              <w:left w:val="nil"/>
              <w:right w:val="single" w:sz="4" w:space="0" w:color="auto"/>
            </w:tcBorders>
            <w:vAlign w:val="bottom"/>
          </w:tcPr>
          <w:p w14:paraId="667C8416" w14:textId="09E8A3BD"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0.83</w:t>
            </w:r>
          </w:p>
        </w:tc>
        <w:tc>
          <w:tcPr>
            <w:tcW w:w="774" w:type="dxa"/>
            <w:tcBorders>
              <w:left w:val="single" w:sz="4" w:space="0" w:color="auto"/>
              <w:right w:val="single" w:sz="4" w:space="0" w:color="auto"/>
            </w:tcBorders>
            <w:vAlign w:val="bottom"/>
          </w:tcPr>
          <w:p w14:paraId="51E43375" w14:textId="4525BAC0"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1.77</w:t>
            </w:r>
          </w:p>
        </w:tc>
        <w:tc>
          <w:tcPr>
            <w:tcW w:w="774" w:type="dxa"/>
            <w:tcBorders>
              <w:left w:val="single" w:sz="4" w:space="0" w:color="auto"/>
              <w:right w:val="single" w:sz="4" w:space="0" w:color="auto"/>
            </w:tcBorders>
            <w:vAlign w:val="bottom"/>
          </w:tcPr>
          <w:p w14:paraId="3A96E5D2" w14:textId="3CDE4D8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0.188</w:t>
            </w:r>
          </w:p>
        </w:tc>
        <w:tc>
          <w:tcPr>
            <w:tcW w:w="774" w:type="dxa"/>
            <w:tcBorders>
              <w:left w:val="single" w:sz="4" w:space="0" w:color="auto"/>
              <w:right w:val="single" w:sz="4" w:space="0" w:color="auto"/>
            </w:tcBorders>
            <w:vAlign w:val="bottom"/>
          </w:tcPr>
          <w:p w14:paraId="49FB8CB8" w14:textId="27D1306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27.31</w:t>
            </w:r>
          </w:p>
        </w:tc>
        <w:tc>
          <w:tcPr>
            <w:tcW w:w="880" w:type="dxa"/>
            <w:tcBorders>
              <w:left w:val="single" w:sz="4" w:space="0" w:color="auto"/>
            </w:tcBorders>
            <w:vAlign w:val="bottom"/>
          </w:tcPr>
          <w:p w14:paraId="52524A1B" w14:textId="3751BD1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19.51</w:t>
            </w:r>
          </w:p>
        </w:tc>
      </w:tr>
      <w:tr w:rsidR="00181D81" w:rsidRPr="00A0555D" w14:paraId="3183008B"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CE3AD34"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157852E0" w14:textId="188F541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0.023</w:t>
            </w:r>
          </w:p>
        </w:tc>
        <w:tc>
          <w:tcPr>
            <w:tcW w:w="774" w:type="dxa"/>
            <w:tcBorders>
              <w:top w:val="nil"/>
              <w:left w:val="nil"/>
              <w:bottom w:val="nil"/>
              <w:right w:val="nil"/>
            </w:tcBorders>
            <w:shd w:val="clear" w:color="auto" w:fill="auto"/>
            <w:noWrap/>
            <w:vAlign w:val="bottom"/>
          </w:tcPr>
          <w:p w14:paraId="44100A94" w14:textId="2AEA2BB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0.023</w:t>
            </w:r>
          </w:p>
        </w:tc>
        <w:tc>
          <w:tcPr>
            <w:tcW w:w="773" w:type="dxa"/>
            <w:tcBorders>
              <w:top w:val="nil"/>
              <w:left w:val="nil"/>
              <w:bottom w:val="nil"/>
              <w:right w:val="nil"/>
            </w:tcBorders>
            <w:shd w:val="clear" w:color="auto" w:fill="auto"/>
            <w:noWrap/>
            <w:vAlign w:val="bottom"/>
          </w:tcPr>
          <w:p w14:paraId="3672BA3D" w14:textId="07BCB2A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0.033</w:t>
            </w:r>
          </w:p>
        </w:tc>
        <w:tc>
          <w:tcPr>
            <w:tcW w:w="843" w:type="dxa"/>
            <w:tcBorders>
              <w:top w:val="nil"/>
              <w:left w:val="nil"/>
              <w:bottom w:val="nil"/>
              <w:right w:val="nil"/>
            </w:tcBorders>
            <w:shd w:val="clear" w:color="auto" w:fill="auto"/>
            <w:noWrap/>
            <w:vAlign w:val="bottom"/>
          </w:tcPr>
          <w:p w14:paraId="6A5F9445" w14:textId="545EDD0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0.024</w:t>
            </w:r>
          </w:p>
        </w:tc>
        <w:tc>
          <w:tcPr>
            <w:tcW w:w="704" w:type="dxa"/>
            <w:tcBorders>
              <w:top w:val="nil"/>
              <w:left w:val="nil"/>
              <w:bottom w:val="nil"/>
              <w:right w:val="single" w:sz="4" w:space="0" w:color="auto"/>
            </w:tcBorders>
            <w:shd w:val="clear" w:color="auto" w:fill="auto"/>
            <w:noWrap/>
            <w:vAlign w:val="bottom"/>
          </w:tcPr>
          <w:p w14:paraId="6FC7FA4C" w14:textId="1D68A49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0.011</w:t>
            </w:r>
          </w:p>
        </w:tc>
        <w:tc>
          <w:tcPr>
            <w:tcW w:w="774" w:type="dxa"/>
            <w:tcBorders>
              <w:left w:val="nil"/>
              <w:right w:val="single" w:sz="4" w:space="0" w:color="auto"/>
            </w:tcBorders>
            <w:vAlign w:val="bottom"/>
          </w:tcPr>
          <w:p w14:paraId="65DA30A4" w14:textId="07ADF8D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2.52</w:t>
            </w:r>
          </w:p>
        </w:tc>
        <w:tc>
          <w:tcPr>
            <w:tcW w:w="774" w:type="dxa"/>
            <w:tcBorders>
              <w:left w:val="single" w:sz="4" w:space="0" w:color="auto"/>
              <w:right w:val="single" w:sz="4" w:space="0" w:color="auto"/>
            </w:tcBorders>
            <w:vAlign w:val="bottom"/>
          </w:tcPr>
          <w:p w14:paraId="7E88E74E" w14:textId="1B0E1F39"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7.26</w:t>
            </w:r>
          </w:p>
        </w:tc>
        <w:tc>
          <w:tcPr>
            <w:tcW w:w="774" w:type="dxa"/>
            <w:tcBorders>
              <w:left w:val="single" w:sz="4" w:space="0" w:color="auto"/>
              <w:right w:val="single" w:sz="4" w:space="0" w:color="auto"/>
            </w:tcBorders>
            <w:vAlign w:val="bottom"/>
          </w:tcPr>
          <w:p w14:paraId="651E9278" w14:textId="38300EA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0.233</w:t>
            </w:r>
          </w:p>
        </w:tc>
        <w:tc>
          <w:tcPr>
            <w:tcW w:w="774" w:type="dxa"/>
            <w:tcBorders>
              <w:left w:val="single" w:sz="4" w:space="0" w:color="auto"/>
              <w:right w:val="single" w:sz="4" w:space="0" w:color="auto"/>
            </w:tcBorders>
            <w:vAlign w:val="bottom"/>
          </w:tcPr>
          <w:p w14:paraId="60E5FE9A" w14:textId="39891C57"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58.93</w:t>
            </w:r>
          </w:p>
        </w:tc>
        <w:tc>
          <w:tcPr>
            <w:tcW w:w="880" w:type="dxa"/>
            <w:tcBorders>
              <w:left w:val="single" w:sz="4" w:space="0" w:color="auto"/>
            </w:tcBorders>
            <w:vAlign w:val="bottom"/>
          </w:tcPr>
          <w:p w14:paraId="72654132" w14:textId="26AFA9A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37.48</w:t>
            </w:r>
          </w:p>
        </w:tc>
      </w:tr>
      <w:tr w:rsidR="00181D81" w:rsidRPr="00A0555D" w14:paraId="654E367D"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9B8A533"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0BA63AB2" w14:textId="3C0C95AE"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0.013</w:t>
            </w:r>
          </w:p>
        </w:tc>
        <w:tc>
          <w:tcPr>
            <w:tcW w:w="774" w:type="dxa"/>
            <w:tcBorders>
              <w:top w:val="nil"/>
              <w:left w:val="nil"/>
              <w:bottom w:val="single" w:sz="4" w:space="0" w:color="auto"/>
              <w:right w:val="nil"/>
            </w:tcBorders>
            <w:shd w:val="clear" w:color="auto" w:fill="auto"/>
            <w:noWrap/>
            <w:vAlign w:val="bottom"/>
          </w:tcPr>
          <w:p w14:paraId="032675BE" w14:textId="181765B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0.004</w:t>
            </w:r>
          </w:p>
        </w:tc>
        <w:tc>
          <w:tcPr>
            <w:tcW w:w="773" w:type="dxa"/>
            <w:tcBorders>
              <w:top w:val="nil"/>
              <w:left w:val="nil"/>
              <w:bottom w:val="single" w:sz="4" w:space="0" w:color="auto"/>
              <w:right w:val="nil"/>
            </w:tcBorders>
            <w:shd w:val="clear" w:color="auto" w:fill="auto"/>
            <w:noWrap/>
            <w:vAlign w:val="bottom"/>
          </w:tcPr>
          <w:p w14:paraId="757F9A8A" w14:textId="49D71385"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0.013</w:t>
            </w:r>
          </w:p>
        </w:tc>
        <w:tc>
          <w:tcPr>
            <w:tcW w:w="843" w:type="dxa"/>
            <w:tcBorders>
              <w:top w:val="nil"/>
              <w:left w:val="nil"/>
              <w:bottom w:val="single" w:sz="4" w:space="0" w:color="auto"/>
              <w:right w:val="nil"/>
            </w:tcBorders>
            <w:shd w:val="clear" w:color="auto" w:fill="auto"/>
            <w:noWrap/>
            <w:vAlign w:val="bottom"/>
          </w:tcPr>
          <w:p w14:paraId="3B5899E5" w14:textId="5B14B0F4"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0.024</w:t>
            </w:r>
          </w:p>
        </w:tc>
        <w:tc>
          <w:tcPr>
            <w:tcW w:w="704" w:type="dxa"/>
            <w:tcBorders>
              <w:top w:val="nil"/>
              <w:left w:val="nil"/>
              <w:bottom w:val="single" w:sz="4" w:space="0" w:color="auto"/>
              <w:right w:val="single" w:sz="4" w:space="0" w:color="auto"/>
            </w:tcBorders>
            <w:shd w:val="clear" w:color="auto" w:fill="auto"/>
            <w:noWrap/>
            <w:vAlign w:val="bottom"/>
          </w:tcPr>
          <w:p w14:paraId="5114B70A" w14:textId="43D56019"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0.017</w:t>
            </w:r>
          </w:p>
        </w:tc>
        <w:tc>
          <w:tcPr>
            <w:tcW w:w="774" w:type="dxa"/>
            <w:tcBorders>
              <w:left w:val="nil"/>
              <w:bottom w:val="single" w:sz="4" w:space="0" w:color="auto"/>
              <w:right w:val="single" w:sz="4" w:space="0" w:color="auto"/>
            </w:tcBorders>
            <w:vAlign w:val="bottom"/>
          </w:tcPr>
          <w:p w14:paraId="22BED419" w14:textId="2506948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4.51</w:t>
            </w:r>
          </w:p>
        </w:tc>
        <w:tc>
          <w:tcPr>
            <w:tcW w:w="774" w:type="dxa"/>
            <w:tcBorders>
              <w:left w:val="single" w:sz="4" w:space="0" w:color="auto"/>
              <w:bottom w:val="single" w:sz="4" w:space="0" w:color="auto"/>
              <w:right w:val="single" w:sz="4" w:space="0" w:color="auto"/>
            </w:tcBorders>
            <w:vAlign w:val="bottom"/>
          </w:tcPr>
          <w:p w14:paraId="0DDB9847" w14:textId="54A2C4D9"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5.02</w:t>
            </w:r>
          </w:p>
        </w:tc>
        <w:tc>
          <w:tcPr>
            <w:tcW w:w="774" w:type="dxa"/>
            <w:tcBorders>
              <w:left w:val="single" w:sz="4" w:space="0" w:color="auto"/>
              <w:bottom w:val="single" w:sz="4" w:space="0" w:color="auto"/>
              <w:right w:val="single" w:sz="4" w:space="0" w:color="auto"/>
            </w:tcBorders>
            <w:vAlign w:val="bottom"/>
          </w:tcPr>
          <w:p w14:paraId="3C6DA36D" w14:textId="6BD488A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0.366</w:t>
            </w:r>
          </w:p>
        </w:tc>
        <w:tc>
          <w:tcPr>
            <w:tcW w:w="774" w:type="dxa"/>
            <w:tcBorders>
              <w:left w:val="single" w:sz="4" w:space="0" w:color="auto"/>
              <w:bottom w:val="single" w:sz="4" w:space="0" w:color="auto"/>
              <w:right w:val="single" w:sz="4" w:space="0" w:color="auto"/>
            </w:tcBorders>
            <w:vAlign w:val="bottom"/>
          </w:tcPr>
          <w:p w14:paraId="552358F3" w14:textId="61454F9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24.04</w:t>
            </w:r>
          </w:p>
        </w:tc>
        <w:tc>
          <w:tcPr>
            <w:tcW w:w="880" w:type="dxa"/>
            <w:tcBorders>
              <w:left w:val="single" w:sz="4" w:space="0" w:color="auto"/>
              <w:bottom w:val="single" w:sz="4" w:space="0" w:color="auto"/>
            </w:tcBorders>
            <w:vAlign w:val="bottom"/>
          </w:tcPr>
          <w:p w14:paraId="48183FA3" w14:textId="538B6C3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38.59</w:t>
            </w:r>
          </w:p>
        </w:tc>
      </w:tr>
      <w:tr w:rsidR="0011335A" w:rsidRPr="00A0555D" w14:paraId="6E4B0535" w14:textId="77777777" w:rsidTr="00A13B8D">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048D574B" w14:textId="77777777" w:rsidR="0011335A" w:rsidRPr="00A0555D" w:rsidRDefault="0011335A"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3D5A91B7"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5694FF88"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2D1BED62"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236E8E70"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635B1D40" w14:textId="77777777" w:rsidR="0011335A" w:rsidRPr="00A0555D" w:rsidRDefault="0011335A"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397E13CA"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34CA09AB"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45E1C46E"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01398B9A" w14:textId="77777777" w:rsidR="0011335A" w:rsidRPr="006016B0" w:rsidRDefault="0011335A" w:rsidP="006016B0">
            <w:pPr>
              <w:tabs>
                <w:tab w:val="decimal" w:pos="256"/>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17AD4C0B"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10FE1B92"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F13A4F9"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3FACB71A" w14:textId="010772F2"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0.023</w:t>
            </w:r>
          </w:p>
        </w:tc>
        <w:tc>
          <w:tcPr>
            <w:tcW w:w="774" w:type="dxa"/>
            <w:tcBorders>
              <w:top w:val="nil"/>
              <w:left w:val="nil"/>
              <w:bottom w:val="nil"/>
              <w:right w:val="nil"/>
            </w:tcBorders>
            <w:shd w:val="clear" w:color="auto" w:fill="auto"/>
            <w:noWrap/>
            <w:vAlign w:val="bottom"/>
          </w:tcPr>
          <w:p w14:paraId="5FF947B2" w14:textId="19700F1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0.014</w:t>
            </w:r>
          </w:p>
        </w:tc>
        <w:tc>
          <w:tcPr>
            <w:tcW w:w="773" w:type="dxa"/>
            <w:tcBorders>
              <w:top w:val="nil"/>
              <w:left w:val="nil"/>
              <w:bottom w:val="nil"/>
              <w:right w:val="nil"/>
            </w:tcBorders>
            <w:shd w:val="clear" w:color="auto" w:fill="auto"/>
            <w:noWrap/>
            <w:vAlign w:val="bottom"/>
          </w:tcPr>
          <w:p w14:paraId="79405D0A" w14:textId="3654162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0.022</w:t>
            </w:r>
          </w:p>
        </w:tc>
        <w:tc>
          <w:tcPr>
            <w:tcW w:w="843" w:type="dxa"/>
            <w:tcBorders>
              <w:top w:val="nil"/>
              <w:left w:val="nil"/>
              <w:bottom w:val="nil"/>
              <w:right w:val="nil"/>
            </w:tcBorders>
            <w:shd w:val="clear" w:color="auto" w:fill="auto"/>
            <w:noWrap/>
            <w:vAlign w:val="bottom"/>
          </w:tcPr>
          <w:p w14:paraId="353E3F9F" w14:textId="3C840A9E"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0.033</w:t>
            </w:r>
          </w:p>
        </w:tc>
        <w:tc>
          <w:tcPr>
            <w:tcW w:w="704" w:type="dxa"/>
            <w:tcBorders>
              <w:top w:val="nil"/>
              <w:left w:val="nil"/>
              <w:bottom w:val="nil"/>
              <w:right w:val="single" w:sz="4" w:space="0" w:color="auto"/>
            </w:tcBorders>
            <w:shd w:val="clear" w:color="auto" w:fill="auto"/>
            <w:noWrap/>
            <w:vAlign w:val="bottom"/>
          </w:tcPr>
          <w:p w14:paraId="301B7B53" w14:textId="5759278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0.022</w:t>
            </w:r>
          </w:p>
        </w:tc>
        <w:tc>
          <w:tcPr>
            <w:tcW w:w="774" w:type="dxa"/>
            <w:tcBorders>
              <w:left w:val="nil"/>
              <w:right w:val="single" w:sz="4" w:space="0" w:color="auto"/>
            </w:tcBorders>
            <w:vAlign w:val="bottom"/>
          </w:tcPr>
          <w:p w14:paraId="2956DA59" w14:textId="26C49736"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5.17</w:t>
            </w:r>
          </w:p>
        </w:tc>
        <w:tc>
          <w:tcPr>
            <w:tcW w:w="774" w:type="dxa"/>
            <w:tcBorders>
              <w:left w:val="single" w:sz="4" w:space="0" w:color="auto"/>
              <w:right w:val="single" w:sz="4" w:space="0" w:color="auto"/>
            </w:tcBorders>
            <w:vAlign w:val="bottom"/>
          </w:tcPr>
          <w:p w14:paraId="04034ED8" w14:textId="5EE9C2C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10.92</w:t>
            </w:r>
          </w:p>
        </w:tc>
        <w:tc>
          <w:tcPr>
            <w:tcW w:w="774" w:type="dxa"/>
            <w:tcBorders>
              <w:left w:val="single" w:sz="4" w:space="0" w:color="auto"/>
              <w:right w:val="single" w:sz="4" w:space="0" w:color="auto"/>
            </w:tcBorders>
            <w:vAlign w:val="bottom"/>
          </w:tcPr>
          <w:p w14:paraId="0DF46507" w14:textId="48E2A6D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0.177</w:t>
            </w:r>
          </w:p>
        </w:tc>
        <w:tc>
          <w:tcPr>
            <w:tcW w:w="774" w:type="dxa"/>
            <w:tcBorders>
              <w:left w:val="single" w:sz="4" w:space="0" w:color="auto"/>
              <w:right w:val="single" w:sz="4" w:space="0" w:color="auto"/>
            </w:tcBorders>
            <w:vAlign w:val="bottom"/>
          </w:tcPr>
          <w:p w14:paraId="73D465A0" w14:textId="4F2728B0"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60.52</w:t>
            </w:r>
          </w:p>
        </w:tc>
        <w:tc>
          <w:tcPr>
            <w:tcW w:w="880" w:type="dxa"/>
            <w:tcBorders>
              <w:left w:val="single" w:sz="4" w:space="0" w:color="auto"/>
            </w:tcBorders>
            <w:vAlign w:val="bottom"/>
          </w:tcPr>
          <w:p w14:paraId="364BB226" w14:textId="306BE95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17.44</w:t>
            </w:r>
          </w:p>
        </w:tc>
      </w:tr>
      <w:tr w:rsidR="00181D81" w:rsidRPr="00A0555D" w14:paraId="435B2A12"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F74799D"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326A8A7A" w14:textId="7FC91F4E"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0.035</w:t>
            </w:r>
          </w:p>
        </w:tc>
        <w:tc>
          <w:tcPr>
            <w:tcW w:w="774" w:type="dxa"/>
            <w:tcBorders>
              <w:top w:val="nil"/>
              <w:left w:val="nil"/>
              <w:bottom w:val="nil"/>
              <w:right w:val="nil"/>
            </w:tcBorders>
            <w:shd w:val="clear" w:color="auto" w:fill="auto"/>
            <w:noWrap/>
            <w:vAlign w:val="bottom"/>
          </w:tcPr>
          <w:p w14:paraId="3C4F2956" w14:textId="0CB8817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0.038</w:t>
            </w:r>
          </w:p>
        </w:tc>
        <w:tc>
          <w:tcPr>
            <w:tcW w:w="773" w:type="dxa"/>
            <w:tcBorders>
              <w:top w:val="nil"/>
              <w:left w:val="nil"/>
              <w:bottom w:val="nil"/>
              <w:right w:val="nil"/>
            </w:tcBorders>
            <w:shd w:val="clear" w:color="auto" w:fill="auto"/>
            <w:noWrap/>
            <w:vAlign w:val="bottom"/>
          </w:tcPr>
          <w:p w14:paraId="43F198DD" w14:textId="786E6782"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0.042</w:t>
            </w:r>
          </w:p>
        </w:tc>
        <w:tc>
          <w:tcPr>
            <w:tcW w:w="843" w:type="dxa"/>
            <w:tcBorders>
              <w:top w:val="nil"/>
              <w:left w:val="nil"/>
              <w:bottom w:val="nil"/>
              <w:right w:val="nil"/>
            </w:tcBorders>
            <w:shd w:val="clear" w:color="auto" w:fill="auto"/>
            <w:noWrap/>
            <w:vAlign w:val="bottom"/>
          </w:tcPr>
          <w:p w14:paraId="26824136" w14:textId="2EDADEAE"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0.029</w:t>
            </w:r>
          </w:p>
        </w:tc>
        <w:tc>
          <w:tcPr>
            <w:tcW w:w="704" w:type="dxa"/>
            <w:tcBorders>
              <w:top w:val="nil"/>
              <w:left w:val="nil"/>
              <w:bottom w:val="nil"/>
              <w:right w:val="single" w:sz="4" w:space="0" w:color="auto"/>
            </w:tcBorders>
            <w:shd w:val="clear" w:color="auto" w:fill="auto"/>
            <w:noWrap/>
            <w:vAlign w:val="bottom"/>
          </w:tcPr>
          <w:p w14:paraId="6E0C6FCF" w14:textId="41B1C4CD"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0.030</w:t>
            </w:r>
          </w:p>
        </w:tc>
        <w:tc>
          <w:tcPr>
            <w:tcW w:w="774" w:type="dxa"/>
            <w:tcBorders>
              <w:left w:val="nil"/>
              <w:right w:val="single" w:sz="4" w:space="0" w:color="auto"/>
            </w:tcBorders>
            <w:vAlign w:val="bottom"/>
          </w:tcPr>
          <w:p w14:paraId="6E2A4511" w14:textId="3A2819D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3.95</w:t>
            </w:r>
          </w:p>
        </w:tc>
        <w:tc>
          <w:tcPr>
            <w:tcW w:w="774" w:type="dxa"/>
            <w:tcBorders>
              <w:left w:val="single" w:sz="4" w:space="0" w:color="auto"/>
              <w:right w:val="single" w:sz="4" w:space="0" w:color="auto"/>
            </w:tcBorders>
            <w:vAlign w:val="bottom"/>
          </w:tcPr>
          <w:p w14:paraId="66A89A87" w14:textId="2F7437BB"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3.33</w:t>
            </w:r>
          </w:p>
        </w:tc>
        <w:tc>
          <w:tcPr>
            <w:tcW w:w="774" w:type="dxa"/>
            <w:tcBorders>
              <w:left w:val="single" w:sz="4" w:space="0" w:color="auto"/>
              <w:right w:val="single" w:sz="4" w:space="0" w:color="auto"/>
            </w:tcBorders>
            <w:vAlign w:val="bottom"/>
          </w:tcPr>
          <w:p w14:paraId="6D3D28E6" w14:textId="188AC69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0.105</w:t>
            </w:r>
          </w:p>
        </w:tc>
        <w:tc>
          <w:tcPr>
            <w:tcW w:w="774" w:type="dxa"/>
            <w:tcBorders>
              <w:left w:val="single" w:sz="4" w:space="0" w:color="auto"/>
              <w:right w:val="single" w:sz="4" w:space="0" w:color="auto"/>
            </w:tcBorders>
            <w:vAlign w:val="bottom"/>
          </w:tcPr>
          <w:p w14:paraId="5E56E30F" w14:textId="65B9450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65.57</w:t>
            </w:r>
          </w:p>
        </w:tc>
        <w:tc>
          <w:tcPr>
            <w:tcW w:w="880" w:type="dxa"/>
            <w:tcBorders>
              <w:left w:val="single" w:sz="4" w:space="0" w:color="auto"/>
            </w:tcBorders>
            <w:vAlign w:val="bottom"/>
          </w:tcPr>
          <w:p w14:paraId="465198AE" w14:textId="1EF2726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7.94</w:t>
            </w:r>
          </w:p>
        </w:tc>
      </w:tr>
      <w:tr w:rsidR="00181D81" w:rsidRPr="00A0555D" w14:paraId="5D984D64"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1B69CCBB"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44DFF3C1" w14:textId="3419BDE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0.047</w:t>
            </w:r>
          </w:p>
        </w:tc>
        <w:tc>
          <w:tcPr>
            <w:tcW w:w="774" w:type="dxa"/>
            <w:tcBorders>
              <w:top w:val="nil"/>
              <w:left w:val="nil"/>
              <w:bottom w:val="nil"/>
              <w:right w:val="nil"/>
            </w:tcBorders>
            <w:shd w:val="clear" w:color="auto" w:fill="auto"/>
            <w:noWrap/>
            <w:vAlign w:val="bottom"/>
          </w:tcPr>
          <w:p w14:paraId="5E971A70" w14:textId="4D3E74D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0.032</w:t>
            </w:r>
          </w:p>
        </w:tc>
        <w:tc>
          <w:tcPr>
            <w:tcW w:w="773" w:type="dxa"/>
            <w:tcBorders>
              <w:top w:val="nil"/>
              <w:left w:val="nil"/>
              <w:bottom w:val="nil"/>
              <w:right w:val="nil"/>
            </w:tcBorders>
            <w:shd w:val="clear" w:color="auto" w:fill="auto"/>
            <w:noWrap/>
            <w:vAlign w:val="bottom"/>
          </w:tcPr>
          <w:p w14:paraId="65DE2708" w14:textId="292E28E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0.049</w:t>
            </w:r>
          </w:p>
        </w:tc>
        <w:tc>
          <w:tcPr>
            <w:tcW w:w="843" w:type="dxa"/>
            <w:tcBorders>
              <w:top w:val="nil"/>
              <w:left w:val="nil"/>
              <w:bottom w:val="nil"/>
              <w:right w:val="nil"/>
            </w:tcBorders>
            <w:shd w:val="clear" w:color="auto" w:fill="auto"/>
            <w:noWrap/>
            <w:vAlign w:val="bottom"/>
          </w:tcPr>
          <w:p w14:paraId="168C50C6" w14:textId="749F036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0.070</w:t>
            </w:r>
          </w:p>
        </w:tc>
        <w:tc>
          <w:tcPr>
            <w:tcW w:w="704" w:type="dxa"/>
            <w:tcBorders>
              <w:top w:val="nil"/>
              <w:left w:val="nil"/>
              <w:bottom w:val="nil"/>
              <w:right w:val="single" w:sz="4" w:space="0" w:color="auto"/>
            </w:tcBorders>
            <w:shd w:val="clear" w:color="auto" w:fill="auto"/>
            <w:noWrap/>
            <w:vAlign w:val="bottom"/>
          </w:tcPr>
          <w:p w14:paraId="200380DE" w14:textId="522DF2D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0.035</w:t>
            </w:r>
          </w:p>
        </w:tc>
        <w:tc>
          <w:tcPr>
            <w:tcW w:w="774" w:type="dxa"/>
            <w:tcBorders>
              <w:left w:val="nil"/>
              <w:right w:val="single" w:sz="4" w:space="0" w:color="auto"/>
            </w:tcBorders>
            <w:vAlign w:val="bottom"/>
          </w:tcPr>
          <w:p w14:paraId="41737C52" w14:textId="561B3BB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8.36</w:t>
            </w:r>
          </w:p>
        </w:tc>
        <w:tc>
          <w:tcPr>
            <w:tcW w:w="774" w:type="dxa"/>
            <w:tcBorders>
              <w:left w:val="single" w:sz="4" w:space="0" w:color="auto"/>
              <w:right w:val="single" w:sz="4" w:space="0" w:color="auto"/>
            </w:tcBorders>
            <w:vAlign w:val="bottom"/>
          </w:tcPr>
          <w:p w14:paraId="06752E0F" w14:textId="6DCFEAE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5.51</w:t>
            </w:r>
          </w:p>
        </w:tc>
        <w:tc>
          <w:tcPr>
            <w:tcW w:w="774" w:type="dxa"/>
            <w:tcBorders>
              <w:left w:val="single" w:sz="4" w:space="0" w:color="auto"/>
              <w:right w:val="single" w:sz="4" w:space="0" w:color="auto"/>
            </w:tcBorders>
            <w:vAlign w:val="bottom"/>
          </w:tcPr>
          <w:p w14:paraId="5874A7E0" w14:textId="5C744616"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0.106</w:t>
            </w:r>
          </w:p>
        </w:tc>
        <w:tc>
          <w:tcPr>
            <w:tcW w:w="774" w:type="dxa"/>
            <w:tcBorders>
              <w:left w:val="single" w:sz="4" w:space="0" w:color="auto"/>
              <w:right w:val="single" w:sz="4" w:space="0" w:color="auto"/>
            </w:tcBorders>
            <w:vAlign w:val="bottom"/>
          </w:tcPr>
          <w:p w14:paraId="0E591F95" w14:textId="4B02546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80.08</w:t>
            </w:r>
          </w:p>
        </w:tc>
        <w:tc>
          <w:tcPr>
            <w:tcW w:w="880" w:type="dxa"/>
            <w:tcBorders>
              <w:left w:val="single" w:sz="4" w:space="0" w:color="auto"/>
            </w:tcBorders>
            <w:vAlign w:val="bottom"/>
          </w:tcPr>
          <w:p w14:paraId="0C1D5D7D" w14:textId="7372277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1.44</w:t>
            </w:r>
          </w:p>
        </w:tc>
      </w:tr>
      <w:tr w:rsidR="00181D81" w:rsidRPr="00A0555D" w14:paraId="5704C144"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6DDCC05"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75E8BBB9" w14:textId="0461BB5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0.028</w:t>
            </w:r>
          </w:p>
        </w:tc>
        <w:tc>
          <w:tcPr>
            <w:tcW w:w="774" w:type="dxa"/>
            <w:tcBorders>
              <w:top w:val="nil"/>
              <w:left w:val="nil"/>
              <w:bottom w:val="nil"/>
              <w:right w:val="nil"/>
            </w:tcBorders>
            <w:shd w:val="clear" w:color="auto" w:fill="auto"/>
            <w:noWrap/>
            <w:vAlign w:val="bottom"/>
          </w:tcPr>
          <w:p w14:paraId="7C769539" w14:textId="55BA83A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0.032</w:t>
            </w:r>
          </w:p>
        </w:tc>
        <w:tc>
          <w:tcPr>
            <w:tcW w:w="773" w:type="dxa"/>
            <w:tcBorders>
              <w:top w:val="nil"/>
              <w:left w:val="nil"/>
              <w:bottom w:val="nil"/>
              <w:right w:val="nil"/>
            </w:tcBorders>
            <w:shd w:val="clear" w:color="auto" w:fill="auto"/>
            <w:noWrap/>
            <w:vAlign w:val="bottom"/>
          </w:tcPr>
          <w:p w14:paraId="6C47B6FF" w14:textId="330E5DB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0.035</w:t>
            </w:r>
          </w:p>
        </w:tc>
        <w:tc>
          <w:tcPr>
            <w:tcW w:w="843" w:type="dxa"/>
            <w:tcBorders>
              <w:top w:val="nil"/>
              <w:left w:val="nil"/>
              <w:bottom w:val="nil"/>
              <w:right w:val="nil"/>
            </w:tcBorders>
            <w:shd w:val="clear" w:color="auto" w:fill="auto"/>
            <w:noWrap/>
            <w:vAlign w:val="bottom"/>
          </w:tcPr>
          <w:p w14:paraId="16444841" w14:textId="130104DC"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0.030</w:t>
            </w:r>
          </w:p>
        </w:tc>
        <w:tc>
          <w:tcPr>
            <w:tcW w:w="704" w:type="dxa"/>
            <w:tcBorders>
              <w:top w:val="nil"/>
              <w:left w:val="nil"/>
              <w:bottom w:val="nil"/>
              <w:right w:val="single" w:sz="4" w:space="0" w:color="auto"/>
            </w:tcBorders>
            <w:shd w:val="clear" w:color="auto" w:fill="auto"/>
            <w:noWrap/>
            <w:vAlign w:val="bottom"/>
          </w:tcPr>
          <w:p w14:paraId="5494A394" w14:textId="6DCEEFF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0.016</w:t>
            </w:r>
          </w:p>
        </w:tc>
        <w:tc>
          <w:tcPr>
            <w:tcW w:w="774" w:type="dxa"/>
            <w:tcBorders>
              <w:left w:val="nil"/>
              <w:right w:val="single" w:sz="4" w:space="0" w:color="auto"/>
            </w:tcBorders>
            <w:vAlign w:val="bottom"/>
          </w:tcPr>
          <w:p w14:paraId="655446EB" w14:textId="73B198A0"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2.26</w:t>
            </w:r>
          </w:p>
        </w:tc>
        <w:tc>
          <w:tcPr>
            <w:tcW w:w="774" w:type="dxa"/>
            <w:tcBorders>
              <w:left w:val="single" w:sz="4" w:space="0" w:color="auto"/>
              <w:right w:val="single" w:sz="4" w:space="0" w:color="auto"/>
            </w:tcBorders>
            <w:vAlign w:val="bottom"/>
          </w:tcPr>
          <w:p w14:paraId="6D31A39F" w14:textId="7F391BC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5.73</w:t>
            </w:r>
          </w:p>
        </w:tc>
        <w:tc>
          <w:tcPr>
            <w:tcW w:w="774" w:type="dxa"/>
            <w:tcBorders>
              <w:left w:val="single" w:sz="4" w:space="0" w:color="auto"/>
              <w:right w:val="single" w:sz="4" w:space="0" w:color="auto"/>
            </w:tcBorders>
            <w:vAlign w:val="bottom"/>
          </w:tcPr>
          <w:p w14:paraId="245F0D70" w14:textId="4CEB594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0.054</w:t>
            </w:r>
          </w:p>
        </w:tc>
        <w:tc>
          <w:tcPr>
            <w:tcW w:w="774" w:type="dxa"/>
            <w:tcBorders>
              <w:left w:val="single" w:sz="4" w:space="0" w:color="auto"/>
              <w:right w:val="single" w:sz="4" w:space="0" w:color="auto"/>
            </w:tcBorders>
            <w:vAlign w:val="bottom"/>
          </w:tcPr>
          <w:p w14:paraId="6D935322" w14:textId="644DB9E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54.70</w:t>
            </w:r>
          </w:p>
        </w:tc>
        <w:tc>
          <w:tcPr>
            <w:tcW w:w="880" w:type="dxa"/>
            <w:tcBorders>
              <w:left w:val="single" w:sz="4" w:space="0" w:color="auto"/>
            </w:tcBorders>
            <w:vAlign w:val="bottom"/>
          </w:tcPr>
          <w:p w14:paraId="47E92A33" w14:textId="59BD673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4.49</w:t>
            </w:r>
          </w:p>
        </w:tc>
      </w:tr>
      <w:tr w:rsidR="00181D81" w:rsidRPr="00A0555D" w14:paraId="670A11AD"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6C772644"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3203F35E" w14:textId="2698E0E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0.042</w:t>
            </w:r>
          </w:p>
        </w:tc>
        <w:tc>
          <w:tcPr>
            <w:tcW w:w="774" w:type="dxa"/>
            <w:tcBorders>
              <w:top w:val="nil"/>
              <w:left w:val="nil"/>
              <w:bottom w:val="nil"/>
              <w:right w:val="nil"/>
            </w:tcBorders>
            <w:shd w:val="clear" w:color="auto" w:fill="auto"/>
            <w:noWrap/>
            <w:vAlign w:val="bottom"/>
          </w:tcPr>
          <w:p w14:paraId="5C9C2FF1" w14:textId="57D5217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0.038</w:t>
            </w:r>
          </w:p>
        </w:tc>
        <w:tc>
          <w:tcPr>
            <w:tcW w:w="773" w:type="dxa"/>
            <w:tcBorders>
              <w:top w:val="nil"/>
              <w:left w:val="nil"/>
              <w:bottom w:val="nil"/>
              <w:right w:val="nil"/>
            </w:tcBorders>
            <w:shd w:val="clear" w:color="auto" w:fill="auto"/>
            <w:noWrap/>
            <w:vAlign w:val="bottom"/>
          </w:tcPr>
          <w:p w14:paraId="6EE825BC" w14:textId="6AB0731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0.054</w:t>
            </w:r>
          </w:p>
        </w:tc>
        <w:tc>
          <w:tcPr>
            <w:tcW w:w="843" w:type="dxa"/>
            <w:tcBorders>
              <w:top w:val="nil"/>
              <w:left w:val="nil"/>
              <w:bottom w:val="nil"/>
              <w:right w:val="nil"/>
            </w:tcBorders>
            <w:shd w:val="clear" w:color="auto" w:fill="auto"/>
            <w:noWrap/>
            <w:vAlign w:val="bottom"/>
          </w:tcPr>
          <w:p w14:paraId="5AFCA0CB" w14:textId="4D94D5F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0.041</w:t>
            </w:r>
          </w:p>
        </w:tc>
        <w:tc>
          <w:tcPr>
            <w:tcW w:w="704" w:type="dxa"/>
            <w:tcBorders>
              <w:top w:val="nil"/>
              <w:left w:val="nil"/>
              <w:bottom w:val="nil"/>
              <w:right w:val="single" w:sz="4" w:space="0" w:color="auto"/>
            </w:tcBorders>
            <w:shd w:val="clear" w:color="auto" w:fill="auto"/>
            <w:noWrap/>
            <w:vAlign w:val="bottom"/>
          </w:tcPr>
          <w:p w14:paraId="28B1838F" w14:textId="2D23F2A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0.037</w:t>
            </w:r>
          </w:p>
        </w:tc>
        <w:tc>
          <w:tcPr>
            <w:tcW w:w="774" w:type="dxa"/>
            <w:tcBorders>
              <w:left w:val="nil"/>
              <w:right w:val="single" w:sz="4" w:space="0" w:color="auto"/>
            </w:tcBorders>
            <w:vAlign w:val="bottom"/>
          </w:tcPr>
          <w:p w14:paraId="3D10C96F" w14:textId="7BCC538D"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4.65</w:t>
            </w:r>
          </w:p>
        </w:tc>
        <w:tc>
          <w:tcPr>
            <w:tcW w:w="774" w:type="dxa"/>
            <w:tcBorders>
              <w:left w:val="single" w:sz="4" w:space="0" w:color="auto"/>
              <w:right w:val="single" w:sz="4" w:space="0" w:color="auto"/>
            </w:tcBorders>
            <w:vAlign w:val="bottom"/>
          </w:tcPr>
          <w:p w14:paraId="480C81EA" w14:textId="68AE3DD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0.57</w:t>
            </w:r>
          </w:p>
        </w:tc>
        <w:tc>
          <w:tcPr>
            <w:tcW w:w="774" w:type="dxa"/>
            <w:tcBorders>
              <w:left w:val="single" w:sz="4" w:space="0" w:color="auto"/>
              <w:right w:val="single" w:sz="4" w:space="0" w:color="auto"/>
            </w:tcBorders>
            <w:vAlign w:val="bottom"/>
          </w:tcPr>
          <w:p w14:paraId="22E0B8A3" w14:textId="7F8801A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0.054</w:t>
            </w:r>
          </w:p>
        </w:tc>
        <w:tc>
          <w:tcPr>
            <w:tcW w:w="774" w:type="dxa"/>
            <w:tcBorders>
              <w:left w:val="single" w:sz="4" w:space="0" w:color="auto"/>
              <w:right w:val="single" w:sz="4" w:space="0" w:color="auto"/>
            </w:tcBorders>
            <w:vAlign w:val="bottom"/>
          </w:tcPr>
          <w:p w14:paraId="22181BC2" w14:textId="067483B9"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70.20</w:t>
            </w:r>
          </w:p>
        </w:tc>
        <w:tc>
          <w:tcPr>
            <w:tcW w:w="880" w:type="dxa"/>
            <w:tcBorders>
              <w:left w:val="single" w:sz="4" w:space="0" w:color="auto"/>
            </w:tcBorders>
            <w:vAlign w:val="bottom"/>
          </w:tcPr>
          <w:p w14:paraId="11EDB374" w14:textId="1FB4509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9.46</w:t>
            </w:r>
          </w:p>
        </w:tc>
      </w:tr>
      <w:tr w:rsidR="00181D81" w:rsidRPr="00A0555D" w14:paraId="2C3C8D0D"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0854FDF5"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3F9F46E4" w14:textId="7B83391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0.020</w:t>
            </w:r>
          </w:p>
        </w:tc>
        <w:tc>
          <w:tcPr>
            <w:tcW w:w="774" w:type="dxa"/>
            <w:tcBorders>
              <w:top w:val="nil"/>
              <w:left w:val="nil"/>
              <w:bottom w:val="single" w:sz="4" w:space="0" w:color="auto"/>
              <w:right w:val="nil"/>
            </w:tcBorders>
            <w:shd w:val="clear" w:color="auto" w:fill="auto"/>
            <w:noWrap/>
            <w:vAlign w:val="bottom"/>
          </w:tcPr>
          <w:p w14:paraId="5C6F7D15" w14:textId="477718D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0.023</w:t>
            </w:r>
          </w:p>
        </w:tc>
        <w:tc>
          <w:tcPr>
            <w:tcW w:w="773" w:type="dxa"/>
            <w:tcBorders>
              <w:top w:val="nil"/>
              <w:left w:val="nil"/>
              <w:bottom w:val="single" w:sz="4" w:space="0" w:color="auto"/>
              <w:right w:val="nil"/>
            </w:tcBorders>
            <w:shd w:val="clear" w:color="auto" w:fill="auto"/>
            <w:noWrap/>
            <w:vAlign w:val="bottom"/>
          </w:tcPr>
          <w:p w14:paraId="3C1E69D1" w14:textId="0EB4375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0.025</w:t>
            </w:r>
          </w:p>
        </w:tc>
        <w:tc>
          <w:tcPr>
            <w:tcW w:w="843" w:type="dxa"/>
            <w:tcBorders>
              <w:top w:val="nil"/>
              <w:left w:val="nil"/>
              <w:bottom w:val="single" w:sz="4" w:space="0" w:color="auto"/>
              <w:right w:val="nil"/>
            </w:tcBorders>
            <w:shd w:val="clear" w:color="auto" w:fill="auto"/>
            <w:noWrap/>
            <w:vAlign w:val="bottom"/>
          </w:tcPr>
          <w:p w14:paraId="75CE52EF" w14:textId="5C208793"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0.019</w:t>
            </w:r>
          </w:p>
        </w:tc>
        <w:tc>
          <w:tcPr>
            <w:tcW w:w="704" w:type="dxa"/>
            <w:tcBorders>
              <w:top w:val="nil"/>
              <w:left w:val="nil"/>
              <w:bottom w:val="single" w:sz="4" w:space="0" w:color="auto"/>
              <w:right w:val="single" w:sz="4" w:space="0" w:color="auto"/>
            </w:tcBorders>
            <w:shd w:val="clear" w:color="auto" w:fill="auto"/>
            <w:noWrap/>
            <w:vAlign w:val="bottom"/>
          </w:tcPr>
          <w:p w14:paraId="07509D21" w14:textId="35BBDF7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0.012</w:t>
            </w:r>
          </w:p>
        </w:tc>
        <w:tc>
          <w:tcPr>
            <w:tcW w:w="774" w:type="dxa"/>
            <w:tcBorders>
              <w:left w:val="nil"/>
              <w:bottom w:val="single" w:sz="4" w:space="0" w:color="auto"/>
              <w:right w:val="single" w:sz="4" w:space="0" w:color="auto"/>
            </w:tcBorders>
            <w:vAlign w:val="bottom"/>
          </w:tcPr>
          <w:p w14:paraId="3AA8A9AB" w14:textId="6385751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0.68</w:t>
            </w:r>
          </w:p>
        </w:tc>
        <w:tc>
          <w:tcPr>
            <w:tcW w:w="774" w:type="dxa"/>
            <w:tcBorders>
              <w:left w:val="single" w:sz="4" w:space="0" w:color="auto"/>
              <w:bottom w:val="single" w:sz="4" w:space="0" w:color="auto"/>
              <w:right w:val="single" w:sz="4" w:space="0" w:color="auto"/>
            </w:tcBorders>
            <w:vAlign w:val="bottom"/>
          </w:tcPr>
          <w:p w14:paraId="7381E52D" w14:textId="11E90BC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1.36</w:t>
            </w:r>
          </w:p>
        </w:tc>
        <w:tc>
          <w:tcPr>
            <w:tcW w:w="774" w:type="dxa"/>
            <w:tcBorders>
              <w:left w:val="single" w:sz="4" w:space="0" w:color="auto"/>
              <w:bottom w:val="single" w:sz="4" w:space="0" w:color="auto"/>
              <w:right w:val="single" w:sz="4" w:space="0" w:color="auto"/>
            </w:tcBorders>
            <w:vAlign w:val="bottom"/>
          </w:tcPr>
          <w:p w14:paraId="5941EA4E" w14:textId="3476B6A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0.133</w:t>
            </w:r>
          </w:p>
        </w:tc>
        <w:tc>
          <w:tcPr>
            <w:tcW w:w="774" w:type="dxa"/>
            <w:tcBorders>
              <w:left w:val="single" w:sz="4" w:space="0" w:color="auto"/>
              <w:bottom w:val="single" w:sz="4" w:space="0" w:color="auto"/>
              <w:right w:val="single" w:sz="4" w:space="0" w:color="auto"/>
            </w:tcBorders>
            <w:vAlign w:val="bottom"/>
          </w:tcPr>
          <w:p w14:paraId="50C68F06" w14:textId="0774C45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51.59</w:t>
            </w:r>
          </w:p>
        </w:tc>
        <w:tc>
          <w:tcPr>
            <w:tcW w:w="880" w:type="dxa"/>
            <w:tcBorders>
              <w:left w:val="single" w:sz="4" w:space="0" w:color="auto"/>
              <w:bottom w:val="single" w:sz="4" w:space="0" w:color="auto"/>
            </w:tcBorders>
            <w:vAlign w:val="bottom"/>
          </w:tcPr>
          <w:p w14:paraId="6C69A71A" w14:textId="4948FB5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11.32</w:t>
            </w:r>
          </w:p>
        </w:tc>
      </w:tr>
      <w:tr w:rsidR="0011335A" w:rsidRPr="00A0555D" w14:paraId="7CAF98DD" w14:textId="77777777" w:rsidTr="0011335A">
        <w:trPr>
          <w:trHeight w:val="144"/>
        </w:trPr>
        <w:tc>
          <w:tcPr>
            <w:tcW w:w="5474" w:type="dxa"/>
            <w:gridSpan w:val="6"/>
            <w:tcBorders>
              <w:top w:val="single" w:sz="4" w:space="0" w:color="auto"/>
            </w:tcBorders>
            <w:shd w:val="clear" w:color="auto" w:fill="auto"/>
            <w:noWrap/>
            <w:vAlign w:val="bottom"/>
            <w:hideMark/>
          </w:tcPr>
          <w:p w14:paraId="29FC0843" w14:textId="77777777" w:rsidR="0011335A" w:rsidRPr="009355EE" w:rsidRDefault="0011335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Daymet</w:t>
            </w:r>
          </w:p>
        </w:tc>
        <w:tc>
          <w:tcPr>
            <w:tcW w:w="774" w:type="dxa"/>
            <w:tcBorders>
              <w:top w:val="single" w:sz="4" w:space="0" w:color="auto"/>
              <w:left w:val="single" w:sz="4" w:space="0" w:color="auto"/>
            </w:tcBorders>
            <w:shd w:val="clear" w:color="auto" w:fill="auto"/>
            <w:vAlign w:val="bottom"/>
          </w:tcPr>
          <w:p w14:paraId="44D5B254"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55271F00"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58DD1EB6"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35F0128C" w14:textId="77777777" w:rsidR="0011335A" w:rsidRPr="006016B0" w:rsidRDefault="0011335A" w:rsidP="006016B0">
            <w:pPr>
              <w:tabs>
                <w:tab w:val="decimal" w:pos="256"/>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560443F3"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37DBB206" w14:textId="77777777" w:rsidTr="00A13B8D">
        <w:trPr>
          <w:trHeight w:val="144"/>
        </w:trPr>
        <w:tc>
          <w:tcPr>
            <w:tcW w:w="1613" w:type="dxa"/>
            <w:tcBorders>
              <w:left w:val="nil"/>
              <w:bottom w:val="nil"/>
              <w:right w:val="single" w:sz="4" w:space="0" w:color="auto"/>
            </w:tcBorders>
            <w:shd w:val="clear" w:color="auto" w:fill="auto"/>
            <w:noWrap/>
            <w:vAlign w:val="bottom"/>
            <w:hideMark/>
          </w:tcPr>
          <w:p w14:paraId="77886372"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465C14B5" w14:textId="1CF8DF4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bottom w:val="nil"/>
              <w:right w:val="nil"/>
            </w:tcBorders>
            <w:shd w:val="clear" w:color="auto" w:fill="auto"/>
            <w:noWrap/>
            <w:vAlign w:val="bottom"/>
          </w:tcPr>
          <w:p w14:paraId="55934D2D" w14:textId="456F074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left w:val="nil"/>
              <w:bottom w:val="nil"/>
              <w:right w:val="nil"/>
            </w:tcBorders>
            <w:shd w:val="clear" w:color="auto" w:fill="auto"/>
            <w:noWrap/>
            <w:vAlign w:val="bottom"/>
          </w:tcPr>
          <w:p w14:paraId="0F04A6FE" w14:textId="2CAB834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left w:val="nil"/>
              <w:bottom w:val="nil"/>
              <w:right w:val="nil"/>
            </w:tcBorders>
            <w:shd w:val="clear" w:color="auto" w:fill="auto"/>
            <w:noWrap/>
            <w:vAlign w:val="bottom"/>
          </w:tcPr>
          <w:p w14:paraId="40872A7A" w14:textId="61B2D8F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04" w:type="dxa"/>
            <w:tcBorders>
              <w:left w:val="nil"/>
              <w:bottom w:val="nil"/>
              <w:right w:val="single" w:sz="4" w:space="0" w:color="auto"/>
            </w:tcBorders>
            <w:shd w:val="clear" w:color="auto" w:fill="auto"/>
            <w:noWrap/>
            <w:vAlign w:val="bottom"/>
          </w:tcPr>
          <w:p w14:paraId="1C7559BF" w14:textId="41045A8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5D00BC8B" w14:textId="0FDEB23D"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0.06</w:t>
            </w:r>
          </w:p>
        </w:tc>
        <w:tc>
          <w:tcPr>
            <w:tcW w:w="774" w:type="dxa"/>
            <w:tcBorders>
              <w:left w:val="single" w:sz="4" w:space="0" w:color="auto"/>
              <w:right w:val="single" w:sz="4" w:space="0" w:color="auto"/>
            </w:tcBorders>
            <w:vAlign w:val="bottom"/>
          </w:tcPr>
          <w:p w14:paraId="004DF744" w14:textId="6D68972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3.29</w:t>
            </w:r>
          </w:p>
        </w:tc>
        <w:tc>
          <w:tcPr>
            <w:tcW w:w="774" w:type="dxa"/>
            <w:tcBorders>
              <w:left w:val="single" w:sz="4" w:space="0" w:color="auto"/>
              <w:right w:val="single" w:sz="4" w:space="0" w:color="auto"/>
            </w:tcBorders>
            <w:vAlign w:val="bottom"/>
          </w:tcPr>
          <w:p w14:paraId="4A13AC37" w14:textId="79733E8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0.003</w:t>
            </w:r>
          </w:p>
        </w:tc>
        <w:tc>
          <w:tcPr>
            <w:tcW w:w="774" w:type="dxa"/>
            <w:tcBorders>
              <w:left w:val="single" w:sz="4" w:space="0" w:color="auto"/>
              <w:right w:val="single" w:sz="4" w:space="0" w:color="auto"/>
            </w:tcBorders>
            <w:vAlign w:val="bottom"/>
          </w:tcPr>
          <w:p w14:paraId="6FC2A2E1" w14:textId="7F9ACF0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0.39</w:t>
            </w:r>
          </w:p>
        </w:tc>
        <w:tc>
          <w:tcPr>
            <w:tcW w:w="880" w:type="dxa"/>
            <w:tcBorders>
              <w:left w:val="single" w:sz="4" w:space="0" w:color="auto"/>
            </w:tcBorders>
            <w:vAlign w:val="bottom"/>
          </w:tcPr>
          <w:p w14:paraId="18EF855B" w14:textId="607B16C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6.86</w:t>
            </w:r>
          </w:p>
        </w:tc>
      </w:tr>
      <w:tr w:rsidR="00181D81" w:rsidRPr="00A0555D" w14:paraId="5627D585"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2497257"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56B42522" w14:textId="192E3F5D"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580165AA" w14:textId="6D25638C"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48A61335" w14:textId="7093F22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263BBA0A" w14:textId="7FC9FFE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5C5CC6AE" w14:textId="53A2E7B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6E3EF220" w14:textId="6A0A712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w:t>
            </w:r>
          </w:p>
        </w:tc>
        <w:tc>
          <w:tcPr>
            <w:tcW w:w="774" w:type="dxa"/>
            <w:tcBorders>
              <w:left w:val="single" w:sz="4" w:space="0" w:color="auto"/>
              <w:right w:val="single" w:sz="4" w:space="0" w:color="auto"/>
            </w:tcBorders>
            <w:vAlign w:val="bottom"/>
          </w:tcPr>
          <w:p w14:paraId="7FDBAB8F" w14:textId="4E68E5D9"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2.86</w:t>
            </w:r>
          </w:p>
        </w:tc>
        <w:tc>
          <w:tcPr>
            <w:tcW w:w="774" w:type="dxa"/>
            <w:tcBorders>
              <w:left w:val="single" w:sz="4" w:space="0" w:color="auto"/>
              <w:right w:val="single" w:sz="4" w:space="0" w:color="auto"/>
            </w:tcBorders>
            <w:vAlign w:val="bottom"/>
          </w:tcPr>
          <w:p w14:paraId="2951898F" w14:textId="49F993A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0.005</w:t>
            </w:r>
          </w:p>
        </w:tc>
        <w:tc>
          <w:tcPr>
            <w:tcW w:w="774" w:type="dxa"/>
            <w:tcBorders>
              <w:left w:val="single" w:sz="4" w:space="0" w:color="auto"/>
              <w:right w:val="single" w:sz="4" w:space="0" w:color="auto"/>
            </w:tcBorders>
            <w:vAlign w:val="bottom"/>
          </w:tcPr>
          <w:p w14:paraId="3816E920" w14:textId="3EBD57DC"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0.31</w:t>
            </w:r>
          </w:p>
        </w:tc>
        <w:tc>
          <w:tcPr>
            <w:tcW w:w="880" w:type="dxa"/>
            <w:tcBorders>
              <w:left w:val="single" w:sz="4" w:space="0" w:color="auto"/>
            </w:tcBorders>
            <w:vAlign w:val="bottom"/>
          </w:tcPr>
          <w:p w14:paraId="61FA309D" w14:textId="29469691"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2.26</w:t>
            </w:r>
          </w:p>
        </w:tc>
      </w:tr>
      <w:tr w:rsidR="00181D81" w:rsidRPr="00A0555D" w14:paraId="01626F11"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51372B07"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4C7A91F8" w14:textId="178671D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153EBC8D" w14:textId="34628EF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22D41E74" w14:textId="3D8CA87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top w:val="nil"/>
              <w:left w:val="nil"/>
              <w:bottom w:val="nil"/>
              <w:right w:val="nil"/>
            </w:tcBorders>
            <w:shd w:val="clear" w:color="auto" w:fill="auto"/>
            <w:noWrap/>
            <w:vAlign w:val="bottom"/>
          </w:tcPr>
          <w:p w14:paraId="3EA10894" w14:textId="5EC1EAB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42D2F7B2" w14:textId="0BAABE87"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32755104" w14:textId="51871216"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0.03</w:t>
            </w:r>
          </w:p>
        </w:tc>
        <w:tc>
          <w:tcPr>
            <w:tcW w:w="774" w:type="dxa"/>
            <w:tcBorders>
              <w:left w:val="single" w:sz="4" w:space="0" w:color="auto"/>
              <w:right w:val="single" w:sz="4" w:space="0" w:color="auto"/>
            </w:tcBorders>
            <w:vAlign w:val="bottom"/>
          </w:tcPr>
          <w:p w14:paraId="59B1C8C3" w14:textId="140AFF4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2.80</w:t>
            </w:r>
          </w:p>
        </w:tc>
        <w:tc>
          <w:tcPr>
            <w:tcW w:w="774" w:type="dxa"/>
            <w:tcBorders>
              <w:left w:val="single" w:sz="4" w:space="0" w:color="auto"/>
              <w:right w:val="single" w:sz="4" w:space="0" w:color="auto"/>
            </w:tcBorders>
            <w:vAlign w:val="bottom"/>
          </w:tcPr>
          <w:p w14:paraId="146FD787" w14:textId="4DEA837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0.004</w:t>
            </w:r>
          </w:p>
        </w:tc>
        <w:tc>
          <w:tcPr>
            <w:tcW w:w="774" w:type="dxa"/>
            <w:tcBorders>
              <w:left w:val="single" w:sz="4" w:space="0" w:color="auto"/>
              <w:right w:val="single" w:sz="4" w:space="0" w:color="auto"/>
            </w:tcBorders>
            <w:vAlign w:val="bottom"/>
          </w:tcPr>
          <w:p w14:paraId="21AC2518" w14:textId="28507A7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0.19</w:t>
            </w:r>
          </w:p>
        </w:tc>
        <w:tc>
          <w:tcPr>
            <w:tcW w:w="880" w:type="dxa"/>
            <w:tcBorders>
              <w:left w:val="single" w:sz="4" w:space="0" w:color="auto"/>
            </w:tcBorders>
            <w:vAlign w:val="bottom"/>
          </w:tcPr>
          <w:p w14:paraId="6417D565" w14:textId="04EF64D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3.98</w:t>
            </w:r>
          </w:p>
        </w:tc>
      </w:tr>
      <w:tr w:rsidR="00181D81" w:rsidRPr="00A0555D" w14:paraId="092863E8"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84B9DD1"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47F22F12" w14:textId="7EEF5A4C"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3104AA2B" w14:textId="15F18B8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1B010B4A" w14:textId="4AFBE3C7"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top w:val="nil"/>
              <w:left w:val="nil"/>
              <w:bottom w:val="nil"/>
              <w:right w:val="nil"/>
            </w:tcBorders>
            <w:shd w:val="clear" w:color="auto" w:fill="auto"/>
            <w:noWrap/>
            <w:vAlign w:val="bottom"/>
          </w:tcPr>
          <w:p w14:paraId="121ADD4B" w14:textId="02FADB1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2BA83DB2" w14:textId="6EFD3C9D"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0.001</w:t>
            </w:r>
          </w:p>
        </w:tc>
        <w:tc>
          <w:tcPr>
            <w:tcW w:w="774" w:type="dxa"/>
            <w:tcBorders>
              <w:left w:val="nil"/>
              <w:right w:val="single" w:sz="4" w:space="0" w:color="auto"/>
            </w:tcBorders>
            <w:vAlign w:val="bottom"/>
          </w:tcPr>
          <w:p w14:paraId="70539906" w14:textId="040B341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0.13</w:t>
            </w:r>
          </w:p>
        </w:tc>
        <w:tc>
          <w:tcPr>
            <w:tcW w:w="774" w:type="dxa"/>
            <w:tcBorders>
              <w:left w:val="single" w:sz="4" w:space="0" w:color="auto"/>
              <w:right w:val="single" w:sz="4" w:space="0" w:color="auto"/>
            </w:tcBorders>
            <w:vAlign w:val="bottom"/>
          </w:tcPr>
          <w:p w14:paraId="52226055" w14:textId="3CD952B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2.68</w:t>
            </w:r>
          </w:p>
        </w:tc>
        <w:tc>
          <w:tcPr>
            <w:tcW w:w="774" w:type="dxa"/>
            <w:tcBorders>
              <w:left w:val="single" w:sz="4" w:space="0" w:color="auto"/>
              <w:right w:val="single" w:sz="4" w:space="0" w:color="auto"/>
            </w:tcBorders>
            <w:vAlign w:val="bottom"/>
          </w:tcPr>
          <w:p w14:paraId="0BD67F1D" w14:textId="75B5533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0.004</w:t>
            </w:r>
          </w:p>
        </w:tc>
        <w:tc>
          <w:tcPr>
            <w:tcW w:w="774" w:type="dxa"/>
            <w:tcBorders>
              <w:left w:val="single" w:sz="4" w:space="0" w:color="auto"/>
              <w:right w:val="single" w:sz="4" w:space="0" w:color="auto"/>
            </w:tcBorders>
            <w:vAlign w:val="bottom"/>
          </w:tcPr>
          <w:p w14:paraId="3ED73408" w14:textId="5270649F"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0.20</w:t>
            </w:r>
          </w:p>
        </w:tc>
        <w:tc>
          <w:tcPr>
            <w:tcW w:w="880" w:type="dxa"/>
            <w:tcBorders>
              <w:left w:val="single" w:sz="4" w:space="0" w:color="auto"/>
            </w:tcBorders>
            <w:vAlign w:val="bottom"/>
          </w:tcPr>
          <w:p w14:paraId="60F3EF18" w14:textId="7846BE1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5.49</w:t>
            </w:r>
          </w:p>
        </w:tc>
      </w:tr>
      <w:tr w:rsidR="00181D81" w:rsidRPr="00A0555D" w14:paraId="1E0EDE09"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6D8D7C3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67E442DE" w14:textId="12C256E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4" w:type="dxa"/>
            <w:tcBorders>
              <w:top w:val="nil"/>
              <w:left w:val="nil"/>
              <w:bottom w:val="nil"/>
              <w:right w:val="nil"/>
            </w:tcBorders>
            <w:shd w:val="clear" w:color="auto" w:fill="auto"/>
            <w:noWrap/>
            <w:vAlign w:val="bottom"/>
          </w:tcPr>
          <w:p w14:paraId="3AE631AA" w14:textId="36A65CB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2C0C19A1" w14:textId="286500BC"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67400B47" w14:textId="56CE6E0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1EFDA22C" w14:textId="2C01C9C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034343BC" w14:textId="4CF8995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0.15</w:t>
            </w:r>
          </w:p>
        </w:tc>
        <w:tc>
          <w:tcPr>
            <w:tcW w:w="774" w:type="dxa"/>
            <w:tcBorders>
              <w:left w:val="single" w:sz="4" w:space="0" w:color="auto"/>
              <w:right w:val="single" w:sz="4" w:space="0" w:color="auto"/>
            </w:tcBorders>
            <w:vAlign w:val="bottom"/>
          </w:tcPr>
          <w:p w14:paraId="468A3D4B" w14:textId="781F254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2.82</w:t>
            </w:r>
          </w:p>
        </w:tc>
        <w:tc>
          <w:tcPr>
            <w:tcW w:w="774" w:type="dxa"/>
            <w:tcBorders>
              <w:left w:val="single" w:sz="4" w:space="0" w:color="auto"/>
              <w:right w:val="single" w:sz="4" w:space="0" w:color="auto"/>
            </w:tcBorders>
            <w:vAlign w:val="bottom"/>
          </w:tcPr>
          <w:p w14:paraId="405E305A" w14:textId="7315763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0.008</w:t>
            </w:r>
          </w:p>
        </w:tc>
        <w:tc>
          <w:tcPr>
            <w:tcW w:w="774" w:type="dxa"/>
            <w:tcBorders>
              <w:left w:val="single" w:sz="4" w:space="0" w:color="auto"/>
              <w:right w:val="single" w:sz="4" w:space="0" w:color="auto"/>
            </w:tcBorders>
            <w:vAlign w:val="bottom"/>
          </w:tcPr>
          <w:p w14:paraId="7871CFD3" w14:textId="77AC700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0.52</w:t>
            </w:r>
          </w:p>
        </w:tc>
        <w:tc>
          <w:tcPr>
            <w:tcW w:w="880" w:type="dxa"/>
            <w:tcBorders>
              <w:left w:val="single" w:sz="4" w:space="0" w:color="auto"/>
            </w:tcBorders>
            <w:vAlign w:val="bottom"/>
          </w:tcPr>
          <w:p w14:paraId="413EB768" w14:textId="5DE5CEA3"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2.83</w:t>
            </w:r>
          </w:p>
        </w:tc>
      </w:tr>
      <w:tr w:rsidR="00181D81" w:rsidRPr="00A0555D" w14:paraId="67370FF6"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3B68BD29"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3C2DA915" w14:textId="67C7B6C2"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single" w:sz="4" w:space="0" w:color="auto"/>
              <w:right w:val="nil"/>
            </w:tcBorders>
            <w:shd w:val="clear" w:color="auto" w:fill="auto"/>
            <w:noWrap/>
            <w:vAlign w:val="bottom"/>
          </w:tcPr>
          <w:p w14:paraId="3EBC66A4" w14:textId="6C1139DE"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single" w:sz="4" w:space="0" w:color="auto"/>
              <w:right w:val="nil"/>
            </w:tcBorders>
            <w:shd w:val="clear" w:color="auto" w:fill="auto"/>
            <w:noWrap/>
            <w:vAlign w:val="bottom"/>
          </w:tcPr>
          <w:p w14:paraId="5CBA7D84" w14:textId="6F05851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top w:val="nil"/>
              <w:left w:val="nil"/>
              <w:bottom w:val="single" w:sz="4" w:space="0" w:color="auto"/>
              <w:right w:val="nil"/>
            </w:tcBorders>
            <w:shd w:val="clear" w:color="auto" w:fill="auto"/>
            <w:noWrap/>
            <w:vAlign w:val="bottom"/>
          </w:tcPr>
          <w:p w14:paraId="796E05EB" w14:textId="49B658A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single" w:sz="4" w:space="0" w:color="auto"/>
              <w:right w:val="single" w:sz="4" w:space="0" w:color="auto"/>
            </w:tcBorders>
            <w:shd w:val="clear" w:color="auto" w:fill="auto"/>
            <w:noWrap/>
            <w:vAlign w:val="bottom"/>
          </w:tcPr>
          <w:p w14:paraId="0CE607D4" w14:textId="543525BF" w:rsidR="00181D81" w:rsidRPr="005D66A1" w:rsidRDefault="005D66A1" w:rsidP="005D66A1">
            <w:pPr>
              <w:tabs>
                <w:tab w:val="decimal" w:pos="172"/>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0.001</w:t>
            </w:r>
          </w:p>
        </w:tc>
        <w:tc>
          <w:tcPr>
            <w:tcW w:w="774" w:type="dxa"/>
            <w:tcBorders>
              <w:left w:val="nil"/>
              <w:bottom w:val="single" w:sz="4" w:space="0" w:color="auto"/>
              <w:right w:val="single" w:sz="4" w:space="0" w:color="auto"/>
            </w:tcBorders>
            <w:vAlign w:val="bottom"/>
          </w:tcPr>
          <w:p w14:paraId="6FC70271" w14:textId="15F5E4C2"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0.07</w:t>
            </w:r>
          </w:p>
        </w:tc>
        <w:tc>
          <w:tcPr>
            <w:tcW w:w="774" w:type="dxa"/>
            <w:tcBorders>
              <w:left w:val="single" w:sz="4" w:space="0" w:color="auto"/>
              <w:bottom w:val="single" w:sz="4" w:space="0" w:color="auto"/>
              <w:right w:val="single" w:sz="4" w:space="0" w:color="auto"/>
            </w:tcBorders>
            <w:vAlign w:val="bottom"/>
          </w:tcPr>
          <w:p w14:paraId="40B58C42" w14:textId="1555AE30"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2.52</w:t>
            </w:r>
          </w:p>
        </w:tc>
        <w:tc>
          <w:tcPr>
            <w:tcW w:w="774" w:type="dxa"/>
            <w:tcBorders>
              <w:left w:val="single" w:sz="4" w:space="0" w:color="auto"/>
              <w:bottom w:val="single" w:sz="4" w:space="0" w:color="auto"/>
              <w:right w:val="single" w:sz="4" w:space="0" w:color="auto"/>
            </w:tcBorders>
            <w:vAlign w:val="bottom"/>
          </w:tcPr>
          <w:p w14:paraId="0FD28656" w14:textId="61978054"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0.002</w:t>
            </w:r>
          </w:p>
        </w:tc>
        <w:tc>
          <w:tcPr>
            <w:tcW w:w="774" w:type="dxa"/>
            <w:tcBorders>
              <w:left w:val="single" w:sz="4" w:space="0" w:color="auto"/>
              <w:bottom w:val="single" w:sz="4" w:space="0" w:color="auto"/>
              <w:right w:val="single" w:sz="4" w:space="0" w:color="auto"/>
            </w:tcBorders>
            <w:vAlign w:val="bottom"/>
          </w:tcPr>
          <w:p w14:paraId="1A785A3A" w14:textId="339F6DD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0.17</w:t>
            </w:r>
          </w:p>
        </w:tc>
        <w:tc>
          <w:tcPr>
            <w:tcW w:w="880" w:type="dxa"/>
            <w:tcBorders>
              <w:left w:val="single" w:sz="4" w:space="0" w:color="auto"/>
              <w:bottom w:val="single" w:sz="4" w:space="0" w:color="auto"/>
            </w:tcBorders>
            <w:vAlign w:val="bottom"/>
          </w:tcPr>
          <w:p w14:paraId="162A1367" w14:textId="13081466"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0.93</w:t>
            </w:r>
          </w:p>
        </w:tc>
      </w:tr>
      <w:tr w:rsidR="0011335A" w:rsidRPr="00A0555D" w14:paraId="2CF75EF7" w14:textId="77777777" w:rsidTr="0011335A">
        <w:trPr>
          <w:trHeight w:val="144"/>
        </w:trPr>
        <w:tc>
          <w:tcPr>
            <w:tcW w:w="5474" w:type="dxa"/>
            <w:gridSpan w:val="6"/>
            <w:tcBorders>
              <w:top w:val="single" w:sz="4" w:space="0" w:color="auto"/>
            </w:tcBorders>
            <w:shd w:val="clear" w:color="auto" w:fill="auto"/>
            <w:noWrap/>
            <w:vAlign w:val="bottom"/>
            <w:hideMark/>
          </w:tcPr>
          <w:p w14:paraId="466C3D63" w14:textId="4DA0EDEC" w:rsidR="0011335A" w:rsidRPr="009355EE" w:rsidRDefault="0011335A"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Daymet</w:t>
            </w:r>
          </w:p>
        </w:tc>
        <w:tc>
          <w:tcPr>
            <w:tcW w:w="774" w:type="dxa"/>
            <w:tcBorders>
              <w:top w:val="single" w:sz="4" w:space="0" w:color="auto"/>
              <w:left w:val="single" w:sz="4" w:space="0" w:color="auto"/>
            </w:tcBorders>
            <w:shd w:val="clear" w:color="auto" w:fill="auto"/>
            <w:vAlign w:val="bottom"/>
          </w:tcPr>
          <w:p w14:paraId="417BE3D2"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48DFB57F"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4942AA8B" w14:textId="77777777" w:rsidR="0011335A" w:rsidRPr="006016B0" w:rsidRDefault="0011335A"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D95756F" w14:textId="77777777" w:rsidR="0011335A" w:rsidRPr="006016B0" w:rsidRDefault="0011335A" w:rsidP="006016B0">
            <w:pPr>
              <w:tabs>
                <w:tab w:val="decimal" w:pos="256"/>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09C6DC20" w14:textId="77777777" w:rsidR="0011335A" w:rsidRPr="006016B0" w:rsidRDefault="0011335A" w:rsidP="006016B0">
            <w:pPr>
              <w:tabs>
                <w:tab w:val="decimal" w:pos="256"/>
              </w:tabs>
              <w:spacing w:before="0" w:after="0" w:line="240" w:lineRule="auto"/>
              <w:ind w:firstLine="0"/>
              <w:rPr>
                <w:color w:val="000000"/>
                <w:sz w:val="16"/>
                <w:szCs w:val="16"/>
              </w:rPr>
            </w:pPr>
          </w:p>
        </w:tc>
      </w:tr>
      <w:tr w:rsidR="00181D81" w:rsidRPr="00A0555D" w14:paraId="00DEBE99" w14:textId="77777777" w:rsidTr="00A13B8D">
        <w:trPr>
          <w:trHeight w:val="144"/>
        </w:trPr>
        <w:tc>
          <w:tcPr>
            <w:tcW w:w="1613" w:type="dxa"/>
            <w:tcBorders>
              <w:left w:val="nil"/>
              <w:bottom w:val="nil"/>
              <w:right w:val="single" w:sz="4" w:space="0" w:color="auto"/>
            </w:tcBorders>
            <w:shd w:val="clear" w:color="auto" w:fill="auto"/>
            <w:noWrap/>
            <w:vAlign w:val="bottom"/>
            <w:hideMark/>
          </w:tcPr>
          <w:p w14:paraId="2902EB12"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7000D3FF" w14:textId="09F70D3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bottom w:val="nil"/>
              <w:right w:val="nil"/>
            </w:tcBorders>
            <w:shd w:val="clear" w:color="auto" w:fill="auto"/>
            <w:noWrap/>
            <w:vAlign w:val="bottom"/>
          </w:tcPr>
          <w:p w14:paraId="6AD1E242" w14:textId="7FF9C12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left w:val="nil"/>
              <w:bottom w:val="nil"/>
              <w:right w:val="nil"/>
            </w:tcBorders>
            <w:shd w:val="clear" w:color="auto" w:fill="auto"/>
            <w:noWrap/>
            <w:vAlign w:val="bottom"/>
          </w:tcPr>
          <w:p w14:paraId="10E1EB4D" w14:textId="747186B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left w:val="nil"/>
              <w:bottom w:val="nil"/>
              <w:right w:val="nil"/>
            </w:tcBorders>
            <w:shd w:val="clear" w:color="auto" w:fill="auto"/>
            <w:noWrap/>
            <w:vAlign w:val="bottom"/>
          </w:tcPr>
          <w:p w14:paraId="460C9D0C" w14:textId="1FC6175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left w:val="nil"/>
              <w:bottom w:val="nil"/>
              <w:right w:val="single" w:sz="4" w:space="0" w:color="auto"/>
            </w:tcBorders>
            <w:shd w:val="clear" w:color="auto" w:fill="auto"/>
            <w:noWrap/>
            <w:vAlign w:val="bottom"/>
          </w:tcPr>
          <w:p w14:paraId="6CF1B86A" w14:textId="2EBEA53D"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103C994C" w14:textId="38033FE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0.38</w:t>
            </w:r>
          </w:p>
        </w:tc>
        <w:tc>
          <w:tcPr>
            <w:tcW w:w="774" w:type="dxa"/>
            <w:tcBorders>
              <w:left w:val="single" w:sz="4" w:space="0" w:color="auto"/>
              <w:right w:val="single" w:sz="4" w:space="0" w:color="auto"/>
            </w:tcBorders>
            <w:vAlign w:val="bottom"/>
          </w:tcPr>
          <w:p w14:paraId="7FD1A38A" w14:textId="6FB8741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0.50</w:t>
            </w:r>
          </w:p>
        </w:tc>
        <w:tc>
          <w:tcPr>
            <w:tcW w:w="774" w:type="dxa"/>
            <w:tcBorders>
              <w:left w:val="single" w:sz="4" w:space="0" w:color="auto"/>
              <w:right w:val="single" w:sz="4" w:space="0" w:color="auto"/>
            </w:tcBorders>
            <w:vAlign w:val="bottom"/>
          </w:tcPr>
          <w:p w14:paraId="287BE869" w14:textId="1B67E40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0.003</w:t>
            </w:r>
          </w:p>
        </w:tc>
        <w:tc>
          <w:tcPr>
            <w:tcW w:w="774" w:type="dxa"/>
            <w:tcBorders>
              <w:left w:val="single" w:sz="4" w:space="0" w:color="auto"/>
              <w:right w:val="single" w:sz="4" w:space="0" w:color="auto"/>
            </w:tcBorders>
            <w:vAlign w:val="bottom"/>
          </w:tcPr>
          <w:p w14:paraId="348FC09D" w14:textId="38BAE41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0.20</w:t>
            </w:r>
          </w:p>
        </w:tc>
        <w:tc>
          <w:tcPr>
            <w:tcW w:w="880" w:type="dxa"/>
            <w:tcBorders>
              <w:left w:val="single" w:sz="4" w:space="0" w:color="auto"/>
            </w:tcBorders>
            <w:vAlign w:val="bottom"/>
          </w:tcPr>
          <w:p w14:paraId="09DD10EB" w14:textId="0326E178"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1.25</w:t>
            </w:r>
          </w:p>
        </w:tc>
      </w:tr>
      <w:tr w:rsidR="00181D81" w:rsidRPr="00A0555D" w14:paraId="0608E763"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C42A209"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234F24CA" w14:textId="0F31C77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2E431F98" w14:textId="1C67F8EC"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3" w:type="dxa"/>
            <w:tcBorders>
              <w:top w:val="nil"/>
              <w:left w:val="nil"/>
              <w:bottom w:val="nil"/>
              <w:right w:val="nil"/>
            </w:tcBorders>
            <w:shd w:val="clear" w:color="auto" w:fill="auto"/>
            <w:noWrap/>
            <w:vAlign w:val="bottom"/>
          </w:tcPr>
          <w:p w14:paraId="601FC543" w14:textId="37B2085E"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3DDF7A46" w14:textId="17C0E417"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04" w:type="dxa"/>
            <w:tcBorders>
              <w:top w:val="nil"/>
              <w:left w:val="nil"/>
              <w:bottom w:val="nil"/>
              <w:right w:val="single" w:sz="4" w:space="0" w:color="auto"/>
            </w:tcBorders>
            <w:shd w:val="clear" w:color="auto" w:fill="auto"/>
            <w:noWrap/>
            <w:vAlign w:val="bottom"/>
          </w:tcPr>
          <w:p w14:paraId="4162AE97" w14:textId="03E9E88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01D0A48F" w14:textId="124B5088"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0.13</w:t>
            </w:r>
          </w:p>
        </w:tc>
        <w:tc>
          <w:tcPr>
            <w:tcW w:w="774" w:type="dxa"/>
            <w:tcBorders>
              <w:left w:val="single" w:sz="4" w:space="0" w:color="auto"/>
              <w:right w:val="single" w:sz="4" w:space="0" w:color="auto"/>
            </w:tcBorders>
            <w:vAlign w:val="bottom"/>
          </w:tcPr>
          <w:p w14:paraId="3C45C34A" w14:textId="6E5D3CB5"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0.87</w:t>
            </w:r>
          </w:p>
        </w:tc>
        <w:tc>
          <w:tcPr>
            <w:tcW w:w="774" w:type="dxa"/>
            <w:tcBorders>
              <w:left w:val="single" w:sz="4" w:space="0" w:color="auto"/>
              <w:right w:val="single" w:sz="4" w:space="0" w:color="auto"/>
            </w:tcBorders>
            <w:vAlign w:val="bottom"/>
          </w:tcPr>
          <w:p w14:paraId="5B61B058" w14:textId="28C73B3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0.007</w:t>
            </w:r>
          </w:p>
        </w:tc>
        <w:tc>
          <w:tcPr>
            <w:tcW w:w="774" w:type="dxa"/>
            <w:tcBorders>
              <w:left w:val="single" w:sz="4" w:space="0" w:color="auto"/>
              <w:right w:val="single" w:sz="4" w:space="0" w:color="auto"/>
            </w:tcBorders>
            <w:vAlign w:val="bottom"/>
          </w:tcPr>
          <w:p w14:paraId="4DB7153B" w14:textId="15832E4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0.22</w:t>
            </w:r>
          </w:p>
        </w:tc>
        <w:tc>
          <w:tcPr>
            <w:tcW w:w="880" w:type="dxa"/>
            <w:tcBorders>
              <w:left w:val="single" w:sz="4" w:space="0" w:color="auto"/>
            </w:tcBorders>
            <w:vAlign w:val="bottom"/>
          </w:tcPr>
          <w:p w14:paraId="03B65C8B" w14:textId="0B9E84DA"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0.85</w:t>
            </w:r>
          </w:p>
        </w:tc>
      </w:tr>
      <w:tr w:rsidR="00181D81" w:rsidRPr="00A0555D" w14:paraId="3A0DE1C9"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1EA17EDC"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348C72BF" w14:textId="5C70804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0B1AE567" w14:textId="0B6A4E1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21DF55FE" w14:textId="772E47B9"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0FF2C63F" w14:textId="3AFC0372"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6FAC119C" w14:textId="7E69811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372C8CC0" w14:textId="09EEDAA7"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0.39</w:t>
            </w:r>
          </w:p>
        </w:tc>
        <w:tc>
          <w:tcPr>
            <w:tcW w:w="774" w:type="dxa"/>
            <w:tcBorders>
              <w:left w:val="single" w:sz="4" w:space="0" w:color="auto"/>
              <w:right w:val="single" w:sz="4" w:space="0" w:color="auto"/>
            </w:tcBorders>
            <w:vAlign w:val="bottom"/>
          </w:tcPr>
          <w:p w14:paraId="43207DFD" w14:textId="2B46E58D"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0.43</w:t>
            </w:r>
          </w:p>
        </w:tc>
        <w:tc>
          <w:tcPr>
            <w:tcW w:w="774" w:type="dxa"/>
            <w:tcBorders>
              <w:left w:val="single" w:sz="4" w:space="0" w:color="auto"/>
              <w:right w:val="single" w:sz="4" w:space="0" w:color="auto"/>
            </w:tcBorders>
            <w:vAlign w:val="bottom"/>
          </w:tcPr>
          <w:p w14:paraId="508E1D63" w14:textId="36D0BE5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0.005</w:t>
            </w:r>
          </w:p>
        </w:tc>
        <w:tc>
          <w:tcPr>
            <w:tcW w:w="774" w:type="dxa"/>
            <w:tcBorders>
              <w:left w:val="single" w:sz="4" w:space="0" w:color="auto"/>
              <w:right w:val="single" w:sz="4" w:space="0" w:color="auto"/>
            </w:tcBorders>
            <w:vAlign w:val="bottom"/>
          </w:tcPr>
          <w:p w14:paraId="770A4DEE" w14:textId="0CDC27CE"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0.09</w:t>
            </w:r>
          </w:p>
        </w:tc>
        <w:tc>
          <w:tcPr>
            <w:tcW w:w="880" w:type="dxa"/>
            <w:tcBorders>
              <w:left w:val="single" w:sz="4" w:space="0" w:color="auto"/>
            </w:tcBorders>
            <w:vAlign w:val="bottom"/>
          </w:tcPr>
          <w:p w14:paraId="615CA409" w14:textId="2F6BFEA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1.13</w:t>
            </w:r>
          </w:p>
        </w:tc>
      </w:tr>
      <w:tr w:rsidR="00181D81" w:rsidRPr="00A0555D" w14:paraId="79E12DFE"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19BA0CE"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0A74CEF0" w14:textId="784BE59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nil"/>
              <w:right w:val="nil"/>
            </w:tcBorders>
            <w:shd w:val="clear" w:color="auto" w:fill="auto"/>
            <w:noWrap/>
            <w:vAlign w:val="bottom"/>
          </w:tcPr>
          <w:p w14:paraId="3E338755" w14:textId="72248A1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59DB9FEB" w14:textId="072B9452"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top w:val="nil"/>
              <w:left w:val="nil"/>
              <w:bottom w:val="nil"/>
              <w:right w:val="nil"/>
            </w:tcBorders>
            <w:shd w:val="clear" w:color="auto" w:fill="auto"/>
            <w:noWrap/>
            <w:vAlign w:val="bottom"/>
          </w:tcPr>
          <w:p w14:paraId="5992E49E" w14:textId="617C27A6"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735970F7" w14:textId="629F14F3"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right w:val="single" w:sz="4" w:space="0" w:color="auto"/>
            </w:tcBorders>
            <w:vAlign w:val="bottom"/>
          </w:tcPr>
          <w:p w14:paraId="494F9F54" w14:textId="59E1247E"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0.40</w:t>
            </w:r>
          </w:p>
        </w:tc>
        <w:tc>
          <w:tcPr>
            <w:tcW w:w="774" w:type="dxa"/>
            <w:tcBorders>
              <w:left w:val="single" w:sz="4" w:space="0" w:color="auto"/>
              <w:right w:val="single" w:sz="4" w:space="0" w:color="auto"/>
            </w:tcBorders>
            <w:vAlign w:val="bottom"/>
          </w:tcPr>
          <w:p w14:paraId="0EA02D10" w14:textId="2D41E08C"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0.48</w:t>
            </w:r>
          </w:p>
        </w:tc>
        <w:tc>
          <w:tcPr>
            <w:tcW w:w="774" w:type="dxa"/>
            <w:tcBorders>
              <w:left w:val="single" w:sz="4" w:space="0" w:color="auto"/>
              <w:right w:val="single" w:sz="4" w:space="0" w:color="auto"/>
            </w:tcBorders>
            <w:vAlign w:val="bottom"/>
          </w:tcPr>
          <w:p w14:paraId="31ED8698" w14:textId="7006F47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0.005</w:t>
            </w:r>
          </w:p>
        </w:tc>
        <w:tc>
          <w:tcPr>
            <w:tcW w:w="774" w:type="dxa"/>
            <w:tcBorders>
              <w:left w:val="single" w:sz="4" w:space="0" w:color="auto"/>
              <w:right w:val="single" w:sz="4" w:space="0" w:color="auto"/>
            </w:tcBorders>
            <w:vAlign w:val="bottom"/>
          </w:tcPr>
          <w:p w14:paraId="00514F83" w14:textId="14DCF9B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0.11</w:t>
            </w:r>
          </w:p>
        </w:tc>
        <w:tc>
          <w:tcPr>
            <w:tcW w:w="880" w:type="dxa"/>
            <w:tcBorders>
              <w:left w:val="single" w:sz="4" w:space="0" w:color="auto"/>
            </w:tcBorders>
            <w:vAlign w:val="bottom"/>
          </w:tcPr>
          <w:p w14:paraId="4A640358" w14:textId="1ABE513B"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0.61</w:t>
            </w:r>
          </w:p>
        </w:tc>
      </w:tr>
      <w:tr w:rsidR="00181D81" w:rsidRPr="00A0555D" w14:paraId="52674E0C"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EAE6E7F"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14D1D67B" w14:textId="1599AD3B"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4" w:type="dxa"/>
            <w:tcBorders>
              <w:top w:val="nil"/>
              <w:left w:val="nil"/>
              <w:bottom w:val="nil"/>
              <w:right w:val="nil"/>
            </w:tcBorders>
            <w:shd w:val="clear" w:color="auto" w:fill="auto"/>
            <w:noWrap/>
            <w:vAlign w:val="bottom"/>
          </w:tcPr>
          <w:p w14:paraId="511DE614" w14:textId="25618AF8"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nil"/>
              <w:right w:val="nil"/>
            </w:tcBorders>
            <w:shd w:val="clear" w:color="auto" w:fill="auto"/>
            <w:noWrap/>
            <w:vAlign w:val="bottom"/>
          </w:tcPr>
          <w:p w14:paraId="03106C5B" w14:textId="383CF66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843" w:type="dxa"/>
            <w:tcBorders>
              <w:top w:val="nil"/>
              <w:left w:val="nil"/>
              <w:bottom w:val="nil"/>
              <w:right w:val="nil"/>
            </w:tcBorders>
            <w:shd w:val="clear" w:color="auto" w:fill="auto"/>
            <w:noWrap/>
            <w:vAlign w:val="bottom"/>
          </w:tcPr>
          <w:p w14:paraId="28197F6E" w14:textId="6BE21A85"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753A646B" w14:textId="5DCB069A"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4" w:type="dxa"/>
            <w:tcBorders>
              <w:left w:val="nil"/>
              <w:right w:val="single" w:sz="4" w:space="0" w:color="auto"/>
            </w:tcBorders>
            <w:vAlign w:val="bottom"/>
          </w:tcPr>
          <w:p w14:paraId="5C2B5C53" w14:textId="53502E7A"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0.36</w:t>
            </w:r>
          </w:p>
        </w:tc>
        <w:tc>
          <w:tcPr>
            <w:tcW w:w="774" w:type="dxa"/>
            <w:tcBorders>
              <w:left w:val="single" w:sz="4" w:space="0" w:color="auto"/>
              <w:right w:val="single" w:sz="4" w:space="0" w:color="auto"/>
            </w:tcBorders>
            <w:vAlign w:val="bottom"/>
          </w:tcPr>
          <w:p w14:paraId="0681B4F2" w14:textId="4613F36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0.90</w:t>
            </w:r>
          </w:p>
        </w:tc>
        <w:tc>
          <w:tcPr>
            <w:tcW w:w="774" w:type="dxa"/>
            <w:tcBorders>
              <w:left w:val="single" w:sz="4" w:space="0" w:color="auto"/>
              <w:right w:val="single" w:sz="4" w:space="0" w:color="auto"/>
            </w:tcBorders>
            <w:vAlign w:val="bottom"/>
          </w:tcPr>
          <w:p w14:paraId="390764C2" w14:textId="10B9784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0.015</w:t>
            </w:r>
          </w:p>
        </w:tc>
        <w:tc>
          <w:tcPr>
            <w:tcW w:w="774" w:type="dxa"/>
            <w:tcBorders>
              <w:left w:val="single" w:sz="4" w:space="0" w:color="auto"/>
              <w:right w:val="single" w:sz="4" w:space="0" w:color="auto"/>
            </w:tcBorders>
            <w:vAlign w:val="bottom"/>
          </w:tcPr>
          <w:p w14:paraId="6BB12CD5" w14:textId="67809DF2"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0.48</w:t>
            </w:r>
          </w:p>
        </w:tc>
        <w:tc>
          <w:tcPr>
            <w:tcW w:w="880" w:type="dxa"/>
            <w:tcBorders>
              <w:left w:val="single" w:sz="4" w:space="0" w:color="auto"/>
            </w:tcBorders>
            <w:vAlign w:val="bottom"/>
          </w:tcPr>
          <w:p w14:paraId="0711D6BA" w14:textId="2172C8F1"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1.21</w:t>
            </w:r>
          </w:p>
        </w:tc>
      </w:tr>
      <w:tr w:rsidR="00181D81" w:rsidRPr="00A0555D" w14:paraId="743648BD"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602A1034" w14:textId="77777777" w:rsidR="00181D81" w:rsidRPr="00A0555D" w:rsidRDefault="00181D81" w:rsidP="00181D81">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48BC7FAB" w14:textId="772EA9D4"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top w:val="nil"/>
              <w:left w:val="nil"/>
              <w:bottom w:val="single" w:sz="4" w:space="0" w:color="auto"/>
              <w:right w:val="nil"/>
            </w:tcBorders>
            <w:shd w:val="clear" w:color="auto" w:fill="auto"/>
            <w:noWrap/>
            <w:vAlign w:val="bottom"/>
          </w:tcPr>
          <w:p w14:paraId="027AA8BA" w14:textId="3AC551B3"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0.001</w:t>
            </w:r>
          </w:p>
        </w:tc>
        <w:tc>
          <w:tcPr>
            <w:tcW w:w="773" w:type="dxa"/>
            <w:tcBorders>
              <w:top w:val="nil"/>
              <w:left w:val="nil"/>
              <w:bottom w:val="single" w:sz="4" w:space="0" w:color="auto"/>
              <w:right w:val="nil"/>
            </w:tcBorders>
            <w:shd w:val="clear" w:color="auto" w:fill="auto"/>
            <w:noWrap/>
            <w:vAlign w:val="bottom"/>
          </w:tcPr>
          <w:p w14:paraId="36A7A6BC" w14:textId="19A03071"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843" w:type="dxa"/>
            <w:tcBorders>
              <w:top w:val="nil"/>
              <w:left w:val="nil"/>
              <w:bottom w:val="single" w:sz="4" w:space="0" w:color="auto"/>
              <w:right w:val="nil"/>
            </w:tcBorders>
            <w:shd w:val="clear" w:color="auto" w:fill="auto"/>
            <w:noWrap/>
            <w:vAlign w:val="bottom"/>
          </w:tcPr>
          <w:p w14:paraId="58B458DC" w14:textId="0C1B42BF"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04" w:type="dxa"/>
            <w:tcBorders>
              <w:top w:val="nil"/>
              <w:left w:val="nil"/>
              <w:bottom w:val="single" w:sz="4" w:space="0" w:color="auto"/>
              <w:right w:val="single" w:sz="4" w:space="0" w:color="auto"/>
            </w:tcBorders>
            <w:shd w:val="clear" w:color="auto" w:fill="auto"/>
            <w:noWrap/>
            <w:vAlign w:val="bottom"/>
          </w:tcPr>
          <w:p w14:paraId="19C1C33F" w14:textId="7A5DED60" w:rsidR="00181D81" w:rsidRPr="005D66A1" w:rsidRDefault="00181D81" w:rsidP="005D66A1">
            <w:pPr>
              <w:tabs>
                <w:tab w:val="decimal" w:pos="172"/>
              </w:tabs>
              <w:spacing w:before="0" w:after="0" w:line="240" w:lineRule="auto"/>
              <w:ind w:firstLine="0"/>
              <w:rPr>
                <w:color w:val="000000"/>
                <w:sz w:val="16"/>
                <w:szCs w:val="16"/>
              </w:rPr>
            </w:pPr>
            <w:r w:rsidRPr="00181D81">
              <w:rPr>
                <w:color w:val="000000"/>
                <w:sz w:val="16"/>
                <w:szCs w:val="16"/>
              </w:rPr>
              <w:t>0.000</w:t>
            </w:r>
          </w:p>
        </w:tc>
        <w:tc>
          <w:tcPr>
            <w:tcW w:w="774" w:type="dxa"/>
            <w:tcBorders>
              <w:left w:val="nil"/>
              <w:bottom w:val="single" w:sz="4" w:space="0" w:color="auto"/>
              <w:right w:val="single" w:sz="4" w:space="0" w:color="auto"/>
            </w:tcBorders>
            <w:vAlign w:val="bottom"/>
          </w:tcPr>
          <w:p w14:paraId="396BFAC4" w14:textId="066EBF7F"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0.30</w:t>
            </w:r>
          </w:p>
        </w:tc>
        <w:tc>
          <w:tcPr>
            <w:tcW w:w="774" w:type="dxa"/>
            <w:tcBorders>
              <w:left w:val="single" w:sz="4" w:space="0" w:color="auto"/>
              <w:bottom w:val="single" w:sz="4" w:space="0" w:color="auto"/>
              <w:right w:val="single" w:sz="4" w:space="0" w:color="auto"/>
            </w:tcBorders>
            <w:vAlign w:val="bottom"/>
          </w:tcPr>
          <w:p w14:paraId="7E7FF17D" w14:textId="61B51A44" w:rsidR="00181D81" w:rsidRPr="006016B0" w:rsidRDefault="005D66A1" w:rsidP="006016B0">
            <w:pPr>
              <w:tabs>
                <w:tab w:val="decimal" w:pos="256"/>
              </w:tabs>
              <w:spacing w:before="0" w:after="0" w:line="240" w:lineRule="auto"/>
              <w:ind w:firstLine="0"/>
              <w:rPr>
                <w:color w:val="000000"/>
                <w:sz w:val="16"/>
                <w:szCs w:val="16"/>
              </w:rPr>
            </w:pPr>
            <w:r>
              <w:rPr>
                <w:color w:val="000000"/>
                <w:sz w:val="16"/>
                <w:szCs w:val="16"/>
              </w:rPr>
              <w:t>−</w:t>
            </w:r>
            <w:r w:rsidR="00181D81" w:rsidRPr="00181D81">
              <w:rPr>
                <w:color w:val="000000"/>
                <w:sz w:val="16"/>
                <w:szCs w:val="16"/>
              </w:rPr>
              <w:t>0.70</w:t>
            </w:r>
          </w:p>
        </w:tc>
        <w:tc>
          <w:tcPr>
            <w:tcW w:w="774" w:type="dxa"/>
            <w:tcBorders>
              <w:left w:val="single" w:sz="4" w:space="0" w:color="auto"/>
              <w:bottom w:val="single" w:sz="4" w:space="0" w:color="auto"/>
              <w:right w:val="single" w:sz="4" w:space="0" w:color="auto"/>
            </w:tcBorders>
            <w:vAlign w:val="bottom"/>
          </w:tcPr>
          <w:p w14:paraId="0D6042C5" w14:textId="3F9F5A20"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0.004</w:t>
            </w:r>
          </w:p>
        </w:tc>
        <w:tc>
          <w:tcPr>
            <w:tcW w:w="774" w:type="dxa"/>
            <w:tcBorders>
              <w:left w:val="single" w:sz="4" w:space="0" w:color="auto"/>
              <w:bottom w:val="single" w:sz="4" w:space="0" w:color="auto"/>
              <w:right w:val="single" w:sz="4" w:space="0" w:color="auto"/>
            </w:tcBorders>
            <w:vAlign w:val="bottom"/>
          </w:tcPr>
          <w:p w14:paraId="40EE4ADF" w14:textId="4FEB5283"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0.09</w:t>
            </w:r>
          </w:p>
        </w:tc>
        <w:tc>
          <w:tcPr>
            <w:tcW w:w="880" w:type="dxa"/>
            <w:tcBorders>
              <w:left w:val="single" w:sz="4" w:space="0" w:color="auto"/>
              <w:bottom w:val="single" w:sz="4" w:space="0" w:color="auto"/>
            </w:tcBorders>
            <w:vAlign w:val="bottom"/>
          </w:tcPr>
          <w:p w14:paraId="10BB158C" w14:textId="72A7310D" w:rsidR="00181D81" w:rsidRPr="006016B0" w:rsidRDefault="00181D81" w:rsidP="006016B0">
            <w:pPr>
              <w:tabs>
                <w:tab w:val="decimal" w:pos="256"/>
              </w:tabs>
              <w:spacing w:before="0" w:after="0" w:line="240" w:lineRule="auto"/>
              <w:ind w:firstLine="0"/>
              <w:rPr>
                <w:color w:val="000000"/>
                <w:sz w:val="16"/>
                <w:szCs w:val="16"/>
              </w:rPr>
            </w:pPr>
            <w:r w:rsidRPr="00181D81">
              <w:rPr>
                <w:color w:val="000000"/>
                <w:sz w:val="16"/>
                <w:szCs w:val="16"/>
              </w:rPr>
              <w:t>1.10</w:t>
            </w:r>
          </w:p>
        </w:tc>
      </w:tr>
    </w:tbl>
    <w:p w14:paraId="5856B19E" w14:textId="5BA88D14" w:rsidR="00CD6A1A" w:rsidRDefault="00CD6A1A" w:rsidP="007E69F2">
      <w:pPr>
        <w:pStyle w:val="BodyText"/>
        <w:rPr>
          <w:rFonts w:eastAsiaTheme="minorEastAsia"/>
          <w:lang w:eastAsia="zh-TW"/>
        </w:rPr>
      </w:pPr>
    </w:p>
    <w:p w14:paraId="0606A1C8" w14:textId="3C554AF2" w:rsidR="00AD5538" w:rsidRPr="00485D84" w:rsidRDefault="00DF1929" w:rsidP="00A13B8D">
      <w:pPr>
        <w:pStyle w:val="AppendixFigureCaption"/>
        <w:keepNext/>
        <w:rPr>
          <w:rFonts w:eastAsia="PMingLiU"/>
        </w:rPr>
      </w:pPr>
      <w:r>
        <w:lastRenderedPageBreak/>
        <w:t xml:space="preserve">Table </w:t>
      </w:r>
      <w:fldSimple w:instr=" STYLEREF 9 \s ">
        <w:r w:rsidR="00EE0BF5">
          <w:rPr>
            <w:noProof/>
          </w:rPr>
          <w:t>D</w:t>
        </w:r>
      </w:fldSimple>
      <w:r>
        <w:t>.</w:t>
      </w:r>
      <w:fldSimple w:instr=" SEQ Table_Apx \* ARABIC \s 9 ">
        <w:r w:rsidR="00EE0BF5">
          <w:rPr>
            <w:noProof/>
          </w:rPr>
          <w:t>6</w:t>
        </w:r>
      </w:fldSimple>
      <w:r w:rsidRPr="00485D84">
        <w:rPr>
          <w:rFonts w:eastAsia="PMingLiU"/>
          <w:lang w:bidi="en-US"/>
        </w:rPr>
        <w:t xml:space="preserve">. </w:t>
      </w:r>
      <w:r w:rsidR="00AD5538" w:rsidRPr="00440BBA">
        <w:rPr>
          <w:rFonts w:eastAsiaTheme="minorEastAsia"/>
          <w:lang w:eastAsia="zh-TW"/>
        </w:rPr>
        <w:t xml:space="preserve">Biases with respect to </w:t>
      </w:r>
      <w:r w:rsidR="00AD5538">
        <w:rPr>
          <w:rFonts w:eastAsiaTheme="minorEastAsia"/>
          <w:lang w:eastAsia="zh-TW"/>
        </w:rPr>
        <w:t>Livneh</w:t>
      </w:r>
    </w:p>
    <w:tbl>
      <w:tblPr>
        <w:tblW w:w="9355" w:type="dxa"/>
        <w:tblLayout w:type="fixed"/>
        <w:tblLook w:val="04A0" w:firstRow="1" w:lastRow="0" w:firstColumn="1" w:lastColumn="0" w:noHBand="0" w:noVBand="1"/>
      </w:tblPr>
      <w:tblGrid>
        <w:gridCol w:w="1610"/>
        <w:gridCol w:w="768"/>
        <w:gridCol w:w="774"/>
        <w:gridCol w:w="773"/>
        <w:gridCol w:w="845"/>
        <w:gridCol w:w="702"/>
        <w:gridCol w:w="774"/>
        <w:gridCol w:w="773"/>
        <w:gridCol w:w="774"/>
        <w:gridCol w:w="847"/>
        <w:gridCol w:w="715"/>
      </w:tblGrid>
      <w:tr w:rsidR="00AD5538" w:rsidRPr="00A0555D" w14:paraId="582E70BF" w14:textId="77777777" w:rsidTr="00874FCF">
        <w:trPr>
          <w:trHeight w:val="144"/>
        </w:trPr>
        <w:tc>
          <w:tcPr>
            <w:tcW w:w="16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477925FC"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DB31475" w14:textId="041D590F" w:rsidR="00AD5538"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maximum temperature</w:t>
            </w:r>
            <w:r w:rsidR="00AD5538">
              <w:rPr>
                <w:rFonts w:eastAsia="Times New Roman"/>
                <w:b/>
                <w:bCs/>
                <w:color w:val="000000"/>
                <w:sz w:val="16"/>
                <w:szCs w:val="16"/>
                <w:lang w:bidi="ar-SA"/>
              </w:rPr>
              <w:t xml:space="preserve"> </w:t>
            </w:r>
            <w:r w:rsidR="00AD5538" w:rsidRPr="0011335A">
              <w:rPr>
                <w:rFonts w:eastAsia="Times New Roman" w:hint="eastAsia"/>
                <w:b/>
                <w:bCs/>
                <w:color w:val="000000"/>
                <w:sz w:val="16"/>
                <w:szCs w:val="16"/>
                <w:lang w:bidi="ar-SA"/>
              </w:rPr>
              <w:t>(</w:t>
            </w:r>
            <w:r w:rsidR="00181D81">
              <w:rPr>
                <w:rFonts w:eastAsia="Times New Roman" w:hint="eastAsia"/>
                <w:b/>
                <w:bCs/>
                <w:color w:val="000000"/>
                <w:sz w:val="16"/>
                <w:szCs w:val="16"/>
                <w:lang w:bidi="ar-SA"/>
              </w:rPr>
              <w:t>°F</w:t>
            </w:r>
            <w:r w:rsidR="00AD5538" w:rsidRPr="0011335A">
              <w:rPr>
                <w:rFonts w:eastAsia="Times New Roman" w:hint="eastAsia"/>
                <w:b/>
                <w:bCs/>
                <w:color w:val="000000"/>
                <w:sz w:val="16"/>
                <w:szCs w:val="16"/>
                <w:lang w:bidi="ar-SA"/>
              </w:rPr>
              <w:t>)</w:t>
            </w:r>
          </w:p>
        </w:tc>
        <w:tc>
          <w:tcPr>
            <w:tcW w:w="3883" w:type="dxa"/>
            <w:gridSpan w:val="5"/>
            <w:tcBorders>
              <w:top w:val="single" w:sz="4" w:space="0" w:color="auto"/>
              <w:left w:val="nil"/>
              <w:bottom w:val="single" w:sz="4" w:space="0" w:color="auto"/>
            </w:tcBorders>
          </w:tcPr>
          <w:p w14:paraId="2A24932A" w14:textId="25BD4006" w:rsidR="00AD5538"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minimum temperature</w:t>
            </w:r>
            <w:r w:rsidR="00AD5538">
              <w:rPr>
                <w:rFonts w:eastAsia="Times New Roman"/>
                <w:b/>
                <w:bCs/>
                <w:color w:val="000000"/>
                <w:sz w:val="16"/>
                <w:szCs w:val="16"/>
                <w:lang w:bidi="ar-SA"/>
              </w:rPr>
              <w:t xml:space="preserve"> </w:t>
            </w:r>
            <w:r w:rsidR="00AD5538" w:rsidRPr="0011335A">
              <w:rPr>
                <w:rFonts w:eastAsia="Times New Roman" w:hint="eastAsia"/>
                <w:b/>
                <w:bCs/>
                <w:color w:val="000000"/>
                <w:sz w:val="16"/>
                <w:szCs w:val="16"/>
                <w:lang w:bidi="ar-SA"/>
              </w:rPr>
              <w:t>(</w:t>
            </w:r>
            <w:r w:rsidR="00181D81">
              <w:rPr>
                <w:rFonts w:eastAsia="Times New Roman" w:hint="eastAsia"/>
                <w:b/>
                <w:bCs/>
                <w:color w:val="000000"/>
                <w:sz w:val="16"/>
                <w:szCs w:val="16"/>
                <w:lang w:bidi="ar-SA"/>
              </w:rPr>
              <w:t>°F</w:t>
            </w:r>
            <w:r w:rsidR="00AD5538" w:rsidRPr="0011335A">
              <w:rPr>
                <w:rFonts w:eastAsia="Times New Roman" w:hint="eastAsia"/>
                <w:b/>
                <w:bCs/>
                <w:color w:val="000000"/>
                <w:sz w:val="16"/>
                <w:szCs w:val="16"/>
                <w:lang w:bidi="ar-SA"/>
              </w:rPr>
              <w:t>)</w:t>
            </w:r>
          </w:p>
        </w:tc>
      </w:tr>
      <w:tr w:rsidR="00AD5538" w:rsidRPr="00A0555D" w14:paraId="35910075" w14:textId="77777777" w:rsidTr="00A13B8D">
        <w:trPr>
          <w:trHeight w:val="144"/>
        </w:trPr>
        <w:tc>
          <w:tcPr>
            <w:tcW w:w="1610" w:type="dxa"/>
            <w:vMerge/>
            <w:tcBorders>
              <w:top w:val="single" w:sz="4" w:space="0" w:color="auto"/>
              <w:left w:val="nil"/>
              <w:bottom w:val="single" w:sz="4" w:space="0" w:color="000000"/>
              <w:right w:val="single" w:sz="4" w:space="0" w:color="auto"/>
            </w:tcBorders>
            <w:vAlign w:val="center"/>
            <w:hideMark/>
          </w:tcPr>
          <w:p w14:paraId="08A83BF6" w14:textId="77777777" w:rsidR="00AD5538" w:rsidRPr="00A0555D" w:rsidRDefault="00AD5538" w:rsidP="00874FCF">
            <w:pPr>
              <w:spacing w:before="0" w:after="0" w:line="240" w:lineRule="auto"/>
              <w:ind w:firstLine="0"/>
              <w:rPr>
                <w:rFonts w:eastAsia="Times New Roman"/>
                <w:b/>
                <w:bCs/>
                <w:color w:val="000000"/>
                <w:sz w:val="16"/>
                <w:szCs w:val="16"/>
                <w:lang w:bidi="ar-SA"/>
              </w:rPr>
            </w:pPr>
          </w:p>
        </w:tc>
        <w:tc>
          <w:tcPr>
            <w:tcW w:w="768" w:type="dxa"/>
            <w:tcBorders>
              <w:top w:val="single" w:sz="4" w:space="0" w:color="auto"/>
              <w:left w:val="nil"/>
              <w:bottom w:val="single" w:sz="4" w:space="0" w:color="auto"/>
              <w:right w:val="nil"/>
            </w:tcBorders>
            <w:shd w:val="clear" w:color="auto" w:fill="auto"/>
            <w:noWrap/>
            <w:vAlign w:val="bottom"/>
            <w:hideMark/>
          </w:tcPr>
          <w:p w14:paraId="39110769"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5D562614"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4CFFAC6D"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5" w:type="dxa"/>
            <w:tcBorders>
              <w:top w:val="single" w:sz="4" w:space="0" w:color="auto"/>
              <w:left w:val="nil"/>
              <w:bottom w:val="single" w:sz="4" w:space="0" w:color="auto"/>
              <w:right w:val="nil"/>
            </w:tcBorders>
            <w:shd w:val="clear" w:color="auto" w:fill="auto"/>
            <w:noWrap/>
            <w:vAlign w:val="bottom"/>
            <w:hideMark/>
          </w:tcPr>
          <w:p w14:paraId="07869F4D" w14:textId="6F9BA132" w:rsidR="00AD5538" w:rsidRPr="00A13B8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14:paraId="529A0E4F"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tcBorders>
            <w:vAlign w:val="bottom"/>
          </w:tcPr>
          <w:p w14:paraId="7B23D585"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3" w:type="dxa"/>
            <w:tcBorders>
              <w:top w:val="single" w:sz="4" w:space="0" w:color="auto"/>
              <w:bottom w:val="single" w:sz="4" w:space="0" w:color="auto"/>
            </w:tcBorders>
            <w:vAlign w:val="bottom"/>
          </w:tcPr>
          <w:p w14:paraId="28C353F1"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4" w:type="dxa"/>
            <w:tcBorders>
              <w:top w:val="single" w:sz="4" w:space="0" w:color="auto"/>
              <w:bottom w:val="single" w:sz="4" w:space="0" w:color="auto"/>
            </w:tcBorders>
            <w:vAlign w:val="bottom"/>
          </w:tcPr>
          <w:p w14:paraId="68780B81"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7" w:type="dxa"/>
            <w:tcBorders>
              <w:top w:val="single" w:sz="4" w:space="0" w:color="auto"/>
              <w:bottom w:val="single" w:sz="4" w:space="0" w:color="auto"/>
            </w:tcBorders>
            <w:vAlign w:val="bottom"/>
          </w:tcPr>
          <w:p w14:paraId="605E5497" w14:textId="5DD58301" w:rsidR="00AD5538" w:rsidRPr="00A0555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15" w:type="dxa"/>
            <w:tcBorders>
              <w:top w:val="single" w:sz="4" w:space="0" w:color="auto"/>
              <w:bottom w:val="single" w:sz="4" w:space="0" w:color="auto"/>
            </w:tcBorders>
            <w:vAlign w:val="bottom"/>
          </w:tcPr>
          <w:p w14:paraId="1DE000F2"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r>
      <w:tr w:rsidR="00AD5538" w:rsidRPr="00A0555D" w14:paraId="165AF40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16CB595B" w14:textId="77777777" w:rsidR="00AD5538" w:rsidRPr="00A0555D" w:rsidRDefault="00AD553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8" w:type="dxa"/>
            <w:tcBorders>
              <w:top w:val="single" w:sz="4" w:space="0" w:color="auto"/>
              <w:left w:val="nil"/>
              <w:bottom w:val="nil"/>
              <w:right w:val="nil"/>
            </w:tcBorders>
            <w:shd w:val="clear" w:color="auto" w:fill="auto"/>
            <w:noWrap/>
            <w:vAlign w:val="bottom"/>
          </w:tcPr>
          <w:p w14:paraId="122FAB2A"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49C61916"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4FBD4EFC"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2C8C0C43"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13BF43B4"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tcBorders>
          </w:tcPr>
          <w:p w14:paraId="2B95104E"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tcBorders>
          </w:tcPr>
          <w:p w14:paraId="109F57DB"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tcBorders>
          </w:tcPr>
          <w:p w14:paraId="4BFA2607"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847" w:type="dxa"/>
            <w:tcBorders>
              <w:top w:val="single" w:sz="4" w:space="0" w:color="auto"/>
            </w:tcBorders>
          </w:tcPr>
          <w:p w14:paraId="5691C098"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15" w:type="dxa"/>
            <w:tcBorders>
              <w:top w:val="single" w:sz="4" w:space="0" w:color="auto"/>
            </w:tcBorders>
          </w:tcPr>
          <w:p w14:paraId="30967032"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r>
      <w:tr w:rsidR="005E3F3C" w:rsidRPr="00A0555D" w14:paraId="79E4E8F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A4F6291"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128521DB" w14:textId="2BF3732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5.72</w:t>
            </w:r>
          </w:p>
        </w:tc>
        <w:tc>
          <w:tcPr>
            <w:tcW w:w="774" w:type="dxa"/>
            <w:tcBorders>
              <w:top w:val="nil"/>
              <w:left w:val="nil"/>
              <w:bottom w:val="nil"/>
              <w:right w:val="nil"/>
            </w:tcBorders>
            <w:shd w:val="clear" w:color="auto" w:fill="auto"/>
            <w:noWrap/>
            <w:vAlign w:val="bottom"/>
          </w:tcPr>
          <w:p w14:paraId="1870857C" w14:textId="3596584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6.79</w:t>
            </w:r>
          </w:p>
        </w:tc>
        <w:tc>
          <w:tcPr>
            <w:tcW w:w="773" w:type="dxa"/>
            <w:tcBorders>
              <w:top w:val="nil"/>
              <w:left w:val="nil"/>
              <w:bottom w:val="nil"/>
              <w:right w:val="nil"/>
            </w:tcBorders>
            <w:shd w:val="clear" w:color="auto" w:fill="auto"/>
            <w:noWrap/>
            <w:vAlign w:val="bottom"/>
          </w:tcPr>
          <w:p w14:paraId="2FBD9EFE" w14:textId="63C6120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6.93</w:t>
            </w:r>
          </w:p>
        </w:tc>
        <w:tc>
          <w:tcPr>
            <w:tcW w:w="845" w:type="dxa"/>
            <w:tcBorders>
              <w:top w:val="nil"/>
              <w:left w:val="nil"/>
              <w:bottom w:val="nil"/>
              <w:right w:val="nil"/>
            </w:tcBorders>
            <w:shd w:val="clear" w:color="auto" w:fill="auto"/>
            <w:noWrap/>
            <w:vAlign w:val="bottom"/>
          </w:tcPr>
          <w:p w14:paraId="188951EA" w14:textId="40ADAB9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3.09</w:t>
            </w:r>
          </w:p>
        </w:tc>
        <w:tc>
          <w:tcPr>
            <w:tcW w:w="702" w:type="dxa"/>
            <w:tcBorders>
              <w:top w:val="nil"/>
              <w:left w:val="nil"/>
              <w:bottom w:val="nil"/>
              <w:right w:val="single" w:sz="4" w:space="0" w:color="auto"/>
            </w:tcBorders>
            <w:shd w:val="clear" w:color="auto" w:fill="auto"/>
            <w:noWrap/>
            <w:vAlign w:val="bottom"/>
          </w:tcPr>
          <w:p w14:paraId="6718371A" w14:textId="619DC4E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6.08</w:t>
            </w:r>
          </w:p>
        </w:tc>
        <w:tc>
          <w:tcPr>
            <w:tcW w:w="774" w:type="dxa"/>
            <w:tcBorders>
              <w:left w:val="nil"/>
            </w:tcBorders>
            <w:vAlign w:val="bottom"/>
          </w:tcPr>
          <w:p w14:paraId="2706CA05" w14:textId="24A81B6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2.99</w:t>
            </w:r>
          </w:p>
        </w:tc>
        <w:tc>
          <w:tcPr>
            <w:tcW w:w="773" w:type="dxa"/>
            <w:vAlign w:val="bottom"/>
          </w:tcPr>
          <w:p w14:paraId="4A80F908" w14:textId="05E753E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3.29</w:t>
            </w:r>
          </w:p>
        </w:tc>
        <w:tc>
          <w:tcPr>
            <w:tcW w:w="774" w:type="dxa"/>
            <w:vAlign w:val="bottom"/>
          </w:tcPr>
          <w:p w14:paraId="50DE923B" w14:textId="6F9D4A7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2.59</w:t>
            </w:r>
          </w:p>
        </w:tc>
        <w:tc>
          <w:tcPr>
            <w:tcW w:w="847" w:type="dxa"/>
            <w:vAlign w:val="bottom"/>
          </w:tcPr>
          <w:p w14:paraId="059CB19C" w14:textId="1C9831F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2.60</w:t>
            </w:r>
          </w:p>
        </w:tc>
        <w:tc>
          <w:tcPr>
            <w:tcW w:w="715" w:type="dxa"/>
            <w:vAlign w:val="bottom"/>
          </w:tcPr>
          <w:p w14:paraId="67566EC8" w14:textId="4069323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3.48</w:t>
            </w:r>
          </w:p>
        </w:tc>
      </w:tr>
      <w:tr w:rsidR="005E3F3C" w:rsidRPr="00A0555D" w14:paraId="02C7067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DC929C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0955D653" w14:textId="7C96EEE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2.29</w:t>
            </w:r>
          </w:p>
        </w:tc>
        <w:tc>
          <w:tcPr>
            <w:tcW w:w="774" w:type="dxa"/>
            <w:tcBorders>
              <w:top w:val="nil"/>
              <w:left w:val="nil"/>
              <w:bottom w:val="nil"/>
              <w:right w:val="nil"/>
            </w:tcBorders>
            <w:shd w:val="clear" w:color="auto" w:fill="auto"/>
            <w:noWrap/>
            <w:vAlign w:val="bottom"/>
          </w:tcPr>
          <w:p w14:paraId="3D0BE5C0" w14:textId="4559490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5.79</w:t>
            </w:r>
          </w:p>
        </w:tc>
        <w:tc>
          <w:tcPr>
            <w:tcW w:w="773" w:type="dxa"/>
            <w:tcBorders>
              <w:top w:val="nil"/>
              <w:left w:val="nil"/>
              <w:bottom w:val="nil"/>
              <w:right w:val="nil"/>
            </w:tcBorders>
            <w:shd w:val="clear" w:color="auto" w:fill="auto"/>
            <w:noWrap/>
            <w:vAlign w:val="bottom"/>
          </w:tcPr>
          <w:p w14:paraId="0C79C80D" w14:textId="0D5445E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4.67</w:t>
            </w:r>
          </w:p>
        </w:tc>
        <w:tc>
          <w:tcPr>
            <w:tcW w:w="845" w:type="dxa"/>
            <w:tcBorders>
              <w:top w:val="nil"/>
              <w:left w:val="nil"/>
              <w:bottom w:val="nil"/>
              <w:right w:val="nil"/>
            </w:tcBorders>
            <w:shd w:val="clear" w:color="auto" w:fill="auto"/>
            <w:noWrap/>
            <w:vAlign w:val="bottom"/>
          </w:tcPr>
          <w:p w14:paraId="36FC5145" w14:textId="70F3338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4.02</w:t>
            </w:r>
          </w:p>
        </w:tc>
        <w:tc>
          <w:tcPr>
            <w:tcW w:w="702" w:type="dxa"/>
            <w:tcBorders>
              <w:top w:val="nil"/>
              <w:left w:val="nil"/>
              <w:bottom w:val="nil"/>
              <w:right w:val="single" w:sz="4" w:space="0" w:color="auto"/>
            </w:tcBorders>
            <w:shd w:val="clear" w:color="auto" w:fill="auto"/>
            <w:noWrap/>
            <w:vAlign w:val="bottom"/>
          </w:tcPr>
          <w:p w14:paraId="08C6A6E7" w14:textId="7509672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2.87</w:t>
            </w:r>
          </w:p>
        </w:tc>
        <w:tc>
          <w:tcPr>
            <w:tcW w:w="774" w:type="dxa"/>
            <w:tcBorders>
              <w:left w:val="nil"/>
            </w:tcBorders>
            <w:vAlign w:val="bottom"/>
          </w:tcPr>
          <w:p w14:paraId="47FD8F6F" w14:textId="6594272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2.59</w:t>
            </w:r>
          </w:p>
        </w:tc>
        <w:tc>
          <w:tcPr>
            <w:tcW w:w="773" w:type="dxa"/>
            <w:vAlign w:val="bottom"/>
          </w:tcPr>
          <w:p w14:paraId="657472E8" w14:textId="6449E9B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1.83</w:t>
            </w:r>
          </w:p>
        </w:tc>
        <w:tc>
          <w:tcPr>
            <w:tcW w:w="774" w:type="dxa"/>
            <w:vAlign w:val="bottom"/>
          </w:tcPr>
          <w:p w14:paraId="3F692977" w14:textId="06CCCE0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2.45</w:t>
            </w:r>
          </w:p>
        </w:tc>
        <w:tc>
          <w:tcPr>
            <w:tcW w:w="847" w:type="dxa"/>
            <w:vAlign w:val="bottom"/>
          </w:tcPr>
          <w:p w14:paraId="40688562" w14:textId="4BE26F7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2.88</w:t>
            </w:r>
          </w:p>
        </w:tc>
        <w:tc>
          <w:tcPr>
            <w:tcW w:w="715" w:type="dxa"/>
            <w:vAlign w:val="bottom"/>
          </w:tcPr>
          <w:p w14:paraId="04D1E190" w14:textId="1BB3701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3.17</w:t>
            </w:r>
          </w:p>
        </w:tc>
      </w:tr>
      <w:tr w:rsidR="005E3F3C" w:rsidRPr="00A0555D" w14:paraId="5C128544"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84EC836"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71638B12" w14:textId="04C75FF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3.91</w:t>
            </w:r>
          </w:p>
        </w:tc>
        <w:tc>
          <w:tcPr>
            <w:tcW w:w="774" w:type="dxa"/>
            <w:tcBorders>
              <w:top w:val="nil"/>
              <w:left w:val="nil"/>
              <w:bottom w:val="nil"/>
              <w:right w:val="nil"/>
            </w:tcBorders>
            <w:shd w:val="clear" w:color="auto" w:fill="auto"/>
            <w:noWrap/>
            <w:vAlign w:val="bottom"/>
          </w:tcPr>
          <w:p w14:paraId="12DB1F03" w14:textId="6FBA73D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4.52</w:t>
            </w:r>
          </w:p>
        </w:tc>
        <w:tc>
          <w:tcPr>
            <w:tcW w:w="773" w:type="dxa"/>
            <w:tcBorders>
              <w:top w:val="nil"/>
              <w:left w:val="nil"/>
              <w:bottom w:val="nil"/>
              <w:right w:val="nil"/>
            </w:tcBorders>
            <w:shd w:val="clear" w:color="auto" w:fill="auto"/>
            <w:noWrap/>
            <w:vAlign w:val="bottom"/>
          </w:tcPr>
          <w:p w14:paraId="7B417819" w14:textId="5EFB779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5.02</w:t>
            </w:r>
          </w:p>
        </w:tc>
        <w:tc>
          <w:tcPr>
            <w:tcW w:w="845" w:type="dxa"/>
            <w:tcBorders>
              <w:top w:val="nil"/>
              <w:left w:val="nil"/>
              <w:bottom w:val="nil"/>
              <w:right w:val="nil"/>
            </w:tcBorders>
            <w:shd w:val="clear" w:color="auto" w:fill="auto"/>
            <w:noWrap/>
            <w:vAlign w:val="bottom"/>
          </w:tcPr>
          <w:p w14:paraId="19A95843" w14:textId="7026DBC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4.27</w:t>
            </w:r>
          </w:p>
        </w:tc>
        <w:tc>
          <w:tcPr>
            <w:tcW w:w="702" w:type="dxa"/>
            <w:tcBorders>
              <w:top w:val="nil"/>
              <w:left w:val="nil"/>
              <w:bottom w:val="nil"/>
              <w:right w:val="single" w:sz="4" w:space="0" w:color="auto"/>
            </w:tcBorders>
            <w:shd w:val="clear" w:color="auto" w:fill="auto"/>
            <w:noWrap/>
            <w:vAlign w:val="bottom"/>
          </w:tcPr>
          <w:p w14:paraId="10ABBB83" w14:textId="1DCB376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1.87</w:t>
            </w:r>
          </w:p>
        </w:tc>
        <w:tc>
          <w:tcPr>
            <w:tcW w:w="774" w:type="dxa"/>
            <w:tcBorders>
              <w:left w:val="nil"/>
            </w:tcBorders>
            <w:vAlign w:val="bottom"/>
          </w:tcPr>
          <w:p w14:paraId="27455AC5" w14:textId="213C42D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1.89</w:t>
            </w:r>
          </w:p>
        </w:tc>
        <w:tc>
          <w:tcPr>
            <w:tcW w:w="773" w:type="dxa"/>
            <w:vAlign w:val="bottom"/>
          </w:tcPr>
          <w:p w14:paraId="2AB80AAA" w14:textId="7EFD6AA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0.54</w:t>
            </w:r>
          </w:p>
        </w:tc>
        <w:tc>
          <w:tcPr>
            <w:tcW w:w="774" w:type="dxa"/>
            <w:vAlign w:val="bottom"/>
          </w:tcPr>
          <w:p w14:paraId="717DE017" w14:textId="553DA71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0.99</w:t>
            </w:r>
          </w:p>
        </w:tc>
        <w:tc>
          <w:tcPr>
            <w:tcW w:w="847" w:type="dxa"/>
            <w:vAlign w:val="bottom"/>
          </w:tcPr>
          <w:p w14:paraId="050AC560" w14:textId="6590AF9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1.52</w:t>
            </w:r>
          </w:p>
        </w:tc>
        <w:tc>
          <w:tcPr>
            <w:tcW w:w="715" w:type="dxa"/>
            <w:vAlign w:val="bottom"/>
          </w:tcPr>
          <w:p w14:paraId="0942A076" w14:textId="09BA881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4.45</w:t>
            </w:r>
          </w:p>
        </w:tc>
      </w:tr>
      <w:tr w:rsidR="005E3F3C" w:rsidRPr="00A0555D" w14:paraId="75E0F8A7"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D8F5699"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0EF9FDB5" w14:textId="1819C5B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2.83</w:t>
            </w:r>
          </w:p>
        </w:tc>
        <w:tc>
          <w:tcPr>
            <w:tcW w:w="774" w:type="dxa"/>
            <w:tcBorders>
              <w:top w:val="nil"/>
              <w:left w:val="nil"/>
              <w:bottom w:val="nil"/>
              <w:right w:val="nil"/>
            </w:tcBorders>
            <w:shd w:val="clear" w:color="auto" w:fill="auto"/>
            <w:noWrap/>
            <w:vAlign w:val="bottom"/>
          </w:tcPr>
          <w:p w14:paraId="2786BF3B" w14:textId="2FC38A2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3.45</w:t>
            </w:r>
          </w:p>
        </w:tc>
        <w:tc>
          <w:tcPr>
            <w:tcW w:w="773" w:type="dxa"/>
            <w:tcBorders>
              <w:top w:val="nil"/>
              <w:left w:val="nil"/>
              <w:bottom w:val="nil"/>
              <w:right w:val="nil"/>
            </w:tcBorders>
            <w:shd w:val="clear" w:color="auto" w:fill="auto"/>
            <w:noWrap/>
            <w:vAlign w:val="bottom"/>
          </w:tcPr>
          <w:p w14:paraId="7762EFEE" w14:textId="7B98A1C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4.70</w:t>
            </w:r>
          </w:p>
        </w:tc>
        <w:tc>
          <w:tcPr>
            <w:tcW w:w="845" w:type="dxa"/>
            <w:tcBorders>
              <w:top w:val="nil"/>
              <w:left w:val="nil"/>
              <w:bottom w:val="nil"/>
              <w:right w:val="nil"/>
            </w:tcBorders>
            <w:shd w:val="clear" w:color="auto" w:fill="auto"/>
            <w:noWrap/>
            <w:vAlign w:val="bottom"/>
          </w:tcPr>
          <w:p w14:paraId="299B71D4" w14:textId="29827F4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1.47</w:t>
            </w:r>
          </w:p>
        </w:tc>
        <w:tc>
          <w:tcPr>
            <w:tcW w:w="702" w:type="dxa"/>
            <w:tcBorders>
              <w:top w:val="nil"/>
              <w:left w:val="nil"/>
              <w:bottom w:val="nil"/>
              <w:right w:val="single" w:sz="4" w:space="0" w:color="auto"/>
            </w:tcBorders>
            <w:shd w:val="clear" w:color="auto" w:fill="auto"/>
            <w:noWrap/>
            <w:vAlign w:val="bottom"/>
          </w:tcPr>
          <w:p w14:paraId="4B6A88F0" w14:textId="0E59543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1.74</w:t>
            </w:r>
          </w:p>
        </w:tc>
        <w:tc>
          <w:tcPr>
            <w:tcW w:w="774" w:type="dxa"/>
            <w:tcBorders>
              <w:left w:val="nil"/>
            </w:tcBorders>
            <w:vAlign w:val="bottom"/>
          </w:tcPr>
          <w:p w14:paraId="51143E7F" w14:textId="4732FFE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5.25</w:t>
            </w:r>
          </w:p>
        </w:tc>
        <w:tc>
          <w:tcPr>
            <w:tcW w:w="773" w:type="dxa"/>
            <w:vAlign w:val="bottom"/>
          </w:tcPr>
          <w:p w14:paraId="10AE69C7" w14:textId="4020CAD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3.42</w:t>
            </w:r>
          </w:p>
        </w:tc>
        <w:tc>
          <w:tcPr>
            <w:tcW w:w="774" w:type="dxa"/>
            <w:vAlign w:val="bottom"/>
          </w:tcPr>
          <w:p w14:paraId="0E1CB064" w14:textId="65CA91C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3.53</w:t>
            </w:r>
          </w:p>
        </w:tc>
        <w:tc>
          <w:tcPr>
            <w:tcW w:w="847" w:type="dxa"/>
            <w:vAlign w:val="bottom"/>
          </w:tcPr>
          <w:p w14:paraId="7DA7AF89" w14:textId="5680B79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7.35</w:t>
            </w:r>
          </w:p>
        </w:tc>
        <w:tc>
          <w:tcPr>
            <w:tcW w:w="715" w:type="dxa"/>
            <w:vAlign w:val="bottom"/>
          </w:tcPr>
          <w:p w14:paraId="2506185A" w14:textId="632A3AC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6.65</w:t>
            </w:r>
          </w:p>
        </w:tc>
      </w:tr>
      <w:tr w:rsidR="005E3F3C" w:rsidRPr="00A0555D" w14:paraId="645C0D67"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2B01534"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482A5384" w14:textId="14003C7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3.43</w:t>
            </w:r>
          </w:p>
        </w:tc>
        <w:tc>
          <w:tcPr>
            <w:tcW w:w="774" w:type="dxa"/>
            <w:tcBorders>
              <w:top w:val="nil"/>
              <w:left w:val="nil"/>
              <w:bottom w:val="nil"/>
              <w:right w:val="nil"/>
            </w:tcBorders>
            <w:shd w:val="clear" w:color="auto" w:fill="auto"/>
            <w:noWrap/>
            <w:vAlign w:val="bottom"/>
          </w:tcPr>
          <w:p w14:paraId="1AD2D0D0" w14:textId="681B5D9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1.65</w:t>
            </w:r>
          </w:p>
        </w:tc>
        <w:tc>
          <w:tcPr>
            <w:tcW w:w="773" w:type="dxa"/>
            <w:tcBorders>
              <w:top w:val="nil"/>
              <w:left w:val="nil"/>
              <w:bottom w:val="nil"/>
              <w:right w:val="nil"/>
            </w:tcBorders>
            <w:shd w:val="clear" w:color="auto" w:fill="auto"/>
            <w:noWrap/>
            <w:vAlign w:val="bottom"/>
          </w:tcPr>
          <w:p w14:paraId="24A17795" w14:textId="7CE25FF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4.44</w:t>
            </w:r>
          </w:p>
        </w:tc>
        <w:tc>
          <w:tcPr>
            <w:tcW w:w="845" w:type="dxa"/>
            <w:tcBorders>
              <w:top w:val="nil"/>
              <w:left w:val="nil"/>
              <w:bottom w:val="nil"/>
              <w:right w:val="nil"/>
            </w:tcBorders>
            <w:shd w:val="clear" w:color="auto" w:fill="auto"/>
            <w:noWrap/>
            <w:vAlign w:val="bottom"/>
          </w:tcPr>
          <w:p w14:paraId="6175558F" w14:textId="1387849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3.32</w:t>
            </w:r>
          </w:p>
        </w:tc>
        <w:tc>
          <w:tcPr>
            <w:tcW w:w="702" w:type="dxa"/>
            <w:tcBorders>
              <w:top w:val="nil"/>
              <w:left w:val="nil"/>
              <w:bottom w:val="nil"/>
              <w:right w:val="single" w:sz="4" w:space="0" w:color="auto"/>
            </w:tcBorders>
            <w:shd w:val="clear" w:color="auto" w:fill="auto"/>
            <w:noWrap/>
            <w:vAlign w:val="bottom"/>
          </w:tcPr>
          <w:p w14:paraId="6D604542" w14:textId="50F60E7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4.30</w:t>
            </w:r>
          </w:p>
        </w:tc>
        <w:tc>
          <w:tcPr>
            <w:tcW w:w="774" w:type="dxa"/>
            <w:tcBorders>
              <w:left w:val="nil"/>
            </w:tcBorders>
            <w:vAlign w:val="bottom"/>
          </w:tcPr>
          <w:p w14:paraId="214DEDEA" w14:textId="0B7EE2E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5.96</w:t>
            </w:r>
          </w:p>
        </w:tc>
        <w:tc>
          <w:tcPr>
            <w:tcW w:w="773" w:type="dxa"/>
            <w:vAlign w:val="bottom"/>
          </w:tcPr>
          <w:p w14:paraId="45ACE414" w14:textId="6774E56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7.98</w:t>
            </w:r>
          </w:p>
        </w:tc>
        <w:tc>
          <w:tcPr>
            <w:tcW w:w="774" w:type="dxa"/>
            <w:vAlign w:val="bottom"/>
          </w:tcPr>
          <w:p w14:paraId="14B6A457" w14:textId="0BF4B1A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4.84</w:t>
            </w:r>
          </w:p>
        </w:tc>
        <w:tc>
          <w:tcPr>
            <w:tcW w:w="847" w:type="dxa"/>
            <w:vAlign w:val="bottom"/>
          </w:tcPr>
          <w:p w14:paraId="3DCB659D" w14:textId="3F9B715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5.12</w:t>
            </w:r>
          </w:p>
        </w:tc>
        <w:tc>
          <w:tcPr>
            <w:tcW w:w="715" w:type="dxa"/>
            <w:vAlign w:val="bottom"/>
          </w:tcPr>
          <w:p w14:paraId="3F0600DE" w14:textId="6A970A3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5.94</w:t>
            </w:r>
          </w:p>
        </w:tc>
      </w:tr>
      <w:tr w:rsidR="005E3F3C" w:rsidRPr="00A0555D" w14:paraId="04F22901"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A7B1092"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1E3776F3" w14:textId="280267C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0.47</w:t>
            </w:r>
          </w:p>
        </w:tc>
        <w:tc>
          <w:tcPr>
            <w:tcW w:w="774" w:type="dxa"/>
            <w:tcBorders>
              <w:top w:val="nil"/>
              <w:left w:val="nil"/>
              <w:bottom w:val="single" w:sz="4" w:space="0" w:color="auto"/>
              <w:right w:val="nil"/>
            </w:tcBorders>
            <w:shd w:val="clear" w:color="auto" w:fill="auto"/>
            <w:noWrap/>
            <w:vAlign w:val="bottom"/>
          </w:tcPr>
          <w:p w14:paraId="50DB0DCF" w14:textId="0A969A6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3.00</w:t>
            </w:r>
          </w:p>
        </w:tc>
        <w:tc>
          <w:tcPr>
            <w:tcW w:w="773" w:type="dxa"/>
            <w:tcBorders>
              <w:top w:val="nil"/>
              <w:left w:val="nil"/>
              <w:bottom w:val="single" w:sz="4" w:space="0" w:color="auto"/>
              <w:right w:val="nil"/>
            </w:tcBorders>
            <w:shd w:val="clear" w:color="auto" w:fill="auto"/>
            <w:noWrap/>
            <w:vAlign w:val="bottom"/>
          </w:tcPr>
          <w:p w14:paraId="7EADAD9D" w14:textId="33F6C4D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845" w:type="dxa"/>
            <w:tcBorders>
              <w:top w:val="nil"/>
              <w:left w:val="nil"/>
              <w:bottom w:val="single" w:sz="4" w:space="0" w:color="auto"/>
              <w:right w:val="nil"/>
            </w:tcBorders>
            <w:shd w:val="clear" w:color="auto" w:fill="auto"/>
            <w:noWrap/>
            <w:vAlign w:val="bottom"/>
          </w:tcPr>
          <w:p w14:paraId="67EA640F" w14:textId="4D3A5C0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3.59</w:t>
            </w:r>
          </w:p>
        </w:tc>
        <w:tc>
          <w:tcPr>
            <w:tcW w:w="702" w:type="dxa"/>
            <w:tcBorders>
              <w:top w:val="nil"/>
              <w:left w:val="nil"/>
              <w:bottom w:val="single" w:sz="4" w:space="0" w:color="auto"/>
              <w:right w:val="single" w:sz="4" w:space="0" w:color="auto"/>
            </w:tcBorders>
            <w:shd w:val="clear" w:color="auto" w:fill="auto"/>
            <w:noWrap/>
            <w:vAlign w:val="bottom"/>
          </w:tcPr>
          <w:p w14:paraId="260D6F63" w14:textId="7811087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1.13</w:t>
            </w:r>
          </w:p>
        </w:tc>
        <w:tc>
          <w:tcPr>
            <w:tcW w:w="774" w:type="dxa"/>
            <w:tcBorders>
              <w:left w:val="nil"/>
              <w:bottom w:val="single" w:sz="4" w:space="0" w:color="auto"/>
            </w:tcBorders>
            <w:vAlign w:val="bottom"/>
          </w:tcPr>
          <w:p w14:paraId="6C76FDEE" w14:textId="63EC61B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7.88</w:t>
            </w:r>
          </w:p>
        </w:tc>
        <w:tc>
          <w:tcPr>
            <w:tcW w:w="773" w:type="dxa"/>
            <w:tcBorders>
              <w:bottom w:val="single" w:sz="4" w:space="0" w:color="auto"/>
            </w:tcBorders>
            <w:vAlign w:val="bottom"/>
          </w:tcPr>
          <w:p w14:paraId="2BF892EA" w14:textId="2BCBF21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5.41</w:t>
            </w:r>
          </w:p>
        </w:tc>
        <w:tc>
          <w:tcPr>
            <w:tcW w:w="774" w:type="dxa"/>
            <w:tcBorders>
              <w:bottom w:val="single" w:sz="4" w:space="0" w:color="auto"/>
            </w:tcBorders>
            <w:vAlign w:val="bottom"/>
          </w:tcPr>
          <w:p w14:paraId="7A28F3CB" w14:textId="69F9E4C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7.82</w:t>
            </w:r>
          </w:p>
        </w:tc>
        <w:tc>
          <w:tcPr>
            <w:tcW w:w="847" w:type="dxa"/>
            <w:tcBorders>
              <w:bottom w:val="single" w:sz="4" w:space="0" w:color="auto"/>
            </w:tcBorders>
            <w:vAlign w:val="bottom"/>
          </w:tcPr>
          <w:p w14:paraId="101DBC51" w14:textId="7616718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9.25</w:t>
            </w:r>
          </w:p>
        </w:tc>
        <w:tc>
          <w:tcPr>
            <w:tcW w:w="715" w:type="dxa"/>
            <w:tcBorders>
              <w:bottom w:val="single" w:sz="4" w:space="0" w:color="auto"/>
            </w:tcBorders>
            <w:vAlign w:val="bottom"/>
          </w:tcPr>
          <w:p w14:paraId="5FCE35C8" w14:textId="5C5AE23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8.91</w:t>
            </w:r>
          </w:p>
        </w:tc>
      </w:tr>
      <w:tr w:rsidR="00AD5538" w:rsidRPr="00A0555D" w14:paraId="52DE162C" w14:textId="77777777" w:rsidTr="00A13B8D">
        <w:trPr>
          <w:trHeight w:val="144"/>
        </w:trPr>
        <w:tc>
          <w:tcPr>
            <w:tcW w:w="1610" w:type="dxa"/>
            <w:tcBorders>
              <w:top w:val="single" w:sz="4" w:space="0" w:color="auto"/>
              <w:left w:val="nil"/>
              <w:bottom w:val="nil"/>
              <w:right w:val="single" w:sz="4" w:space="0" w:color="auto"/>
            </w:tcBorders>
            <w:shd w:val="clear" w:color="auto" w:fill="auto"/>
            <w:noWrap/>
            <w:vAlign w:val="bottom"/>
            <w:hideMark/>
          </w:tcPr>
          <w:p w14:paraId="591BBBB1" w14:textId="77777777" w:rsidR="00AD5538" w:rsidRPr="00A0555D" w:rsidRDefault="00AD553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8" w:type="dxa"/>
            <w:tcBorders>
              <w:top w:val="single" w:sz="4" w:space="0" w:color="auto"/>
              <w:left w:val="nil"/>
              <w:bottom w:val="nil"/>
              <w:right w:val="nil"/>
            </w:tcBorders>
            <w:shd w:val="clear" w:color="auto" w:fill="auto"/>
            <w:noWrap/>
            <w:vAlign w:val="bottom"/>
          </w:tcPr>
          <w:p w14:paraId="17FC5536"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465DBF46"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157FC549"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845" w:type="dxa"/>
            <w:tcBorders>
              <w:top w:val="single" w:sz="4" w:space="0" w:color="auto"/>
              <w:left w:val="nil"/>
              <w:bottom w:val="nil"/>
              <w:right w:val="nil"/>
            </w:tcBorders>
            <w:shd w:val="clear" w:color="auto" w:fill="auto"/>
            <w:noWrap/>
            <w:vAlign w:val="bottom"/>
          </w:tcPr>
          <w:p w14:paraId="61C047BA"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02" w:type="dxa"/>
            <w:tcBorders>
              <w:top w:val="single" w:sz="4" w:space="0" w:color="auto"/>
              <w:left w:val="nil"/>
              <w:bottom w:val="nil"/>
              <w:right w:val="single" w:sz="4" w:space="0" w:color="auto"/>
            </w:tcBorders>
            <w:shd w:val="clear" w:color="auto" w:fill="auto"/>
            <w:noWrap/>
            <w:vAlign w:val="bottom"/>
          </w:tcPr>
          <w:p w14:paraId="288C8BFB"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tcBorders>
            <w:vAlign w:val="bottom"/>
          </w:tcPr>
          <w:p w14:paraId="32E2D4C1" w14:textId="77777777" w:rsidR="00AD5538" w:rsidRPr="006016B0" w:rsidRDefault="00AD5538"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vAlign w:val="bottom"/>
          </w:tcPr>
          <w:p w14:paraId="4308CF46"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vAlign w:val="bottom"/>
          </w:tcPr>
          <w:p w14:paraId="44047E21" w14:textId="77777777" w:rsidR="00AD5538" w:rsidRPr="006016B0" w:rsidRDefault="00AD5538"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vAlign w:val="bottom"/>
          </w:tcPr>
          <w:p w14:paraId="7B679FB0" w14:textId="77777777" w:rsidR="00AD5538" w:rsidRPr="006016B0" w:rsidRDefault="00AD5538"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vAlign w:val="bottom"/>
          </w:tcPr>
          <w:p w14:paraId="51660BC3" w14:textId="77777777" w:rsidR="00AD5538" w:rsidRPr="006016B0" w:rsidRDefault="00AD5538" w:rsidP="006016B0">
            <w:pPr>
              <w:tabs>
                <w:tab w:val="decimal" w:pos="256"/>
              </w:tabs>
              <w:spacing w:before="0" w:after="0" w:line="240" w:lineRule="auto"/>
              <w:ind w:firstLine="0"/>
              <w:rPr>
                <w:color w:val="000000"/>
                <w:sz w:val="16"/>
                <w:szCs w:val="16"/>
              </w:rPr>
            </w:pPr>
          </w:p>
        </w:tc>
      </w:tr>
      <w:tr w:rsidR="005E3F3C" w:rsidRPr="00A0555D" w14:paraId="03236136"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2D058A20"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top w:val="nil"/>
              <w:left w:val="nil"/>
              <w:bottom w:val="nil"/>
              <w:right w:val="nil"/>
            </w:tcBorders>
            <w:shd w:val="clear" w:color="auto" w:fill="auto"/>
            <w:noWrap/>
            <w:vAlign w:val="bottom"/>
          </w:tcPr>
          <w:p w14:paraId="4890B5EE" w14:textId="4EADC50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9.54</w:t>
            </w:r>
          </w:p>
        </w:tc>
        <w:tc>
          <w:tcPr>
            <w:tcW w:w="774" w:type="dxa"/>
            <w:tcBorders>
              <w:top w:val="nil"/>
              <w:left w:val="nil"/>
              <w:bottom w:val="nil"/>
              <w:right w:val="nil"/>
            </w:tcBorders>
            <w:shd w:val="clear" w:color="auto" w:fill="auto"/>
            <w:noWrap/>
            <w:vAlign w:val="bottom"/>
          </w:tcPr>
          <w:p w14:paraId="72A05029" w14:textId="7B6C30B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12.78</w:t>
            </w:r>
          </w:p>
        </w:tc>
        <w:tc>
          <w:tcPr>
            <w:tcW w:w="773" w:type="dxa"/>
            <w:tcBorders>
              <w:top w:val="nil"/>
              <w:left w:val="nil"/>
              <w:bottom w:val="nil"/>
              <w:right w:val="nil"/>
            </w:tcBorders>
            <w:shd w:val="clear" w:color="auto" w:fill="auto"/>
            <w:noWrap/>
            <w:vAlign w:val="bottom"/>
          </w:tcPr>
          <w:p w14:paraId="0B3039E5" w14:textId="0096163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11.85</w:t>
            </w:r>
          </w:p>
        </w:tc>
        <w:tc>
          <w:tcPr>
            <w:tcW w:w="845" w:type="dxa"/>
            <w:tcBorders>
              <w:top w:val="nil"/>
              <w:left w:val="nil"/>
              <w:bottom w:val="nil"/>
              <w:right w:val="nil"/>
            </w:tcBorders>
            <w:shd w:val="clear" w:color="auto" w:fill="auto"/>
            <w:noWrap/>
            <w:vAlign w:val="bottom"/>
          </w:tcPr>
          <w:p w14:paraId="5429C98D" w14:textId="18DF940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6.01</w:t>
            </w:r>
          </w:p>
        </w:tc>
        <w:tc>
          <w:tcPr>
            <w:tcW w:w="702" w:type="dxa"/>
            <w:tcBorders>
              <w:top w:val="nil"/>
              <w:left w:val="nil"/>
              <w:bottom w:val="nil"/>
              <w:right w:val="single" w:sz="4" w:space="0" w:color="auto"/>
            </w:tcBorders>
            <w:shd w:val="clear" w:color="auto" w:fill="auto"/>
            <w:noWrap/>
            <w:vAlign w:val="bottom"/>
          </w:tcPr>
          <w:p w14:paraId="62260B60" w14:textId="543D912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7.60</w:t>
            </w:r>
          </w:p>
        </w:tc>
        <w:tc>
          <w:tcPr>
            <w:tcW w:w="774" w:type="dxa"/>
            <w:tcBorders>
              <w:left w:val="nil"/>
            </w:tcBorders>
            <w:vAlign w:val="bottom"/>
          </w:tcPr>
          <w:p w14:paraId="688F43F4" w14:textId="58F7542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1.75</w:t>
            </w:r>
          </w:p>
        </w:tc>
        <w:tc>
          <w:tcPr>
            <w:tcW w:w="773" w:type="dxa"/>
            <w:vAlign w:val="bottom"/>
          </w:tcPr>
          <w:p w14:paraId="5B2EDEED" w14:textId="23638A5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6.67</w:t>
            </w:r>
          </w:p>
        </w:tc>
        <w:tc>
          <w:tcPr>
            <w:tcW w:w="774" w:type="dxa"/>
            <w:vAlign w:val="bottom"/>
          </w:tcPr>
          <w:p w14:paraId="302B0A88" w14:textId="3CBF44A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3.56</w:t>
            </w:r>
          </w:p>
        </w:tc>
        <w:tc>
          <w:tcPr>
            <w:tcW w:w="847" w:type="dxa"/>
            <w:vAlign w:val="bottom"/>
          </w:tcPr>
          <w:p w14:paraId="7E3FD47A" w14:textId="128CCAF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1.61</w:t>
            </w:r>
          </w:p>
        </w:tc>
        <w:tc>
          <w:tcPr>
            <w:tcW w:w="715" w:type="dxa"/>
            <w:vAlign w:val="bottom"/>
          </w:tcPr>
          <w:p w14:paraId="71C73AB0" w14:textId="1C7821A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1.52</w:t>
            </w:r>
          </w:p>
        </w:tc>
      </w:tr>
      <w:tr w:rsidR="005E3F3C" w:rsidRPr="00A0555D" w14:paraId="37621E88"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F54FE0D"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7AA323B8" w14:textId="10BACAF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5.80</w:t>
            </w:r>
          </w:p>
        </w:tc>
        <w:tc>
          <w:tcPr>
            <w:tcW w:w="774" w:type="dxa"/>
            <w:tcBorders>
              <w:top w:val="nil"/>
              <w:left w:val="nil"/>
              <w:bottom w:val="nil"/>
              <w:right w:val="nil"/>
            </w:tcBorders>
            <w:shd w:val="clear" w:color="auto" w:fill="auto"/>
            <w:noWrap/>
            <w:vAlign w:val="bottom"/>
          </w:tcPr>
          <w:p w14:paraId="5F9E4972" w14:textId="6908191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6.11</w:t>
            </w:r>
          </w:p>
        </w:tc>
        <w:tc>
          <w:tcPr>
            <w:tcW w:w="773" w:type="dxa"/>
            <w:tcBorders>
              <w:top w:val="nil"/>
              <w:left w:val="nil"/>
              <w:bottom w:val="nil"/>
              <w:right w:val="nil"/>
            </w:tcBorders>
            <w:shd w:val="clear" w:color="auto" w:fill="auto"/>
            <w:noWrap/>
            <w:vAlign w:val="bottom"/>
          </w:tcPr>
          <w:p w14:paraId="56748124" w14:textId="76B7D1F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7.29</w:t>
            </w:r>
          </w:p>
        </w:tc>
        <w:tc>
          <w:tcPr>
            <w:tcW w:w="845" w:type="dxa"/>
            <w:tcBorders>
              <w:top w:val="nil"/>
              <w:left w:val="nil"/>
              <w:bottom w:val="nil"/>
              <w:right w:val="nil"/>
            </w:tcBorders>
            <w:shd w:val="clear" w:color="auto" w:fill="auto"/>
            <w:noWrap/>
            <w:vAlign w:val="bottom"/>
          </w:tcPr>
          <w:p w14:paraId="4E8B1D0A" w14:textId="04FEAA34"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4.74</w:t>
            </w:r>
          </w:p>
        </w:tc>
        <w:tc>
          <w:tcPr>
            <w:tcW w:w="702" w:type="dxa"/>
            <w:tcBorders>
              <w:top w:val="nil"/>
              <w:left w:val="nil"/>
              <w:bottom w:val="nil"/>
              <w:right w:val="single" w:sz="4" w:space="0" w:color="auto"/>
            </w:tcBorders>
            <w:shd w:val="clear" w:color="auto" w:fill="auto"/>
            <w:noWrap/>
            <w:vAlign w:val="bottom"/>
          </w:tcPr>
          <w:p w14:paraId="49E5F61A" w14:textId="38D44CA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5.09</w:t>
            </w:r>
          </w:p>
        </w:tc>
        <w:tc>
          <w:tcPr>
            <w:tcW w:w="774" w:type="dxa"/>
            <w:tcBorders>
              <w:left w:val="nil"/>
            </w:tcBorders>
            <w:vAlign w:val="bottom"/>
          </w:tcPr>
          <w:p w14:paraId="161F2BC0" w14:textId="7A15254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1.88</w:t>
            </w:r>
          </w:p>
        </w:tc>
        <w:tc>
          <w:tcPr>
            <w:tcW w:w="773" w:type="dxa"/>
            <w:vAlign w:val="bottom"/>
          </w:tcPr>
          <w:p w14:paraId="44DE123B" w14:textId="7CF37EF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0.64</w:t>
            </w:r>
          </w:p>
        </w:tc>
        <w:tc>
          <w:tcPr>
            <w:tcW w:w="774" w:type="dxa"/>
            <w:vAlign w:val="bottom"/>
          </w:tcPr>
          <w:p w14:paraId="166E4517" w14:textId="463EB2D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1.15</w:t>
            </w:r>
          </w:p>
        </w:tc>
        <w:tc>
          <w:tcPr>
            <w:tcW w:w="847" w:type="dxa"/>
            <w:vAlign w:val="bottom"/>
          </w:tcPr>
          <w:p w14:paraId="1F5D4D2A" w14:textId="4CD5F15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2.61</w:t>
            </w:r>
          </w:p>
        </w:tc>
        <w:tc>
          <w:tcPr>
            <w:tcW w:w="715" w:type="dxa"/>
            <w:vAlign w:val="bottom"/>
          </w:tcPr>
          <w:p w14:paraId="5965F483" w14:textId="6357BD7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3.11</w:t>
            </w:r>
          </w:p>
        </w:tc>
      </w:tr>
      <w:tr w:rsidR="005E3F3C" w:rsidRPr="00A0555D" w14:paraId="7F8D0309"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A3A122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30D8798E" w14:textId="438D929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8.46</w:t>
            </w:r>
          </w:p>
        </w:tc>
        <w:tc>
          <w:tcPr>
            <w:tcW w:w="774" w:type="dxa"/>
            <w:tcBorders>
              <w:top w:val="nil"/>
              <w:left w:val="nil"/>
              <w:bottom w:val="nil"/>
              <w:right w:val="nil"/>
            </w:tcBorders>
            <w:shd w:val="clear" w:color="auto" w:fill="auto"/>
            <w:noWrap/>
            <w:vAlign w:val="bottom"/>
          </w:tcPr>
          <w:p w14:paraId="7BBC0650" w14:textId="293E52C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8.25</w:t>
            </w:r>
          </w:p>
        </w:tc>
        <w:tc>
          <w:tcPr>
            <w:tcW w:w="773" w:type="dxa"/>
            <w:tcBorders>
              <w:top w:val="nil"/>
              <w:left w:val="nil"/>
              <w:bottom w:val="nil"/>
              <w:right w:val="nil"/>
            </w:tcBorders>
            <w:shd w:val="clear" w:color="auto" w:fill="auto"/>
            <w:noWrap/>
            <w:vAlign w:val="bottom"/>
          </w:tcPr>
          <w:p w14:paraId="774B2112" w14:textId="56F94EB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10.68</w:t>
            </w:r>
          </w:p>
        </w:tc>
        <w:tc>
          <w:tcPr>
            <w:tcW w:w="845" w:type="dxa"/>
            <w:tcBorders>
              <w:top w:val="nil"/>
              <w:left w:val="nil"/>
              <w:bottom w:val="nil"/>
              <w:right w:val="nil"/>
            </w:tcBorders>
            <w:shd w:val="clear" w:color="auto" w:fill="auto"/>
            <w:noWrap/>
            <w:vAlign w:val="bottom"/>
          </w:tcPr>
          <w:p w14:paraId="1840B30A" w14:textId="354CA5F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8.46</w:t>
            </w:r>
          </w:p>
        </w:tc>
        <w:tc>
          <w:tcPr>
            <w:tcW w:w="702" w:type="dxa"/>
            <w:tcBorders>
              <w:top w:val="nil"/>
              <w:left w:val="nil"/>
              <w:bottom w:val="nil"/>
              <w:right w:val="single" w:sz="4" w:space="0" w:color="auto"/>
            </w:tcBorders>
            <w:shd w:val="clear" w:color="auto" w:fill="auto"/>
            <w:noWrap/>
            <w:vAlign w:val="bottom"/>
          </w:tcPr>
          <w:p w14:paraId="05215815" w14:textId="588770A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6.51</w:t>
            </w:r>
          </w:p>
        </w:tc>
        <w:tc>
          <w:tcPr>
            <w:tcW w:w="774" w:type="dxa"/>
            <w:tcBorders>
              <w:left w:val="nil"/>
            </w:tcBorders>
            <w:vAlign w:val="bottom"/>
          </w:tcPr>
          <w:p w14:paraId="6B3CE21C" w14:textId="5EFACAC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73" w:type="dxa"/>
            <w:vAlign w:val="bottom"/>
          </w:tcPr>
          <w:p w14:paraId="19BB4D20" w14:textId="56413E8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2.06</w:t>
            </w:r>
          </w:p>
        </w:tc>
        <w:tc>
          <w:tcPr>
            <w:tcW w:w="774" w:type="dxa"/>
            <w:vAlign w:val="bottom"/>
          </w:tcPr>
          <w:p w14:paraId="418A8F54" w14:textId="2007C66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2.05</w:t>
            </w:r>
          </w:p>
        </w:tc>
        <w:tc>
          <w:tcPr>
            <w:tcW w:w="847" w:type="dxa"/>
            <w:vAlign w:val="bottom"/>
          </w:tcPr>
          <w:p w14:paraId="7BA96706" w14:textId="0D7F705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0.87</w:t>
            </w:r>
          </w:p>
        </w:tc>
        <w:tc>
          <w:tcPr>
            <w:tcW w:w="715" w:type="dxa"/>
            <w:vAlign w:val="bottom"/>
          </w:tcPr>
          <w:p w14:paraId="2CE24565" w14:textId="5DC72AF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3.04</w:t>
            </w:r>
          </w:p>
        </w:tc>
      </w:tr>
      <w:tr w:rsidR="005E3F3C" w:rsidRPr="00A0555D" w14:paraId="1FAA12EA"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FBA7E2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1087AC1E" w14:textId="6552908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6.45</w:t>
            </w:r>
          </w:p>
        </w:tc>
        <w:tc>
          <w:tcPr>
            <w:tcW w:w="774" w:type="dxa"/>
            <w:tcBorders>
              <w:top w:val="nil"/>
              <w:left w:val="nil"/>
              <w:bottom w:val="nil"/>
              <w:right w:val="nil"/>
            </w:tcBorders>
            <w:shd w:val="clear" w:color="auto" w:fill="auto"/>
            <w:noWrap/>
            <w:vAlign w:val="bottom"/>
          </w:tcPr>
          <w:p w14:paraId="3FE2A29C" w14:textId="2B7FF06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8.47</w:t>
            </w:r>
          </w:p>
        </w:tc>
        <w:tc>
          <w:tcPr>
            <w:tcW w:w="773" w:type="dxa"/>
            <w:tcBorders>
              <w:top w:val="nil"/>
              <w:left w:val="nil"/>
              <w:bottom w:val="nil"/>
              <w:right w:val="nil"/>
            </w:tcBorders>
            <w:shd w:val="clear" w:color="auto" w:fill="auto"/>
            <w:noWrap/>
            <w:vAlign w:val="bottom"/>
          </w:tcPr>
          <w:p w14:paraId="74851ED9" w14:textId="663652F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9.66</w:t>
            </w:r>
          </w:p>
        </w:tc>
        <w:tc>
          <w:tcPr>
            <w:tcW w:w="845" w:type="dxa"/>
            <w:tcBorders>
              <w:top w:val="nil"/>
              <w:left w:val="nil"/>
              <w:bottom w:val="nil"/>
              <w:right w:val="nil"/>
            </w:tcBorders>
            <w:shd w:val="clear" w:color="auto" w:fill="auto"/>
            <w:noWrap/>
            <w:vAlign w:val="bottom"/>
          </w:tcPr>
          <w:p w14:paraId="31FD656A" w14:textId="4D19CCB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3.04</w:t>
            </w:r>
          </w:p>
        </w:tc>
        <w:tc>
          <w:tcPr>
            <w:tcW w:w="702" w:type="dxa"/>
            <w:tcBorders>
              <w:top w:val="nil"/>
              <w:left w:val="nil"/>
              <w:bottom w:val="nil"/>
              <w:right w:val="single" w:sz="4" w:space="0" w:color="auto"/>
            </w:tcBorders>
            <w:shd w:val="clear" w:color="auto" w:fill="auto"/>
            <w:noWrap/>
            <w:vAlign w:val="bottom"/>
          </w:tcPr>
          <w:p w14:paraId="612873A4" w14:textId="71D01D9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4.72</w:t>
            </w:r>
          </w:p>
        </w:tc>
        <w:tc>
          <w:tcPr>
            <w:tcW w:w="774" w:type="dxa"/>
            <w:tcBorders>
              <w:left w:val="nil"/>
            </w:tcBorders>
            <w:vAlign w:val="bottom"/>
          </w:tcPr>
          <w:p w14:paraId="67E93623" w14:textId="3856B83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0.83</w:t>
            </w:r>
          </w:p>
        </w:tc>
        <w:tc>
          <w:tcPr>
            <w:tcW w:w="773" w:type="dxa"/>
            <w:vAlign w:val="bottom"/>
          </w:tcPr>
          <w:p w14:paraId="78CEDB91" w14:textId="580B124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2.03</w:t>
            </w:r>
          </w:p>
        </w:tc>
        <w:tc>
          <w:tcPr>
            <w:tcW w:w="774" w:type="dxa"/>
            <w:vAlign w:val="bottom"/>
          </w:tcPr>
          <w:p w14:paraId="32CA375F" w14:textId="3BC8F61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1.92</w:t>
            </w:r>
          </w:p>
        </w:tc>
        <w:tc>
          <w:tcPr>
            <w:tcW w:w="847" w:type="dxa"/>
            <w:vAlign w:val="bottom"/>
          </w:tcPr>
          <w:p w14:paraId="12BB0E5B" w14:textId="38E3B78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4.21</w:t>
            </w:r>
          </w:p>
        </w:tc>
        <w:tc>
          <w:tcPr>
            <w:tcW w:w="715" w:type="dxa"/>
            <w:vAlign w:val="bottom"/>
          </w:tcPr>
          <w:p w14:paraId="2D22808B" w14:textId="18B8BB2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2.98</w:t>
            </w:r>
          </w:p>
        </w:tc>
      </w:tr>
      <w:tr w:rsidR="005E3F3C" w:rsidRPr="00A0555D" w14:paraId="63894CE5"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5AA45A3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6E270869" w14:textId="279601C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6.16</w:t>
            </w:r>
          </w:p>
        </w:tc>
        <w:tc>
          <w:tcPr>
            <w:tcW w:w="774" w:type="dxa"/>
            <w:tcBorders>
              <w:top w:val="nil"/>
              <w:left w:val="nil"/>
              <w:bottom w:val="nil"/>
              <w:right w:val="nil"/>
            </w:tcBorders>
            <w:shd w:val="clear" w:color="auto" w:fill="auto"/>
            <w:noWrap/>
            <w:vAlign w:val="bottom"/>
          </w:tcPr>
          <w:p w14:paraId="6A7AA911" w14:textId="40CF5AA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5.26</w:t>
            </w:r>
          </w:p>
        </w:tc>
        <w:tc>
          <w:tcPr>
            <w:tcW w:w="773" w:type="dxa"/>
            <w:tcBorders>
              <w:top w:val="nil"/>
              <w:left w:val="nil"/>
              <w:bottom w:val="nil"/>
              <w:right w:val="nil"/>
            </w:tcBorders>
            <w:shd w:val="clear" w:color="auto" w:fill="auto"/>
            <w:noWrap/>
            <w:vAlign w:val="bottom"/>
          </w:tcPr>
          <w:p w14:paraId="7EB4D401" w14:textId="6DD5A25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8.18</w:t>
            </w:r>
          </w:p>
        </w:tc>
        <w:tc>
          <w:tcPr>
            <w:tcW w:w="845" w:type="dxa"/>
            <w:tcBorders>
              <w:top w:val="nil"/>
              <w:left w:val="nil"/>
              <w:bottom w:val="nil"/>
              <w:right w:val="nil"/>
            </w:tcBorders>
            <w:shd w:val="clear" w:color="auto" w:fill="auto"/>
            <w:noWrap/>
            <w:vAlign w:val="bottom"/>
          </w:tcPr>
          <w:p w14:paraId="7A361A9A" w14:textId="37C0DB9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5.43</w:t>
            </w:r>
          </w:p>
        </w:tc>
        <w:tc>
          <w:tcPr>
            <w:tcW w:w="702" w:type="dxa"/>
            <w:tcBorders>
              <w:top w:val="nil"/>
              <w:left w:val="nil"/>
              <w:bottom w:val="nil"/>
              <w:right w:val="single" w:sz="4" w:space="0" w:color="auto"/>
            </w:tcBorders>
            <w:shd w:val="clear" w:color="auto" w:fill="auto"/>
            <w:noWrap/>
            <w:vAlign w:val="bottom"/>
          </w:tcPr>
          <w:p w14:paraId="08A78A0C" w14:textId="7CB5D5F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5.78</w:t>
            </w:r>
          </w:p>
        </w:tc>
        <w:tc>
          <w:tcPr>
            <w:tcW w:w="774" w:type="dxa"/>
            <w:tcBorders>
              <w:left w:val="nil"/>
            </w:tcBorders>
            <w:vAlign w:val="bottom"/>
          </w:tcPr>
          <w:p w14:paraId="1E67AAD4" w14:textId="54C6879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2.08</w:t>
            </w:r>
          </w:p>
        </w:tc>
        <w:tc>
          <w:tcPr>
            <w:tcW w:w="773" w:type="dxa"/>
            <w:vAlign w:val="bottom"/>
          </w:tcPr>
          <w:p w14:paraId="0A1150E6" w14:textId="4789B14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1.98</w:t>
            </w:r>
          </w:p>
        </w:tc>
        <w:tc>
          <w:tcPr>
            <w:tcW w:w="774" w:type="dxa"/>
            <w:vAlign w:val="bottom"/>
          </w:tcPr>
          <w:p w14:paraId="55593EC7" w14:textId="35179C2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0.56</w:t>
            </w:r>
          </w:p>
        </w:tc>
        <w:tc>
          <w:tcPr>
            <w:tcW w:w="847" w:type="dxa"/>
            <w:vAlign w:val="bottom"/>
          </w:tcPr>
          <w:p w14:paraId="5BCA2D1C" w14:textId="3F90987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2.62</w:t>
            </w:r>
          </w:p>
        </w:tc>
        <w:tc>
          <w:tcPr>
            <w:tcW w:w="715" w:type="dxa"/>
            <w:vAlign w:val="bottom"/>
          </w:tcPr>
          <w:p w14:paraId="76317CAF" w14:textId="304888A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3.16</w:t>
            </w:r>
          </w:p>
        </w:tc>
      </w:tr>
      <w:tr w:rsidR="005E3F3C" w:rsidRPr="00A0555D" w14:paraId="3EC276C5"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2557C8D5"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33C04C7A" w14:textId="66DDA2C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3.97</w:t>
            </w:r>
          </w:p>
        </w:tc>
        <w:tc>
          <w:tcPr>
            <w:tcW w:w="774" w:type="dxa"/>
            <w:tcBorders>
              <w:top w:val="nil"/>
              <w:left w:val="nil"/>
              <w:bottom w:val="single" w:sz="4" w:space="0" w:color="auto"/>
              <w:right w:val="nil"/>
            </w:tcBorders>
            <w:shd w:val="clear" w:color="auto" w:fill="auto"/>
            <w:noWrap/>
            <w:vAlign w:val="bottom"/>
          </w:tcPr>
          <w:p w14:paraId="7342A787" w14:textId="5FBB2594"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5.96</w:t>
            </w:r>
          </w:p>
        </w:tc>
        <w:tc>
          <w:tcPr>
            <w:tcW w:w="773" w:type="dxa"/>
            <w:tcBorders>
              <w:top w:val="nil"/>
              <w:left w:val="nil"/>
              <w:bottom w:val="single" w:sz="4" w:space="0" w:color="auto"/>
              <w:right w:val="nil"/>
            </w:tcBorders>
            <w:shd w:val="clear" w:color="auto" w:fill="auto"/>
            <w:noWrap/>
            <w:vAlign w:val="bottom"/>
          </w:tcPr>
          <w:p w14:paraId="5F21E39F" w14:textId="299D84D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4.79</w:t>
            </w:r>
          </w:p>
        </w:tc>
        <w:tc>
          <w:tcPr>
            <w:tcW w:w="845" w:type="dxa"/>
            <w:tcBorders>
              <w:top w:val="nil"/>
              <w:left w:val="nil"/>
              <w:bottom w:val="single" w:sz="4" w:space="0" w:color="auto"/>
              <w:right w:val="nil"/>
            </w:tcBorders>
            <w:shd w:val="clear" w:color="auto" w:fill="auto"/>
            <w:noWrap/>
            <w:vAlign w:val="bottom"/>
          </w:tcPr>
          <w:p w14:paraId="32263516" w14:textId="1AFD2EE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1.51</w:t>
            </w:r>
          </w:p>
        </w:tc>
        <w:tc>
          <w:tcPr>
            <w:tcW w:w="702" w:type="dxa"/>
            <w:tcBorders>
              <w:top w:val="nil"/>
              <w:left w:val="nil"/>
              <w:bottom w:val="single" w:sz="4" w:space="0" w:color="auto"/>
              <w:right w:val="single" w:sz="4" w:space="0" w:color="auto"/>
            </w:tcBorders>
            <w:shd w:val="clear" w:color="auto" w:fill="auto"/>
            <w:noWrap/>
            <w:vAlign w:val="bottom"/>
          </w:tcPr>
          <w:p w14:paraId="7ECF5D29" w14:textId="7DFD19B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3.67</w:t>
            </w:r>
          </w:p>
        </w:tc>
        <w:tc>
          <w:tcPr>
            <w:tcW w:w="774" w:type="dxa"/>
            <w:tcBorders>
              <w:left w:val="nil"/>
              <w:bottom w:val="single" w:sz="4" w:space="0" w:color="auto"/>
            </w:tcBorders>
            <w:vAlign w:val="bottom"/>
          </w:tcPr>
          <w:p w14:paraId="7435FBBB" w14:textId="3ADF2E7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3.46</w:t>
            </w:r>
          </w:p>
        </w:tc>
        <w:tc>
          <w:tcPr>
            <w:tcW w:w="773" w:type="dxa"/>
            <w:tcBorders>
              <w:bottom w:val="single" w:sz="4" w:space="0" w:color="auto"/>
            </w:tcBorders>
            <w:vAlign w:val="bottom"/>
          </w:tcPr>
          <w:p w14:paraId="56072F4A" w14:textId="4B6D1C3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1.10</w:t>
            </w:r>
          </w:p>
        </w:tc>
        <w:tc>
          <w:tcPr>
            <w:tcW w:w="774" w:type="dxa"/>
            <w:tcBorders>
              <w:bottom w:val="single" w:sz="4" w:space="0" w:color="auto"/>
            </w:tcBorders>
            <w:vAlign w:val="bottom"/>
          </w:tcPr>
          <w:p w14:paraId="6CAE1B8C" w14:textId="5F20BEA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2.91</w:t>
            </w:r>
          </w:p>
        </w:tc>
        <w:tc>
          <w:tcPr>
            <w:tcW w:w="847" w:type="dxa"/>
            <w:tcBorders>
              <w:bottom w:val="single" w:sz="4" w:space="0" w:color="auto"/>
            </w:tcBorders>
            <w:vAlign w:val="bottom"/>
          </w:tcPr>
          <w:p w14:paraId="6E63B8C0" w14:textId="480C6C5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5.45</w:t>
            </w:r>
          </w:p>
        </w:tc>
        <w:tc>
          <w:tcPr>
            <w:tcW w:w="715" w:type="dxa"/>
            <w:tcBorders>
              <w:bottom w:val="single" w:sz="4" w:space="0" w:color="auto"/>
            </w:tcBorders>
            <w:vAlign w:val="bottom"/>
          </w:tcPr>
          <w:p w14:paraId="02B3975D" w14:textId="41B39FF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4.33</w:t>
            </w:r>
          </w:p>
        </w:tc>
      </w:tr>
      <w:tr w:rsidR="00AD5538" w:rsidRPr="00A0555D" w14:paraId="3E6D9985"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45532EF2" w14:textId="5D435073" w:rsidR="00AD5538" w:rsidRPr="009355EE" w:rsidRDefault="00AD5538"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233CE06B" w14:textId="77777777" w:rsidR="00AD5538" w:rsidRPr="006016B0" w:rsidRDefault="00AD5538"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717A2EED"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776733EE" w14:textId="77777777" w:rsidR="00AD5538" w:rsidRPr="006016B0" w:rsidRDefault="00AD5538"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4D4018C9" w14:textId="77777777" w:rsidR="00AD5538" w:rsidRPr="006016B0" w:rsidRDefault="00AD5538"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2F03C371" w14:textId="77777777" w:rsidR="00AD5538" w:rsidRPr="006016B0" w:rsidRDefault="00AD5538" w:rsidP="006016B0">
            <w:pPr>
              <w:tabs>
                <w:tab w:val="decimal" w:pos="256"/>
              </w:tabs>
              <w:spacing w:before="0" w:after="0" w:line="240" w:lineRule="auto"/>
              <w:ind w:firstLine="0"/>
              <w:rPr>
                <w:color w:val="000000"/>
                <w:sz w:val="16"/>
                <w:szCs w:val="16"/>
              </w:rPr>
            </w:pPr>
          </w:p>
        </w:tc>
      </w:tr>
      <w:tr w:rsidR="005E3F3C" w:rsidRPr="00A0555D" w14:paraId="36A1CCAE"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0DA76A7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6AAD422E" w14:textId="384BEFF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left w:val="nil"/>
              <w:bottom w:val="nil"/>
              <w:right w:val="nil"/>
            </w:tcBorders>
            <w:shd w:val="clear" w:color="auto" w:fill="auto"/>
            <w:noWrap/>
            <w:vAlign w:val="bottom"/>
          </w:tcPr>
          <w:p w14:paraId="13D0D9D2" w14:textId="593BBAF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3" w:type="dxa"/>
            <w:tcBorders>
              <w:left w:val="nil"/>
              <w:bottom w:val="nil"/>
              <w:right w:val="nil"/>
            </w:tcBorders>
            <w:shd w:val="clear" w:color="auto" w:fill="auto"/>
            <w:noWrap/>
            <w:vAlign w:val="bottom"/>
          </w:tcPr>
          <w:p w14:paraId="4E411179" w14:textId="71D1BFA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845" w:type="dxa"/>
            <w:tcBorders>
              <w:left w:val="nil"/>
              <w:bottom w:val="nil"/>
              <w:right w:val="nil"/>
            </w:tcBorders>
            <w:shd w:val="clear" w:color="auto" w:fill="auto"/>
            <w:noWrap/>
            <w:vAlign w:val="bottom"/>
          </w:tcPr>
          <w:p w14:paraId="31483409" w14:textId="59B7EB3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02" w:type="dxa"/>
            <w:tcBorders>
              <w:left w:val="nil"/>
              <w:bottom w:val="nil"/>
              <w:right w:val="single" w:sz="4" w:space="0" w:color="auto"/>
            </w:tcBorders>
            <w:shd w:val="clear" w:color="auto" w:fill="auto"/>
            <w:noWrap/>
            <w:vAlign w:val="bottom"/>
          </w:tcPr>
          <w:p w14:paraId="3A011862" w14:textId="2ED0961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4" w:type="dxa"/>
            <w:tcBorders>
              <w:left w:val="nil"/>
            </w:tcBorders>
            <w:vAlign w:val="bottom"/>
          </w:tcPr>
          <w:p w14:paraId="57113CA5" w14:textId="16B3437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3" w:type="dxa"/>
            <w:vAlign w:val="bottom"/>
          </w:tcPr>
          <w:p w14:paraId="4B506600" w14:textId="762FEA3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0.08</w:t>
            </w:r>
          </w:p>
        </w:tc>
        <w:tc>
          <w:tcPr>
            <w:tcW w:w="774" w:type="dxa"/>
            <w:vAlign w:val="bottom"/>
          </w:tcPr>
          <w:p w14:paraId="6665E298" w14:textId="2A1C9B9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847" w:type="dxa"/>
            <w:vAlign w:val="bottom"/>
          </w:tcPr>
          <w:p w14:paraId="6DB2BDD4" w14:textId="2738625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15" w:type="dxa"/>
            <w:vAlign w:val="bottom"/>
          </w:tcPr>
          <w:p w14:paraId="7D295B55" w14:textId="0ACC1CB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0.08</w:t>
            </w:r>
          </w:p>
        </w:tc>
      </w:tr>
      <w:tr w:rsidR="005E3F3C" w:rsidRPr="00A0555D" w14:paraId="2BBFAF6A"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8361257"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4D6A795C" w14:textId="57F6EA2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top w:val="nil"/>
              <w:left w:val="nil"/>
              <w:bottom w:val="nil"/>
              <w:right w:val="nil"/>
            </w:tcBorders>
            <w:shd w:val="clear" w:color="auto" w:fill="auto"/>
            <w:noWrap/>
            <w:vAlign w:val="bottom"/>
          </w:tcPr>
          <w:p w14:paraId="08BE8BAD" w14:textId="491D4F3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3" w:type="dxa"/>
            <w:tcBorders>
              <w:top w:val="nil"/>
              <w:left w:val="nil"/>
              <w:bottom w:val="nil"/>
              <w:right w:val="nil"/>
            </w:tcBorders>
            <w:shd w:val="clear" w:color="auto" w:fill="auto"/>
            <w:noWrap/>
            <w:vAlign w:val="bottom"/>
          </w:tcPr>
          <w:p w14:paraId="110129BE" w14:textId="3920BBD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0.06</w:t>
            </w:r>
          </w:p>
        </w:tc>
        <w:tc>
          <w:tcPr>
            <w:tcW w:w="845" w:type="dxa"/>
            <w:tcBorders>
              <w:top w:val="nil"/>
              <w:left w:val="nil"/>
              <w:bottom w:val="nil"/>
              <w:right w:val="nil"/>
            </w:tcBorders>
            <w:shd w:val="clear" w:color="auto" w:fill="auto"/>
            <w:noWrap/>
            <w:vAlign w:val="bottom"/>
          </w:tcPr>
          <w:p w14:paraId="74AB12D8" w14:textId="196F285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02" w:type="dxa"/>
            <w:tcBorders>
              <w:top w:val="nil"/>
              <w:left w:val="nil"/>
              <w:bottom w:val="nil"/>
              <w:right w:val="single" w:sz="4" w:space="0" w:color="auto"/>
            </w:tcBorders>
            <w:shd w:val="clear" w:color="auto" w:fill="auto"/>
            <w:noWrap/>
            <w:vAlign w:val="bottom"/>
          </w:tcPr>
          <w:p w14:paraId="61FEEAD8" w14:textId="2DDD30E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4" w:type="dxa"/>
            <w:tcBorders>
              <w:left w:val="nil"/>
            </w:tcBorders>
            <w:vAlign w:val="bottom"/>
          </w:tcPr>
          <w:p w14:paraId="0B843C69" w14:textId="37D29E44"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773" w:type="dxa"/>
            <w:vAlign w:val="bottom"/>
          </w:tcPr>
          <w:p w14:paraId="6B0E36BF" w14:textId="260E5FE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0.05</w:t>
            </w:r>
          </w:p>
        </w:tc>
        <w:tc>
          <w:tcPr>
            <w:tcW w:w="774" w:type="dxa"/>
            <w:vAlign w:val="bottom"/>
          </w:tcPr>
          <w:p w14:paraId="1B573CD8" w14:textId="108232E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847" w:type="dxa"/>
            <w:vAlign w:val="bottom"/>
          </w:tcPr>
          <w:p w14:paraId="7CC5DCE4" w14:textId="6DE6B54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15" w:type="dxa"/>
            <w:vAlign w:val="bottom"/>
          </w:tcPr>
          <w:p w14:paraId="4DB82065" w14:textId="27CD313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r>
      <w:tr w:rsidR="005E3F3C" w:rsidRPr="00A0555D" w14:paraId="12D6218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3B93E7C"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249F181B" w14:textId="4A5DB1B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4" w:type="dxa"/>
            <w:tcBorders>
              <w:top w:val="nil"/>
              <w:left w:val="nil"/>
              <w:bottom w:val="nil"/>
              <w:right w:val="nil"/>
            </w:tcBorders>
            <w:shd w:val="clear" w:color="auto" w:fill="auto"/>
            <w:noWrap/>
            <w:vAlign w:val="bottom"/>
          </w:tcPr>
          <w:p w14:paraId="066C7D6F" w14:textId="46C5794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c>
          <w:tcPr>
            <w:tcW w:w="773" w:type="dxa"/>
            <w:tcBorders>
              <w:top w:val="nil"/>
              <w:left w:val="nil"/>
              <w:bottom w:val="nil"/>
              <w:right w:val="nil"/>
            </w:tcBorders>
            <w:shd w:val="clear" w:color="auto" w:fill="auto"/>
            <w:noWrap/>
            <w:vAlign w:val="bottom"/>
          </w:tcPr>
          <w:p w14:paraId="0B14B297" w14:textId="66FC5CC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845" w:type="dxa"/>
            <w:tcBorders>
              <w:top w:val="nil"/>
              <w:left w:val="nil"/>
              <w:bottom w:val="nil"/>
              <w:right w:val="nil"/>
            </w:tcBorders>
            <w:shd w:val="clear" w:color="auto" w:fill="auto"/>
            <w:noWrap/>
            <w:vAlign w:val="bottom"/>
          </w:tcPr>
          <w:p w14:paraId="3414053A" w14:textId="1FFC789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w:t>
            </w:r>
          </w:p>
        </w:tc>
        <w:tc>
          <w:tcPr>
            <w:tcW w:w="702" w:type="dxa"/>
            <w:tcBorders>
              <w:top w:val="nil"/>
              <w:left w:val="nil"/>
              <w:bottom w:val="nil"/>
              <w:right w:val="single" w:sz="4" w:space="0" w:color="auto"/>
            </w:tcBorders>
            <w:shd w:val="clear" w:color="auto" w:fill="auto"/>
            <w:noWrap/>
            <w:vAlign w:val="bottom"/>
          </w:tcPr>
          <w:p w14:paraId="7F1948A6" w14:textId="3A5402F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774" w:type="dxa"/>
            <w:tcBorders>
              <w:left w:val="nil"/>
            </w:tcBorders>
            <w:vAlign w:val="bottom"/>
          </w:tcPr>
          <w:p w14:paraId="08050C8F" w14:textId="093CA8D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3" w:type="dxa"/>
            <w:vAlign w:val="bottom"/>
          </w:tcPr>
          <w:p w14:paraId="44BF6DFD" w14:textId="20CB596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0.14</w:t>
            </w:r>
          </w:p>
        </w:tc>
        <w:tc>
          <w:tcPr>
            <w:tcW w:w="774" w:type="dxa"/>
            <w:vAlign w:val="bottom"/>
          </w:tcPr>
          <w:p w14:paraId="7EEB6AE8" w14:textId="46B708A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w:t>
            </w:r>
          </w:p>
        </w:tc>
        <w:tc>
          <w:tcPr>
            <w:tcW w:w="847" w:type="dxa"/>
            <w:vAlign w:val="bottom"/>
          </w:tcPr>
          <w:p w14:paraId="28714AFB" w14:textId="2D93530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15" w:type="dxa"/>
            <w:vAlign w:val="bottom"/>
          </w:tcPr>
          <w:p w14:paraId="1D564D09" w14:textId="171D624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0.08</w:t>
            </w:r>
          </w:p>
        </w:tc>
      </w:tr>
      <w:tr w:rsidR="005E3F3C" w:rsidRPr="00A0555D" w14:paraId="3DD8952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BD1B214"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6A98846" w14:textId="54D269D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4" w:type="dxa"/>
            <w:tcBorders>
              <w:top w:val="nil"/>
              <w:left w:val="nil"/>
              <w:bottom w:val="nil"/>
              <w:right w:val="nil"/>
            </w:tcBorders>
            <w:shd w:val="clear" w:color="auto" w:fill="auto"/>
            <w:noWrap/>
            <w:vAlign w:val="bottom"/>
          </w:tcPr>
          <w:p w14:paraId="60DDCB8E" w14:textId="236883D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773" w:type="dxa"/>
            <w:tcBorders>
              <w:top w:val="nil"/>
              <w:left w:val="nil"/>
              <w:bottom w:val="nil"/>
              <w:right w:val="nil"/>
            </w:tcBorders>
            <w:shd w:val="clear" w:color="auto" w:fill="auto"/>
            <w:noWrap/>
            <w:vAlign w:val="bottom"/>
          </w:tcPr>
          <w:p w14:paraId="37D6F69B" w14:textId="3431F43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845" w:type="dxa"/>
            <w:tcBorders>
              <w:top w:val="nil"/>
              <w:left w:val="nil"/>
              <w:bottom w:val="nil"/>
              <w:right w:val="nil"/>
            </w:tcBorders>
            <w:shd w:val="clear" w:color="auto" w:fill="auto"/>
            <w:noWrap/>
            <w:vAlign w:val="bottom"/>
          </w:tcPr>
          <w:p w14:paraId="4CBF60FD" w14:textId="0F76AE2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0.07</w:t>
            </w:r>
          </w:p>
        </w:tc>
        <w:tc>
          <w:tcPr>
            <w:tcW w:w="702" w:type="dxa"/>
            <w:tcBorders>
              <w:top w:val="nil"/>
              <w:left w:val="nil"/>
              <w:bottom w:val="nil"/>
              <w:right w:val="single" w:sz="4" w:space="0" w:color="auto"/>
            </w:tcBorders>
            <w:shd w:val="clear" w:color="auto" w:fill="auto"/>
            <w:noWrap/>
            <w:vAlign w:val="bottom"/>
          </w:tcPr>
          <w:p w14:paraId="64F8AB17" w14:textId="1CD3A4A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774" w:type="dxa"/>
            <w:tcBorders>
              <w:left w:val="nil"/>
            </w:tcBorders>
            <w:vAlign w:val="bottom"/>
          </w:tcPr>
          <w:p w14:paraId="32C881C0" w14:textId="7B72274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3" w:type="dxa"/>
            <w:vAlign w:val="bottom"/>
          </w:tcPr>
          <w:p w14:paraId="512667E8" w14:textId="655AF94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vAlign w:val="bottom"/>
          </w:tcPr>
          <w:p w14:paraId="496D2239" w14:textId="6E1A3B7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0.09</w:t>
            </w:r>
          </w:p>
        </w:tc>
        <w:tc>
          <w:tcPr>
            <w:tcW w:w="847" w:type="dxa"/>
            <w:vAlign w:val="bottom"/>
          </w:tcPr>
          <w:p w14:paraId="7AC6B09B" w14:textId="5DB3FB2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w:t>
            </w:r>
          </w:p>
        </w:tc>
        <w:tc>
          <w:tcPr>
            <w:tcW w:w="715" w:type="dxa"/>
            <w:vAlign w:val="bottom"/>
          </w:tcPr>
          <w:p w14:paraId="33722A96" w14:textId="7E2DEB4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r>
      <w:tr w:rsidR="005E3F3C" w:rsidRPr="00A0555D" w14:paraId="5A233900"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38DE0E9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39E3B85D" w14:textId="1E31E4E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top w:val="nil"/>
              <w:left w:val="nil"/>
              <w:bottom w:val="nil"/>
              <w:right w:val="nil"/>
            </w:tcBorders>
            <w:shd w:val="clear" w:color="auto" w:fill="auto"/>
            <w:noWrap/>
            <w:vAlign w:val="bottom"/>
          </w:tcPr>
          <w:p w14:paraId="70249003" w14:textId="0F9A1C5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3" w:type="dxa"/>
            <w:tcBorders>
              <w:top w:val="nil"/>
              <w:left w:val="nil"/>
              <w:bottom w:val="nil"/>
              <w:right w:val="nil"/>
            </w:tcBorders>
            <w:shd w:val="clear" w:color="auto" w:fill="auto"/>
            <w:noWrap/>
            <w:vAlign w:val="bottom"/>
          </w:tcPr>
          <w:p w14:paraId="45B5C730" w14:textId="1769F91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845" w:type="dxa"/>
            <w:tcBorders>
              <w:top w:val="nil"/>
              <w:left w:val="nil"/>
              <w:bottom w:val="nil"/>
              <w:right w:val="nil"/>
            </w:tcBorders>
            <w:shd w:val="clear" w:color="auto" w:fill="auto"/>
            <w:noWrap/>
            <w:vAlign w:val="bottom"/>
          </w:tcPr>
          <w:p w14:paraId="69A75F44" w14:textId="2D60528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w:t>
            </w:r>
          </w:p>
        </w:tc>
        <w:tc>
          <w:tcPr>
            <w:tcW w:w="702" w:type="dxa"/>
            <w:tcBorders>
              <w:top w:val="nil"/>
              <w:left w:val="nil"/>
              <w:bottom w:val="nil"/>
              <w:right w:val="single" w:sz="4" w:space="0" w:color="auto"/>
            </w:tcBorders>
            <w:shd w:val="clear" w:color="auto" w:fill="auto"/>
            <w:noWrap/>
            <w:vAlign w:val="bottom"/>
          </w:tcPr>
          <w:p w14:paraId="54FEA3F2" w14:textId="7F6804D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c>
          <w:tcPr>
            <w:tcW w:w="774" w:type="dxa"/>
            <w:tcBorders>
              <w:left w:val="nil"/>
            </w:tcBorders>
            <w:vAlign w:val="bottom"/>
          </w:tcPr>
          <w:p w14:paraId="47E45880" w14:textId="548DB5F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3" w:type="dxa"/>
            <w:vAlign w:val="bottom"/>
          </w:tcPr>
          <w:p w14:paraId="1E23FB52" w14:textId="5B89CDA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74" w:type="dxa"/>
            <w:vAlign w:val="bottom"/>
          </w:tcPr>
          <w:p w14:paraId="656D43F1" w14:textId="64EECDC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847" w:type="dxa"/>
            <w:vAlign w:val="bottom"/>
          </w:tcPr>
          <w:p w14:paraId="2BD45582" w14:textId="36B7321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15" w:type="dxa"/>
            <w:vAlign w:val="bottom"/>
          </w:tcPr>
          <w:p w14:paraId="0BE137B8" w14:textId="50A4014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r>
      <w:tr w:rsidR="005E3F3C" w:rsidRPr="00A0555D" w14:paraId="593C0CD7"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144EA6D2"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28627665" w14:textId="3ED1A05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tcBorders>
              <w:top w:val="nil"/>
              <w:left w:val="nil"/>
              <w:bottom w:val="single" w:sz="4" w:space="0" w:color="auto"/>
              <w:right w:val="nil"/>
            </w:tcBorders>
            <w:shd w:val="clear" w:color="auto" w:fill="auto"/>
            <w:noWrap/>
            <w:vAlign w:val="bottom"/>
          </w:tcPr>
          <w:p w14:paraId="6464CBB1" w14:textId="0B00EF24"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773" w:type="dxa"/>
            <w:tcBorders>
              <w:top w:val="nil"/>
              <w:left w:val="nil"/>
              <w:bottom w:val="single" w:sz="4" w:space="0" w:color="auto"/>
              <w:right w:val="nil"/>
            </w:tcBorders>
            <w:shd w:val="clear" w:color="auto" w:fill="auto"/>
            <w:noWrap/>
            <w:vAlign w:val="bottom"/>
          </w:tcPr>
          <w:p w14:paraId="09E73EB0" w14:textId="6375B39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845" w:type="dxa"/>
            <w:tcBorders>
              <w:top w:val="nil"/>
              <w:left w:val="nil"/>
              <w:bottom w:val="single" w:sz="4" w:space="0" w:color="auto"/>
              <w:right w:val="nil"/>
            </w:tcBorders>
            <w:shd w:val="clear" w:color="auto" w:fill="auto"/>
            <w:noWrap/>
            <w:vAlign w:val="bottom"/>
          </w:tcPr>
          <w:p w14:paraId="075CA34F" w14:textId="3812ACF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02" w:type="dxa"/>
            <w:tcBorders>
              <w:top w:val="nil"/>
              <w:left w:val="nil"/>
              <w:bottom w:val="single" w:sz="4" w:space="0" w:color="auto"/>
              <w:right w:val="single" w:sz="4" w:space="0" w:color="auto"/>
            </w:tcBorders>
            <w:shd w:val="clear" w:color="auto" w:fill="auto"/>
            <w:noWrap/>
            <w:vAlign w:val="bottom"/>
          </w:tcPr>
          <w:p w14:paraId="07F1B81D" w14:textId="7AE30FC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74" w:type="dxa"/>
            <w:tcBorders>
              <w:left w:val="nil"/>
              <w:bottom w:val="single" w:sz="4" w:space="0" w:color="auto"/>
            </w:tcBorders>
            <w:vAlign w:val="bottom"/>
          </w:tcPr>
          <w:p w14:paraId="5F30DCAB" w14:textId="3DE3012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773" w:type="dxa"/>
            <w:tcBorders>
              <w:bottom w:val="single" w:sz="4" w:space="0" w:color="auto"/>
            </w:tcBorders>
            <w:vAlign w:val="bottom"/>
          </w:tcPr>
          <w:p w14:paraId="708E656F" w14:textId="48AF530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0.14</w:t>
            </w:r>
          </w:p>
        </w:tc>
        <w:tc>
          <w:tcPr>
            <w:tcW w:w="774" w:type="dxa"/>
            <w:tcBorders>
              <w:bottom w:val="single" w:sz="4" w:space="0" w:color="auto"/>
            </w:tcBorders>
            <w:vAlign w:val="bottom"/>
          </w:tcPr>
          <w:p w14:paraId="21D640F2" w14:textId="09C820D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w:t>
            </w:r>
          </w:p>
        </w:tc>
        <w:tc>
          <w:tcPr>
            <w:tcW w:w="847" w:type="dxa"/>
            <w:tcBorders>
              <w:bottom w:val="single" w:sz="4" w:space="0" w:color="auto"/>
            </w:tcBorders>
            <w:vAlign w:val="bottom"/>
          </w:tcPr>
          <w:p w14:paraId="338653DD" w14:textId="091075E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15" w:type="dxa"/>
            <w:tcBorders>
              <w:bottom w:val="single" w:sz="4" w:space="0" w:color="auto"/>
            </w:tcBorders>
            <w:vAlign w:val="bottom"/>
          </w:tcPr>
          <w:p w14:paraId="434C17DB" w14:textId="6CCDE46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r>
      <w:tr w:rsidR="00AD5538" w:rsidRPr="00A0555D" w14:paraId="78BB1C87" w14:textId="77777777" w:rsidTr="00A13B8D">
        <w:trPr>
          <w:trHeight w:val="144"/>
        </w:trPr>
        <w:tc>
          <w:tcPr>
            <w:tcW w:w="5472" w:type="dxa"/>
            <w:gridSpan w:val="6"/>
            <w:tcBorders>
              <w:top w:val="single" w:sz="4" w:space="0" w:color="auto"/>
              <w:left w:val="nil"/>
              <w:right w:val="single" w:sz="4" w:space="0" w:color="auto"/>
            </w:tcBorders>
            <w:shd w:val="clear" w:color="auto" w:fill="auto"/>
            <w:noWrap/>
            <w:vAlign w:val="bottom"/>
            <w:hideMark/>
          </w:tcPr>
          <w:p w14:paraId="6FC57D9A" w14:textId="0CAEBB4F" w:rsidR="00AD5538" w:rsidRPr="009355EE" w:rsidRDefault="00AD5538"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Livneh</w:t>
            </w:r>
          </w:p>
        </w:tc>
        <w:tc>
          <w:tcPr>
            <w:tcW w:w="774" w:type="dxa"/>
            <w:tcBorders>
              <w:top w:val="single" w:sz="4" w:space="0" w:color="auto"/>
              <w:left w:val="single" w:sz="4" w:space="0" w:color="auto"/>
            </w:tcBorders>
            <w:shd w:val="clear" w:color="auto" w:fill="auto"/>
            <w:vAlign w:val="bottom"/>
          </w:tcPr>
          <w:p w14:paraId="06707390" w14:textId="77777777" w:rsidR="00AD5538" w:rsidRPr="006016B0" w:rsidRDefault="00AD5538" w:rsidP="006016B0">
            <w:pPr>
              <w:tabs>
                <w:tab w:val="decimal" w:pos="256"/>
              </w:tabs>
              <w:spacing w:before="0" w:after="0" w:line="240" w:lineRule="auto"/>
              <w:ind w:firstLine="0"/>
              <w:rPr>
                <w:color w:val="000000"/>
                <w:sz w:val="16"/>
                <w:szCs w:val="16"/>
              </w:rPr>
            </w:pPr>
          </w:p>
        </w:tc>
        <w:tc>
          <w:tcPr>
            <w:tcW w:w="773" w:type="dxa"/>
            <w:tcBorders>
              <w:top w:val="single" w:sz="4" w:space="0" w:color="auto"/>
            </w:tcBorders>
            <w:shd w:val="clear" w:color="auto" w:fill="auto"/>
            <w:vAlign w:val="bottom"/>
          </w:tcPr>
          <w:p w14:paraId="230DFD1B"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tcBorders>
            <w:shd w:val="clear" w:color="auto" w:fill="auto"/>
            <w:vAlign w:val="bottom"/>
          </w:tcPr>
          <w:p w14:paraId="6AB3CB93" w14:textId="77777777" w:rsidR="00AD5538" w:rsidRPr="006016B0" w:rsidRDefault="00AD5538" w:rsidP="006016B0">
            <w:pPr>
              <w:tabs>
                <w:tab w:val="decimal" w:pos="256"/>
              </w:tabs>
              <w:spacing w:before="0" w:after="0" w:line="240" w:lineRule="auto"/>
              <w:ind w:firstLine="0"/>
              <w:rPr>
                <w:color w:val="000000"/>
                <w:sz w:val="16"/>
                <w:szCs w:val="16"/>
              </w:rPr>
            </w:pPr>
          </w:p>
        </w:tc>
        <w:tc>
          <w:tcPr>
            <w:tcW w:w="847" w:type="dxa"/>
            <w:tcBorders>
              <w:top w:val="single" w:sz="4" w:space="0" w:color="auto"/>
            </w:tcBorders>
            <w:shd w:val="clear" w:color="auto" w:fill="auto"/>
            <w:vAlign w:val="bottom"/>
          </w:tcPr>
          <w:p w14:paraId="0E95AD48" w14:textId="77777777" w:rsidR="00AD5538" w:rsidRPr="006016B0" w:rsidRDefault="00AD5538" w:rsidP="006016B0">
            <w:pPr>
              <w:tabs>
                <w:tab w:val="decimal" w:pos="256"/>
              </w:tabs>
              <w:spacing w:before="0" w:after="0" w:line="240" w:lineRule="auto"/>
              <w:ind w:firstLine="0"/>
              <w:rPr>
                <w:color w:val="000000"/>
                <w:sz w:val="16"/>
                <w:szCs w:val="16"/>
              </w:rPr>
            </w:pPr>
          </w:p>
        </w:tc>
        <w:tc>
          <w:tcPr>
            <w:tcW w:w="715" w:type="dxa"/>
            <w:tcBorders>
              <w:top w:val="single" w:sz="4" w:space="0" w:color="auto"/>
            </w:tcBorders>
            <w:shd w:val="clear" w:color="auto" w:fill="auto"/>
            <w:vAlign w:val="bottom"/>
          </w:tcPr>
          <w:p w14:paraId="1F2565B2" w14:textId="77777777" w:rsidR="00AD5538" w:rsidRPr="006016B0" w:rsidRDefault="00AD5538" w:rsidP="006016B0">
            <w:pPr>
              <w:tabs>
                <w:tab w:val="decimal" w:pos="256"/>
              </w:tabs>
              <w:spacing w:before="0" w:after="0" w:line="240" w:lineRule="auto"/>
              <w:ind w:firstLine="0"/>
              <w:rPr>
                <w:color w:val="000000"/>
                <w:sz w:val="16"/>
                <w:szCs w:val="16"/>
              </w:rPr>
            </w:pPr>
          </w:p>
        </w:tc>
      </w:tr>
      <w:tr w:rsidR="005E3F3C" w:rsidRPr="00A0555D" w14:paraId="2DA08187" w14:textId="77777777" w:rsidTr="00A13B8D">
        <w:trPr>
          <w:trHeight w:val="144"/>
        </w:trPr>
        <w:tc>
          <w:tcPr>
            <w:tcW w:w="1610" w:type="dxa"/>
            <w:tcBorders>
              <w:left w:val="nil"/>
              <w:bottom w:val="nil"/>
              <w:right w:val="single" w:sz="4" w:space="0" w:color="auto"/>
            </w:tcBorders>
            <w:shd w:val="clear" w:color="auto" w:fill="auto"/>
            <w:noWrap/>
            <w:vAlign w:val="bottom"/>
            <w:hideMark/>
          </w:tcPr>
          <w:p w14:paraId="3D425018"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8" w:type="dxa"/>
            <w:tcBorders>
              <w:left w:val="nil"/>
              <w:bottom w:val="nil"/>
              <w:right w:val="nil"/>
            </w:tcBorders>
            <w:shd w:val="clear" w:color="auto" w:fill="auto"/>
            <w:noWrap/>
            <w:vAlign w:val="bottom"/>
          </w:tcPr>
          <w:p w14:paraId="340775AC" w14:textId="4FC762A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left w:val="nil"/>
              <w:bottom w:val="nil"/>
              <w:right w:val="nil"/>
            </w:tcBorders>
            <w:shd w:val="clear" w:color="auto" w:fill="auto"/>
            <w:noWrap/>
            <w:vAlign w:val="bottom"/>
          </w:tcPr>
          <w:p w14:paraId="1D3A0FDE" w14:textId="5786FFC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c>
          <w:tcPr>
            <w:tcW w:w="773" w:type="dxa"/>
            <w:tcBorders>
              <w:left w:val="nil"/>
              <w:bottom w:val="nil"/>
              <w:right w:val="nil"/>
            </w:tcBorders>
            <w:shd w:val="clear" w:color="auto" w:fill="auto"/>
            <w:noWrap/>
            <w:vAlign w:val="bottom"/>
          </w:tcPr>
          <w:p w14:paraId="577F7CF5" w14:textId="13D543F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845" w:type="dxa"/>
            <w:tcBorders>
              <w:left w:val="nil"/>
              <w:bottom w:val="nil"/>
              <w:right w:val="nil"/>
            </w:tcBorders>
            <w:shd w:val="clear" w:color="auto" w:fill="auto"/>
            <w:noWrap/>
            <w:vAlign w:val="bottom"/>
          </w:tcPr>
          <w:p w14:paraId="50E99D84" w14:textId="08E2190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0.07</w:t>
            </w:r>
          </w:p>
        </w:tc>
        <w:tc>
          <w:tcPr>
            <w:tcW w:w="702" w:type="dxa"/>
            <w:tcBorders>
              <w:left w:val="nil"/>
              <w:bottom w:val="nil"/>
              <w:right w:val="single" w:sz="4" w:space="0" w:color="auto"/>
            </w:tcBorders>
            <w:shd w:val="clear" w:color="auto" w:fill="auto"/>
            <w:noWrap/>
            <w:vAlign w:val="bottom"/>
          </w:tcPr>
          <w:p w14:paraId="2D4CBAFA" w14:textId="710F09E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74" w:type="dxa"/>
            <w:tcBorders>
              <w:left w:val="nil"/>
            </w:tcBorders>
            <w:vAlign w:val="bottom"/>
          </w:tcPr>
          <w:p w14:paraId="73ADE37B" w14:textId="68FB948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773" w:type="dxa"/>
            <w:vAlign w:val="bottom"/>
          </w:tcPr>
          <w:p w14:paraId="70FCDDA4" w14:textId="167D95C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c>
          <w:tcPr>
            <w:tcW w:w="774" w:type="dxa"/>
            <w:vAlign w:val="bottom"/>
          </w:tcPr>
          <w:p w14:paraId="2FCFD570" w14:textId="6AE69BA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0.05</w:t>
            </w:r>
          </w:p>
        </w:tc>
        <w:tc>
          <w:tcPr>
            <w:tcW w:w="847" w:type="dxa"/>
            <w:vAlign w:val="bottom"/>
          </w:tcPr>
          <w:p w14:paraId="533C0313" w14:textId="72EBD4D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15" w:type="dxa"/>
            <w:vAlign w:val="bottom"/>
          </w:tcPr>
          <w:p w14:paraId="404EE47E" w14:textId="2BEE124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r>
      <w:tr w:rsidR="005E3F3C" w:rsidRPr="00A0555D" w14:paraId="0DF4551D"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195E406"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8" w:type="dxa"/>
            <w:tcBorders>
              <w:top w:val="nil"/>
              <w:left w:val="nil"/>
              <w:bottom w:val="nil"/>
              <w:right w:val="nil"/>
            </w:tcBorders>
            <w:shd w:val="clear" w:color="auto" w:fill="auto"/>
            <w:noWrap/>
            <w:vAlign w:val="bottom"/>
          </w:tcPr>
          <w:p w14:paraId="6E5974B2" w14:textId="50EDBAB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top w:val="nil"/>
              <w:left w:val="nil"/>
              <w:bottom w:val="nil"/>
              <w:right w:val="nil"/>
            </w:tcBorders>
            <w:shd w:val="clear" w:color="auto" w:fill="auto"/>
            <w:noWrap/>
            <w:vAlign w:val="bottom"/>
          </w:tcPr>
          <w:p w14:paraId="78DECB8B" w14:textId="6740526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773" w:type="dxa"/>
            <w:tcBorders>
              <w:top w:val="nil"/>
              <w:left w:val="nil"/>
              <w:bottom w:val="nil"/>
              <w:right w:val="nil"/>
            </w:tcBorders>
            <w:shd w:val="clear" w:color="auto" w:fill="auto"/>
            <w:noWrap/>
            <w:vAlign w:val="bottom"/>
          </w:tcPr>
          <w:p w14:paraId="16339B0B" w14:textId="29A6627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845" w:type="dxa"/>
            <w:tcBorders>
              <w:top w:val="nil"/>
              <w:left w:val="nil"/>
              <w:bottom w:val="nil"/>
              <w:right w:val="nil"/>
            </w:tcBorders>
            <w:shd w:val="clear" w:color="auto" w:fill="auto"/>
            <w:noWrap/>
            <w:vAlign w:val="bottom"/>
          </w:tcPr>
          <w:p w14:paraId="54CFBF19" w14:textId="04E482F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0.12</w:t>
            </w:r>
          </w:p>
        </w:tc>
        <w:tc>
          <w:tcPr>
            <w:tcW w:w="702" w:type="dxa"/>
            <w:tcBorders>
              <w:top w:val="nil"/>
              <w:left w:val="nil"/>
              <w:bottom w:val="nil"/>
              <w:right w:val="single" w:sz="4" w:space="0" w:color="auto"/>
            </w:tcBorders>
            <w:shd w:val="clear" w:color="auto" w:fill="auto"/>
            <w:noWrap/>
            <w:vAlign w:val="bottom"/>
          </w:tcPr>
          <w:p w14:paraId="40E31493" w14:textId="115D647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4" w:type="dxa"/>
            <w:tcBorders>
              <w:left w:val="nil"/>
            </w:tcBorders>
            <w:vAlign w:val="bottom"/>
          </w:tcPr>
          <w:p w14:paraId="629913DB" w14:textId="6F1BF3F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773" w:type="dxa"/>
            <w:vAlign w:val="bottom"/>
          </w:tcPr>
          <w:p w14:paraId="259BAB33" w14:textId="1E6A9C2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0.12</w:t>
            </w:r>
          </w:p>
        </w:tc>
        <w:tc>
          <w:tcPr>
            <w:tcW w:w="774" w:type="dxa"/>
            <w:vAlign w:val="bottom"/>
          </w:tcPr>
          <w:p w14:paraId="600399EB" w14:textId="7AF4525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847" w:type="dxa"/>
            <w:vAlign w:val="bottom"/>
          </w:tcPr>
          <w:p w14:paraId="0534B6C6" w14:textId="6DF5C21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0.08</w:t>
            </w:r>
          </w:p>
        </w:tc>
        <w:tc>
          <w:tcPr>
            <w:tcW w:w="715" w:type="dxa"/>
            <w:vAlign w:val="bottom"/>
          </w:tcPr>
          <w:p w14:paraId="52547AB5" w14:textId="03B05CB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r>
      <w:tr w:rsidR="005E3F3C" w:rsidRPr="00A0555D" w14:paraId="6763F3A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7171E777"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8" w:type="dxa"/>
            <w:tcBorders>
              <w:top w:val="nil"/>
              <w:left w:val="nil"/>
              <w:bottom w:val="nil"/>
              <w:right w:val="nil"/>
            </w:tcBorders>
            <w:shd w:val="clear" w:color="auto" w:fill="auto"/>
            <w:noWrap/>
            <w:vAlign w:val="bottom"/>
          </w:tcPr>
          <w:p w14:paraId="39C9A755" w14:textId="22DE429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4" w:type="dxa"/>
            <w:tcBorders>
              <w:top w:val="nil"/>
              <w:left w:val="nil"/>
              <w:bottom w:val="nil"/>
              <w:right w:val="nil"/>
            </w:tcBorders>
            <w:shd w:val="clear" w:color="auto" w:fill="auto"/>
            <w:noWrap/>
            <w:vAlign w:val="bottom"/>
          </w:tcPr>
          <w:p w14:paraId="08253F53" w14:textId="0A08925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773" w:type="dxa"/>
            <w:tcBorders>
              <w:top w:val="nil"/>
              <w:left w:val="nil"/>
              <w:bottom w:val="nil"/>
              <w:right w:val="nil"/>
            </w:tcBorders>
            <w:shd w:val="clear" w:color="auto" w:fill="auto"/>
            <w:noWrap/>
            <w:vAlign w:val="bottom"/>
          </w:tcPr>
          <w:p w14:paraId="17FB05A8" w14:textId="08A6B79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845" w:type="dxa"/>
            <w:tcBorders>
              <w:top w:val="nil"/>
              <w:left w:val="nil"/>
              <w:bottom w:val="nil"/>
              <w:right w:val="nil"/>
            </w:tcBorders>
            <w:shd w:val="clear" w:color="auto" w:fill="auto"/>
            <w:noWrap/>
            <w:vAlign w:val="bottom"/>
          </w:tcPr>
          <w:p w14:paraId="1414C1D8" w14:textId="2915669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02" w:type="dxa"/>
            <w:tcBorders>
              <w:top w:val="nil"/>
              <w:left w:val="nil"/>
              <w:bottom w:val="nil"/>
              <w:right w:val="single" w:sz="4" w:space="0" w:color="auto"/>
            </w:tcBorders>
            <w:shd w:val="clear" w:color="auto" w:fill="auto"/>
            <w:noWrap/>
            <w:vAlign w:val="bottom"/>
          </w:tcPr>
          <w:p w14:paraId="7B5D3DB4" w14:textId="3A0C80F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74" w:type="dxa"/>
            <w:tcBorders>
              <w:left w:val="nil"/>
            </w:tcBorders>
            <w:vAlign w:val="bottom"/>
          </w:tcPr>
          <w:p w14:paraId="4315121C" w14:textId="2CEC2EE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3" w:type="dxa"/>
            <w:vAlign w:val="bottom"/>
          </w:tcPr>
          <w:p w14:paraId="1A648F6B" w14:textId="05E3552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0.12</w:t>
            </w:r>
          </w:p>
        </w:tc>
        <w:tc>
          <w:tcPr>
            <w:tcW w:w="774" w:type="dxa"/>
            <w:vAlign w:val="bottom"/>
          </w:tcPr>
          <w:p w14:paraId="1EDECE25" w14:textId="29824E3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847" w:type="dxa"/>
            <w:vAlign w:val="bottom"/>
          </w:tcPr>
          <w:p w14:paraId="649725D9" w14:textId="15046AD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15" w:type="dxa"/>
            <w:vAlign w:val="bottom"/>
          </w:tcPr>
          <w:p w14:paraId="1593EFD1" w14:textId="7A6C68B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r>
      <w:tr w:rsidR="005E3F3C" w:rsidRPr="00A0555D" w14:paraId="31274A42"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00880A05"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8" w:type="dxa"/>
            <w:tcBorders>
              <w:top w:val="nil"/>
              <w:left w:val="nil"/>
              <w:bottom w:val="nil"/>
              <w:right w:val="nil"/>
            </w:tcBorders>
            <w:shd w:val="clear" w:color="auto" w:fill="auto"/>
            <w:noWrap/>
            <w:vAlign w:val="bottom"/>
          </w:tcPr>
          <w:p w14:paraId="7DF510F1" w14:textId="209445E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774" w:type="dxa"/>
            <w:tcBorders>
              <w:top w:val="nil"/>
              <w:left w:val="nil"/>
              <w:bottom w:val="nil"/>
              <w:right w:val="nil"/>
            </w:tcBorders>
            <w:shd w:val="clear" w:color="auto" w:fill="auto"/>
            <w:noWrap/>
            <w:vAlign w:val="bottom"/>
          </w:tcPr>
          <w:p w14:paraId="3D97F76C" w14:textId="7D464D1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3" w:type="dxa"/>
            <w:tcBorders>
              <w:top w:val="nil"/>
              <w:left w:val="nil"/>
              <w:bottom w:val="nil"/>
              <w:right w:val="nil"/>
            </w:tcBorders>
            <w:shd w:val="clear" w:color="auto" w:fill="auto"/>
            <w:noWrap/>
            <w:vAlign w:val="bottom"/>
          </w:tcPr>
          <w:p w14:paraId="09FBB1A5" w14:textId="0D089E1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0.04</w:t>
            </w:r>
          </w:p>
        </w:tc>
        <w:tc>
          <w:tcPr>
            <w:tcW w:w="845" w:type="dxa"/>
            <w:tcBorders>
              <w:top w:val="nil"/>
              <w:left w:val="nil"/>
              <w:bottom w:val="nil"/>
              <w:right w:val="nil"/>
            </w:tcBorders>
            <w:shd w:val="clear" w:color="auto" w:fill="auto"/>
            <w:noWrap/>
            <w:vAlign w:val="bottom"/>
          </w:tcPr>
          <w:p w14:paraId="17DABE64" w14:textId="64FAFEC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0.13</w:t>
            </w:r>
          </w:p>
        </w:tc>
        <w:tc>
          <w:tcPr>
            <w:tcW w:w="702" w:type="dxa"/>
            <w:tcBorders>
              <w:top w:val="nil"/>
              <w:left w:val="nil"/>
              <w:bottom w:val="nil"/>
              <w:right w:val="single" w:sz="4" w:space="0" w:color="auto"/>
            </w:tcBorders>
            <w:shd w:val="clear" w:color="auto" w:fill="auto"/>
            <w:noWrap/>
            <w:vAlign w:val="bottom"/>
          </w:tcPr>
          <w:p w14:paraId="3DC6C5B0" w14:textId="00E151F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4" w:type="dxa"/>
            <w:tcBorders>
              <w:left w:val="nil"/>
            </w:tcBorders>
            <w:vAlign w:val="bottom"/>
          </w:tcPr>
          <w:p w14:paraId="0D9AD618" w14:textId="3F413D1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3" w:type="dxa"/>
            <w:vAlign w:val="bottom"/>
          </w:tcPr>
          <w:p w14:paraId="08141271" w14:textId="1EA4878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vAlign w:val="bottom"/>
          </w:tcPr>
          <w:p w14:paraId="0514239D" w14:textId="28F03D5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c>
          <w:tcPr>
            <w:tcW w:w="847" w:type="dxa"/>
            <w:vAlign w:val="bottom"/>
          </w:tcPr>
          <w:p w14:paraId="70A6F81A" w14:textId="47194A6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0.11</w:t>
            </w:r>
          </w:p>
        </w:tc>
        <w:tc>
          <w:tcPr>
            <w:tcW w:w="715" w:type="dxa"/>
            <w:vAlign w:val="bottom"/>
          </w:tcPr>
          <w:p w14:paraId="5088F4E1" w14:textId="236D9FF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r>
      <w:tr w:rsidR="005E3F3C" w:rsidRPr="00A0555D" w14:paraId="72FF198C" w14:textId="77777777" w:rsidTr="00A13B8D">
        <w:trPr>
          <w:trHeight w:val="144"/>
        </w:trPr>
        <w:tc>
          <w:tcPr>
            <w:tcW w:w="1610" w:type="dxa"/>
            <w:tcBorders>
              <w:top w:val="nil"/>
              <w:left w:val="nil"/>
              <w:bottom w:val="nil"/>
              <w:right w:val="single" w:sz="4" w:space="0" w:color="auto"/>
            </w:tcBorders>
            <w:shd w:val="clear" w:color="auto" w:fill="auto"/>
            <w:noWrap/>
            <w:vAlign w:val="bottom"/>
            <w:hideMark/>
          </w:tcPr>
          <w:p w14:paraId="4B589CBE"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8" w:type="dxa"/>
            <w:tcBorders>
              <w:top w:val="nil"/>
              <w:left w:val="nil"/>
              <w:bottom w:val="nil"/>
              <w:right w:val="nil"/>
            </w:tcBorders>
            <w:shd w:val="clear" w:color="auto" w:fill="auto"/>
            <w:noWrap/>
            <w:vAlign w:val="bottom"/>
          </w:tcPr>
          <w:p w14:paraId="21820BE7" w14:textId="65011C0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4" w:type="dxa"/>
            <w:tcBorders>
              <w:top w:val="nil"/>
              <w:left w:val="nil"/>
              <w:bottom w:val="nil"/>
              <w:right w:val="nil"/>
            </w:tcBorders>
            <w:shd w:val="clear" w:color="auto" w:fill="auto"/>
            <w:noWrap/>
            <w:vAlign w:val="bottom"/>
          </w:tcPr>
          <w:p w14:paraId="150F5F75" w14:textId="3F9DFE5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0.06</w:t>
            </w:r>
          </w:p>
        </w:tc>
        <w:tc>
          <w:tcPr>
            <w:tcW w:w="773" w:type="dxa"/>
            <w:tcBorders>
              <w:top w:val="nil"/>
              <w:left w:val="nil"/>
              <w:bottom w:val="nil"/>
              <w:right w:val="nil"/>
            </w:tcBorders>
            <w:shd w:val="clear" w:color="auto" w:fill="auto"/>
            <w:noWrap/>
            <w:vAlign w:val="bottom"/>
          </w:tcPr>
          <w:p w14:paraId="09CDCA5F" w14:textId="290E65D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0.08</w:t>
            </w:r>
          </w:p>
        </w:tc>
        <w:tc>
          <w:tcPr>
            <w:tcW w:w="845" w:type="dxa"/>
            <w:tcBorders>
              <w:top w:val="nil"/>
              <w:left w:val="nil"/>
              <w:bottom w:val="nil"/>
              <w:right w:val="nil"/>
            </w:tcBorders>
            <w:shd w:val="clear" w:color="auto" w:fill="auto"/>
            <w:noWrap/>
            <w:vAlign w:val="bottom"/>
          </w:tcPr>
          <w:p w14:paraId="36D96133" w14:textId="775B849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w:t>
            </w:r>
          </w:p>
        </w:tc>
        <w:tc>
          <w:tcPr>
            <w:tcW w:w="702" w:type="dxa"/>
            <w:tcBorders>
              <w:top w:val="nil"/>
              <w:left w:val="nil"/>
              <w:bottom w:val="nil"/>
              <w:right w:val="single" w:sz="4" w:space="0" w:color="auto"/>
            </w:tcBorders>
            <w:shd w:val="clear" w:color="auto" w:fill="auto"/>
            <w:noWrap/>
            <w:vAlign w:val="bottom"/>
          </w:tcPr>
          <w:p w14:paraId="4C72AE54" w14:textId="2B338AB4"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tcBorders>
              <w:left w:val="nil"/>
            </w:tcBorders>
            <w:vAlign w:val="bottom"/>
          </w:tcPr>
          <w:p w14:paraId="6696AD52" w14:textId="735CE43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3" w:type="dxa"/>
            <w:vAlign w:val="bottom"/>
          </w:tcPr>
          <w:p w14:paraId="3D8416B4" w14:textId="4DAC277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vAlign w:val="bottom"/>
          </w:tcPr>
          <w:p w14:paraId="0F67D128" w14:textId="6072C21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w:t>
            </w:r>
          </w:p>
        </w:tc>
        <w:tc>
          <w:tcPr>
            <w:tcW w:w="847" w:type="dxa"/>
            <w:vAlign w:val="bottom"/>
          </w:tcPr>
          <w:p w14:paraId="1CCFB63D" w14:textId="51130B6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0.08</w:t>
            </w:r>
          </w:p>
        </w:tc>
        <w:tc>
          <w:tcPr>
            <w:tcW w:w="715" w:type="dxa"/>
            <w:vAlign w:val="bottom"/>
          </w:tcPr>
          <w:p w14:paraId="678EF94E" w14:textId="2D8CDF9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r>
      <w:tr w:rsidR="005E3F3C" w:rsidRPr="00A0555D" w14:paraId="6D41DDCF" w14:textId="77777777" w:rsidTr="00A13B8D">
        <w:trPr>
          <w:trHeight w:val="144"/>
        </w:trPr>
        <w:tc>
          <w:tcPr>
            <w:tcW w:w="1610" w:type="dxa"/>
            <w:tcBorders>
              <w:top w:val="nil"/>
              <w:left w:val="nil"/>
              <w:bottom w:val="single" w:sz="4" w:space="0" w:color="auto"/>
              <w:right w:val="single" w:sz="4" w:space="0" w:color="auto"/>
            </w:tcBorders>
            <w:shd w:val="clear" w:color="auto" w:fill="auto"/>
            <w:noWrap/>
            <w:vAlign w:val="bottom"/>
            <w:hideMark/>
          </w:tcPr>
          <w:p w14:paraId="3F84057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8" w:type="dxa"/>
            <w:tcBorders>
              <w:top w:val="nil"/>
              <w:left w:val="nil"/>
              <w:bottom w:val="single" w:sz="4" w:space="0" w:color="auto"/>
              <w:right w:val="nil"/>
            </w:tcBorders>
            <w:shd w:val="clear" w:color="auto" w:fill="auto"/>
            <w:noWrap/>
            <w:vAlign w:val="bottom"/>
          </w:tcPr>
          <w:p w14:paraId="46D3B9DE" w14:textId="106AB1F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tcBorders>
              <w:top w:val="nil"/>
              <w:left w:val="nil"/>
              <w:bottom w:val="single" w:sz="4" w:space="0" w:color="auto"/>
              <w:right w:val="nil"/>
            </w:tcBorders>
            <w:shd w:val="clear" w:color="auto" w:fill="auto"/>
            <w:noWrap/>
            <w:vAlign w:val="bottom"/>
          </w:tcPr>
          <w:p w14:paraId="438E6698" w14:textId="683B4D1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0.16</w:t>
            </w:r>
          </w:p>
        </w:tc>
        <w:tc>
          <w:tcPr>
            <w:tcW w:w="773" w:type="dxa"/>
            <w:tcBorders>
              <w:top w:val="nil"/>
              <w:left w:val="nil"/>
              <w:bottom w:val="single" w:sz="4" w:space="0" w:color="auto"/>
              <w:right w:val="nil"/>
            </w:tcBorders>
            <w:shd w:val="clear" w:color="auto" w:fill="auto"/>
            <w:noWrap/>
            <w:vAlign w:val="bottom"/>
          </w:tcPr>
          <w:p w14:paraId="4902B31B" w14:textId="3087383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c>
          <w:tcPr>
            <w:tcW w:w="845" w:type="dxa"/>
            <w:tcBorders>
              <w:top w:val="nil"/>
              <w:left w:val="nil"/>
              <w:bottom w:val="single" w:sz="4" w:space="0" w:color="auto"/>
              <w:right w:val="nil"/>
            </w:tcBorders>
            <w:shd w:val="clear" w:color="auto" w:fill="auto"/>
            <w:noWrap/>
            <w:vAlign w:val="bottom"/>
          </w:tcPr>
          <w:p w14:paraId="079DDD24" w14:textId="2C32117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0.06</w:t>
            </w:r>
          </w:p>
        </w:tc>
        <w:tc>
          <w:tcPr>
            <w:tcW w:w="702" w:type="dxa"/>
            <w:tcBorders>
              <w:top w:val="nil"/>
              <w:left w:val="nil"/>
              <w:bottom w:val="single" w:sz="4" w:space="0" w:color="auto"/>
              <w:right w:val="single" w:sz="4" w:space="0" w:color="auto"/>
            </w:tcBorders>
            <w:shd w:val="clear" w:color="auto" w:fill="auto"/>
            <w:noWrap/>
            <w:vAlign w:val="bottom"/>
          </w:tcPr>
          <w:p w14:paraId="4E3968BF" w14:textId="6C5094D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774" w:type="dxa"/>
            <w:tcBorders>
              <w:left w:val="nil"/>
              <w:bottom w:val="single" w:sz="4" w:space="0" w:color="auto"/>
            </w:tcBorders>
            <w:vAlign w:val="bottom"/>
          </w:tcPr>
          <w:p w14:paraId="0B7449D9" w14:textId="46085F5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73" w:type="dxa"/>
            <w:tcBorders>
              <w:bottom w:val="single" w:sz="4" w:space="0" w:color="auto"/>
            </w:tcBorders>
            <w:vAlign w:val="bottom"/>
          </w:tcPr>
          <w:p w14:paraId="0741B0E0" w14:textId="4A3D6D9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0.14</w:t>
            </w:r>
          </w:p>
        </w:tc>
        <w:tc>
          <w:tcPr>
            <w:tcW w:w="774" w:type="dxa"/>
            <w:tcBorders>
              <w:bottom w:val="single" w:sz="4" w:space="0" w:color="auto"/>
            </w:tcBorders>
            <w:vAlign w:val="bottom"/>
          </w:tcPr>
          <w:p w14:paraId="7E2B26D6" w14:textId="2EDAF0D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847" w:type="dxa"/>
            <w:tcBorders>
              <w:bottom w:val="single" w:sz="4" w:space="0" w:color="auto"/>
            </w:tcBorders>
            <w:vAlign w:val="bottom"/>
          </w:tcPr>
          <w:p w14:paraId="587DD90D" w14:textId="35CE559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15" w:type="dxa"/>
            <w:tcBorders>
              <w:bottom w:val="single" w:sz="4" w:space="0" w:color="auto"/>
            </w:tcBorders>
            <w:vAlign w:val="bottom"/>
          </w:tcPr>
          <w:p w14:paraId="6EFCA48E" w14:textId="31BBEB7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w:t>
            </w:r>
          </w:p>
        </w:tc>
      </w:tr>
    </w:tbl>
    <w:p w14:paraId="12E742B7" w14:textId="77777777" w:rsidR="00AD5538" w:rsidRPr="009D4948" w:rsidRDefault="00AD5538" w:rsidP="00AD5538">
      <w:pPr>
        <w:pStyle w:val="BodyText"/>
        <w:spacing w:after="0"/>
        <w:rPr>
          <w:rFonts w:eastAsiaTheme="minorEastAsia"/>
          <w:sz w:val="16"/>
          <w:szCs w:val="16"/>
          <w:lang w:eastAsia="zh-TW"/>
        </w:rPr>
      </w:pPr>
    </w:p>
    <w:tbl>
      <w:tblPr>
        <w:tblW w:w="9450" w:type="dxa"/>
        <w:tblLayout w:type="fixed"/>
        <w:tblLook w:val="04A0" w:firstRow="1" w:lastRow="0" w:firstColumn="1" w:lastColumn="0" w:noHBand="0" w:noVBand="1"/>
      </w:tblPr>
      <w:tblGrid>
        <w:gridCol w:w="1613"/>
        <w:gridCol w:w="767"/>
        <w:gridCol w:w="774"/>
        <w:gridCol w:w="773"/>
        <w:gridCol w:w="843"/>
        <w:gridCol w:w="704"/>
        <w:gridCol w:w="774"/>
        <w:gridCol w:w="774"/>
        <w:gridCol w:w="774"/>
        <w:gridCol w:w="774"/>
        <w:gridCol w:w="880"/>
      </w:tblGrid>
      <w:tr w:rsidR="00AD5538" w:rsidRPr="00A0555D" w14:paraId="0EA128C1" w14:textId="77777777" w:rsidTr="00874FCF">
        <w:trPr>
          <w:trHeight w:val="144"/>
        </w:trPr>
        <w:tc>
          <w:tcPr>
            <w:tcW w:w="161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4CF72B57"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Model </w:t>
            </w:r>
          </w:p>
        </w:tc>
        <w:tc>
          <w:tcPr>
            <w:tcW w:w="38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41467FAC" w14:textId="31A2C294" w:rsidR="00AD5538" w:rsidRPr="00A0555D" w:rsidRDefault="00BD0EBA" w:rsidP="00874FCF">
            <w:pPr>
              <w:spacing w:before="0" w:after="0" w:line="240" w:lineRule="auto"/>
              <w:ind w:firstLine="0"/>
              <w:jc w:val="center"/>
              <w:rPr>
                <w:rFonts w:eastAsia="Times New Roman"/>
                <w:b/>
                <w:bCs/>
                <w:color w:val="000000"/>
                <w:sz w:val="16"/>
                <w:szCs w:val="16"/>
                <w:lang w:bidi="ar-SA"/>
              </w:rPr>
            </w:pPr>
            <w:r>
              <w:rPr>
                <w:rFonts w:eastAsia="Times New Roman"/>
                <w:b/>
                <w:bCs/>
                <w:color w:val="000000"/>
                <w:sz w:val="16"/>
                <w:szCs w:val="16"/>
                <w:lang w:bidi="ar-SA"/>
              </w:rPr>
              <w:t>Daily precipitation</w:t>
            </w:r>
            <w:r w:rsidR="00AD5538" w:rsidRPr="0011335A">
              <w:rPr>
                <w:rFonts w:eastAsia="Times New Roman"/>
                <w:b/>
                <w:bCs/>
                <w:color w:val="000000"/>
                <w:sz w:val="16"/>
                <w:szCs w:val="16"/>
                <w:lang w:bidi="ar-SA"/>
              </w:rPr>
              <w:t xml:space="preserve"> (</w:t>
            </w:r>
            <w:r w:rsidR="00B80DEE">
              <w:rPr>
                <w:rFonts w:eastAsia="Times New Roman"/>
                <w:b/>
                <w:bCs/>
                <w:color w:val="000000"/>
                <w:sz w:val="16"/>
                <w:szCs w:val="16"/>
                <w:lang w:bidi="ar-SA"/>
              </w:rPr>
              <w:t>in</w:t>
            </w:r>
            <w:r>
              <w:rPr>
                <w:rFonts w:eastAsia="Times New Roman"/>
                <w:b/>
                <w:bCs/>
                <w:color w:val="000000"/>
                <w:sz w:val="16"/>
                <w:szCs w:val="16"/>
                <w:lang w:bidi="ar-SA"/>
              </w:rPr>
              <w:t>.</w:t>
            </w:r>
            <w:r w:rsidR="00AD5538" w:rsidRPr="0011335A">
              <w:rPr>
                <w:rFonts w:eastAsia="Times New Roman"/>
                <w:b/>
                <w:bCs/>
                <w:color w:val="000000"/>
                <w:sz w:val="16"/>
                <w:szCs w:val="16"/>
                <w:lang w:bidi="ar-SA"/>
              </w:rPr>
              <w:t>/day)</w:t>
            </w:r>
          </w:p>
        </w:tc>
        <w:tc>
          <w:tcPr>
            <w:tcW w:w="774" w:type="dxa"/>
            <w:tcBorders>
              <w:top w:val="single" w:sz="4" w:space="0" w:color="auto"/>
              <w:left w:val="nil"/>
              <w:bottom w:val="single" w:sz="4" w:space="0" w:color="auto"/>
              <w:right w:val="single" w:sz="4" w:space="0" w:color="auto"/>
            </w:tcBorders>
            <w:vAlign w:val="center"/>
          </w:tcPr>
          <w:p w14:paraId="489CC5DF" w14:textId="77777777" w:rsidR="00AD5538" w:rsidRDefault="00AD5538" w:rsidP="00874FCF">
            <w:pPr>
              <w:spacing w:before="0" w:after="0" w:line="240" w:lineRule="auto"/>
              <w:ind w:firstLine="0"/>
              <w:jc w:val="center"/>
              <w:rPr>
                <w:b/>
                <w:bCs/>
                <w:color w:val="000000"/>
                <w:sz w:val="16"/>
                <w:szCs w:val="16"/>
              </w:rPr>
            </w:pPr>
            <w:r w:rsidRPr="005447C1">
              <w:rPr>
                <w:b/>
                <w:bCs/>
                <w:color w:val="000000"/>
                <w:sz w:val="16"/>
                <w:szCs w:val="16"/>
              </w:rPr>
              <w:t>T95</w:t>
            </w:r>
          </w:p>
          <w:p w14:paraId="415FD46D" w14:textId="189554B6" w:rsidR="00AD5538" w:rsidRPr="005447C1" w:rsidRDefault="00AD5538" w:rsidP="00874FCF">
            <w:pPr>
              <w:spacing w:before="0" w:after="0" w:line="240" w:lineRule="auto"/>
              <w:ind w:firstLine="0"/>
              <w:jc w:val="center"/>
              <w:rPr>
                <w:rFonts w:eastAsia="Times New Roman"/>
                <w:b/>
                <w:bCs/>
                <w:color w:val="000000"/>
                <w:sz w:val="16"/>
                <w:szCs w:val="16"/>
                <w:lang w:bidi="ar-SA"/>
              </w:rPr>
            </w:pPr>
            <w:r w:rsidRPr="0011335A">
              <w:rPr>
                <w:rFonts w:hint="eastAsia"/>
                <w:b/>
                <w:bCs/>
                <w:color w:val="000000"/>
                <w:sz w:val="16"/>
                <w:szCs w:val="16"/>
              </w:rPr>
              <w:t>(</w:t>
            </w:r>
            <w:r w:rsidR="00BD0EBA">
              <w:rPr>
                <w:b/>
                <w:bCs/>
                <w:color w:val="000000"/>
                <w:sz w:val="16"/>
                <w:szCs w:val="16"/>
              </w:rPr>
              <w:t>°</w:t>
            </w:r>
            <w:r w:rsidR="00181D81">
              <w:rPr>
                <w:rFonts w:hint="eastAsia"/>
                <w:b/>
                <w:bCs/>
                <w:color w:val="000000"/>
                <w:sz w:val="16"/>
                <w:szCs w:val="16"/>
              </w:rPr>
              <w:t>F</w:t>
            </w:r>
            <w:r w:rsidRPr="0011335A">
              <w:rPr>
                <w:rFonts w:hint="eastAsia"/>
                <w:b/>
                <w:bCs/>
                <w:color w:val="000000"/>
                <w:sz w:val="16"/>
                <w:szCs w:val="16"/>
              </w:rPr>
              <w:t>)</w:t>
            </w:r>
          </w:p>
        </w:tc>
        <w:tc>
          <w:tcPr>
            <w:tcW w:w="774" w:type="dxa"/>
            <w:tcBorders>
              <w:top w:val="single" w:sz="4" w:space="0" w:color="auto"/>
              <w:left w:val="single" w:sz="4" w:space="0" w:color="auto"/>
              <w:bottom w:val="single" w:sz="4" w:space="0" w:color="auto"/>
              <w:right w:val="single" w:sz="4" w:space="0" w:color="auto"/>
            </w:tcBorders>
            <w:vAlign w:val="center"/>
          </w:tcPr>
          <w:p w14:paraId="14654054" w14:textId="77777777" w:rsidR="00AD5538" w:rsidRDefault="00AD5538" w:rsidP="00874FCF">
            <w:pPr>
              <w:spacing w:before="0" w:after="0" w:line="240" w:lineRule="auto"/>
              <w:ind w:firstLine="0"/>
              <w:jc w:val="center"/>
              <w:rPr>
                <w:b/>
                <w:bCs/>
                <w:color w:val="000000"/>
                <w:sz w:val="16"/>
                <w:szCs w:val="16"/>
              </w:rPr>
            </w:pPr>
            <w:r w:rsidRPr="005447C1">
              <w:rPr>
                <w:b/>
                <w:bCs/>
                <w:color w:val="000000"/>
                <w:sz w:val="16"/>
                <w:szCs w:val="16"/>
              </w:rPr>
              <w:t>T05</w:t>
            </w:r>
          </w:p>
          <w:p w14:paraId="0B618B1E" w14:textId="70F4C0A8" w:rsidR="00AD5538" w:rsidRPr="005447C1" w:rsidRDefault="00AD5538" w:rsidP="00874FCF">
            <w:pPr>
              <w:spacing w:before="0" w:after="0" w:line="240" w:lineRule="auto"/>
              <w:ind w:firstLine="0"/>
              <w:jc w:val="center"/>
              <w:rPr>
                <w:rFonts w:eastAsia="Times New Roman"/>
                <w:b/>
                <w:bCs/>
                <w:color w:val="000000"/>
                <w:sz w:val="16"/>
                <w:szCs w:val="16"/>
                <w:lang w:bidi="ar-SA"/>
              </w:rPr>
            </w:pPr>
            <w:r w:rsidRPr="0011335A">
              <w:rPr>
                <w:rFonts w:hint="eastAsia"/>
                <w:b/>
                <w:bCs/>
                <w:color w:val="000000"/>
                <w:sz w:val="16"/>
                <w:szCs w:val="16"/>
              </w:rPr>
              <w:t>(</w:t>
            </w:r>
            <w:r w:rsidR="00181D81" w:rsidRPr="00BD0EBA">
              <w:rPr>
                <w:b/>
                <w:bCs/>
                <w:color w:val="000000"/>
                <w:sz w:val="16"/>
                <w:szCs w:val="16"/>
              </w:rPr>
              <w:t>°</w:t>
            </w:r>
            <w:r w:rsidR="00181D81">
              <w:rPr>
                <w:rFonts w:hint="eastAsia"/>
                <w:b/>
                <w:bCs/>
                <w:color w:val="000000"/>
                <w:sz w:val="16"/>
                <w:szCs w:val="16"/>
              </w:rPr>
              <w:t>F</w:t>
            </w:r>
            <w:r w:rsidRPr="0011335A">
              <w:rPr>
                <w:rFonts w:hint="eastAsia"/>
                <w:b/>
                <w:bCs/>
                <w:color w:val="000000"/>
                <w:sz w:val="16"/>
                <w:szCs w:val="16"/>
              </w:rPr>
              <w:t>)</w:t>
            </w:r>
          </w:p>
        </w:tc>
        <w:tc>
          <w:tcPr>
            <w:tcW w:w="77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822C502" w14:textId="77777777" w:rsidR="00AD5538" w:rsidRDefault="00AD5538" w:rsidP="00874FCF">
            <w:pPr>
              <w:spacing w:before="0" w:after="0" w:line="240" w:lineRule="auto"/>
              <w:ind w:firstLine="0"/>
              <w:jc w:val="center"/>
              <w:rPr>
                <w:b/>
                <w:bCs/>
                <w:color w:val="000000"/>
                <w:sz w:val="16"/>
                <w:szCs w:val="16"/>
              </w:rPr>
            </w:pPr>
            <w:r w:rsidRPr="005447C1">
              <w:rPr>
                <w:b/>
                <w:bCs/>
                <w:color w:val="000000"/>
                <w:sz w:val="16"/>
                <w:szCs w:val="16"/>
              </w:rPr>
              <w:t>P95</w:t>
            </w:r>
          </w:p>
          <w:p w14:paraId="28EC9FAA" w14:textId="4C0F777D" w:rsidR="00AD5538" w:rsidRPr="005447C1" w:rsidRDefault="00AD5538" w:rsidP="00874FCF">
            <w:pPr>
              <w:spacing w:before="0" w:after="0" w:line="240" w:lineRule="auto"/>
              <w:ind w:firstLine="0"/>
              <w:jc w:val="center"/>
              <w:rPr>
                <w:rFonts w:eastAsia="Times New Roman"/>
                <w:b/>
                <w:bCs/>
                <w:color w:val="000000"/>
                <w:sz w:val="16"/>
                <w:szCs w:val="16"/>
                <w:lang w:bidi="ar-SA"/>
              </w:rPr>
            </w:pPr>
            <w:r w:rsidRPr="0011335A">
              <w:rPr>
                <w:rFonts w:eastAsia="Times New Roman"/>
                <w:b/>
                <w:bCs/>
                <w:color w:val="000000"/>
                <w:sz w:val="16"/>
                <w:szCs w:val="16"/>
                <w:lang w:bidi="ar-SA"/>
              </w:rPr>
              <w:t>(</w:t>
            </w:r>
            <w:r w:rsidR="00B80DEE">
              <w:rPr>
                <w:rFonts w:eastAsia="Times New Roman"/>
                <w:b/>
                <w:bCs/>
                <w:color w:val="000000"/>
                <w:sz w:val="16"/>
                <w:szCs w:val="16"/>
                <w:lang w:bidi="ar-SA"/>
              </w:rPr>
              <w:t>in</w:t>
            </w:r>
            <w:r w:rsidR="00BD0EBA">
              <w:rPr>
                <w:rFonts w:eastAsia="Times New Roman"/>
                <w:b/>
                <w:bCs/>
                <w:color w:val="000000"/>
                <w:sz w:val="16"/>
                <w:szCs w:val="16"/>
                <w:lang w:bidi="ar-SA"/>
              </w:rPr>
              <w:t>.</w:t>
            </w:r>
            <w:r w:rsidRPr="0011335A">
              <w:rPr>
                <w:rFonts w:eastAsia="Times New Roman"/>
                <w:b/>
                <w:bCs/>
                <w:color w:val="000000"/>
                <w:sz w:val="16"/>
                <w:szCs w:val="16"/>
                <w:lang w:bidi="ar-SA"/>
              </w:rPr>
              <w:t>/day)</w:t>
            </w:r>
          </w:p>
        </w:tc>
        <w:tc>
          <w:tcPr>
            <w:tcW w:w="774" w:type="dxa"/>
            <w:tcBorders>
              <w:top w:val="single" w:sz="4" w:space="0" w:color="auto"/>
              <w:left w:val="single" w:sz="4" w:space="0" w:color="auto"/>
              <w:bottom w:val="single" w:sz="4" w:space="0" w:color="auto"/>
              <w:right w:val="single" w:sz="4" w:space="0" w:color="auto"/>
            </w:tcBorders>
            <w:vAlign w:val="center"/>
          </w:tcPr>
          <w:p w14:paraId="18B6109B" w14:textId="77777777" w:rsidR="00AD5538" w:rsidRPr="005447C1" w:rsidRDefault="00AD5538"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Wetdays</w:t>
            </w:r>
          </w:p>
        </w:tc>
        <w:tc>
          <w:tcPr>
            <w:tcW w:w="880" w:type="dxa"/>
            <w:tcBorders>
              <w:top w:val="single" w:sz="4" w:space="0" w:color="auto"/>
              <w:left w:val="single" w:sz="4" w:space="0" w:color="auto"/>
              <w:bottom w:val="single" w:sz="4" w:space="0" w:color="auto"/>
            </w:tcBorders>
            <w:vAlign w:val="center"/>
          </w:tcPr>
          <w:p w14:paraId="1BA7C79A" w14:textId="77777777" w:rsidR="00AD5538" w:rsidRPr="005447C1" w:rsidRDefault="00AD5538" w:rsidP="00874FCF">
            <w:pPr>
              <w:spacing w:before="0" w:after="0" w:line="240" w:lineRule="auto"/>
              <w:ind w:firstLine="0"/>
              <w:jc w:val="center"/>
              <w:rPr>
                <w:rFonts w:eastAsia="Times New Roman"/>
                <w:b/>
                <w:bCs/>
                <w:color w:val="000000"/>
                <w:sz w:val="14"/>
                <w:szCs w:val="14"/>
                <w:lang w:bidi="ar-SA"/>
              </w:rPr>
            </w:pPr>
            <w:r w:rsidRPr="005447C1">
              <w:rPr>
                <w:b/>
                <w:bCs/>
                <w:color w:val="000000"/>
                <w:sz w:val="14"/>
                <w:szCs w:val="14"/>
              </w:rPr>
              <w:t>Frostdays</w:t>
            </w:r>
          </w:p>
        </w:tc>
      </w:tr>
      <w:tr w:rsidR="00AD5538" w:rsidRPr="00A0555D" w14:paraId="3EE067DB" w14:textId="77777777" w:rsidTr="00A13B8D">
        <w:trPr>
          <w:trHeight w:val="144"/>
        </w:trPr>
        <w:tc>
          <w:tcPr>
            <w:tcW w:w="1613" w:type="dxa"/>
            <w:vMerge/>
            <w:tcBorders>
              <w:top w:val="single" w:sz="4" w:space="0" w:color="auto"/>
              <w:left w:val="nil"/>
              <w:bottom w:val="single" w:sz="4" w:space="0" w:color="000000"/>
              <w:right w:val="single" w:sz="4" w:space="0" w:color="auto"/>
            </w:tcBorders>
            <w:vAlign w:val="center"/>
            <w:hideMark/>
          </w:tcPr>
          <w:p w14:paraId="57A5245E" w14:textId="77777777" w:rsidR="00AD5538" w:rsidRPr="00A0555D" w:rsidRDefault="00AD5538" w:rsidP="00874FCF">
            <w:pPr>
              <w:spacing w:before="0" w:after="0" w:line="240" w:lineRule="auto"/>
              <w:ind w:firstLine="0"/>
              <w:rPr>
                <w:rFonts w:eastAsia="Times New Roman"/>
                <w:b/>
                <w:bCs/>
                <w:color w:val="000000"/>
                <w:sz w:val="16"/>
                <w:szCs w:val="16"/>
                <w:lang w:bidi="ar-SA"/>
              </w:rPr>
            </w:pPr>
          </w:p>
        </w:tc>
        <w:tc>
          <w:tcPr>
            <w:tcW w:w="767" w:type="dxa"/>
            <w:tcBorders>
              <w:top w:val="single" w:sz="4" w:space="0" w:color="auto"/>
              <w:left w:val="nil"/>
              <w:bottom w:val="single" w:sz="4" w:space="0" w:color="auto"/>
              <w:right w:val="nil"/>
            </w:tcBorders>
            <w:shd w:val="clear" w:color="auto" w:fill="auto"/>
            <w:noWrap/>
            <w:vAlign w:val="bottom"/>
            <w:hideMark/>
          </w:tcPr>
          <w:p w14:paraId="75710316"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nil"/>
              <w:bottom w:val="single" w:sz="4" w:space="0" w:color="auto"/>
              <w:right w:val="nil"/>
            </w:tcBorders>
            <w:shd w:val="clear" w:color="auto" w:fill="auto"/>
            <w:noWrap/>
            <w:vAlign w:val="bottom"/>
            <w:hideMark/>
          </w:tcPr>
          <w:p w14:paraId="0B905423"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Winter</w:t>
            </w:r>
          </w:p>
        </w:tc>
        <w:tc>
          <w:tcPr>
            <w:tcW w:w="773" w:type="dxa"/>
            <w:tcBorders>
              <w:top w:val="single" w:sz="4" w:space="0" w:color="auto"/>
              <w:left w:val="nil"/>
              <w:bottom w:val="single" w:sz="4" w:space="0" w:color="auto"/>
              <w:right w:val="nil"/>
            </w:tcBorders>
            <w:shd w:val="clear" w:color="auto" w:fill="auto"/>
            <w:noWrap/>
            <w:vAlign w:val="bottom"/>
            <w:hideMark/>
          </w:tcPr>
          <w:p w14:paraId="3AF880FB"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Spring</w:t>
            </w:r>
          </w:p>
        </w:tc>
        <w:tc>
          <w:tcPr>
            <w:tcW w:w="843" w:type="dxa"/>
            <w:tcBorders>
              <w:top w:val="single" w:sz="4" w:space="0" w:color="auto"/>
              <w:left w:val="nil"/>
              <w:bottom w:val="single" w:sz="4" w:space="0" w:color="auto"/>
              <w:right w:val="nil"/>
            </w:tcBorders>
            <w:shd w:val="clear" w:color="auto" w:fill="auto"/>
            <w:noWrap/>
            <w:vAlign w:val="bottom"/>
            <w:hideMark/>
          </w:tcPr>
          <w:p w14:paraId="6A78F4D9" w14:textId="0F97714A" w:rsidR="00AD5538" w:rsidRPr="00A0555D" w:rsidRDefault="00A13B8D" w:rsidP="00874FCF">
            <w:pPr>
              <w:spacing w:before="0" w:after="0" w:line="240" w:lineRule="auto"/>
              <w:ind w:firstLine="0"/>
              <w:jc w:val="center"/>
              <w:rPr>
                <w:rFonts w:eastAsia="Times New Roman"/>
                <w:b/>
                <w:bCs/>
                <w:color w:val="000000"/>
                <w:sz w:val="14"/>
                <w:szCs w:val="14"/>
                <w:lang w:bidi="ar-SA"/>
              </w:rPr>
            </w:pPr>
            <w:r w:rsidRPr="00BD0EBA">
              <w:rPr>
                <w:rFonts w:eastAsia="Times New Roman"/>
                <w:b/>
                <w:bCs/>
                <w:color w:val="000000"/>
                <w:sz w:val="16"/>
                <w:szCs w:val="16"/>
                <w:lang w:bidi="ar-SA"/>
              </w:rPr>
              <w:t>Summer</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3D56169A"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Fall</w:t>
            </w:r>
          </w:p>
        </w:tc>
        <w:tc>
          <w:tcPr>
            <w:tcW w:w="774" w:type="dxa"/>
            <w:tcBorders>
              <w:top w:val="single" w:sz="4" w:space="0" w:color="auto"/>
              <w:left w:val="nil"/>
              <w:bottom w:val="single" w:sz="4" w:space="0" w:color="auto"/>
              <w:right w:val="single" w:sz="4" w:space="0" w:color="auto"/>
            </w:tcBorders>
            <w:vAlign w:val="bottom"/>
          </w:tcPr>
          <w:p w14:paraId="2AADEFC2"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6DD3A8D6"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6C00FEE5"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c>
          <w:tcPr>
            <w:tcW w:w="774" w:type="dxa"/>
            <w:tcBorders>
              <w:top w:val="single" w:sz="4" w:space="0" w:color="auto"/>
              <w:left w:val="single" w:sz="4" w:space="0" w:color="auto"/>
              <w:bottom w:val="single" w:sz="4" w:space="0" w:color="auto"/>
              <w:right w:val="single" w:sz="4" w:space="0" w:color="auto"/>
            </w:tcBorders>
          </w:tcPr>
          <w:p w14:paraId="7D3F796B" w14:textId="77777777" w:rsidR="00AD5538" w:rsidRPr="00A0555D" w:rsidRDefault="00AD5538" w:rsidP="00874FCF">
            <w:pPr>
              <w:spacing w:before="0" w:after="0" w:line="240" w:lineRule="auto"/>
              <w:ind w:firstLine="0"/>
              <w:jc w:val="center"/>
              <w:rPr>
                <w:rFonts w:eastAsia="Times New Roman"/>
                <w:b/>
                <w:bCs/>
                <w:color w:val="000000"/>
                <w:sz w:val="14"/>
                <w:szCs w:val="14"/>
                <w:lang w:bidi="ar-SA"/>
              </w:rPr>
            </w:pPr>
            <w:r w:rsidRPr="00A0555D">
              <w:rPr>
                <w:rFonts w:eastAsia="Times New Roman"/>
                <w:b/>
                <w:bCs/>
                <w:color w:val="000000"/>
                <w:sz w:val="16"/>
                <w:szCs w:val="16"/>
                <w:lang w:bidi="ar-SA"/>
              </w:rPr>
              <w:t xml:space="preserve">Annual </w:t>
            </w:r>
          </w:p>
        </w:tc>
        <w:tc>
          <w:tcPr>
            <w:tcW w:w="880" w:type="dxa"/>
            <w:tcBorders>
              <w:top w:val="single" w:sz="4" w:space="0" w:color="auto"/>
              <w:left w:val="single" w:sz="4" w:space="0" w:color="auto"/>
              <w:bottom w:val="single" w:sz="4" w:space="0" w:color="auto"/>
            </w:tcBorders>
          </w:tcPr>
          <w:p w14:paraId="0722032C"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r w:rsidRPr="00A0555D">
              <w:rPr>
                <w:rFonts w:eastAsia="Times New Roman"/>
                <w:b/>
                <w:bCs/>
                <w:color w:val="000000"/>
                <w:sz w:val="16"/>
                <w:szCs w:val="16"/>
                <w:lang w:bidi="ar-SA"/>
              </w:rPr>
              <w:t xml:space="preserve">Annual </w:t>
            </w:r>
          </w:p>
        </w:tc>
      </w:tr>
      <w:tr w:rsidR="00AD5538" w:rsidRPr="00A0555D" w14:paraId="0482EBB3"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1FD113A" w14:textId="77777777" w:rsidR="00AD5538" w:rsidRPr="00A0555D" w:rsidRDefault="00AD553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Raw CMIP6 GCM</w:t>
            </w:r>
          </w:p>
        </w:tc>
        <w:tc>
          <w:tcPr>
            <w:tcW w:w="767" w:type="dxa"/>
            <w:tcBorders>
              <w:top w:val="single" w:sz="4" w:space="0" w:color="auto"/>
              <w:left w:val="nil"/>
              <w:bottom w:val="nil"/>
              <w:right w:val="nil"/>
            </w:tcBorders>
            <w:shd w:val="clear" w:color="auto" w:fill="auto"/>
            <w:noWrap/>
            <w:vAlign w:val="bottom"/>
          </w:tcPr>
          <w:p w14:paraId="248AC1A7"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7A33E680"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341EBD9A"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1A5C9597"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6CE370C2"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nil"/>
              <w:right w:val="single" w:sz="4" w:space="0" w:color="auto"/>
            </w:tcBorders>
          </w:tcPr>
          <w:p w14:paraId="6C69B770"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2EAF325C"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122BB1D7"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774" w:type="dxa"/>
            <w:tcBorders>
              <w:top w:val="single" w:sz="4" w:space="0" w:color="auto"/>
              <w:left w:val="single" w:sz="4" w:space="0" w:color="auto"/>
              <w:right w:val="single" w:sz="4" w:space="0" w:color="auto"/>
            </w:tcBorders>
          </w:tcPr>
          <w:p w14:paraId="31524459"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c>
          <w:tcPr>
            <w:tcW w:w="880" w:type="dxa"/>
            <w:tcBorders>
              <w:top w:val="single" w:sz="4" w:space="0" w:color="auto"/>
              <w:left w:val="single" w:sz="4" w:space="0" w:color="auto"/>
            </w:tcBorders>
          </w:tcPr>
          <w:p w14:paraId="3C14C97F" w14:textId="77777777" w:rsidR="00AD5538" w:rsidRPr="00A0555D" w:rsidRDefault="00AD5538" w:rsidP="00874FCF">
            <w:pPr>
              <w:spacing w:before="0" w:after="0" w:line="240" w:lineRule="auto"/>
              <w:ind w:firstLine="0"/>
              <w:jc w:val="center"/>
              <w:rPr>
                <w:rFonts w:eastAsia="Times New Roman"/>
                <w:b/>
                <w:bCs/>
                <w:color w:val="000000"/>
                <w:sz w:val="16"/>
                <w:szCs w:val="16"/>
                <w:lang w:bidi="ar-SA"/>
              </w:rPr>
            </w:pPr>
          </w:p>
        </w:tc>
      </w:tr>
      <w:tr w:rsidR="005E3F3C" w:rsidRPr="00A0555D" w14:paraId="2FB854CE"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2D98EE59"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5EFC8846" w14:textId="67D0BC2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0.015</w:t>
            </w:r>
          </w:p>
        </w:tc>
        <w:tc>
          <w:tcPr>
            <w:tcW w:w="774" w:type="dxa"/>
            <w:tcBorders>
              <w:top w:val="nil"/>
              <w:left w:val="nil"/>
              <w:bottom w:val="nil"/>
              <w:right w:val="nil"/>
            </w:tcBorders>
            <w:shd w:val="clear" w:color="auto" w:fill="auto"/>
            <w:noWrap/>
            <w:vAlign w:val="bottom"/>
          </w:tcPr>
          <w:p w14:paraId="1904CB43" w14:textId="11D2168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0.014</w:t>
            </w:r>
          </w:p>
        </w:tc>
        <w:tc>
          <w:tcPr>
            <w:tcW w:w="773" w:type="dxa"/>
            <w:tcBorders>
              <w:top w:val="nil"/>
              <w:left w:val="nil"/>
              <w:bottom w:val="nil"/>
              <w:right w:val="nil"/>
            </w:tcBorders>
            <w:shd w:val="clear" w:color="auto" w:fill="auto"/>
            <w:noWrap/>
            <w:vAlign w:val="bottom"/>
          </w:tcPr>
          <w:p w14:paraId="67F6770B" w14:textId="5704D0E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0.024</w:t>
            </w:r>
          </w:p>
        </w:tc>
        <w:tc>
          <w:tcPr>
            <w:tcW w:w="843" w:type="dxa"/>
            <w:tcBorders>
              <w:top w:val="nil"/>
              <w:left w:val="nil"/>
              <w:bottom w:val="nil"/>
              <w:right w:val="nil"/>
            </w:tcBorders>
            <w:shd w:val="clear" w:color="auto" w:fill="auto"/>
            <w:noWrap/>
            <w:vAlign w:val="bottom"/>
          </w:tcPr>
          <w:p w14:paraId="7541D98E" w14:textId="7A3A9F4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0.009</w:t>
            </w:r>
          </w:p>
        </w:tc>
        <w:tc>
          <w:tcPr>
            <w:tcW w:w="704" w:type="dxa"/>
            <w:tcBorders>
              <w:top w:val="nil"/>
              <w:left w:val="nil"/>
              <w:bottom w:val="nil"/>
              <w:right w:val="single" w:sz="4" w:space="0" w:color="auto"/>
            </w:tcBorders>
            <w:shd w:val="clear" w:color="auto" w:fill="auto"/>
            <w:noWrap/>
            <w:vAlign w:val="bottom"/>
          </w:tcPr>
          <w:p w14:paraId="7A440063" w14:textId="3F6E935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0.012</w:t>
            </w:r>
          </w:p>
        </w:tc>
        <w:tc>
          <w:tcPr>
            <w:tcW w:w="774" w:type="dxa"/>
            <w:tcBorders>
              <w:left w:val="nil"/>
              <w:right w:val="single" w:sz="4" w:space="0" w:color="auto"/>
            </w:tcBorders>
            <w:vAlign w:val="bottom"/>
          </w:tcPr>
          <w:p w14:paraId="1DCFD412" w14:textId="0867DA7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2.14</w:t>
            </w:r>
          </w:p>
        </w:tc>
        <w:tc>
          <w:tcPr>
            <w:tcW w:w="774" w:type="dxa"/>
            <w:tcBorders>
              <w:left w:val="single" w:sz="4" w:space="0" w:color="auto"/>
              <w:right w:val="single" w:sz="4" w:space="0" w:color="auto"/>
            </w:tcBorders>
            <w:vAlign w:val="bottom"/>
          </w:tcPr>
          <w:p w14:paraId="490784FD" w14:textId="0A33357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4.78</w:t>
            </w:r>
          </w:p>
        </w:tc>
        <w:tc>
          <w:tcPr>
            <w:tcW w:w="774" w:type="dxa"/>
            <w:tcBorders>
              <w:left w:val="single" w:sz="4" w:space="0" w:color="auto"/>
              <w:right w:val="single" w:sz="4" w:space="0" w:color="auto"/>
            </w:tcBorders>
            <w:vAlign w:val="bottom"/>
          </w:tcPr>
          <w:p w14:paraId="4085BE91" w14:textId="1333E75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0.179</w:t>
            </w:r>
          </w:p>
        </w:tc>
        <w:tc>
          <w:tcPr>
            <w:tcW w:w="774" w:type="dxa"/>
            <w:tcBorders>
              <w:left w:val="single" w:sz="4" w:space="0" w:color="auto"/>
              <w:right w:val="single" w:sz="4" w:space="0" w:color="auto"/>
            </w:tcBorders>
            <w:vAlign w:val="bottom"/>
          </w:tcPr>
          <w:p w14:paraId="65ECA6A7" w14:textId="102C9B16"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34.67</w:t>
            </w:r>
          </w:p>
        </w:tc>
        <w:tc>
          <w:tcPr>
            <w:tcW w:w="880" w:type="dxa"/>
            <w:tcBorders>
              <w:left w:val="single" w:sz="4" w:space="0" w:color="auto"/>
            </w:tcBorders>
            <w:vAlign w:val="bottom"/>
          </w:tcPr>
          <w:p w14:paraId="42C236AD" w14:textId="493E9041"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19.43</w:t>
            </w:r>
          </w:p>
        </w:tc>
      </w:tr>
      <w:tr w:rsidR="005E3F3C" w:rsidRPr="00A0555D" w14:paraId="48672948"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D9A2107"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2CF1DA3E" w14:textId="0030E86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top w:val="nil"/>
              <w:left w:val="nil"/>
              <w:bottom w:val="nil"/>
              <w:right w:val="nil"/>
            </w:tcBorders>
            <w:shd w:val="clear" w:color="auto" w:fill="auto"/>
            <w:noWrap/>
            <w:vAlign w:val="bottom"/>
          </w:tcPr>
          <w:p w14:paraId="554E480D" w14:textId="4F34259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0.017</w:t>
            </w:r>
          </w:p>
        </w:tc>
        <w:tc>
          <w:tcPr>
            <w:tcW w:w="773" w:type="dxa"/>
            <w:tcBorders>
              <w:top w:val="nil"/>
              <w:left w:val="nil"/>
              <w:bottom w:val="nil"/>
              <w:right w:val="nil"/>
            </w:tcBorders>
            <w:shd w:val="clear" w:color="auto" w:fill="auto"/>
            <w:noWrap/>
            <w:vAlign w:val="bottom"/>
          </w:tcPr>
          <w:p w14:paraId="372EF829" w14:textId="74887FB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0.005</w:t>
            </w:r>
          </w:p>
        </w:tc>
        <w:tc>
          <w:tcPr>
            <w:tcW w:w="843" w:type="dxa"/>
            <w:tcBorders>
              <w:top w:val="nil"/>
              <w:left w:val="nil"/>
              <w:bottom w:val="nil"/>
              <w:right w:val="nil"/>
            </w:tcBorders>
            <w:shd w:val="clear" w:color="auto" w:fill="auto"/>
            <w:noWrap/>
            <w:vAlign w:val="bottom"/>
          </w:tcPr>
          <w:p w14:paraId="1FF303C7" w14:textId="6F517D21"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0.024</w:t>
            </w:r>
          </w:p>
        </w:tc>
        <w:tc>
          <w:tcPr>
            <w:tcW w:w="704" w:type="dxa"/>
            <w:tcBorders>
              <w:top w:val="nil"/>
              <w:left w:val="nil"/>
              <w:bottom w:val="nil"/>
              <w:right w:val="single" w:sz="4" w:space="0" w:color="auto"/>
            </w:tcBorders>
            <w:shd w:val="clear" w:color="auto" w:fill="auto"/>
            <w:noWrap/>
            <w:vAlign w:val="bottom"/>
          </w:tcPr>
          <w:p w14:paraId="48E4BCB0" w14:textId="419CE45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4" w:type="dxa"/>
            <w:tcBorders>
              <w:left w:val="nil"/>
              <w:right w:val="single" w:sz="4" w:space="0" w:color="auto"/>
            </w:tcBorders>
            <w:vAlign w:val="bottom"/>
          </w:tcPr>
          <w:p w14:paraId="0A278C26" w14:textId="467FB41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6.86</w:t>
            </w:r>
          </w:p>
        </w:tc>
        <w:tc>
          <w:tcPr>
            <w:tcW w:w="774" w:type="dxa"/>
            <w:tcBorders>
              <w:left w:val="single" w:sz="4" w:space="0" w:color="auto"/>
              <w:right w:val="single" w:sz="4" w:space="0" w:color="auto"/>
            </w:tcBorders>
            <w:vAlign w:val="bottom"/>
          </w:tcPr>
          <w:p w14:paraId="2A3849F9" w14:textId="243A4B8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1.17</w:t>
            </w:r>
          </w:p>
        </w:tc>
        <w:tc>
          <w:tcPr>
            <w:tcW w:w="774" w:type="dxa"/>
            <w:tcBorders>
              <w:left w:val="single" w:sz="4" w:space="0" w:color="auto"/>
              <w:right w:val="single" w:sz="4" w:space="0" w:color="auto"/>
            </w:tcBorders>
            <w:vAlign w:val="bottom"/>
          </w:tcPr>
          <w:p w14:paraId="4C7AA9D3" w14:textId="6B7081E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0.277</w:t>
            </w:r>
          </w:p>
        </w:tc>
        <w:tc>
          <w:tcPr>
            <w:tcW w:w="774" w:type="dxa"/>
            <w:tcBorders>
              <w:left w:val="single" w:sz="4" w:space="0" w:color="auto"/>
              <w:right w:val="single" w:sz="4" w:space="0" w:color="auto"/>
            </w:tcBorders>
            <w:vAlign w:val="bottom"/>
          </w:tcPr>
          <w:p w14:paraId="18D1F1BA" w14:textId="4137B864"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31.88</w:t>
            </w:r>
          </w:p>
        </w:tc>
        <w:tc>
          <w:tcPr>
            <w:tcW w:w="880" w:type="dxa"/>
            <w:tcBorders>
              <w:left w:val="single" w:sz="4" w:space="0" w:color="auto"/>
            </w:tcBorders>
            <w:vAlign w:val="bottom"/>
          </w:tcPr>
          <w:p w14:paraId="49331987" w14:textId="5633C75E"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26.19</w:t>
            </w:r>
          </w:p>
        </w:tc>
      </w:tr>
      <w:tr w:rsidR="005E3F3C" w:rsidRPr="00A0555D" w14:paraId="0CE6FEAA"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8A795CF"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02AFA32" w14:textId="0D94F72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0.012</w:t>
            </w:r>
          </w:p>
        </w:tc>
        <w:tc>
          <w:tcPr>
            <w:tcW w:w="774" w:type="dxa"/>
            <w:tcBorders>
              <w:top w:val="nil"/>
              <w:left w:val="nil"/>
              <w:bottom w:val="nil"/>
              <w:right w:val="nil"/>
            </w:tcBorders>
            <w:shd w:val="clear" w:color="auto" w:fill="auto"/>
            <w:noWrap/>
            <w:vAlign w:val="bottom"/>
          </w:tcPr>
          <w:p w14:paraId="5BCD1B64" w14:textId="1283A77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0.016</w:t>
            </w:r>
          </w:p>
        </w:tc>
        <w:tc>
          <w:tcPr>
            <w:tcW w:w="773" w:type="dxa"/>
            <w:tcBorders>
              <w:top w:val="nil"/>
              <w:left w:val="nil"/>
              <w:bottom w:val="nil"/>
              <w:right w:val="nil"/>
            </w:tcBorders>
            <w:shd w:val="clear" w:color="auto" w:fill="auto"/>
            <w:noWrap/>
            <w:vAlign w:val="bottom"/>
          </w:tcPr>
          <w:p w14:paraId="66A0B340" w14:textId="739CD66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0.024</w:t>
            </w:r>
          </w:p>
        </w:tc>
        <w:tc>
          <w:tcPr>
            <w:tcW w:w="843" w:type="dxa"/>
            <w:tcBorders>
              <w:top w:val="nil"/>
              <w:left w:val="nil"/>
              <w:bottom w:val="nil"/>
              <w:right w:val="nil"/>
            </w:tcBorders>
            <w:shd w:val="clear" w:color="auto" w:fill="auto"/>
            <w:noWrap/>
            <w:vAlign w:val="bottom"/>
          </w:tcPr>
          <w:p w14:paraId="3E099BFB" w14:textId="4C41D38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04" w:type="dxa"/>
            <w:tcBorders>
              <w:top w:val="nil"/>
              <w:left w:val="nil"/>
              <w:bottom w:val="nil"/>
              <w:right w:val="single" w:sz="4" w:space="0" w:color="auto"/>
            </w:tcBorders>
            <w:shd w:val="clear" w:color="auto" w:fill="auto"/>
            <w:noWrap/>
            <w:vAlign w:val="bottom"/>
          </w:tcPr>
          <w:p w14:paraId="11B1BE15" w14:textId="5B85B71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0.007</w:t>
            </w:r>
          </w:p>
        </w:tc>
        <w:tc>
          <w:tcPr>
            <w:tcW w:w="774" w:type="dxa"/>
            <w:tcBorders>
              <w:left w:val="nil"/>
              <w:right w:val="single" w:sz="4" w:space="0" w:color="auto"/>
            </w:tcBorders>
            <w:vAlign w:val="bottom"/>
          </w:tcPr>
          <w:p w14:paraId="6AD5F38F" w14:textId="1B743C3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3.62</w:t>
            </w:r>
          </w:p>
        </w:tc>
        <w:tc>
          <w:tcPr>
            <w:tcW w:w="774" w:type="dxa"/>
            <w:tcBorders>
              <w:left w:val="single" w:sz="4" w:space="0" w:color="auto"/>
              <w:right w:val="single" w:sz="4" w:space="0" w:color="auto"/>
            </w:tcBorders>
            <w:vAlign w:val="bottom"/>
          </w:tcPr>
          <w:p w14:paraId="2CED9D2D" w14:textId="0D4AC37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0.45</w:t>
            </w:r>
          </w:p>
        </w:tc>
        <w:tc>
          <w:tcPr>
            <w:tcW w:w="774" w:type="dxa"/>
            <w:tcBorders>
              <w:left w:val="single" w:sz="4" w:space="0" w:color="auto"/>
              <w:right w:val="single" w:sz="4" w:space="0" w:color="auto"/>
            </w:tcBorders>
            <w:vAlign w:val="bottom"/>
          </w:tcPr>
          <w:p w14:paraId="32B3944D" w14:textId="5535CB8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0.169</w:t>
            </w:r>
          </w:p>
        </w:tc>
        <w:tc>
          <w:tcPr>
            <w:tcW w:w="774" w:type="dxa"/>
            <w:tcBorders>
              <w:left w:val="single" w:sz="4" w:space="0" w:color="auto"/>
              <w:right w:val="single" w:sz="4" w:space="0" w:color="auto"/>
            </w:tcBorders>
            <w:vAlign w:val="bottom"/>
          </w:tcPr>
          <w:p w14:paraId="2E4D165B" w14:textId="1C202F98"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27.55</w:t>
            </w:r>
          </w:p>
        </w:tc>
        <w:tc>
          <w:tcPr>
            <w:tcW w:w="880" w:type="dxa"/>
            <w:tcBorders>
              <w:left w:val="single" w:sz="4" w:space="0" w:color="auto"/>
            </w:tcBorders>
            <w:vAlign w:val="bottom"/>
          </w:tcPr>
          <w:p w14:paraId="5E5F665E" w14:textId="0BCD44C6"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17.23</w:t>
            </w:r>
          </w:p>
        </w:tc>
      </w:tr>
      <w:tr w:rsidR="005E3F3C" w:rsidRPr="00A0555D" w14:paraId="287FBABA"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14C4836C"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51F27A89" w14:textId="1411EAE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0.006</w:t>
            </w:r>
          </w:p>
        </w:tc>
        <w:tc>
          <w:tcPr>
            <w:tcW w:w="774" w:type="dxa"/>
            <w:tcBorders>
              <w:top w:val="nil"/>
              <w:left w:val="nil"/>
              <w:bottom w:val="nil"/>
              <w:right w:val="nil"/>
            </w:tcBorders>
            <w:shd w:val="clear" w:color="auto" w:fill="auto"/>
            <w:noWrap/>
            <w:vAlign w:val="bottom"/>
          </w:tcPr>
          <w:p w14:paraId="5E53AB5D" w14:textId="7677A5A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0.022</w:t>
            </w:r>
          </w:p>
        </w:tc>
        <w:tc>
          <w:tcPr>
            <w:tcW w:w="773" w:type="dxa"/>
            <w:tcBorders>
              <w:top w:val="nil"/>
              <w:left w:val="nil"/>
              <w:bottom w:val="nil"/>
              <w:right w:val="nil"/>
            </w:tcBorders>
            <w:shd w:val="clear" w:color="auto" w:fill="auto"/>
            <w:noWrap/>
            <w:vAlign w:val="bottom"/>
          </w:tcPr>
          <w:p w14:paraId="4AE20792" w14:textId="185D9EC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0.019</w:t>
            </w:r>
          </w:p>
        </w:tc>
        <w:tc>
          <w:tcPr>
            <w:tcW w:w="843" w:type="dxa"/>
            <w:tcBorders>
              <w:top w:val="nil"/>
              <w:left w:val="nil"/>
              <w:bottom w:val="nil"/>
              <w:right w:val="nil"/>
            </w:tcBorders>
            <w:shd w:val="clear" w:color="auto" w:fill="auto"/>
            <w:noWrap/>
            <w:vAlign w:val="bottom"/>
          </w:tcPr>
          <w:p w14:paraId="5C493E62" w14:textId="5CD40DC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0.006</w:t>
            </w:r>
          </w:p>
        </w:tc>
        <w:tc>
          <w:tcPr>
            <w:tcW w:w="704" w:type="dxa"/>
            <w:tcBorders>
              <w:top w:val="nil"/>
              <w:left w:val="nil"/>
              <w:bottom w:val="nil"/>
              <w:right w:val="single" w:sz="4" w:space="0" w:color="auto"/>
            </w:tcBorders>
            <w:shd w:val="clear" w:color="auto" w:fill="auto"/>
            <w:noWrap/>
            <w:vAlign w:val="bottom"/>
          </w:tcPr>
          <w:p w14:paraId="00EB2759" w14:textId="4E21B82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0.009</w:t>
            </w:r>
          </w:p>
        </w:tc>
        <w:tc>
          <w:tcPr>
            <w:tcW w:w="774" w:type="dxa"/>
            <w:tcBorders>
              <w:left w:val="nil"/>
              <w:right w:val="single" w:sz="4" w:space="0" w:color="auto"/>
            </w:tcBorders>
            <w:vAlign w:val="bottom"/>
          </w:tcPr>
          <w:p w14:paraId="58512A77" w14:textId="7EA28BB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1.02</w:t>
            </w:r>
          </w:p>
        </w:tc>
        <w:tc>
          <w:tcPr>
            <w:tcW w:w="774" w:type="dxa"/>
            <w:tcBorders>
              <w:left w:val="single" w:sz="4" w:space="0" w:color="auto"/>
              <w:right w:val="single" w:sz="4" w:space="0" w:color="auto"/>
            </w:tcBorders>
            <w:vAlign w:val="bottom"/>
          </w:tcPr>
          <w:p w14:paraId="3CD70CB8" w14:textId="355D317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3.12</w:t>
            </w:r>
          </w:p>
        </w:tc>
        <w:tc>
          <w:tcPr>
            <w:tcW w:w="774" w:type="dxa"/>
            <w:tcBorders>
              <w:left w:val="single" w:sz="4" w:space="0" w:color="auto"/>
              <w:right w:val="single" w:sz="4" w:space="0" w:color="auto"/>
            </w:tcBorders>
            <w:vAlign w:val="bottom"/>
          </w:tcPr>
          <w:p w14:paraId="210FCCF5" w14:textId="3CD75D6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0.172</w:t>
            </w:r>
          </w:p>
        </w:tc>
        <w:tc>
          <w:tcPr>
            <w:tcW w:w="774" w:type="dxa"/>
            <w:tcBorders>
              <w:left w:val="single" w:sz="4" w:space="0" w:color="auto"/>
              <w:right w:val="single" w:sz="4" w:space="0" w:color="auto"/>
            </w:tcBorders>
            <w:vAlign w:val="bottom"/>
          </w:tcPr>
          <w:p w14:paraId="76368BDF" w14:textId="5AE36CBD"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20.52</w:t>
            </w:r>
          </w:p>
        </w:tc>
        <w:tc>
          <w:tcPr>
            <w:tcW w:w="880" w:type="dxa"/>
            <w:tcBorders>
              <w:left w:val="single" w:sz="4" w:space="0" w:color="auto"/>
            </w:tcBorders>
            <w:vAlign w:val="bottom"/>
          </w:tcPr>
          <w:p w14:paraId="25A0E50C" w14:textId="2D27E601"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27.76</w:t>
            </w:r>
          </w:p>
        </w:tc>
      </w:tr>
      <w:tr w:rsidR="005E3F3C" w:rsidRPr="00A0555D" w14:paraId="734D880A"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72B4258"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619CFC77" w14:textId="43EA22A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0.026</w:t>
            </w:r>
          </w:p>
        </w:tc>
        <w:tc>
          <w:tcPr>
            <w:tcW w:w="774" w:type="dxa"/>
            <w:tcBorders>
              <w:top w:val="nil"/>
              <w:left w:val="nil"/>
              <w:bottom w:val="nil"/>
              <w:right w:val="nil"/>
            </w:tcBorders>
            <w:shd w:val="clear" w:color="auto" w:fill="auto"/>
            <w:noWrap/>
            <w:vAlign w:val="bottom"/>
          </w:tcPr>
          <w:p w14:paraId="5E8E3A8B" w14:textId="2A7D696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0.027</w:t>
            </w:r>
          </w:p>
        </w:tc>
        <w:tc>
          <w:tcPr>
            <w:tcW w:w="773" w:type="dxa"/>
            <w:tcBorders>
              <w:top w:val="nil"/>
              <w:left w:val="nil"/>
              <w:bottom w:val="nil"/>
              <w:right w:val="nil"/>
            </w:tcBorders>
            <w:shd w:val="clear" w:color="auto" w:fill="auto"/>
            <w:noWrap/>
            <w:vAlign w:val="bottom"/>
          </w:tcPr>
          <w:p w14:paraId="1168D41F" w14:textId="0255062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0.036</w:t>
            </w:r>
          </w:p>
        </w:tc>
        <w:tc>
          <w:tcPr>
            <w:tcW w:w="843" w:type="dxa"/>
            <w:tcBorders>
              <w:top w:val="nil"/>
              <w:left w:val="nil"/>
              <w:bottom w:val="nil"/>
              <w:right w:val="nil"/>
            </w:tcBorders>
            <w:shd w:val="clear" w:color="auto" w:fill="auto"/>
            <w:noWrap/>
            <w:vAlign w:val="bottom"/>
          </w:tcPr>
          <w:p w14:paraId="7D9E52C5" w14:textId="6230588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0.025</w:t>
            </w:r>
          </w:p>
        </w:tc>
        <w:tc>
          <w:tcPr>
            <w:tcW w:w="704" w:type="dxa"/>
            <w:tcBorders>
              <w:top w:val="nil"/>
              <w:left w:val="nil"/>
              <w:bottom w:val="nil"/>
              <w:right w:val="single" w:sz="4" w:space="0" w:color="auto"/>
            </w:tcBorders>
            <w:shd w:val="clear" w:color="auto" w:fill="auto"/>
            <w:noWrap/>
            <w:vAlign w:val="bottom"/>
          </w:tcPr>
          <w:p w14:paraId="3DDA4188" w14:textId="3F2F0E8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0.014</w:t>
            </w:r>
          </w:p>
        </w:tc>
        <w:tc>
          <w:tcPr>
            <w:tcW w:w="774" w:type="dxa"/>
            <w:tcBorders>
              <w:left w:val="nil"/>
              <w:right w:val="single" w:sz="4" w:space="0" w:color="auto"/>
            </w:tcBorders>
            <w:vAlign w:val="bottom"/>
          </w:tcPr>
          <w:p w14:paraId="7910E2E2" w14:textId="6EAF922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2.71</w:t>
            </w:r>
          </w:p>
        </w:tc>
        <w:tc>
          <w:tcPr>
            <w:tcW w:w="774" w:type="dxa"/>
            <w:tcBorders>
              <w:left w:val="single" w:sz="4" w:space="0" w:color="auto"/>
              <w:right w:val="single" w:sz="4" w:space="0" w:color="auto"/>
            </w:tcBorders>
            <w:vAlign w:val="bottom"/>
          </w:tcPr>
          <w:p w14:paraId="17DCE832" w14:textId="0691412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8.61</w:t>
            </w:r>
          </w:p>
        </w:tc>
        <w:tc>
          <w:tcPr>
            <w:tcW w:w="774" w:type="dxa"/>
            <w:tcBorders>
              <w:left w:val="single" w:sz="4" w:space="0" w:color="auto"/>
              <w:right w:val="single" w:sz="4" w:space="0" w:color="auto"/>
            </w:tcBorders>
            <w:vAlign w:val="bottom"/>
          </w:tcPr>
          <w:p w14:paraId="10C495D1" w14:textId="60878BB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0.217</w:t>
            </w:r>
          </w:p>
        </w:tc>
        <w:tc>
          <w:tcPr>
            <w:tcW w:w="774" w:type="dxa"/>
            <w:tcBorders>
              <w:left w:val="single" w:sz="4" w:space="0" w:color="auto"/>
              <w:right w:val="single" w:sz="4" w:space="0" w:color="auto"/>
            </w:tcBorders>
            <w:vAlign w:val="bottom"/>
          </w:tcPr>
          <w:p w14:paraId="60B4299F" w14:textId="6934EB22"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52.14</w:t>
            </w:r>
          </w:p>
        </w:tc>
        <w:tc>
          <w:tcPr>
            <w:tcW w:w="880" w:type="dxa"/>
            <w:tcBorders>
              <w:left w:val="single" w:sz="4" w:space="0" w:color="auto"/>
            </w:tcBorders>
            <w:vAlign w:val="bottom"/>
          </w:tcPr>
          <w:p w14:paraId="7AADA987" w14:textId="4B0783FB"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45.73</w:t>
            </w:r>
          </w:p>
        </w:tc>
      </w:tr>
      <w:tr w:rsidR="005E3F3C" w:rsidRPr="00A0555D" w14:paraId="70F598A7"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068EC56"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543F46BA" w14:textId="7A5F1D3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0.010</w:t>
            </w:r>
          </w:p>
        </w:tc>
        <w:tc>
          <w:tcPr>
            <w:tcW w:w="774" w:type="dxa"/>
            <w:tcBorders>
              <w:top w:val="nil"/>
              <w:left w:val="nil"/>
              <w:bottom w:val="single" w:sz="4" w:space="0" w:color="auto"/>
              <w:right w:val="nil"/>
            </w:tcBorders>
            <w:shd w:val="clear" w:color="auto" w:fill="auto"/>
            <w:noWrap/>
            <w:vAlign w:val="bottom"/>
          </w:tcPr>
          <w:p w14:paraId="1A894336" w14:textId="7259522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0.007</w:t>
            </w:r>
          </w:p>
        </w:tc>
        <w:tc>
          <w:tcPr>
            <w:tcW w:w="773" w:type="dxa"/>
            <w:tcBorders>
              <w:top w:val="nil"/>
              <w:left w:val="nil"/>
              <w:bottom w:val="single" w:sz="4" w:space="0" w:color="auto"/>
              <w:right w:val="nil"/>
            </w:tcBorders>
            <w:shd w:val="clear" w:color="auto" w:fill="auto"/>
            <w:noWrap/>
            <w:vAlign w:val="bottom"/>
          </w:tcPr>
          <w:p w14:paraId="1EE4373A" w14:textId="2DF1539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0.010</w:t>
            </w:r>
          </w:p>
        </w:tc>
        <w:tc>
          <w:tcPr>
            <w:tcW w:w="843" w:type="dxa"/>
            <w:tcBorders>
              <w:top w:val="nil"/>
              <w:left w:val="nil"/>
              <w:bottom w:val="single" w:sz="4" w:space="0" w:color="auto"/>
              <w:right w:val="nil"/>
            </w:tcBorders>
            <w:shd w:val="clear" w:color="auto" w:fill="auto"/>
            <w:noWrap/>
            <w:vAlign w:val="bottom"/>
          </w:tcPr>
          <w:p w14:paraId="34275FEC" w14:textId="1E20F57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0.023</w:t>
            </w:r>
          </w:p>
        </w:tc>
        <w:tc>
          <w:tcPr>
            <w:tcW w:w="704" w:type="dxa"/>
            <w:tcBorders>
              <w:top w:val="nil"/>
              <w:left w:val="nil"/>
              <w:bottom w:val="single" w:sz="4" w:space="0" w:color="auto"/>
              <w:right w:val="single" w:sz="4" w:space="0" w:color="auto"/>
            </w:tcBorders>
            <w:shd w:val="clear" w:color="auto" w:fill="auto"/>
            <w:noWrap/>
            <w:vAlign w:val="bottom"/>
          </w:tcPr>
          <w:p w14:paraId="6597AEE2" w14:textId="7175AAB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0.014</w:t>
            </w:r>
          </w:p>
        </w:tc>
        <w:tc>
          <w:tcPr>
            <w:tcW w:w="774" w:type="dxa"/>
            <w:tcBorders>
              <w:left w:val="nil"/>
              <w:bottom w:val="single" w:sz="4" w:space="0" w:color="auto"/>
              <w:right w:val="single" w:sz="4" w:space="0" w:color="auto"/>
            </w:tcBorders>
            <w:vAlign w:val="bottom"/>
          </w:tcPr>
          <w:p w14:paraId="071CFF41" w14:textId="7A29929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4.31</w:t>
            </w:r>
          </w:p>
        </w:tc>
        <w:tc>
          <w:tcPr>
            <w:tcW w:w="774" w:type="dxa"/>
            <w:tcBorders>
              <w:left w:val="single" w:sz="4" w:space="0" w:color="auto"/>
              <w:bottom w:val="single" w:sz="4" w:space="0" w:color="auto"/>
              <w:right w:val="single" w:sz="4" w:space="0" w:color="auto"/>
            </w:tcBorders>
            <w:vAlign w:val="bottom"/>
          </w:tcPr>
          <w:p w14:paraId="7E790A58" w14:textId="49C7569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6.37</w:t>
            </w:r>
          </w:p>
        </w:tc>
        <w:tc>
          <w:tcPr>
            <w:tcW w:w="774" w:type="dxa"/>
            <w:tcBorders>
              <w:left w:val="single" w:sz="4" w:space="0" w:color="auto"/>
              <w:bottom w:val="single" w:sz="4" w:space="0" w:color="auto"/>
              <w:right w:val="single" w:sz="4" w:space="0" w:color="auto"/>
            </w:tcBorders>
            <w:vAlign w:val="bottom"/>
          </w:tcPr>
          <w:p w14:paraId="048ED8D8" w14:textId="4A245D6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0.351</w:t>
            </w:r>
          </w:p>
        </w:tc>
        <w:tc>
          <w:tcPr>
            <w:tcW w:w="774" w:type="dxa"/>
            <w:tcBorders>
              <w:left w:val="single" w:sz="4" w:space="0" w:color="auto"/>
              <w:bottom w:val="single" w:sz="4" w:space="0" w:color="auto"/>
              <w:right w:val="single" w:sz="4" w:space="0" w:color="auto"/>
            </w:tcBorders>
            <w:vAlign w:val="bottom"/>
          </w:tcPr>
          <w:p w14:paraId="77218825" w14:textId="2F321616"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17.25</w:t>
            </w:r>
          </w:p>
        </w:tc>
        <w:tc>
          <w:tcPr>
            <w:tcW w:w="880" w:type="dxa"/>
            <w:tcBorders>
              <w:left w:val="single" w:sz="4" w:space="0" w:color="auto"/>
              <w:bottom w:val="single" w:sz="4" w:space="0" w:color="auto"/>
            </w:tcBorders>
            <w:vAlign w:val="bottom"/>
          </w:tcPr>
          <w:p w14:paraId="5C70DDB0" w14:textId="701FB6D8"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46.84</w:t>
            </w:r>
          </w:p>
        </w:tc>
      </w:tr>
      <w:tr w:rsidR="00AD5538" w:rsidRPr="00A0555D" w14:paraId="7B13B35A" w14:textId="77777777" w:rsidTr="00A13B8D">
        <w:trPr>
          <w:trHeight w:val="144"/>
        </w:trPr>
        <w:tc>
          <w:tcPr>
            <w:tcW w:w="1613" w:type="dxa"/>
            <w:tcBorders>
              <w:top w:val="single" w:sz="4" w:space="0" w:color="auto"/>
              <w:left w:val="nil"/>
              <w:bottom w:val="nil"/>
              <w:right w:val="single" w:sz="4" w:space="0" w:color="auto"/>
            </w:tcBorders>
            <w:shd w:val="clear" w:color="auto" w:fill="auto"/>
            <w:noWrap/>
            <w:vAlign w:val="bottom"/>
            <w:hideMark/>
          </w:tcPr>
          <w:p w14:paraId="18EE3834" w14:textId="77777777" w:rsidR="00AD5538" w:rsidRPr="00A0555D" w:rsidRDefault="00AD5538" w:rsidP="00874FCF">
            <w:pPr>
              <w:spacing w:before="0" w:after="0" w:line="240" w:lineRule="auto"/>
              <w:ind w:firstLine="0"/>
              <w:rPr>
                <w:rFonts w:eastAsia="Times New Roman"/>
                <w:b/>
                <w:bCs/>
                <w:color w:val="000000"/>
                <w:sz w:val="16"/>
                <w:szCs w:val="16"/>
                <w:lang w:bidi="ar-SA"/>
              </w:rPr>
            </w:pPr>
            <w:r w:rsidRPr="00A0555D">
              <w:rPr>
                <w:rFonts w:eastAsia="Times New Roman"/>
                <w:b/>
                <w:bCs/>
                <w:color w:val="000000"/>
                <w:sz w:val="16"/>
                <w:szCs w:val="16"/>
                <w:lang w:bidi="ar-SA"/>
              </w:rPr>
              <w:t>Dynamical (RCM)</w:t>
            </w:r>
          </w:p>
        </w:tc>
        <w:tc>
          <w:tcPr>
            <w:tcW w:w="767" w:type="dxa"/>
            <w:tcBorders>
              <w:top w:val="single" w:sz="4" w:space="0" w:color="auto"/>
              <w:left w:val="nil"/>
              <w:bottom w:val="nil"/>
              <w:right w:val="nil"/>
            </w:tcBorders>
            <w:shd w:val="clear" w:color="auto" w:fill="auto"/>
            <w:noWrap/>
            <w:vAlign w:val="bottom"/>
          </w:tcPr>
          <w:p w14:paraId="05EEEE59"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bottom w:val="nil"/>
              <w:right w:val="nil"/>
            </w:tcBorders>
            <w:shd w:val="clear" w:color="auto" w:fill="auto"/>
            <w:noWrap/>
            <w:vAlign w:val="bottom"/>
          </w:tcPr>
          <w:p w14:paraId="3A3A7C70"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3" w:type="dxa"/>
            <w:tcBorders>
              <w:top w:val="single" w:sz="4" w:space="0" w:color="auto"/>
              <w:left w:val="nil"/>
              <w:bottom w:val="nil"/>
              <w:right w:val="nil"/>
            </w:tcBorders>
            <w:shd w:val="clear" w:color="auto" w:fill="auto"/>
            <w:noWrap/>
            <w:vAlign w:val="bottom"/>
          </w:tcPr>
          <w:p w14:paraId="70C49FB0"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843" w:type="dxa"/>
            <w:tcBorders>
              <w:top w:val="single" w:sz="4" w:space="0" w:color="auto"/>
              <w:left w:val="nil"/>
              <w:bottom w:val="nil"/>
              <w:right w:val="nil"/>
            </w:tcBorders>
            <w:shd w:val="clear" w:color="auto" w:fill="auto"/>
            <w:noWrap/>
            <w:vAlign w:val="bottom"/>
          </w:tcPr>
          <w:p w14:paraId="422F1C52"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04" w:type="dxa"/>
            <w:tcBorders>
              <w:top w:val="single" w:sz="4" w:space="0" w:color="auto"/>
              <w:left w:val="nil"/>
              <w:bottom w:val="nil"/>
              <w:right w:val="single" w:sz="4" w:space="0" w:color="auto"/>
            </w:tcBorders>
            <w:shd w:val="clear" w:color="auto" w:fill="auto"/>
            <w:noWrap/>
            <w:vAlign w:val="bottom"/>
          </w:tcPr>
          <w:p w14:paraId="245E5985" w14:textId="77777777" w:rsidR="00AD5538" w:rsidRPr="00A0555D" w:rsidRDefault="00AD5538" w:rsidP="00874FCF">
            <w:pPr>
              <w:spacing w:before="0" w:after="0" w:line="240" w:lineRule="auto"/>
              <w:ind w:firstLine="0"/>
              <w:jc w:val="center"/>
              <w:rPr>
                <w:rFonts w:eastAsia="Times New Roman"/>
                <w:color w:val="000000"/>
                <w:sz w:val="16"/>
                <w:szCs w:val="16"/>
                <w:lang w:bidi="ar-SA"/>
              </w:rPr>
            </w:pPr>
          </w:p>
        </w:tc>
        <w:tc>
          <w:tcPr>
            <w:tcW w:w="774" w:type="dxa"/>
            <w:tcBorders>
              <w:top w:val="single" w:sz="4" w:space="0" w:color="auto"/>
              <w:left w:val="nil"/>
              <w:right w:val="single" w:sz="4" w:space="0" w:color="auto"/>
            </w:tcBorders>
            <w:vAlign w:val="bottom"/>
          </w:tcPr>
          <w:p w14:paraId="529D1417"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6F1888D9"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1B46EC83"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right w:val="single" w:sz="4" w:space="0" w:color="auto"/>
            </w:tcBorders>
            <w:vAlign w:val="bottom"/>
          </w:tcPr>
          <w:p w14:paraId="0AEC24DA" w14:textId="77777777" w:rsidR="00AD5538" w:rsidRPr="006016B0" w:rsidRDefault="00AD5538" w:rsidP="006016B0">
            <w:pPr>
              <w:tabs>
                <w:tab w:val="decimal" w:pos="282"/>
              </w:tabs>
              <w:spacing w:before="0" w:after="0" w:line="240" w:lineRule="auto"/>
              <w:ind w:firstLine="0"/>
              <w:rPr>
                <w:color w:val="000000"/>
                <w:sz w:val="16"/>
                <w:szCs w:val="16"/>
              </w:rPr>
            </w:pPr>
          </w:p>
        </w:tc>
        <w:tc>
          <w:tcPr>
            <w:tcW w:w="880" w:type="dxa"/>
            <w:tcBorders>
              <w:top w:val="single" w:sz="4" w:space="0" w:color="auto"/>
              <w:left w:val="single" w:sz="4" w:space="0" w:color="auto"/>
            </w:tcBorders>
            <w:vAlign w:val="bottom"/>
          </w:tcPr>
          <w:p w14:paraId="204E68B5" w14:textId="77777777" w:rsidR="00AD5538" w:rsidRPr="009355EE" w:rsidRDefault="00AD5538" w:rsidP="006016B0">
            <w:pPr>
              <w:tabs>
                <w:tab w:val="decimal" w:pos="318"/>
              </w:tabs>
              <w:spacing w:before="0" w:after="0" w:line="240" w:lineRule="auto"/>
              <w:ind w:firstLine="0"/>
              <w:rPr>
                <w:rFonts w:eastAsia="Times New Roman"/>
                <w:color w:val="000000"/>
                <w:sz w:val="16"/>
                <w:szCs w:val="16"/>
                <w:lang w:bidi="ar-SA"/>
              </w:rPr>
            </w:pPr>
          </w:p>
        </w:tc>
      </w:tr>
      <w:tr w:rsidR="005E3F3C" w:rsidRPr="00A0555D" w14:paraId="6FFEEF87"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DD48E77"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top w:val="nil"/>
              <w:left w:val="nil"/>
              <w:bottom w:val="nil"/>
              <w:right w:val="nil"/>
            </w:tcBorders>
            <w:shd w:val="clear" w:color="auto" w:fill="auto"/>
            <w:noWrap/>
            <w:vAlign w:val="bottom"/>
          </w:tcPr>
          <w:p w14:paraId="1E6A2DFE" w14:textId="5C52A0A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0.025</w:t>
            </w:r>
          </w:p>
        </w:tc>
        <w:tc>
          <w:tcPr>
            <w:tcW w:w="774" w:type="dxa"/>
            <w:tcBorders>
              <w:top w:val="nil"/>
              <w:left w:val="nil"/>
              <w:bottom w:val="nil"/>
              <w:right w:val="nil"/>
            </w:tcBorders>
            <w:shd w:val="clear" w:color="auto" w:fill="auto"/>
            <w:noWrap/>
            <w:vAlign w:val="bottom"/>
          </w:tcPr>
          <w:p w14:paraId="6A733D0A" w14:textId="6752807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0.017</w:t>
            </w:r>
          </w:p>
        </w:tc>
        <w:tc>
          <w:tcPr>
            <w:tcW w:w="773" w:type="dxa"/>
            <w:tcBorders>
              <w:top w:val="nil"/>
              <w:left w:val="nil"/>
              <w:bottom w:val="nil"/>
              <w:right w:val="nil"/>
            </w:tcBorders>
            <w:shd w:val="clear" w:color="auto" w:fill="auto"/>
            <w:noWrap/>
            <w:vAlign w:val="bottom"/>
          </w:tcPr>
          <w:p w14:paraId="61F9ABAE" w14:textId="032956C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0.026</w:t>
            </w:r>
          </w:p>
        </w:tc>
        <w:tc>
          <w:tcPr>
            <w:tcW w:w="843" w:type="dxa"/>
            <w:tcBorders>
              <w:top w:val="nil"/>
              <w:left w:val="nil"/>
              <w:bottom w:val="nil"/>
              <w:right w:val="nil"/>
            </w:tcBorders>
            <w:shd w:val="clear" w:color="auto" w:fill="auto"/>
            <w:noWrap/>
            <w:vAlign w:val="bottom"/>
          </w:tcPr>
          <w:p w14:paraId="423C2680" w14:textId="00F1B11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0.034</w:t>
            </w:r>
          </w:p>
        </w:tc>
        <w:tc>
          <w:tcPr>
            <w:tcW w:w="704" w:type="dxa"/>
            <w:tcBorders>
              <w:top w:val="nil"/>
              <w:left w:val="nil"/>
              <w:bottom w:val="nil"/>
              <w:right w:val="single" w:sz="4" w:space="0" w:color="auto"/>
            </w:tcBorders>
            <w:shd w:val="clear" w:color="auto" w:fill="auto"/>
            <w:noWrap/>
            <w:vAlign w:val="bottom"/>
          </w:tcPr>
          <w:p w14:paraId="189DD2BF" w14:textId="34DF151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0.025</w:t>
            </w:r>
          </w:p>
        </w:tc>
        <w:tc>
          <w:tcPr>
            <w:tcW w:w="774" w:type="dxa"/>
            <w:tcBorders>
              <w:left w:val="nil"/>
              <w:right w:val="single" w:sz="4" w:space="0" w:color="auto"/>
            </w:tcBorders>
            <w:vAlign w:val="bottom"/>
          </w:tcPr>
          <w:p w14:paraId="79AA9F7B" w14:textId="0BB65D6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5.37</w:t>
            </w:r>
          </w:p>
        </w:tc>
        <w:tc>
          <w:tcPr>
            <w:tcW w:w="774" w:type="dxa"/>
            <w:tcBorders>
              <w:left w:val="single" w:sz="4" w:space="0" w:color="auto"/>
              <w:right w:val="single" w:sz="4" w:space="0" w:color="auto"/>
            </w:tcBorders>
            <w:vAlign w:val="bottom"/>
          </w:tcPr>
          <w:p w14:paraId="21B5376F" w14:textId="6E2AFA3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9.57</w:t>
            </w:r>
          </w:p>
        </w:tc>
        <w:tc>
          <w:tcPr>
            <w:tcW w:w="774" w:type="dxa"/>
            <w:tcBorders>
              <w:left w:val="single" w:sz="4" w:space="0" w:color="auto"/>
              <w:right w:val="single" w:sz="4" w:space="0" w:color="auto"/>
            </w:tcBorders>
            <w:vAlign w:val="bottom"/>
          </w:tcPr>
          <w:p w14:paraId="401C59A4" w14:textId="01CEAF4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0.161</w:t>
            </w:r>
          </w:p>
        </w:tc>
        <w:tc>
          <w:tcPr>
            <w:tcW w:w="774" w:type="dxa"/>
            <w:tcBorders>
              <w:left w:val="single" w:sz="4" w:space="0" w:color="auto"/>
              <w:right w:val="single" w:sz="4" w:space="0" w:color="auto"/>
            </w:tcBorders>
            <w:vAlign w:val="bottom"/>
          </w:tcPr>
          <w:p w14:paraId="1AA7CAE3" w14:textId="3A0C5A4A"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53.73</w:t>
            </w:r>
          </w:p>
        </w:tc>
        <w:tc>
          <w:tcPr>
            <w:tcW w:w="880" w:type="dxa"/>
            <w:tcBorders>
              <w:left w:val="single" w:sz="4" w:space="0" w:color="auto"/>
            </w:tcBorders>
            <w:vAlign w:val="bottom"/>
          </w:tcPr>
          <w:p w14:paraId="321F25EE" w14:textId="5612E23C"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9.19</w:t>
            </w:r>
          </w:p>
        </w:tc>
      </w:tr>
      <w:tr w:rsidR="005E3F3C" w:rsidRPr="00A0555D" w14:paraId="513A8BD1"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2238069B"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5A6225D3" w14:textId="55D0D32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0.038</w:t>
            </w:r>
          </w:p>
        </w:tc>
        <w:tc>
          <w:tcPr>
            <w:tcW w:w="774" w:type="dxa"/>
            <w:tcBorders>
              <w:top w:val="nil"/>
              <w:left w:val="nil"/>
              <w:bottom w:val="nil"/>
              <w:right w:val="nil"/>
            </w:tcBorders>
            <w:shd w:val="clear" w:color="auto" w:fill="auto"/>
            <w:noWrap/>
            <w:vAlign w:val="bottom"/>
          </w:tcPr>
          <w:p w14:paraId="0251EE5E" w14:textId="61B3228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0.042</w:t>
            </w:r>
          </w:p>
        </w:tc>
        <w:tc>
          <w:tcPr>
            <w:tcW w:w="773" w:type="dxa"/>
            <w:tcBorders>
              <w:top w:val="nil"/>
              <w:left w:val="nil"/>
              <w:bottom w:val="nil"/>
              <w:right w:val="nil"/>
            </w:tcBorders>
            <w:shd w:val="clear" w:color="auto" w:fill="auto"/>
            <w:noWrap/>
            <w:vAlign w:val="bottom"/>
          </w:tcPr>
          <w:p w14:paraId="1C32300B" w14:textId="1C7E480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0.045</w:t>
            </w:r>
          </w:p>
        </w:tc>
        <w:tc>
          <w:tcPr>
            <w:tcW w:w="843" w:type="dxa"/>
            <w:tcBorders>
              <w:top w:val="nil"/>
              <w:left w:val="nil"/>
              <w:bottom w:val="nil"/>
              <w:right w:val="nil"/>
            </w:tcBorders>
            <w:shd w:val="clear" w:color="auto" w:fill="auto"/>
            <w:noWrap/>
            <w:vAlign w:val="bottom"/>
          </w:tcPr>
          <w:p w14:paraId="4C69C9B3" w14:textId="6008511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0.030</w:t>
            </w:r>
          </w:p>
        </w:tc>
        <w:tc>
          <w:tcPr>
            <w:tcW w:w="704" w:type="dxa"/>
            <w:tcBorders>
              <w:top w:val="nil"/>
              <w:left w:val="nil"/>
              <w:bottom w:val="nil"/>
              <w:right w:val="single" w:sz="4" w:space="0" w:color="auto"/>
            </w:tcBorders>
            <w:shd w:val="clear" w:color="auto" w:fill="auto"/>
            <w:noWrap/>
            <w:vAlign w:val="bottom"/>
          </w:tcPr>
          <w:p w14:paraId="116BAF3F" w14:textId="5454A81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0.033</w:t>
            </w:r>
          </w:p>
        </w:tc>
        <w:tc>
          <w:tcPr>
            <w:tcW w:w="774" w:type="dxa"/>
            <w:tcBorders>
              <w:left w:val="nil"/>
              <w:right w:val="single" w:sz="4" w:space="0" w:color="auto"/>
            </w:tcBorders>
            <w:vAlign w:val="bottom"/>
          </w:tcPr>
          <w:p w14:paraId="6B2EC7D8" w14:textId="71263A56"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4.14</w:t>
            </w:r>
          </w:p>
        </w:tc>
        <w:tc>
          <w:tcPr>
            <w:tcW w:w="774" w:type="dxa"/>
            <w:tcBorders>
              <w:left w:val="single" w:sz="4" w:space="0" w:color="auto"/>
              <w:right w:val="single" w:sz="4" w:space="0" w:color="auto"/>
            </w:tcBorders>
            <w:vAlign w:val="bottom"/>
          </w:tcPr>
          <w:p w14:paraId="7CB5A000" w14:textId="6298DA6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1.99</w:t>
            </w:r>
          </w:p>
        </w:tc>
        <w:tc>
          <w:tcPr>
            <w:tcW w:w="774" w:type="dxa"/>
            <w:tcBorders>
              <w:left w:val="single" w:sz="4" w:space="0" w:color="auto"/>
              <w:right w:val="single" w:sz="4" w:space="0" w:color="auto"/>
            </w:tcBorders>
            <w:vAlign w:val="bottom"/>
          </w:tcPr>
          <w:p w14:paraId="5EC82DFD" w14:textId="1CFF4DD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0.090</w:t>
            </w:r>
          </w:p>
        </w:tc>
        <w:tc>
          <w:tcPr>
            <w:tcW w:w="774" w:type="dxa"/>
            <w:tcBorders>
              <w:left w:val="single" w:sz="4" w:space="0" w:color="auto"/>
              <w:right w:val="single" w:sz="4" w:space="0" w:color="auto"/>
            </w:tcBorders>
            <w:vAlign w:val="bottom"/>
          </w:tcPr>
          <w:p w14:paraId="409924D7" w14:textId="30739587"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58.78</w:t>
            </w:r>
          </w:p>
        </w:tc>
        <w:tc>
          <w:tcPr>
            <w:tcW w:w="880" w:type="dxa"/>
            <w:tcBorders>
              <w:left w:val="single" w:sz="4" w:space="0" w:color="auto"/>
            </w:tcBorders>
            <w:vAlign w:val="bottom"/>
          </w:tcPr>
          <w:p w14:paraId="4E273574" w14:textId="095A7306"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16.19</w:t>
            </w:r>
          </w:p>
        </w:tc>
      </w:tr>
      <w:tr w:rsidR="005E3F3C" w:rsidRPr="00A0555D" w14:paraId="0D9A6363"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E12A140"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3BC0E34D" w14:textId="393C424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0.050</w:t>
            </w:r>
          </w:p>
        </w:tc>
        <w:tc>
          <w:tcPr>
            <w:tcW w:w="774" w:type="dxa"/>
            <w:tcBorders>
              <w:top w:val="nil"/>
              <w:left w:val="nil"/>
              <w:bottom w:val="nil"/>
              <w:right w:val="nil"/>
            </w:tcBorders>
            <w:shd w:val="clear" w:color="auto" w:fill="auto"/>
            <w:noWrap/>
            <w:vAlign w:val="bottom"/>
          </w:tcPr>
          <w:p w14:paraId="71DCCCA6" w14:textId="0B6D3E7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0.035</w:t>
            </w:r>
          </w:p>
        </w:tc>
        <w:tc>
          <w:tcPr>
            <w:tcW w:w="773" w:type="dxa"/>
            <w:tcBorders>
              <w:top w:val="nil"/>
              <w:left w:val="nil"/>
              <w:bottom w:val="nil"/>
              <w:right w:val="nil"/>
            </w:tcBorders>
            <w:shd w:val="clear" w:color="auto" w:fill="auto"/>
            <w:noWrap/>
            <w:vAlign w:val="bottom"/>
          </w:tcPr>
          <w:p w14:paraId="3EA3E7AD" w14:textId="0CF8F5B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0.053</w:t>
            </w:r>
          </w:p>
        </w:tc>
        <w:tc>
          <w:tcPr>
            <w:tcW w:w="843" w:type="dxa"/>
            <w:tcBorders>
              <w:top w:val="nil"/>
              <w:left w:val="nil"/>
              <w:bottom w:val="nil"/>
              <w:right w:val="nil"/>
            </w:tcBorders>
            <w:shd w:val="clear" w:color="auto" w:fill="auto"/>
            <w:noWrap/>
            <w:vAlign w:val="bottom"/>
          </w:tcPr>
          <w:p w14:paraId="30FBBCED" w14:textId="2EECEB6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0.071</w:t>
            </w:r>
          </w:p>
        </w:tc>
        <w:tc>
          <w:tcPr>
            <w:tcW w:w="704" w:type="dxa"/>
            <w:tcBorders>
              <w:top w:val="nil"/>
              <w:left w:val="nil"/>
              <w:bottom w:val="nil"/>
              <w:right w:val="single" w:sz="4" w:space="0" w:color="auto"/>
            </w:tcBorders>
            <w:shd w:val="clear" w:color="auto" w:fill="auto"/>
            <w:noWrap/>
            <w:vAlign w:val="bottom"/>
          </w:tcPr>
          <w:p w14:paraId="448BAB36" w14:textId="45DD9FC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0.039</w:t>
            </w:r>
          </w:p>
        </w:tc>
        <w:tc>
          <w:tcPr>
            <w:tcW w:w="774" w:type="dxa"/>
            <w:tcBorders>
              <w:left w:val="nil"/>
              <w:right w:val="single" w:sz="4" w:space="0" w:color="auto"/>
            </w:tcBorders>
            <w:vAlign w:val="bottom"/>
          </w:tcPr>
          <w:p w14:paraId="3D340BA9" w14:textId="6DFB63F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8.55</w:t>
            </w:r>
          </w:p>
        </w:tc>
        <w:tc>
          <w:tcPr>
            <w:tcW w:w="774" w:type="dxa"/>
            <w:tcBorders>
              <w:left w:val="single" w:sz="4" w:space="0" w:color="auto"/>
              <w:right w:val="single" w:sz="4" w:space="0" w:color="auto"/>
            </w:tcBorders>
            <w:vAlign w:val="bottom"/>
          </w:tcPr>
          <w:p w14:paraId="10B03275" w14:textId="6036590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4.17</w:t>
            </w:r>
          </w:p>
        </w:tc>
        <w:tc>
          <w:tcPr>
            <w:tcW w:w="774" w:type="dxa"/>
            <w:tcBorders>
              <w:left w:val="single" w:sz="4" w:space="0" w:color="auto"/>
              <w:right w:val="single" w:sz="4" w:space="0" w:color="auto"/>
            </w:tcBorders>
            <w:vAlign w:val="bottom"/>
          </w:tcPr>
          <w:p w14:paraId="528C60BC" w14:textId="2001AC1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0.091</w:t>
            </w:r>
          </w:p>
        </w:tc>
        <w:tc>
          <w:tcPr>
            <w:tcW w:w="774" w:type="dxa"/>
            <w:tcBorders>
              <w:left w:val="single" w:sz="4" w:space="0" w:color="auto"/>
              <w:right w:val="single" w:sz="4" w:space="0" w:color="auto"/>
            </w:tcBorders>
            <w:vAlign w:val="bottom"/>
          </w:tcPr>
          <w:p w14:paraId="6E67E8E8" w14:textId="5B5C4DDE"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73.29</w:t>
            </w:r>
          </w:p>
        </w:tc>
        <w:tc>
          <w:tcPr>
            <w:tcW w:w="880" w:type="dxa"/>
            <w:tcBorders>
              <w:left w:val="single" w:sz="4" w:space="0" w:color="auto"/>
            </w:tcBorders>
            <w:vAlign w:val="bottom"/>
          </w:tcPr>
          <w:p w14:paraId="235EF99B" w14:textId="7B34E78B"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6.80</w:t>
            </w:r>
          </w:p>
        </w:tc>
      </w:tr>
      <w:tr w:rsidR="005E3F3C" w:rsidRPr="00A0555D" w14:paraId="5E06BF12"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6E389A7"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1224D0D2" w14:textId="4B825A1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0.031</w:t>
            </w:r>
          </w:p>
        </w:tc>
        <w:tc>
          <w:tcPr>
            <w:tcW w:w="774" w:type="dxa"/>
            <w:tcBorders>
              <w:top w:val="nil"/>
              <w:left w:val="nil"/>
              <w:bottom w:val="nil"/>
              <w:right w:val="nil"/>
            </w:tcBorders>
            <w:shd w:val="clear" w:color="auto" w:fill="auto"/>
            <w:noWrap/>
            <w:vAlign w:val="bottom"/>
          </w:tcPr>
          <w:p w14:paraId="296BB33A" w14:textId="251EBBC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0.035</w:t>
            </w:r>
          </w:p>
        </w:tc>
        <w:tc>
          <w:tcPr>
            <w:tcW w:w="773" w:type="dxa"/>
            <w:tcBorders>
              <w:top w:val="nil"/>
              <w:left w:val="nil"/>
              <w:bottom w:val="nil"/>
              <w:right w:val="nil"/>
            </w:tcBorders>
            <w:shd w:val="clear" w:color="auto" w:fill="auto"/>
            <w:noWrap/>
            <w:vAlign w:val="bottom"/>
          </w:tcPr>
          <w:p w14:paraId="23C76E9F" w14:textId="0F93A12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0.039</w:t>
            </w:r>
          </w:p>
        </w:tc>
        <w:tc>
          <w:tcPr>
            <w:tcW w:w="843" w:type="dxa"/>
            <w:tcBorders>
              <w:top w:val="nil"/>
              <w:left w:val="nil"/>
              <w:bottom w:val="nil"/>
              <w:right w:val="nil"/>
            </w:tcBorders>
            <w:shd w:val="clear" w:color="auto" w:fill="auto"/>
            <w:noWrap/>
            <w:vAlign w:val="bottom"/>
          </w:tcPr>
          <w:p w14:paraId="34EB863B" w14:textId="373162E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0.031</w:t>
            </w:r>
          </w:p>
        </w:tc>
        <w:tc>
          <w:tcPr>
            <w:tcW w:w="704" w:type="dxa"/>
            <w:tcBorders>
              <w:top w:val="nil"/>
              <w:left w:val="nil"/>
              <w:bottom w:val="nil"/>
              <w:right w:val="single" w:sz="4" w:space="0" w:color="auto"/>
            </w:tcBorders>
            <w:shd w:val="clear" w:color="auto" w:fill="auto"/>
            <w:noWrap/>
            <w:vAlign w:val="bottom"/>
          </w:tcPr>
          <w:p w14:paraId="4A894F50" w14:textId="17900BB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0.019</w:t>
            </w:r>
          </w:p>
        </w:tc>
        <w:tc>
          <w:tcPr>
            <w:tcW w:w="774" w:type="dxa"/>
            <w:tcBorders>
              <w:left w:val="nil"/>
              <w:right w:val="single" w:sz="4" w:space="0" w:color="auto"/>
            </w:tcBorders>
            <w:vAlign w:val="bottom"/>
          </w:tcPr>
          <w:p w14:paraId="10B48DA7" w14:textId="37A3A7D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2.45</w:t>
            </w:r>
          </w:p>
        </w:tc>
        <w:tc>
          <w:tcPr>
            <w:tcW w:w="774" w:type="dxa"/>
            <w:tcBorders>
              <w:left w:val="single" w:sz="4" w:space="0" w:color="auto"/>
              <w:right w:val="single" w:sz="4" w:space="0" w:color="auto"/>
            </w:tcBorders>
            <w:vAlign w:val="bottom"/>
          </w:tcPr>
          <w:p w14:paraId="79AAEE1F" w14:textId="1C6BF0E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4.39</w:t>
            </w:r>
          </w:p>
        </w:tc>
        <w:tc>
          <w:tcPr>
            <w:tcW w:w="774" w:type="dxa"/>
            <w:tcBorders>
              <w:left w:val="single" w:sz="4" w:space="0" w:color="auto"/>
              <w:right w:val="single" w:sz="4" w:space="0" w:color="auto"/>
            </w:tcBorders>
            <w:vAlign w:val="bottom"/>
          </w:tcPr>
          <w:p w14:paraId="2D7E0CC8" w14:textId="74058E0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0.039</w:t>
            </w:r>
          </w:p>
        </w:tc>
        <w:tc>
          <w:tcPr>
            <w:tcW w:w="774" w:type="dxa"/>
            <w:tcBorders>
              <w:left w:val="single" w:sz="4" w:space="0" w:color="auto"/>
              <w:right w:val="single" w:sz="4" w:space="0" w:color="auto"/>
            </w:tcBorders>
            <w:vAlign w:val="bottom"/>
          </w:tcPr>
          <w:p w14:paraId="57BD0F53" w14:textId="1B2D037E"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47.91</w:t>
            </w:r>
          </w:p>
        </w:tc>
        <w:tc>
          <w:tcPr>
            <w:tcW w:w="880" w:type="dxa"/>
            <w:tcBorders>
              <w:left w:val="single" w:sz="4" w:space="0" w:color="auto"/>
            </w:tcBorders>
            <w:vAlign w:val="bottom"/>
          </w:tcPr>
          <w:p w14:paraId="0B01C59D" w14:textId="14279B83"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3.76</w:t>
            </w:r>
          </w:p>
        </w:tc>
      </w:tr>
      <w:tr w:rsidR="005E3F3C" w:rsidRPr="00A0555D" w14:paraId="61F5EB6D"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43DD07BB"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117E63E2" w14:textId="6B924BE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0.045</w:t>
            </w:r>
          </w:p>
        </w:tc>
        <w:tc>
          <w:tcPr>
            <w:tcW w:w="774" w:type="dxa"/>
            <w:tcBorders>
              <w:top w:val="nil"/>
              <w:left w:val="nil"/>
              <w:bottom w:val="nil"/>
              <w:right w:val="nil"/>
            </w:tcBorders>
            <w:shd w:val="clear" w:color="auto" w:fill="auto"/>
            <w:noWrap/>
            <w:vAlign w:val="bottom"/>
          </w:tcPr>
          <w:p w14:paraId="38CA8B80" w14:textId="6387580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0.041</w:t>
            </w:r>
          </w:p>
        </w:tc>
        <w:tc>
          <w:tcPr>
            <w:tcW w:w="773" w:type="dxa"/>
            <w:tcBorders>
              <w:top w:val="nil"/>
              <w:left w:val="nil"/>
              <w:bottom w:val="nil"/>
              <w:right w:val="nil"/>
            </w:tcBorders>
            <w:shd w:val="clear" w:color="auto" w:fill="auto"/>
            <w:noWrap/>
            <w:vAlign w:val="bottom"/>
          </w:tcPr>
          <w:p w14:paraId="4D568265" w14:textId="11E5044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0.058</w:t>
            </w:r>
          </w:p>
        </w:tc>
        <w:tc>
          <w:tcPr>
            <w:tcW w:w="843" w:type="dxa"/>
            <w:tcBorders>
              <w:top w:val="nil"/>
              <w:left w:val="nil"/>
              <w:bottom w:val="nil"/>
              <w:right w:val="nil"/>
            </w:tcBorders>
            <w:shd w:val="clear" w:color="auto" w:fill="auto"/>
            <w:noWrap/>
            <w:vAlign w:val="bottom"/>
          </w:tcPr>
          <w:p w14:paraId="0AD52ED1" w14:textId="155A19C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0.041</w:t>
            </w:r>
          </w:p>
        </w:tc>
        <w:tc>
          <w:tcPr>
            <w:tcW w:w="704" w:type="dxa"/>
            <w:tcBorders>
              <w:top w:val="nil"/>
              <w:left w:val="nil"/>
              <w:bottom w:val="nil"/>
              <w:right w:val="single" w:sz="4" w:space="0" w:color="auto"/>
            </w:tcBorders>
            <w:shd w:val="clear" w:color="auto" w:fill="auto"/>
            <w:noWrap/>
            <w:vAlign w:val="bottom"/>
          </w:tcPr>
          <w:p w14:paraId="2F71BE66" w14:textId="58347CA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0.041</w:t>
            </w:r>
          </w:p>
        </w:tc>
        <w:tc>
          <w:tcPr>
            <w:tcW w:w="774" w:type="dxa"/>
            <w:tcBorders>
              <w:left w:val="nil"/>
              <w:right w:val="single" w:sz="4" w:space="0" w:color="auto"/>
            </w:tcBorders>
            <w:vAlign w:val="bottom"/>
          </w:tcPr>
          <w:p w14:paraId="39A22AEB" w14:textId="4E859DC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4.84</w:t>
            </w:r>
          </w:p>
        </w:tc>
        <w:tc>
          <w:tcPr>
            <w:tcW w:w="774" w:type="dxa"/>
            <w:tcBorders>
              <w:left w:val="single" w:sz="4" w:space="0" w:color="auto"/>
              <w:right w:val="single" w:sz="4" w:space="0" w:color="auto"/>
            </w:tcBorders>
            <w:vAlign w:val="bottom"/>
          </w:tcPr>
          <w:p w14:paraId="1D554760" w14:textId="340E8A8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0.78</w:t>
            </w:r>
          </w:p>
        </w:tc>
        <w:tc>
          <w:tcPr>
            <w:tcW w:w="774" w:type="dxa"/>
            <w:tcBorders>
              <w:left w:val="single" w:sz="4" w:space="0" w:color="auto"/>
              <w:right w:val="single" w:sz="4" w:space="0" w:color="auto"/>
            </w:tcBorders>
            <w:vAlign w:val="bottom"/>
          </w:tcPr>
          <w:p w14:paraId="6B9FE4B8" w14:textId="77027CB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0.039</w:t>
            </w:r>
          </w:p>
        </w:tc>
        <w:tc>
          <w:tcPr>
            <w:tcW w:w="774" w:type="dxa"/>
            <w:tcBorders>
              <w:left w:val="single" w:sz="4" w:space="0" w:color="auto"/>
              <w:right w:val="single" w:sz="4" w:space="0" w:color="auto"/>
            </w:tcBorders>
            <w:vAlign w:val="bottom"/>
          </w:tcPr>
          <w:p w14:paraId="7016658B" w14:textId="66F7C1F4"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63.41</w:t>
            </w:r>
          </w:p>
        </w:tc>
        <w:tc>
          <w:tcPr>
            <w:tcW w:w="880" w:type="dxa"/>
            <w:tcBorders>
              <w:left w:val="single" w:sz="4" w:space="0" w:color="auto"/>
            </w:tcBorders>
            <w:vAlign w:val="bottom"/>
          </w:tcPr>
          <w:p w14:paraId="26428BB2" w14:textId="35772C68"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17.71</w:t>
            </w:r>
          </w:p>
        </w:tc>
      </w:tr>
      <w:tr w:rsidR="005E3F3C" w:rsidRPr="00A0555D" w14:paraId="73B90E00"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3255A48B"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1A962A36" w14:textId="47941E5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0.022</w:t>
            </w:r>
          </w:p>
        </w:tc>
        <w:tc>
          <w:tcPr>
            <w:tcW w:w="774" w:type="dxa"/>
            <w:tcBorders>
              <w:top w:val="nil"/>
              <w:left w:val="nil"/>
              <w:bottom w:val="single" w:sz="4" w:space="0" w:color="auto"/>
              <w:right w:val="nil"/>
            </w:tcBorders>
            <w:shd w:val="clear" w:color="auto" w:fill="auto"/>
            <w:noWrap/>
            <w:vAlign w:val="bottom"/>
          </w:tcPr>
          <w:p w14:paraId="0DDE188F" w14:textId="478CD79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0.026</w:t>
            </w:r>
          </w:p>
        </w:tc>
        <w:tc>
          <w:tcPr>
            <w:tcW w:w="773" w:type="dxa"/>
            <w:tcBorders>
              <w:top w:val="nil"/>
              <w:left w:val="nil"/>
              <w:bottom w:val="single" w:sz="4" w:space="0" w:color="auto"/>
              <w:right w:val="nil"/>
            </w:tcBorders>
            <w:shd w:val="clear" w:color="auto" w:fill="auto"/>
            <w:noWrap/>
            <w:vAlign w:val="bottom"/>
          </w:tcPr>
          <w:p w14:paraId="1C60EF9B" w14:textId="788BE39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0.028</w:t>
            </w:r>
          </w:p>
        </w:tc>
        <w:tc>
          <w:tcPr>
            <w:tcW w:w="843" w:type="dxa"/>
            <w:tcBorders>
              <w:top w:val="nil"/>
              <w:left w:val="nil"/>
              <w:bottom w:val="single" w:sz="4" w:space="0" w:color="auto"/>
              <w:right w:val="nil"/>
            </w:tcBorders>
            <w:shd w:val="clear" w:color="auto" w:fill="auto"/>
            <w:noWrap/>
            <w:vAlign w:val="bottom"/>
          </w:tcPr>
          <w:p w14:paraId="4DD4D5FD" w14:textId="17423FC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0.020</w:t>
            </w:r>
          </w:p>
        </w:tc>
        <w:tc>
          <w:tcPr>
            <w:tcW w:w="704" w:type="dxa"/>
            <w:tcBorders>
              <w:top w:val="nil"/>
              <w:left w:val="nil"/>
              <w:bottom w:val="single" w:sz="4" w:space="0" w:color="auto"/>
              <w:right w:val="single" w:sz="4" w:space="0" w:color="auto"/>
            </w:tcBorders>
            <w:shd w:val="clear" w:color="auto" w:fill="auto"/>
            <w:noWrap/>
            <w:vAlign w:val="bottom"/>
          </w:tcPr>
          <w:p w14:paraId="79222C17" w14:textId="55A4728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0.015</w:t>
            </w:r>
          </w:p>
        </w:tc>
        <w:tc>
          <w:tcPr>
            <w:tcW w:w="774" w:type="dxa"/>
            <w:tcBorders>
              <w:left w:val="nil"/>
              <w:bottom w:val="single" w:sz="4" w:space="0" w:color="auto"/>
              <w:right w:val="single" w:sz="4" w:space="0" w:color="auto"/>
            </w:tcBorders>
            <w:vAlign w:val="bottom"/>
          </w:tcPr>
          <w:p w14:paraId="2F025EC0" w14:textId="37EF66F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0.88</w:t>
            </w:r>
          </w:p>
        </w:tc>
        <w:tc>
          <w:tcPr>
            <w:tcW w:w="774" w:type="dxa"/>
            <w:tcBorders>
              <w:left w:val="single" w:sz="4" w:space="0" w:color="auto"/>
              <w:bottom w:val="single" w:sz="4" w:space="0" w:color="auto"/>
              <w:right w:val="single" w:sz="4" w:space="0" w:color="auto"/>
            </w:tcBorders>
            <w:vAlign w:val="bottom"/>
          </w:tcPr>
          <w:p w14:paraId="08F9B0EA" w14:textId="764E4C7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0.01</w:t>
            </w:r>
          </w:p>
        </w:tc>
        <w:tc>
          <w:tcPr>
            <w:tcW w:w="774" w:type="dxa"/>
            <w:tcBorders>
              <w:left w:val="single" w:sz="4" w:space="0" w:color="auto"/>
              <w:bottom w:val="single" w:sz="4" w:space="0" w:color="auto"/>
              <w:right w:val="single" w:sz="4" w:space="0" w:color="auto"/>
            </w:tcBorders>
            <w:vAlign w:val="bottom"/>
          </w:tcPr>
          <w:p w14:paraId="6E04A738" w14:textId="34D7CA7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0.118</w:t>
            </w:r>
          </w:p>
        </w:tc>
        <w:tc>
          <w:tcPr>
            <w:tcW w:w="774" w:type="dxa"/>
            <w:tcBorders>
              <w:left w:val="single" w:sz="4" w:space="0" w:color="auto"/>
              <w:bottom w:val="single" w:sz="4" w:space="0" w:color="auto"/>
              <w:right w:val="single" w:sz="4" w:space="0" w:color="auto"/>
            </w:tcBorders>
            <w:vAlign w:val="bottom"/>
          </w:tcPr>
          <w:p w14:paraId="4390019C" w14:textId="4F7C4BF7" w:rsidR="005E3F3C" w:rsidRPr="006016B0" w:rsidRDefault="005E3F3C" w:rsidP="006016B0">
            <w:pPr>
              <w:tabs>
                <w:tab w:val="decimal" w:pos="282"/>
              </w:tabs>
              <w:spacing w:before="0" w:after="0" w:line="240" w:lineRule="auto"/>
              <w:ind w:firstLine="0"/>
              <w:rPr>
                <w:color w:val="000000"/>
                <w:sz w:val="16"/>
                <w:szCs w:val="16"/>
              </w:rPr>
            </w:pPr>
            <w:r w:rsidRPr="005E3F3C">
              <w:rPr>
                <w:color w:val="000000"/>
                <w:sz w:val="16"/>
                <w:szCs w:val="16"/>
              </w:rPr>
              <w:t>44.80</w:t>
            </w:r>
          </w:p>
        </w:tc>
        <w:tc>
          <w:tcPr>
            <w:tcW w:w="880" w:type="dxa"/>
            <w:tcBorders>
              <w:left w:val="single" w:sz="4" w:space="0" w:color="auto"/>
              <w:bottom w:val="single" w:sz="4" w:space="0" w:color="auto"/>
            </w:tcBorders>
            <w:vAlign w:val="bottom"/>
          </w:tcPr>
          <w:p w14:paraId="069A97AA" w14:textId="55802135"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19.57</w:t>
            </w:r>
          </w:p>
        </w:tc>
      </w:tr>
      <w:tr w:rsidR="00AD5538" w:rsidRPr="00A0555D" w14:paraId="07C5A451" w14:textId="77777777" w:rsidTr="00874FCF">
        <w:trPr>
          <w:trHeight w:val="144"/>
        </w:trPr>
        <w:tc>
          <w:tcPr>
            <w:tcW w:w="5474" w:type="dxa"/>
            <w:gridSpan w:val="6"/>
            <w:tcBorders>
              <w:top w:val="single" w:sz="4" w:space="0" w:color="auto"/>
            </w:tcBorders>
            <w:shd w:val="clear" w:color="auto" w:fill="auto"/>
            <w:noWrap/>
            <w:vAlign w:val="bottom"/>
            <w:hideMark/>
          </w:tcPr>
          <w:p w14:paraId="1D5B0D83" w14:textId="12AAFA29" w:rsidR="00AD5538" w:rsidRPr="009355EE" w:rsidRDefault="00AD5538"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Dynamical (RCM) corrected </w:t>
            </w:r>
            <w:r>
              <w:rPr>
                <w:rFonts w:eastAsia="Times New Roman"/>
                <w:b/>
                <w:bCs/>
                <w:color w:val="000000"/>
                <w:sz w:val="16"/>
                <w:szCs w:val="16"/>
                <w:lang w:bidi="ar-SA"/>
              </w:rPr>
              <w:t>by</w:t>
            </w:r>
            <w:r w:rsidRPr="00A0555D">
              <w:rPr>
                <w:rFonts w:eastAsia="Times New Roman"/>
                <w:b/>
                <w:bCs/>
                <w:color w:val="000000"/>
                <w:sz w:val="16"/>
                <w:szCs w:val="16"/>
                <w:lang w:bidi="ar-SA"/>
              </w:rPr>
              <w:t xml:space="preserve"> </w:t>
            </w:r>
            <w:r>
              <w:rPr>
                <w:rFonts w:eastAsia="Times New Roman"/>
                <w:b/>
                <w:bCs/>
                <w:color w:val="000000"/>
                <w:sz w:val="16"/>
                <w:szCs w:val="16"/>
                <w:lang w:bidi="ar-SA"/>
              </w:rPr>
              <w:t>Livneh</w:t>
            </w:r>
          </w:p>
        </w:tc>
        <w:tc>
          <w:tcPr>
            <w:tcW w:w="774" w:type="dxa"/>
            <w:tcBorders>
              <w:top w:val="single" w:sz="4" w:space="0" w:color="auto"/>
              <w:left w:val="single" w:sz="4" w:space="0" w:color="auto"/>
            </w:tcBorders>
            <w:shd w:val="clear" w:color="auto" w:fill="auto"/>
            <w:vAlign w:val="bottom"/>
          </w:tcPr>
          <w:p w14:paraId="492229A4"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3EA44442"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3EDB5CFC"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008B148E" w14:textId="77777777" w:rsidR="00AD5538" w:rsidRPr="006016B0" w:rsidRDefault="00AD5538" w:rsidP="006016B0">
            <w:pPr>
              <w:tabs>
                <w:tab w:val="decimal" w:pos="282"/>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72A0395D" w14:textId="77777777" w:rsidR="00AD5538" w:rsidRPr="009355EE" w:rsidRDefault="00AD5538" w:rsidP="006016B0">
            <w:pPr>
              <w:tabs>
                <w:tab w:val="decimal" w:pos="318"/>
              </w:tabs>
              <w:spacing w:before="0" w:after="0" w:line="240" w:lineRule="auto"/>
              <w:ind w:firstLine="0"/>
              <w:rPr>
                <w:rFonts w:eastAsia="Times New Roman"/>
                <w:color w:val="000000"/>
                <w:sz w:val="16"/>
                <w:szCs w:val="16"/>
                <w:lang w:bidi="ar-SA"/>
              </w:rPr>
            </w:pPr>
          </w:p>
        </w:tc>
      </w:tr>
      <w:tr w:rsidR="005E3F3C" w:rsidRPr="00A0555D" w14:paraId="1C05AD59" w14:textId="77777777" w:rsidTr="00A13B8D">
        <w:trPr>
          <w:trHeight w:val="144"/>
        </w:trPr>
        <w:tc>
          <w:tcPr>
            <w:tcW w:w="1613" w:type="dxa"/>
            <w:tcBorders>
              <w:left w:val="nil"/>
              <w:bottom w:val="nil"/>
              <w:right w:val="single" w:sz="4" w:space="0" w:color="auto"/>
            </w:tcBorders>
            <w:shd w:val="clear" w:color="auto" w:fill="auto"/>
            <w:noWrap/>
            <w:vAlign w:val="bottom"/>
            <w:hideMark/>
          </w:tcPr>
          <w:p w14:paraId="443D7C49"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05D5D397" w14:textId="0ACE7C7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bottom w:val="nil"/>
              <w:right w:val="nil"/>
            </w:tcBorders>
            <w:shd w:val="clear" w:color="auto" w:fill="auto"/>
            <w:noWrap/>
            <w:vAlign w:val="bottom"/>
          </w:tcPr>
          <w:p w14:paraId="7722FDE0" w14:textId="1B8915B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3" w:type="dxa"/>
            <w:tcBorders>
              <w:left w:val="nil"/>
              <w:bottom w:val="nil"/>
              <w:right w:val="nil"/>
            </w:tcBorders>
            <w:shd w:val="clear" w:color="auto" w:fill="auto"/>
            <w:noWrap/>
            <w:vAlign w:val="bottom"/>
          </w:tcPr>
          <w:p w14:paraId="14727928" w14:textId="2F86DB8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843" w:type="dxa"/>
            <w:tcBorders>
              <w:left w:val="nil"/>
              <w:bottom w:val="nil"/>
              <w:right w:val="nil"/>
            </w:tcBorders>
            <w:shd w:val="clear" w:color="auto" w:fill="auto"/>
            <w:noWrap/>
            <w:vAlign w:val="bottom"/>
          </w:tcPr>
          <w:p w14:paraId="069EB3E6" w14:textId="18A0993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left w:val="nil"/>
              <w:bottom w:val="nil"/>
              <w:right w:val="single" w:sz="4" w:space="0" w:color="auto"/>
            </w:tcBorders>
            <w:shd w:val="clear" w:color="auto" w:fill="auto"/>
            <w:noWrap/>
            <w:vAlign w:val="bottom"/>
          </w:tcPr>
          <w:p w14:paraId="11683328" w14:textId="34356C2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657F4CA3" w14:textId="5CF4412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0.01</w:t>
            </w:r>
          </w:p>
        </w:tc>
        <w:tc>
          <w:tcPr>
            <w:tcW w:w="774" w:type="dxa"/>
            <w:tcBorders>
              <w:left w:val="single" w:sz="4" w:space="0" w:color="auto"/>
              <w:right w:val="single" w:sz="4" w:space="0" w:color="auto"/>
            </w:tcBorders>
            <w:vAlign w:val="bottom"/>
          </w:tcPr>
          <w:p w14:paraId="5FABF183" w14:textId="639F90E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2.86</w:t>
            </w:r>
          </w:p>
        </w:tc>
        <w:tc>
          <w:tcPr>
            <w:tcW w:w="774" w:type="dxa"/>
            <w:tcBorders>
              <w:left w:val="single" w:sz="4" w:space="0" w:color="auto"/>
              <w:right w:val="single" w:sz="4" w:space="0" w:color="auto"/>
            </w:tcBorders>
            <w:vAlign w:val="bottom"/>
          </w:tcPr>
          <w:p w14:paraId="625D28CC" w14:textId="7B86816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0.003</w:t>
            </w:r>
          </w:p>
        </w:tc>
        <w:tc>
          <w:tcPr>
            <w:tcW w:w="774" w:type="dxa"/>
            <w:tcBorders>
              <w:left w:val="single" w:sz="4" w:space="0" w:color="auto"/>
              <w:right w:val="single" w:sz="4" w:space="0" w:color="auto"/>
            </w:tcBorders>
            <w:vAlign w:val="bottom"/>
          </w:tcPr>
          <w:p w14:paraId="2AF2FDC4" w14:textId="721F0895"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0.06</w:t>
            </w:r>
          </w:p>
        </w:tc>
        <w:tc>
          <w:tcPr>
            <w:tcW w:w="880" w:type="dxa"/>
            <w:tcBorders>
              <w:left w:val="single" w:sz="4" w:space="0" w:color="auto"/>
            </w:tcBorders>
            <w:vAlign w:val="bottom"/>
          </w:tcPr>
          <w:p w14:paraId="46FE1202" w14:textId="2B9936F0"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8.17</w:t>
            </w:r>
          </w:p>
        </w:tc>
      </w:tr>
      <w:tr w:rsidR="005E3F3C" w:rsidRPr="00A0555D" w14:paraId="19E23877"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20D7E1E9"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1502726D" w14:textId="06BA81F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19EC7DB7" w14:textId="2FDD63F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3" w:type="dxa"/>
            <w:tcBorders>
              <w:top w:val="nil"/>
              <w:left w:val="nil"/>
              <w:bottom w:val="nil"/>
              <w:right w:val="nil"/>
            </w:tcBorders>
            <w:shd w:val="clear" w:color="auto" w:fill="auto"/>
            <w:noWrap/>
            <w:vAlign w:val="bottom"/>
          </w:tcPr>
          <w:p w14:paraId="209F9F36" w14:textId="67E01E2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26ABAA45" w14:textId="49880566"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22AFCFC4" w14:textId="04E4BEE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4DC25C9B" w14:textId="52219F4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0.04</w:t>
            </w:r>
          </w:p>
        </w:tc>
        <w:tc>
          <w:tcPr>
            <w:tcW w:w="774" w:type="dxa"/>
            <w:tcBorders>
              <w:left w:val="single" w:sz="4" w:space="0" w:color="auto"/>
              <w:right w:val="single" w:sz="4" w:space="0" w:color="auto"/>
            </w:tcBorders>
            <w:vAlign w:val="bottom"/>
          </w:tcPr>
          <w:p w14:paraId="34678E4F" w14:textId="5B4FC45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2.38</w:t>
            </w:r>
          </w:p>
        </w:tc>
        <w:tc>
          <w:tcPr>
            <w:tcW w:w="774" w:type="dxa"/>
            <w:tcBorders>
              <w:left w:val="single" w:sz="4" w:space="0" w:color="auto"/>
              <w:right w:val="single" w:sz="4" w:space="0" w:color="auto"/>
            </w:tcBorders>
            <w:vAlign w:val="bottom"/>
          </w:tcPr>
          <w:p w14:paraId="03CB4B0A" w14:textId="1E2CAC8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left w:val="single" w:sz="4" w:space="0" w:color="auto"/>
              <w:right w:val="single" w:sz="4" w:space="0" w:color="auto"/>
            </w:tcBorders>
            <w:vAlign w:val="bottom"/>
          </w:tcPr>
          <w:p w14:paraId="290A660C" w14:textId="32E480BB"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0.08</w:t>
            </w:r>
          </w:p>
        </w:tc>
        <w:tc>
          <w:tcPr>
            <w:tcW w:w="880" w:type="dxa"/>
            <w:tcBorders>
              <w:left w:val="single" w:sz="4" w:space="0" w:color="auto"/>
            </w:tcBorders>
            <w:vAlign w:val="bottom"/>
          </w:tcPr>
          <w:p w14:paraId="0EF9A2AB" w14:textId="032B41CE"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3.79</w:t>
            </w:r>
          </w:p>
        </w:tc>
      </w:tr>
      <w:tr w:rsidR="005E3F3C" w:rsidRPr="00A0555D" w14:paraId="2E07C0D1"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169CE581"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1C1D4927" w14:textId="468F3DE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2A8C14FE" w14:textId="3152B27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3" w:type="dxa"/>
            <w:tcBorders>
              <w:top w:val="nil"/>
              <w:left w:val="nil"/>
              <w:bottom w:val="nil"/>
              <w:right w:val="nil"/>
            </w:tcBorders>
            <w:shd w:val="clear" w:color="auto" w:fill="auto"/>
            <w:noWrap/>
            <w:vAlign w:val="bottom"/>
          </w:tcPr>
          <w:p w14:paraId="5B0E141C" w14:textId="3875F7C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46266D15" w14:textId="1D1E74A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4B33A295" w14:textId="55F5736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16F113CF" w14:textId="556238D8"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0.05</w:t>
            </w:r>
          </w:p>
        </w:tc>
        <w:tc>
          <w:tcPr>
            <w:tcW w:w="774" w:type="dxa"/>
            <w:tcBorders>
              <w:left w:val="single" w:sz="4" w:space="0" w:color="auto"/>
              <w:right w:val="single" w:sz="4" w:space="0" w:color="auto"/>
            </w:tcBorders>
            <w:vAlign w:val="bottom"/>
          </w:tcPr>
          <w:p w14:paraId="3991B255" w14:textId="2D88345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2.44</w:t>
            </w:r>
          </w:p>
        </w:tc>
        <w:tc>
          <w:tcPr>
            <w:tcW w:w="774" w:type="dxa"/>
            <w:tcBorders>
              <w:left w:val="single" w:sz="4" w:space="0" w:color="auto"/>
              <w:right w:val="single" w:sz="4" w:space="0" w:color="auto"/>
            </w:tcBorders>
            <w:vAlign w:val="bottom"/>
          </w:tcPr>
          <w:p w14:paraId="25734152" w14:textId="5D4C791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0.002</w:t>
            </w:r>
          </w:p>
        </w:tc>
        <w:tc>
          <w:tcPr>
            <w:tcW w:w="774" w:type="dxa"/>
            <w:tcBorders>
              <w:left w:val="single" w:sz="4" w:space="0" w:color="auto"/>
              <w:right w:val="single" w:sz="4" w:space="0" w:color="auto"/>
            </w:tcBorders>
            <w:vAlign w:val="bottom"/>
          </w:tcPr>
          <w:p w14:paraId="519DA37B" w14:textId="59CD905D"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880" w:type="dxa"/>
            <w:tcBorders>
              <w:left w:val="single" w:sz="4" w:space="0" w:color="auto"/>
            </w:tcBorders>
            <w:vAlign w:val="bottom"/>
          </w:tcPr>
          <w:p w14:paraId="27958478" w14:textId="3E281E0C"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5.56</w:t>
            </w:r>
          </w:p>
        </w:tc>
      </w:tr>
      <w:tr w:rsidR="005E3F3C" w:rsidRPr="00A0555D" w14:paraId="1B4A4722"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A7CE7DE"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24D8169A" w14:textId="78CE1F8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10E7DB9A" w14:textId="74E47A1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top w:val="nil"/>
              <w:left w:val="nil"/>
              <w:bottom w:val="nil"/>
              <w:right w:val="nil"/>
            </w:tcBorders>
            <w:shd w:val="clear" w:color="auto" w:fill="auto"/>
            <w:noWrap/>
            <w:vAlign w:val="bottom"/>
          </w:tcPr>
          <w:p w14:paraId="29E06BA1" w14:textId="4C4F4E2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218DBA4F" w14:textId="3E7A09D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553132BA" w14:textId="2415792B"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left w:val="nil"/>
              <w:right w:val="single" w:sz="4" w:space="0" w:color="auto"/>
            </w:tcBorders>
            <w:vAlign w:val="bottom"/>
          </w:tcPr>
          <w:p w14:paraId="5B73F517" w14:textId="66D6330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c>
          <w:tcPr>
            <w:tcW w:w="774" w:type="dxa"/>
            <w:tcBorders>
              <w:left w:val="single" w:sz="4" w:space="0" w:color="auto"/>
              <w:right w:val="single" w:sz="4" w:space="0" w:color="auto"/>
            </w:tcBorders>
            <w:vAlign w:val="bottom"/>
          </w:tcPr>
          <w:p w14:paraId="0A8E664D" w14:textId="427137B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2.36</w:t>
            </w:r>
          </w:p>
        </w:tc>
        <w:tc>
          <w:tcPr>
            <w:tcW w:w="774" w:type="dxa"/>
            <w:tcBorders>
              <w:left w:val="single" w:sz="4" w:space="0" w:color="auto"/>
              <w:right w:val="single" w:sz="4" w:space="0" w:color="auto"/>
            </w:tcBorders>
            <w:vAlign w:val="bottom"/>
          </w:tcPr>
          <w:p w14:paraId="13F73D84" w14:textId="0C723D1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left w:val="single" w:sz="4" w:space="0" w:color="auto"/>
              <w:right w:val="single" w:sz="4" w:space="0" w:color="auto"/>
            </w:tcBorders>
            <w:vAlign w:val="bottom"/>
          </w:tcPr>
          <w:p w14:paraId="0EFFA482" w14:textId="159E999D"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0.14</w:t>
            </w:r>
          </w:p>
        </w:tc>
        <w:tc>
          <w:tcPr>
            <w:tcW w:w="880" w:type="dxa"/>
            <w:tcBorders>
              <w:left w:val="single" w:sz="4" w:space="0" w:color="auto"/>
            </w:tcBorders>
            <w:vAlign w:val="bottom"/>
          </w:tcPr>
          <w:p w14:paraId="0056C182" w14:textId="0077D1FD"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6.48</w:t>
            </w:r>
          </w:p>
        </w:tc>
      </w:tr>
      <w:tr w:rsidR="005E3F3C" w:rsidRPr="00A0555D" w14:paraId="06C81DC3"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B97B1F5"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5592B442" w14:textId="5C36459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781A20EA" w14:textId="50606DFA"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3" w:type="dxa"/>
            <w:tcBorders>
              <w:top w:val="nil"/>
              <w:left w:val="nil"/>
              <w:bottom w:val="nil"/>
              <w:right w:val="nil"/>
            </w:tcBorders>
            <w:shd w:val="clear" w:color="auto" w:fill="auto"/>
            <w:noWrap/>
            <w:vAlign w:val="bottom"/>
          </w:tcPr>
          <w:p w14:paraId="1D6DA227" w14:textId="1508783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11F27070" w14:textId="662F0FE1"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1CD029FE" w14:textId="14257F0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78E7BCAD" w14:textId="2D99FFE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w:t>
            </w:r>
          </w:p>
        </w:tc>
        <w:tc>
          <w:tcPr>
            <w:tcW w:w="774" w:type="dxa"/>
            <w:tcBorders>
              <w:left w:val="single" w:sz="4" w:space="0" w:color="auto"/>
              <w:right w:val="single" w:sz="4" w:space="0" w:color="auto"/>
            </w:tcBorders>
            <w:vAlign w:val="bottom"/>
          </w:tcPr>
          <w:p w14:paraId="6D3E3D05" w14:textId="0FBF81F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2.42</w:t>
            </w:r>
          </w:p>
        </w:tc>
        <w:tc>
          <w:tcPr>
            <w:tcW w:w="774" w:type="dxa"/>
            <w:tcBorders>
              <w:left w:val="single" w:sz="4" w:space="0" w:color="auto"/>
              <w:right w:val="single" w:sz="4" w:space="0" w:color="auto"/>
            </w:tcBorders>
            <w:vAlign w:val="bottom"/>
          </w:tcPr>
          <w:p w14:paraId="07B7D28B" w14:textId="0BE2117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single" w:sz="4" w:space="0" w:color="auto"/>
              <w:right w:val="single" w:sz="4" w:space="0" w:color="auto"/>
            </w:tcBorders>
            <w:vAlign w:val="bottom"/>
          </w:tcPr>
          <w:p w14:paraId="3214DD5D" w14:textId="40EAD81F"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0.06</w:t>
            </w:r>
          </w:p>
        </w:tc>
        <w:tc>
          <w:tcPr>
            <w:tcW w:w="880" w:type="dxa"/>
            <w:tcBorders>
              <w:left w:val="single" w:sz="4" w:space="0" w:color="auto"/>
            </w:tcBorders>
            <w:vAlign w:val="bottom"/>
          </w:tcPr>
          <w:p w14:paraId="657CFB78" w14:textId="0C72035B"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4.63</w:t>
            </w:r>
          </w:p>
        </w:tc>
      </w:tr>
      <w:tr w:rsidR="005E3F3C" w:rsidRPr="00A0555D" w14:paraId="02DD327E"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462A7C49"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66EECA11" w14:textId="5720426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single" w:sz="4" w:space="0" w:color="auto"/>
              <w:right w:val="nil"/>
            </w:tcBorders>
            <w:shd w:val="clear" w:color="auto" w:fill="auto"/>
            <w:noWrap/>
            <w:vAlign w:val="bottom"/>
          </w:tcPr>
          <w:p w14:paraId="71CAEE4D" w14:textId="3FEDA8C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top w:val="nil"/>
              <w:left w:val="nil"/>
              <w:bottom w:val="single" w:sz="4" w:space="0" w:color="auto"/>
              <w:right w:val="nil"/>
            </w:tcBorders>
            <w:shd w:val="clear" w:color="auto" w:fill="auto"/>
            <w:noWrap/>
            <w:vAlign w:val="bottom"/>
          </w:tcPr>
          <w:p w14:paraId="1124F10B" w14:textId="6F3FABFC"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single" w:sz="4" w:space="0" w:color="auto"/>
              <w:right w:val="nil"/>
            </w:tcBorders>
            <w:shd w:val="clear" w:color="auto" w:fill="auto"/>
            <w:noWrap/>
            <w:vAlign w:val="bottom"/>
          </w:tcPr>
          <w:p w14:paraId="513FEA38" w14:textId="70F47DA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single" w:sz="4" w:space="0" w:color="auto"/>
              <w:right w:val="single" w:sz="4" w:space="0" w:color="auto"/>
            </w:tcBorders>
            <w:shd w:val="clear" w:color="auto" w:fill="auto"/>
            <w:noWrap/>
            <w:vAlign w:val="bottom"/>
          </w:tcPr>
          <w:p w14:paraId="1C093B2A" w14:textId="0CF76D0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left w:val="nil"/>
              <w:bottom w:val="single" w:sz="4" w:space="0" w:color="auto"/>
              <w:right w:val="single" w:sz="4" w:space="0" w:color="auto"/>
            </w:tcBorders>
            <w:vAlign w:val="bottom"/>
          </w:tcPr>
          <w:p w14:paraId="292F856A" w14:textId="0B1DD35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0.03</w:t>
            </w:r>
          </w:p>
        </w:tc>
        <w:tc>
          <w:tcPr>
            <w:tcW w:w="774" w:type="dxa"/>
            <w:tcBorders>
              <w:left w:val="single" w:sz="4" w:space="0" w:color="auto"/>
              <w:bottom w:val="single" w:sz="4" w:space="0" w:color="auto"/>
              <w:right w:val="single" w:sz="4" w:space="0" w:color="auto"/>
            </w:tcBorders>
            <w:vAlign w:val="bottom"/>
          </w:tcPr>
          <w:p w14:paraId="1F1DEE1B" w14:textId="1241CD3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2.20</w:t>
            </w:r>
          </w:p>
        </w:tc>
        <w:tc>
          <w:tcPr>
            <w:tcW w:w="774" w:type="dxa"/>
            <w:tcBorders>
              <w:left w:val="single" w:sz="4" w:space="0" w:color="auto"/>
              <w:bottom w:val="single" w:sz="4" w:space="0" w:color="auto"/>
              <w:right w:val="single" w:sz="4" w:space="0" w:color="auto"/>
            </w:tcBorders>
            <w:vAlign w:val="bottom"/>
          </w:tcPr>
          <w:p w14:paraId="5A4436EE" w14:textId="016A35DC"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0.007</w:t>
            </w:r>
          </w:p>
        </w:tc>
        <w:tc>
          <w:tcPr>
            <w:tcW w:w="774" w:type="dxa"/>
            <w:tcBorders>
              <w:left w:val="single" w:sz="4" w:space="0" w:color="auto"/>
              <w:bottom w:val="single" w:sz="4" w:space="0" w:color="auto"/>
              <w:right w:val="single" w:sz="4" w:space="0" w:color="auto"/>
            </w:tcBorders>
            <w:vAlign w:val="bottom"/>
          </w:tcPr>
          <w:p w14:paraId="05FC405A" w14:textId="62A0F6F6"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c>
          <w:tcPr>
            <w:tcW w:w="880" w:type="dxa"/>
            <w:tcBorders>
              <w:left w:val="single" w:sz="4" w:space="0" w:color="auto"/>
              <w:bottom w:val="single" w:sz="4" w:space="0" w:color="auto"/>
            </w:tcBorders>
            <w:vAlign w:val="bottom"/>
          </w:tcPr>
          <w:p w14:paraId="393D61C9" w14:textId="542F247E" w:rsidR="005E3F3C" w:rsidRPr="005E3F3C" w:rsidRDefault="006016B0" w:rsidP="006016B0">
            <w:pPr>
              <w:tabs>
                <w:tab w:val="decimal" w:pos="318"/>
              </w:tabs>
              <w:spacing w:before="0" w:after="0" w:line="240" w:lineRule="auto"/>
              <w:ind w:firstLine="0"/>
              <w:rPr>
                <w:rFonts w:eastAsia="Times New Roman"/>
                <w:color w:val="000000"/>
                <w:sz w:val="16"/>
                <w:szCs w:val="16"/>
                <w:lang w:bidi="ar-SA"/>
              </w:rPr>
            </w:pPr>
            <w:r>
              <w:rPr>
                <w:color w:val="000000"/>
                <w:sz w:val="16"/>
                <w:szCs w:val="16"/>
              </w:rPr>
              <w:t>−</w:t>
            </w:r>
            <w:r w:rsidR="005E3F3C" w:rsidRPr="005E3F3C">
              <w:rPr>
                <w:color w:val="000000"/>
                <w:sz w:val="16"/>
                <w:szCs w:val="16"/>
              </w:rPr>
              <w:t>2.16</w:t>
            </w:r>
          </w:p>
        </w:tc>
      </w:tr>
      <w:tr w:rsidR="00AD5538" w:rsidRPr="00A0555D" w14:paraId="4EC284C4" w14:textId="77777777" w:rsidTr="00874FCF">
        <w:trPr>
          <w:trHeight w:val="144"/>
        </w:trPr>
        <w:tc>
          <w:tcPr>
            <w:tcW w:w="5474" w:type="dxa"/>
            <w:gridSpan w:val="6"/>
            <w:tcBorders>
              <w:top w:val="single" w:sz="4" w:space="0" w:color="auto"/>
            </w:tcBorders>
            <w:shd w:val="clear" w:color="auto" w:fill="auto"/>
            <w:noWrap/>
            <w:vAlign w:val="bottom"/>
            <w:hideMark/>
          </w:tcPr>
          <w:p w14:paraId="7AE6B069" w14:textId="25A01283" w:rsidR="00AD5538" w:rsidRPr="009355EE" w:rsidRDefault="00AD5538" w:rsidP="00874FCF">
            <w:pPr>
              <w:spacing w:before="0" w:after="0" w:line="240" w:lineRule="auto"/>
              <w:ind w:firstLine="0"/>
              <w:rPr>
                <w:rFonts w:eastAsia="Times New Roman"/>
                <w:color w:val="000000"/>
                <w:sz w:val="16"/>
                <w:szCs w:val="16"/>
                <w:lang w:bidi="ar-SA"/>
              </w:rPr>
            </w:pPr>
            <w:r w:rsidRPr="00A0555D">
              <w:rPr>
                <w:rFonts w:eastAsia="Times New Roman"/>
                <w:b/>
                <w:bCs/>
                <w:color w:val="000000"/>
                <w:sz w:val="16"/>
                <w:szCs w:val="16"/>
                <w:lang w:bidi="ar-SA"/>
              </w:rPr>
              <w:t xml:space="preserve">Statistical (DBCCA) trained </w:t>
            </w:r>
            <w:r>
              <w:rPr>
                <w:rFonts w:eastAsia="Times New Roman"/>
                <w:b/>
                <w:bCs/>
                <w:color w:val="000000"/>
                <w:sz w:val="16"/>
                <w:szCs w:val="16"/>
                <w:lang w:bidi="ar-SA"/>
              </w:rPr>
              <w:t>by Livneh</w:t>
            </w:r>
          </w:p>
        </w:tc>
        <w:tc>
          <w:tcPr>
            <w:tcW w:w="774" w:type="dxa"/>
            <w:tcBorders>
              <w:top w:val="single" w:sz="4" w:space="0" w:color="auto"/>
              <w:left w:val="single" w:sz="4" w:space="0" w:color="auto"/>
            </w:tcBorders>
            <w:shd w:val="clear" w:color="auto" w:fill="auto"/>
            <w:vAlign w:val="bottom"/>
          </w:tcPr>
          <w:p w14:paraId="7F0AA587"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567D26D9"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1A4847F3" w14:textId="77777777" w:rsidR="00AD5538" w:rsidRPr="006016B0" w:rsidRDefault="00AD5538" w:rsidP="006016B0">
            <w:pPr>
              <w:tabs>
                <w:tab w:val="decimal" w:pos="256"/>
              </w:tabs>
              <w:spacing w:before="0" w:after="0" w:line="240" w:lineRule="auto"/>
              <w:ind w:firstLine="0"/>
              <w:rPr>
                <w:color w:val="000000"/>
                <w:sz w:val="16"/>
                <w:szCs w:val="16"/>
              </w:rPr>
            </w:pPr>
          </w:p>
        </w:tc>
        <w:tc>
          <w:tcPr>
            <w:tcW w:w="774" w:type="dxa"/>
            <w:tcBorders>
              <w:top w:val="single" w:sz="4" w:space="0" w:color="auto"/>
              <w:left w:val="single" w:sz="4" w:space="0" w:color="auto"/>
            </w:tcBorders>
            <w:shd w:val="clear" w:color="auto" w:fill="auto"/>
            <w:vAlign w:val="bottom"/>
          </w:tcPr>
          <w:p w14:paraId="61FCE514" w14:textId="77777777" w:rsidR="00AD5538" w:rsidRPr="006016B0" w:rsidRDefault="00AD5538" w:rsidP="006016B0">
            <w:pPr>
              <w:tabs>
                <w:tab w:val="decimal" w:pos="282"/>
              </w:tabs>
              <w:spacing w:before="0" w:after="0" w:line="240" w:lineRule="auto"/>
              <w:ind w:firstLine="0"/>
              <w:rPr>
                <w:color w:val="000000"/>
                <w:sz w:val="16"/>
                <w:szCs w:val="16"/>
              </w:rPr>
            </w:pPr>
          </w:p>
        </w:tc>
        <w:tc>
          <w:tcPr>
            <w:tcW w:w="880" w:type="dxa"/>
            <w:tcBorders>
              <w:top w:val="single" w:sz="4" w:space="0" w:color="auto"/>
              <w:left w:val="single" w:sz="4" w:space="0" w:color="auto"/>
            </w:tcBorders>
            <w:shd w:val="clear" w:color="auto" w:fill="auto"/>
            <w:vAlign w:val="bottom"/>
          </w:tcPr>
          <w:p w14:paraId="3DED2C1F" w14:textId="77777777" w:rsidR="00AD5538" w:rsidRPr="009355EE" w:rsidRDefault="00AD5538" w:rsidP="006016B0">
            <w:pPr>
              <w:tabs>
                <w:tab w:val="decimal" w:pos="318"/>
              </w:tabs>
              <w:spacing w:before="0" w:after="0" w:line="240" w:lineRule="auto"/>
              <w:ind w:firstLine="0"/>
              <w:rPr>
                <w:rFonts w:eastAsia="Times New Roman"/>
                <w:color w:val="000000"/>
                <w:sz w:val="16"/>
                <w:szCs w:val="16"/>
                <w:lang w:bidi="ar-SA"/>
              </w:rPr>
            </w:pPr>
          </w:p>
        </w:tc>
      </w:tr>
      <w:tr w:rsidR="005E3F3C" w:rsidRPr="00A0555D" w14:paraId="7B3A0A79" w14:textId="77777777" w:rsidTr="00A13B8D">
        <w:trPr>
          <w:trHeight w:val="144"/>
        </w:trPr>
        <w:tc>
          <w:tcPr>
            <w:tcW w:w="1613" w:type="dxa"/>
            <w:tcBorders>
              <w:left w:val="nil"/>
              <w:bottom w:val="nil"/>
              <w:right w:val="single" w:sz="4" w:space="0" w:color="auto"/>
            </w:tcBorders>
            <w:shd w:val="clear" w:color="auto" w:fill="auto"/>
            <w:noWrap/>
            <w:vAlign w:val="bottom"/>
            <w:hideMark/>
          </w:tcPr>
          <w:p w14:paraId="176C3570"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ACCESS-CM2</w:t>
            </w:r>
          </w:p>
        </w:tc>
        <w:tc>
          <w:tcPr>
            <w:tcW w:w="767" w:type="dxa"/>
            <w:tcBorders>
              <w:left w:val="nil"/>
              <w:bottom w:val="nil"/>
              <w:right w:val="nil"/>
            </w:tcBorders>
            <w:shd w:val="clear" w:color="auto" w:fill="auto"/>
            <w:noWrap/>
            <w:vAlign w:val="bottom"/>
          </w:tcPr>
          <w:p w14:paraId="2D4AC22F" w14:textId="34F1181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bottom w:val="nil"/>
              <w:right w:val="nil"/>
            </w:tcBorders>
            <w:shd w:val="clear" w:color="auto" w:fill="auto"/>
            <w:noWrap/>
            <w:vAlign w:val="bottom"/>
          </w:tcPr>
          <w:p w14:paraId="28085D44" w14:textId="669BFC65"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left w:val="nil"/>
              <w:bottom w:val="nil"/>
              <w:right w:val="nil"/>
            </w:tcBorders>
            <w:shd w:val="clear" w:color="auto" w:fill="auto"/>
            <w:noWrap/>
            <w:vAlign w:val="bottom"/>
          </w:tcPr>
          <w:p w14:paraId="63EECB86" w14:textId="2F97D50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843" w:type="dxa"/>
            <w:tcBorders>
              <w:left w:val="nil"/>
              <w:bottom w:val="nil"/>
              <w:right w:val="nil"/>
            </w:tcBorders>
            <w:shd w:val="clear" w:color="auto" w:fill="auto"/>
            <w:noWrap/>
            <w:vAlign w:val="bottom"/>
          </w:tcPr>
          <w:p w14:paraId="5B02BB01" w14:textId="48625CA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left w:val="nil"/>
              <w:bottom w:val="nil"/>
              <w:right w:val="single" w:sz="4" w:space="0" w:color="auto"/>
            </w:tcBorders>
            <w:shd w:val="clear" w:color="auto" w:fill="auto"/>
            <w:noWrap/>
            <w:vAlign w:val="bottom"/>
          </w:tcPr>
          <w:p w14:paraId="12CD01B6" w14:textId="2FE1168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5DC76F9E" w14:textId="6ED3826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0.33</w:t>
            </w:r>
          </w:p>
        </w:tc>
        <w:tc>
          <w:tcPr>
            <w:tcW w:w="774" w:type="dxa"/>
            <w:tcBorders>
              <w:left w:val="single" w:sz="4" w:space="0" w:color="auto"/>
              <w:right w:val="single" w:sz="4" w:space="0" w:color="auto"/>
            </w:tcBorders>
            <w:vAlign w:val="bottom"/>
          </w:tcPr>
          <w:p w14:paraId="4711EBB2" w14:textId="433E404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0.58</w:t>
            </w:r>
          </w:p>
        </w:tc>
        <w:tc>
          <w:tcPr>
            <w:tcW w:w="774" w:type="dxa"/>
            <w:tcBorders>
              <w:left w:val="single" w:sz="4" w:space="0" w:color="auto"/>
              <w:right w:val="single" w:sz="4" w:space="0" w:color="auto"/>
            </w:tcBorders>
            <w:vAlign w:val="bottom"/>
          </w:tcPr>
          <w:p w14:paraId="158BE9B4" w14:textId="4634805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0.007</w:t>
            </w:r>
          </w:p>
        </w:tc>
        <w:tc>
          <w:tcPr>
            <w:tcW w:w="774" w:type="dxa"/>
            <w:tcBorders>
              <w:left w:val="single" w:sz="4" w:space="0" w:color="auto"/>
              <w:right w:val="single" w:sz="4" w:space="0" w:color="auto"/>
            </w:tcBorders>
            <w:vAlign w:val="bottom"/>
          </w:tcPr>
          <w:p w14:paraId="3391504B" w14:textId="672C6B4F"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0.09</w:t>
            </w:r>
          </w:p>
        </w:tc>
        <w:tc>
          <w:tcPr>
            <w:tcW w:w="880" w:type="dxa"/>
            <w:tcBorders>
              <w:left w:val="single" w:sz="4" w:space="0" w:color="auto"/>
            </w:tcBorders>
            <w:vAlign w:val="bottom"/>
          </w:tcPr>
          <w:p w14:paraId="68C22609" w14:textId="35B610F9"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0.43</w:t>
            </w:r>
          </w:p>
        </w:tc>
      </w:tr>
      <w:tr w:rsidR="005E3F3C" w:rsidRPr="00A0555D" w14:paraId="4BDD3745"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7CB0B0AD"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BCC-CSM2-MR</w:t>
            </w:r>
          </w:p>
        </w:tc>
        <w:tc>
          <w:tcPr>
            <w:tcW w:w="767" w:type="dxa"/>
            <w:tcBorders>
              <w:top w:val="nil"/>
              <w:left w:val="nil"/>
              <w:bottom w:val="nil"/>
              <w:right w:val="nil"/>
            </w:tcBorders>
            <w:shd w:val="clear" w:color="auto" w:fill="auto"/>
            <w:noWrap/>
            <w:vAlign w:val="bottom"/>
          </w:tcPr>
          <w:p w14:paraId="2176CC45" w14:textId="73FCAB0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65872A70" w14:textId="2E1DB082"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3" w:type="dxa"/>
            <w:tcBorders>
              <w:top w:val="nil"/>
              <w:left w:val="nil"/>
              <w:bottom w:val="nil"/>
              <w:right w:val="nil"/>
            </w:tcBorders>
            <w:shd w:val="clear" w:color="auto" w:fill="auto"/>
            <w:noWrap/>
            <w:vAlign w:val="bottom"/>
          </w:tcPr>
          <w:p w14:paraId="0D73ED72" w14:textId="35B6E91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843" w:type="dxa"/>
            <w:tcBorders>
              <w:top w:val="nil"/>
              <w:left w:val="nil"/>
              <w:bottom w:val="nil"/>
              <w:right w:val="nil"/>
            </w:tcBorders>
            <w:shd w:val="clear" w:color="auto" w:fill="auto"/>
            <w:noWrap/>
            <w:vAlign w:val="bottom"/>
          </w:tcPr>
          <w:p w14:paraId="3368F153" w14:textId="565492D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5BFEDEDC" w14:textId="7DF481FF"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5BB8725D" w14:textId="440939E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0.20</w:t>
            </w:r>
          </w:p>
        </w:tc>
        <w:tc>
          <w:tcPr>
            <w:tcW w:w="774" w:type="dxa"/>
            <w:tcBorders>
              <w:left w:val="single" w:sz="4" w:space="0" w:color="auto"/>
              <w:right w:val="single" w:sz="4" w:space="0" w:color="auto"/>
            </w:tcBorders>
            <w:vAlign w:val="bottom"/>
          </w:tcPr>
          <w:p w14:paraId="4E084ED3" w14:textId="30FF221E"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0.85</w:t>
            </w:r>
          </w:p>
        </w:tc>
        <w:tc>
          <w:tcPr>
            <w:tcW w:w="774" w:type="dxa"/>
            <w:tcBorders>
              <w:left w:val="single" w:sz="4" w:space="0" w:color="auto"/>
              <w:right w:val="single" w:sz="4" w:space="0" w:color="auto"/>
            </w:tcBorders>
            <w:vAlign w:val="bottom"/>
          </w:tcPr>
          <w:p w14:paraId="2FC4C3DA" w14:textId="46CCB283"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74" w:type="dxa"/>
            <w:tcBorders>
              <w:left w:val="single" w:sz="4" w:space="0" w:color="auto"/>
              <w:right w:val="single" w:sz="4" w:space="0" w:color="auto"/>
            </w:tcBorders>
            <w:vAlign w:val="bottom"/>
          </w:tcPr>
          <w:p w14:paraId="2A9A5BD0" w14:textId="35E92EB9"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c>
          <w:tcPr>
            <w:tcW w:w="880" w:type="dxa"/>
            <w:tcBorders>
              <w:left w:val="single" w:sz="4" w:space="0" w:color="auto"/>
            </w:tcBorders>
            <w:vAlign w:val="bottom"/>
          </w:tcPr>
          <w:p w14:paraId="7EC0F753" w14:textId="46025CBD"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0.44</w:t>
            </w:r>
          </w:p>
        </w:tc>
      </w:tr>
      <w:tr w:rsidR="005E3F3C" w:rsidRPr="00A0555D" w14:paraId="0648DDA7"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009E1F52"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CNRM-ESM2-1</w:t>
            </w:r>
          </w:p>
        </w:tc>
        <w:tc>
          <w:tcPr>
            <w:tcW w:w="767" w:type="dxa"/>
            <w:tcBorders>
              <w:top w:val="nil"/>
              <w:left w:val="nil"/>
              <w:bottom w:val="nil"/>
              <w:right w:val="nil"/>
            </w:tcBorders>
            <w:shd w:val="clear" w:color="auto" w:fill="auto"/>
            <w:noWrap/>
            <w:vAlign w:val="bottom"/>
          </w:tcPr>
          <w:p w14:paraId="4D244AAE" w14:textId="6F1B5B6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0451D067" w14:textId="7EBC6107"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3" w:type="dxa"/>
            <w:tcBorders>
              <w:top w:val="nil"/>
              <w:left w:val="nil"/>
              <w:bottom w:val="nil"/>
              <w:right w:val="nil"/>
            </w:tcBorders>
            <w:shd w:val="clear" w:color="auto" w:fill="auto"/>
            <w:noWrap/>
            <w:vAlign w:val="bottom"/>
          </w:tcPr>
          <w:p w14:paraId="51B4C088" w14:textId="79269AF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1E4AF554" w14:textId="122D20C3"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3CB25BC7" w14:textId="2AC855D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2177A6FA" w14:textId="4DB22E99"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0.33</w:t>
            </w:r>
          </w:p>
        </w:tc>
        <w:tc>
          <w:tcPr>
            <w:tcW w:w="774" w:type="dxa"/>
            <w:tcBorders>
              <w:left w:val="single" w:sz="4" w:space="0" w:color="auto"/>
              <w:right w:val="single" w:sz="4" w:space="0" w:color="auto"/>
            </w:tcBorders>
            <w:vAlign w:val="bottom"/>
          </w:tcPr>
          <w:p w14:paraId="064D9BD1" w14:textId="47B270A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0.54</w:t>
            </w:r>
          </w:p>
        </w:tc>
        <w:tc>
          <w:tcPr>
            <w:tcW w:w="774" w:type="dxa"/>
            <w:tcBorders>
              <w:left w:val="single" w:sz="4" w:space="0" w:color="auto"/>
              <w:right w:val="single" w:sz="4" w:space="0" w:color="auto"/>
            </w:tcBorders>
            <w:vAlign w:val="bottom"/>
          </w:tcPr>
          <w:p w14:paraId="6A5F4FFA" w14:textId="2399BFE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0.006</w:t>
            </w:r>
          </w:p>
        </w:tc>
        <w:tc>
          <w:tcPr>
            <w:tcW w:w="774" w:type="dxa"/>
            <w:tcBorders>
              <w:left w:val="single" w:sz="4" w:space="0" w:color="auto"/>
              <w:right w:val="single" w:sz="4" w:space="0" w:color="auto"/>
            </w:tcBorders>
            <w:vAlign w:val="bottom"/>
          </w:tcPr>
          <w:p w14:paraId="658C2CB8" w14:textId="5C637142"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0.10</w:t>
            </w:r>
          </w:p>
        </w:tc>
        <w:tc>
          <w:tcPr>
            <w:tcW w:w="880" w:type="dxa"/>
            <w:tcBorders>
              <w:left w:val="single" w:sz="4" w:space="0" w:color="auto"/>
            </w:tcBorders>
            <w:vAlign w:val="bottom"/>
          </w:tcPr>
          <w:p w14:paraId="4D9C7532" w14:textId="5F6DB3DF"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0.66</w:t>
            </w:r>
          </w:p>
        </w:tc>
      </w:tr>
      <w:tr w:rsidR="005E3F3C" w:rsidRPr="00A0555D" w14:paraId="1EE42A8A"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46C0505"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MPI-ESM1-2-HR</w:t>
            </w:r>
          </w:p>
        </w:tc>
        <w:tc>
          <w:tcPr>
            <w:tcW w:w="767" w:type="dxa"/>
            <w:tcBorders>
              <w:top w:val="nil"/>
              <w:left w:val="nil"/>
              <w:bottom w:val="nil"/>
              <w:right w:val="nil"/>
            </w:tcBorders>
            <w:shd w:val="clear" w:color="auto" w:fill="auto"/>
            <w:noWrap/>
            <w:vAlign w:val="bottom"/>
          </w:tcPr>
          <w:p w14:paraId="2F0950E2" w14:textId="51B5AC5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1370AD32" w14:textId="72E69F30"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top w:val="nil"/>
              <w:left w:val="nil"/>
              <w:bottom w:val="nil"/>
              <w:right w:val="nil"/>
            </w:tcBorders>
            <w:shd w:val="clear" w:color="auto" w:fill="auto"/>
            <w:noWrap/>
            <w:vAlign w:val="bottom"/>
          </w:tcPr>
          <w:p w14:paraId="64B10864" w14:textId="6DFCCC3D"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843" w:type="dxa"/>
            <w:tcBorders>
              <w:top w:val="nil"/>
              <w:left w:val="nil"/>
              <w:bottom w:val="nil"/>
              <w:right w:val="nil"/>
            </w:tcBorders>
            <w:shd w:val="clear" w:color="auto" w:fill="auto"/>
            <w:noWrap/>
            <w:vAlign w:val="bottom"/>
          </w:tcPr>
          <w:p w14:paraId="769BCB20" w14:textId="1634232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0.001</w:t>
            </w:r>
          </w:p>
        </w:tc>
        <w:tc>
          <w:tcPr>
            <w:tcW w:w="704" w:type="dxa"/>
            <w:tcBorders>
              <w:top w:val="nil"/>
              <w:left w:val="nil"/>
              <w:bottom w:val="nil"/>
              <w:right w:val="single" w:sz="4" w:space="0" w:color="auto"/>
            </w:tcBorders>
            <w:shd w:val="clear" w:color="auto" w:fill="auto"/>
            <w:noWrap/>
            <w:vAlign w:val="bottom"/>
          </w:tcPr>
          <w:p w14:paraId="51CC92EB" w14:textId="72057E8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302D2ACC" w14:textId="6934F3F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0.35</w:t>
            </w:r>
          </w:p>
        </w:tc>
        <w:tc>
          <w:tcPr>
            <w:tcW w:w="774" w:type="dxa"/>
            <w:tcBorders>
              <w:left w:val="single" w:sz="4" w:space="0" w:color="auto"/>
              <w:right w:val="single" w:sz="4" w:space="0" w:color="auto"/>
            </w:tcBorders>
            <w:vAlign w:val="bottom"/>
          </w:tcPr>
          <w:p w14:paraId="4FCF9D63" w14:textId="2F804D68"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0.71</w:t>
            </w:r>
          </w:p>
        </w:tc>
        <w:tc>
          <w:tcPr>
            <w:tcW w:w="774" w:type="dxa"/>
            <w:tcBorders>
              <w:left w:val="single" w:sz="4" w:space="0" w:color="auto"/>
              <w:right w:val="single" w:sz="4" w:space="0" w:color="auto"/>
            </w:tcBorders>
            <w:vAlign w:val="bottom"/>
          </w:tcPr>
          <w:p w14:paraId="6AD5D187" w14:textId="6826603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0.004</w:t>
            </w:r>
          </w:p>
        </w:tc>
        <w:tc>
          <w:tcPr>
            <w:tcW w:w="774" w:type="dxa"/>
            <w:tcBorders>
              <w:left w:val="single" w:sz="4" w:space="0" w:color="auto"/>
              <w:right w:val="single" w:sz="4" w:space="0" w:color="auto"/>
            </w:tcBorders>
            <w:vAlign w:val="bottom"/>
          </w:tcPr>
          <w:p w14:paraId="27D41DD5" w14:textId="23467BEC"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0.11</w:t>
            </w:r>
          </w:p>
        </w:tc>
        <w:tc>
          <w:tcPr>
            <w:tcW w:w="880" w:type="dxa"/>
            <w:tcBorders>
              <w:left w:val="single" w:sz="4" w:space="0" w:color="auto"/>
            </w:tcBorders>
            <w:vAlign w:val="bottom"/>
          </w:tcPr>
          <w:p w14:paraId="0F893C8A" w14:textId="02E8828A"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0.10</w:t>
            </w:r>
          </w:p>
        </w:tc>
      </w:tr>
      <w:tr w:rsidR="005E3F3C" w:rsidRPr="00A0555D" w14:paraId="262AF7E7" w14:textId="77777777" w:rsidTr="00A13B8D">
        <w:trPr>
          <w:trHeight w:val="144"/>
        </w:trPr>
        <w:tc>
          <w:tcPr>
            <w:tcW w:w="1613" w:type="dxa"/>
            <w:tcBorders>
              <w:top w:val="nil"/>
              <w:left w:val="nil"/>
              <w:bottom w:val="nil"/>
              <w:right w:val="single" w:sz="4" w:space="0" w:color="auto"/>
            </w:tcBorders>
            <w:shd w:val="clear" w:color="auto" w:fill="auto"/>
            <w:noWrap/>
            <w:vAlign w:val="bottom"/>
            <w:hideMark/>
          </w:tcPr>
          <w:p w14:paraId="3240B0A6"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MRI-ESM2-0</w:t>
            </w:r>
          </w:p>
        </w:tc>
        <w:tc>
          <w:tcPr>
            <w:tcW w:w="767" w:type="dxa"/>
            <w:tcBorders>
              <w:top w:val="nil"/>
              <w:left w:val="nil"/>
              <w:bottom w:val="nil"/>
              <w:right w:val="nil"/>
            </w:tcBorders>
            <w:shd w:val="clear" w:color="auto" w:fill="auto"/>
            <w:noWrap/>
            <w:vAlign w:val="bottom"/>
          </w:tcPr>
          <w:p w14:paraId="76C592D7" w14:textId="592701D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nil"/>
              <w:right w:val="nil"/>
            </w:tcBorders>
            <w:shd w:val="clear" w:color="auto" w:fill="auto"/>
            <w:noWrap/>
            <w:vAlign w:val="bottom"/>
          </w:tcPr>
          <w:p w14:paraId="149F2756" w14:textId="580B5D2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top w:val="nil"/>
              <w:left w:val="nil"/>
              <w:bottom w:val="nil"/>
              <w:right w:val="nil"/>
            </w:tcBorders>
            <w:shd w:val="clear" w:color="auto" w:fill="auto"/>
            <w:noWrap/>
            <w:vAlign w:val="bottom"/>
          </w:tcPr>
          <w:p w14:paraId="38B4D101" w14:textId="0239B70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nil"/>
              <w:right w:val="nil"/>
            </w:tcBorders>
            <w:shd w:val="clear" w:color="auto" w:fill="auto"/>
            <w:noWrap/>
            <w:vAlign w:val="bottom"/>
          </w:tcPr>
          <w:p w14:paraId="0BC2E723" w14:textId="05199DC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nil"/>
              <w:right w:val="single" w:sz="4" w:space="0" w:color="auto"/>
            </w:tcBorders>
            <w:shd w:val="clear" w:color="auto" w:fill="auto"/>
            <w:noWrap/>
            <w:vAlign w:val="bottom"/>
          </w:tcPr>
          <w:p w14:paraId="4F29E00A" w14:textId="6EA695A2"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right w:val="single" w:sz="4" w:space="0" w:color="auto"/>
            </w:tcBorders>
            <w:vAlign w:val="bottom"/>
          </w:tcPr>
          <w:p w14:paraId="1484AD90" w14:textId="620CC0F5"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0.19</w:t>
            </w:r>
          </w:p>
        </w:tc>
        <w:tc>
          <w:tcPr>
            <w:tcW w:w="774" w:type="dxa"/>
            <w:tcBorders>
              <w:left w:val="single" w:sz="4" w:space="0" w:color="auto"/>
              <w:right w:val="single" w:sz="4" w:space="0" w:color="auto"/>
            </w:tcBorders>
            <w:vAlign w:val="bottom"/>
          </w:tcPr>
          <w:p w14:paraId="41031D31" w14:textId="1E536800"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1.10</w:t>
            </w:r>
          </w:p>
        </w:tc>
        <w:tc>
          <w:tcPr>
            <w:tcW w:w="774" w:type="dxa"/>
            <w:tcBorders>
              <w:left w:val="single" w:sz="4" w:space="0" w:color="auto"/>
              <w:right w:val="single" w:sz="4" w:space="0" w:color="auto"/>
            </w:tcBorders>
            <w:vAlign w:val="bottom"/>
          </w:tcPr>
          <w:p w14:paraId="2F83BD43" w14:textId="7ACBE9AE"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0.003</w:t>
            </w:r>
          </w:p>
        </w:tc>
        <w:tc>
          <w:tcPr>
            <w:tcW w:w="774" w:type="dxa"/>
            <w:tcBorders>
              <w:left w:val="single" w:sz="4" w:space="0" w:color="auto"/>
              <w:right w:val="single" w:sz="4" w:space="0" w:color="auto"/>
            </w:tcBorders>
            <w:vAlign w:val="bottom"/>
          </w:tcPr>
          <w:p w14:paraId="6C0092B9" w14:textId="00C9782F"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0.08</w:t>
            </w:r>
          </w:p>
        </w:tc>
        <w:tc>
          <w:tcPr>
            <w:tcW w:w="880" w:type="dxa"/>
            <w:tcBorders>
              <w:left w:val="single" w:sz="4" w:space="0" w:color="auto"/>
            </w:tcBorders>
            <w:vAlign w:val="bottom"/>
          </w:tcPr>
          <w:p w14:paraId="6D09A5CF" w14:textId="78F59E34"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0.41</w:t>
            </w:r>
          </w:p>
        </w:tc>
      </w:tr>
      <w:tr w:rsidR="005E3F3C" w:rsidRPr="00A0555D" w14:paraId="1C144F47" w14:textId="77777777" w:rsidTr="00A13B8D">
        <w:trPr>
          <w:trHeight w:val="144"/>
        </w:trPr>
        <w:tc>
          <w:tcPr>
            <w:tcW w:w="1613" w:type="dxa"/>
            <w:tcBorders>
              <w:top w:val="nil"/>
              <w:left w:val="nil"/>
              <w:bottom w:val="single" w:sz="4" w:space="0" w:color="auto"/>
              <w:right w:val="single" w:sz="4" w:space="0" w:color="auto"/>
            </w:tcBorders>
            <w:shd w:val="clear" w:color="auto" w:fill="auto"/>
            <w:noWrap/>
            <w:vAlign w:val="bottom"/>
            <w:hideMark/>
          </w:tcPr>
          <w:p w14:paraId="59751C94" w14:textId="77777777" w:rsidR="005E3F3C" w:rsidRPr="00A0555D" w:rsidRDefault="005E3F3C" w:rsidP="005E3F3C">
            <w:pPr>
              <w:spacing w:before="0" w:after="0" w:line="240" w:lineRule="auto"/>
              <w:ind w:firstLine="0"/>
              <w:rPr>
                <w:rFonts w:eastAsia="Times New Roman"/>
                <w:color w:val="000000"/>
                <w:sz w:val="16"/>
                <w:szCs w:val="16"/>
                <w:lang w:bidi="ar-SA"/>
              </w:rPr>
            </w:pPr>
            <w:r w:rsidRPr="00A0555D">
              <w:rPr>
                <w:rFonts w:eastAsia="Times New Roman"/>
                <w:color w:val="000000"/>
                <w:sz w:val="16"/>
                <w:szCs w:val="16"/>
                <w:lang w:bidi="ar-SA"/>
              </w:rPr>
              <w:t>NorESM2-MM</w:t>
            </w:r>
          </w:p>
        </w:tc>
        <w:tc>
          <w:tcPr>
            <w:tcW w:w="767" w:type="dxa"/>
            <w:tcBorders>
              <w:top w:val="nil"/>
              <w:left w:val="nil"/>
              <w:bottom w:val="single" w:sz="4" w:space="0" w:color="auto"/>
              <w:right w:val="nil"/>
            </w:tcBorders>
            <w:shd w:val="clear" w:color="auto" w:fill="auto"/>
            <w:noWrap/>
            <w:vAlign w:val="bottom"/>
          </w:tcPr>
          <w:p w14:paraId="7CD6346D" w14:textId="38C37184"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top w:val="nil"/>
              <w:left w:val="nil"/>
              <w:bottom w:val="single" w:sz="4" w:space="0" w:color="auto"/>
              <w:right w:val="nil"/>
            </w:tcBorders>
            <w:shd w:val="clear" w:color="auto" w:fill="auto"/>
            <w:noWrap/>
            <w:vAlign w:val="bottom"/>
          </w:tcPr>
          <w:p w14:paraId="40A6318F" w14:textId="7A1CDB4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0.001</w:t>
            </w:r>
          </w:p>
        </w:tc>
        <w:tc>
          <w:tcPr>
            <w:tcW w:w="773" w:type="dxa"/>
            <w:tcBorders>
              <w:top w:val="nil"/>
              <w:left w:val="nil"/>
              <w:bottom w:val="single" w:sz="4" w:space="0" w:color="auto"/>
              <w:right w:val="nil"/>
            </w:tcBorders>
            <w:shd w:val="clear" w:color="auto" w:fill="auto"/>
            <w:noWrap/>
            <w:vAlign w:val="bottom"/>
          </w:tcPr>
          <w:p w14:paraId="42C80D72" w14:textId="14DFE1CD"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843" w:type="dxa"/>
            <w:tcBorders>
              <w:top w:val="nil"/>
              <w:left w:val="nil"/>
              <w:bottom w:val="single" w:sz="4" w:space="0" w:color="auto"/>
              <w:right w:val="nil"/>
            </w:tcBorders>
            <w:shd w:val="clear" w:color="auto" w:fill="auto"/>
            <w:noWrap/>
            <w:vAlign w:val="bottom"/>
          </w:tcPr>
          <w:p w14:paraId="0FB8A7BB" w14:textId="78281F29"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04" w:type="dxa"/>
            <w:tcBorders>
              <w:top w:val="nil"/>
              <w:left w:val="nil"/>
              <w:bottom w:val="single" w:sz="4" w:space="0" w:color="auto"/>
              <w:right w:val="single" w:sz="4" w:space="0" w:color="auto"/>
            </w:tcBorders>
            <w:shd w:val="clear" w:color="auto" w:fill="auto"/>
            <w:noWrap/>
            <w:vAlign w:val="bottom"/>
          </w:tcPr>
          <w:p w14:paraId="3A077831" w14:textId="5FFD57CB" w:rsidR="005E3F3C" w:rsidRPr="006016B0" w:rsidRDefault="005E3F3C" w:rsidP="006016B0">
            <w:pPr>
              <w:tabs>
                <w:tab w:val="decimal" w:pos="256"/>
              </w:tabs>
              <w:spacing w:before="0" w:after="0" w:line="240" w:lineRule="auto"/>
              <w:ind w:firstLine="0"/>
              <w:rPr>
                <w:color w:val="000000"/>
                <w:sz w:val="16"/>
                <w:szCs w:val="16"/>
              </w:rPr>
            </w:pPr>
            <w:r w:rsidRPr="005E3F3C">
              <w:rPr>
                <w:color w:val="000000"/>
                <w:sz w:val="16"/>
                <w:szCs w:val="16"/>
              </w:rPr>
              <w:t>0.000</w:t>
            </w:r>
          </w:p>
        </w:tc>
        <w:tc>
          <w:tcPr>
            <w:tcW w:w="774" w:type="dxa"/>
            <w:tcBorders>
              <w:left w:val="nil"/>
              <w:bottom w:val="single" w:sz="4" w:space="0" w:color="auto"/>
              <w:right w:val="single" w:sz="4" w:space="0" w:color="auto"/>
            </w:tcBorders>
            <w:vAlign w:val="bottom"/>
          </w:tcPr>
          <w:p w14:paraId="4B9ABFAD" w14:textId="4C144EAF"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0.21</w:t>
            </w:r>
          </w:p>
        </w:tc>
        <w:tc>
          <w:tcPr>
            <w:tcW w:w="774" w:type="dxa"/>
            <w:tcBorders>
              <w:left w:val="single" w:sz="4" w:space="0" w:color="auto"/>
              <w:bottom w:val="single" w:sz="4" w:space="0" w:color="auto"/>
              <w:right w:val="single" w:sz="4" w:space="0" w:color="auto"/>
            </w:tcBorders>
            <w:vAlign w:val="bottom"/>
          </w:tcPr>
          <w:p w14:paraId="0AB81B74" w14:textId="421B5E7A"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0.90</w:t>
            </w:r>
          </w:p>
        </w:tc>
        <w:tc>
          <w:tcPr>
            <w:tcW w:w="774" w:type="dxa"/>
            <w:tcBorders>
              <w:left w:val="single" w:sz="4" w:space="0" w:color="auto"/>
              <w:bottom w:val="single" w:sz="4" w:space="0" w:color="auto"/>
              <w:right w:val="single" w:sz="4" w:space="0" w:color="auto"/>
            </w:tcBorders>
            <w:vAlign w:val="bottom"/>
          </w:tcPr>
          <w:p w14:paraId="5401EF2E" w14:textId="2F043787" w:rsidR="005E3F3C" w:rsidRPr="006016B0" w:rsidRDefault="006016B0" w:rsidP="006016B0">
            <w:pPr>
              <w:tabs>
                <w:tab w:val="decimal" w:pos="256"/>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0.007</w:t>
            </w:r>
          </w:p>
        </w:tc>
        <w:tc>
          <w:tcPr>
            <w:tcW w:w="774" w:type="dxa"/>
            <w:tcBorders>
              <w:left w:val="single" w:sz="4" w:space="0" w:color="auto"/>
              <w:bottom w:val="single" w:sz="4" w:space="0" w:color="auto"/>
              <w:right w:val="single" w:sz="4" w:space="0" w:color="auto"/>
            </w:tcBorders>
            <w:vAlign w:val="bottom"/>
          </w:tcPr>
          <w:p w14:paraId="6941A0D5" w14:textId="4FD2FB47" w:rsidR="005E3F3C" w:rsidRPr="006016B0" w:rsidRDefault="006016B0" w:rsidP="006016B0">
            <w:pPr>
              <w:tabs>
                <w:tab w:val="decimal" w:pos="282"/>
              </w:tabs>
              <w:spacing w:before="0" w:after="0" w:line="240" w:lineRule="auto"/>
              <w:ind w:firstLine="0"/>
              <w:rPr>
                <w:color w:val="000000"/>
                <w:sz w:val="16"/>
                <w:szCs w:val="16"/>
              </w:rPr>
            </w:pPr>
            <w:r>
              <w:rPr>
                <w:color w:val="000000"/>
                <w:sz w:val="16"/>
                <w:szCs w:val="16"/>
              </w:rPr>
              <w:t>−</w:t>
            </w:r>
            <w:r w:rsidR="005E3F3C" w:rsidRPr="005E3F3C">
              <w:rPr>
                <w:color w:val="000000"/>
                <w:sz w:val="16"/>
                <w:szCs w:val="16"/>
              </w:rPr>
              <w:t>0.07</w:t>
            </w:r>
          </w:p>
        </w:tc>
        <w:tc>
          <w:tcPr>
            <w:tcW w:w="880" w:type="dxa"/>
            <w:tcBorders>
              <w:left w:val="single" w:sz="4" w:space="0" w:color="auto"/>
              <w:bottom w:val="single" w:sz="4" w:space="0" w:color="auto"/>
            </w:tcBorders>
            <w:vAlign w:val="bottom"/>
          </w:tcPr>
          <w:p w14:paraId="15C40584" w14:textId="4C82F0D2" w:rsidR="005E3F3C" w:rsidRPr="005E3F3C" w:rsidRDefault="005E3F3C" w:rsidP="006016B0">
            <w:pPr>
              <w:tabs>
                <w:tab w:val="decimal" w:pos="318"/>
              </w:tabs>
              <w:spacing w:before="0" w:after="0" w:line="240" w:lineRule="auto"/>
              <w:ind w:firstLine="0"/>
              <w:rPr>
                <w:rFonts w:eastAsia="Times New Roman"/>
                <w:color w:val="000000"/>
                <w:sz w:val="16"/>
                <w:szCs w:val="16"/>
                <w:lang w:bidi="ar-SA"/>
              </w:rPr>
            </w:pPr>
            <w:r w:rsidRPr="005E3F3C">
              <w:rPr>
                <w:color w:val="000000"/>
                <w:sz w:val="16"/>
                <w:szCs w:val="16"/>
              </w:rPr>
              <w:t>0.98</w:t>
            </w:r>
          </w:p>
        </w:tc>
      </w:tr>
    </w:tbl>
    <w:p w14:paraId="4090973C" w14:textId="77777777" w:rsidR="00AD5538" w:rsidRDefault="00AD5538" w:rsidP="007E69F2">
      <w:pPr>
        <w:pStyle w:val="BodyText"/>
        <w:rPr>
          <w:rFonts w:eastAsiaTheme="minorEastAsia"/>
          <w:lang w:eastAsia="zh-TW"/>
        </w:rPr>
      </w:pPr>
    </w:p>
    <w:p w14:paraId="3DF1D116" w14:textId="77777777" w:rsidR="007E4A31" w:rsidRDefault="007E4A31" w:rsidP="007E4A31">
      <w:pPr>
        <w:pStyle w:val="BodyText"/>
        <w:rPr>
          <w:snapToGrid/>
        </w:rPr>
      </w:pPr>
    </w:p>
    <w:p w14:paraId="00EF12FC" w14:textId="77777777" w:rsidR="007E4A31" w:rsidRDefault="007E4A31" w:rsidP="007E4A31">
      <w:pPr>
        <w:pStyle w:val="BodyText"/>
        <w:rPr>
          <w:snapToGrid/>
        </w:rPr>
        <w:sectPr w:rsidR="007E4A31" w:rsidSect="00CC3514">
          <w:footerReference w:type="default" r:id="rId448"/>
          <w:pgSz w:w="12240" w:h="15840" w:code="1"/>
          <w:pgMar w:top="1440" w:right="1440" w:bottom="1440" w:left="1440" w:header="720" w:footer="720" w:gutter="0"/>
          <w:pgNumType w:start="1" w:chapStyle="9"/>
          <w:cols w:space="720"/>
          <w:docGrid w:linePitch="360"/>
        </w:sectPr>
      </w:pPr>
    </w:p>
    <w:p w14:paraId="29B6ADC8" w14:textId="225E5DCC" w:rsidR="007E4A31" w:rsidRPr="00737A01" w:rsidRDefault="000E607E" w:rsidP="007E4A31">
      <w:pPr>
        <w:pStyle w:val="Heading9"/>
      </w:pPr>
      <w:bookmarkStart w:id="622" w:name="_Ref81739142"/>
      <w:bookmarkStart w:id="623" w:name="_Toc113380858"/>
      <w:r w:rsidRPr="00306773">
        <w:lastRenderedPageBreak/>
        <w:t xml:space="preserve">ANOVA </w:t>
      </w:r>
      <w:r>
        <w:t>OF SEASONAL RUNOFF</w:t>
      </w:r>
      <w:bookmarkEnd w:id="622"/>
      <w:bookmarkEnd w:id="623"/>
    </w:p>
    <w:p w14:paraId="33931257" w14:textId="77777777" w:rsidR="000E607E" w:rsidRDefault="000E607E" w:rsidP="000E607E">
      <w:pPr>
        <w:pStyle w:val="BodyText"/>
        <w:rPr>
          <w:rFonts w:eastAsiaTheme="minorEastAsia"/>
          <w:lang w:eastAsia="zh-TW"/>
        </w:rPr>
      </w:pPr>
      <w:r>
        <w:rPr>
          <w:noProof/>
        </w:rPr>
        <w:drawing>
          <wp:inline distT="0" distB="0" distL="0" distR="0" wp14:anchorId="1B3199C3" wp14:editId="58E47E8B">
            <wp:extent cx="2926080" cy="2926080"/>
            <wp:effectExtent l="0" t="0" r="7620" b="7620"/>
            <wp:docPr id="1118564432" name="Picture 111856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50D776E2" wp14:editId="74F89484">
            <wp:extent cx="2926080" cy="2926080"/>
            <wp:effectExtent l="0" t="0" r="7620" b="7620"/>
            <wp:docPr id="1118564433" name="Picture 111856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7F6672AD" wp14:editId="184A5840">
            <wp:extent cx="2926080" cy="2926080"/>
            <wp:effectExtent l="0" t="0" r="7620" b="7620"/>
            <wp:docPr id="1118564434" name="Picture 111856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77285D66" wp14:editId="6293FD33">
            <wp:extent cx="2926080" cy="2926080"/>
            <wp:effectExtent l="0" t="0" r="7620" b="7620"/>
            <wp:docPr id="1118564435" name="Picture 111856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2C336B93" w14:textId="77777777" w:rsidR="000E607E" w:rsidRDefault="000E607E" w:rsidP="000E607E">
      <w:pPr>
        <w:pStyle w:val="BodyText"/>
        <w:rPr>
          <w:rFonts w:eastAsiaTheme="minorEastAsia"/>
          <w:lang w:eastAsia="zh-TW"/>
        </w:rPr>
      </w:pPr>
      <w:r>
        <w:rPr>
          <w:noProof/>
        </w:rPr>
        <w:lastRenderedPageBreak/>
        <w:drawing>
          <wp:inline distT="0" distB="0" distL="0" distR="0" wp14:anchorId="62658423" wp14:editId="6B8B2128">
            <wp:extent cx="2926080" cy="3901440"/>
            <wp:effectExtent l="0" t="0" r="7620" b="3810"/>
            <wp:docPr id="1118564436" name="Picture 111856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5383F1B1" wp14:editId="07DBFE61">
            <wp:extent cx="2926080" cy="3901440"/>
            <wp:effectExtent l="0" t="0" r="7620" b="3810"/>
            <wp:docPr id="1118564437" name="Picture 111856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1DBA7202" wp14:editId="14B474FF">
            <wp:extent cx="2926080" cy="3901440"/>
            <wp:effectExtent l="0" t="0" r="7620" b="3810"/>
            <wp:docPr id="1118564438" name="Picture 111856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69F90BF0" wp14:editId="124BE3F6">
            <wp:extent cx="2926080" cy="3901440"/>
            <wp:effectExtent l="0" t="0" r="7620" b="3810"/>
            <wp:docPr id="1118564439" name="Picture 111856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p>
    <w:p w14:paraId="4BB2A352" w14:textId="77777777" w:rsidR="000E607E" w:rsidRDefault="000E607E" w:rsidP="000E607E">
      <w:pPr>
        <w:pStyle w:val="BodyText"/>
        <w:rPr>
          <w:rFonts w:eastAsiaTheme="minorEastAsia"/>
          <w:lang w:eastAsia="zh-TW"/>
        </w:rPr>
      </w:pPr>
      <w:r>
        <w:rPr>
          <w:noProof/>
        </w:rPr>
        <w:lastRenderedPageBreak/>
        <w:drawing>
          <wp:inline distT="0" distB="0" distL="0" distR="0" wp14:anchorId="04750BD1" wp14:editId="1953144A">
            <wp:extent cx="2926080" cy="2926080"/>
            <wp:effectExtent l="0" t="0" r="7620" b="7620"/>
            <wp:docPr id="1118564440" name="Picture 111856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233E19AD" wp14:editId="206BBD91">
            <wp:extent cx="2926080" cy="2926080"/>
            <wp:effectExtent l="0" t="0" r="7620" b="7620"/>
            <wp:docPr id="1118564441" name="Picture 111856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0543499" wp14:editId="1972B204">
            <wp:extent cx="2926080" cy="2926080"/>
            <wp:effectExtent l="0" t="0" r="7620" b="7620"/>
            <wp:docPr id="1118564442" name="Picture 111856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0241486" wp14:editId="6334470C">
            <wp:extent cx="2926080" cy="2926080"/>
            <wp:effectExtent l="0" t="0" r="7620" b="7620"/>
            <wp:docPr id="1118564443" name="Picture 111856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1F304E1E" w14:textId="77777777" w:rsidR="000E607E" w:rsidRDefault="000E607E" w:rsidP="000E607E">
      <w:pPr>
        <w:pStyle w:val="BodyText"/>
        <w:rPr>
          <w:rFonts w:eastAsiaTheme="minorEastAsia"/>
          <w:lang w:eastAsia="zh-TW"/>
        </w:rPr>
      </w:pPr>
      <w:r>
        <w:rPr>
          <w:noProof/>
        </w:rPr>
        <w:lastRenderedPageBreak/>
        <w:drawing>
          <wp:inline distT="0" distB="0" distL="0" distR="0" wp14:anchorId="6796868D" wp14:editId="14B4BE58">
            <wp:extent cx="2926080" cy="2926080"/>
            <wp:effectExtent l="0" t="0" r="7620" b="7620"/>
            <wp:docPr id="1118564444" name="Picture 111856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74F6F7C1" wp14:editId="418B9363">
            <wp:extent cx="2926080" cy="2926080"/>
            <wp:effectExtent l="0" t="0" r="7620" b="7620"/>
            <wp:docPr id="1118564445" name="Picture 111856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22A20293" wp14:editId="3C49916D">
            <wp:extent cx="2926080" cy="2926080"/>
            <wp:effectExtent l="0" t="0" r="7620" b="7620"/>
            <wp:docPr id="1118564446" name="Picture 111856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D5CDC22" wp14:editId="1E7606E1">
            <wp:extent cx="2926080" cy="2926080"/>
            <wp:effectExtent l="0" t="0" r="7620" b="7620"/>
            <wp:docPr id="1118564447" name="Picture 111856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3C982D3F" w14:textId="77777777" w:rsidR="000B5D20" w:rsidRPr="00AD5A06" w:rsidRDefault="000B5D20" w:rsidP="007E69F2">
      <w:pPr>
        <w:pStyle w:val="BodyText"/>
        <w:rPr>
          <w:snapToGrid/>
        </w:rPr>
      </w:pPr>
    </w:p>
    <w:p w14:paraId="374BBCB1" w14:textId="77777777" w:rsidR="007E4A31" w:rsidRDefault="007E4A31" w:rsidP="007E4A31">
      <w:pPr>
        <w:pStyle w:val="BodyText"/>
        <w:rPr>
          <w:snapToGrid/>
        </w:rPr>
      </w:pPr>
    </w:p>
    <w:p w14:paraId="6F92B341" w14:textId="77777777" w:rsidR="007E4A31" w:rsidRDefault="007E4A31" w:rsidP="007E4A31">
      <w:pPr>
        <w:pStyle w:val="BodyText"/>
        <w:rPr>
          <w:snapToGrid/>
        </w:rPr>
        <w:sectPr w:rsidR="007E4A31" w:rsidSect="00CC3514">
          <w:footerReference w:type="default" r:id="rId465"/>
          <w:pgSz w:w="12240" w:h="15840" w:code="1"/>
          <w:pgMar w:top="1440" w:right="1440" w:bottom="1440" w:left="1440" w:header="720" w:footer="720" w:gutter="0"/>
          <w:pgNumType w:start="1" w:chapStyle="9"/>
          <w:cols w:space="720"/>
          <w:docGrid w:linePitch="360"/>
        </w:sectPr>
      </w:pPr>
    </w:p>
    <w:p w14:paraId="65875B6F" w14:textId="2DA1FAA5" w:rsidR="007E4A31" w:rsidRPr="00737A01" w:rsidRDefault="000B5D20" w:rsidP="007E4A31">
      <w:pPr>
        <w:pStyle w:val="Heading9"/>
      </w:pPr>
      <w:bookmarkStart w:id="624" w:name="_Ref81738890"/>
      <w:bookmarkStart w:id="625" w:name="_Toc113380859"/>
      <w:r w:rsidRPr="00306773">
        <w:lastRenderedPageBreak/>
        <w:t xml:space="preserve">ANOVA </w:t>
      </w:r>
      <w:r>
        <w:t>OF SEASONAL RESERVOIR EVAPORATION</w:t>
      </w:r>
      <w:bookmarkEnd w:id="624"/>
      <w:bookmarkEnd w:id="625"/>
    </w:p>
    <w:p w14:paraId="16F9CC29" w14:textId="77777777" w:rsidR="000B5D20" w:rsidRDefault="000B5D20" w:rsidP="000B5D20">
      <w:pPr>
        <w:pStyle w:val="BodyText"/>
        <w:rPr>
          <w:rFonts w:eastAsiaTheme="minorEastAsia"/>
          <w:lang w:eastAsia="zh-TW"/>
        </w:rPr>
      </w:pPr>
      <w:r>
        <w:rPr>
          <w:noProof/>
        </w:rPr>
        <w:drawing>
          <wp:inline distT="0" distB="0" distL="0" distR="0" wp14:anchorId="0E1077DB" wp14:editId="28D2C475">
            <wp:extent cx="2926080" cy="2926080"/>
            <wp:effectExtent l="0" t="0" r="762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38C78350" wp14:editId="5905607D">
            <wp:extent cx="2926080" cy="2926080"/>
            <wp:effectExtent l="0" t="0" r="7620" b="7620"/>
            <wp:docPr id="1118564416" name="Picture 11185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3E537FBD" wp14:editId="245857D1">
            <wp:extent cx="2926080" cy="2926080"/>
            <wp:effectExtent l="0" t="0" r="7620" b="7620"/>
            <wp:docPr id="1118564417" name="Picture 111856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C2DC4D0" wp14:editId="32E4623D">
            <wp:extent cx="2926080" cy="2926080"/>
            <wp:effectExtent l="0" t="0" r="7620" b="7620"/>
            <wp:docPr id="1118564418" name="Picture 111856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0819F9B2" w14:textId="77777777" w:rsidR="000B5D20" w:rsidRDefault="000B5D20" w:rsidP="000B5D20">
      <w:pPr>
        <w:pStyle w:val="BodyText"/>
        <w:rPr>
          <w:rFonts w:eastAsiaTheme="minorEastAsia"/>
          <w:lang w:eastAsia="zh-TW"/>
        </w:rPr>
      </w:pPr>
      <w:r>
        <w:rPr>
          <w:noProof/>
        </w:rPr>
        <w:lastRenderedPageBreak/>
        <w:drawing>
          <wp:inline distT="0" distB="0" distL="0" distR="0" wp14:anchorId="7E998F9B" wp14:editId="64271828">
            <wp:extent cx="2926080" cy="2926080"/>
            <wp:effectExtent l="0" t="0" r="7620" b="7620"/>
            <wp:docPr id="1118564419" name="Picture 111856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4AD69145" wp14:editId="248FDCA2">
            <wp:extent cx="2926080" cy="2926080"/>
            <wp:effectExtent l="0" t="0" r="7620" b="7620"/>
            <wp:docPr id="1118564420" name="Picture 111856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3E100127" wp14:editId="070907E5">
            <wp:extent cx="2926080" cy="2926080"/>
            <wp:effectExtent l="0" t="0" r="7620" b="7620"/>
            <wp:docPr id="1118564421" name="Picture 111856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00807DB0" wp14:editId="5C6283D4">
            <wp:extent cx="2926080" cy="2926080"/>
            <wp:effectExtent l="0" t="0" r="7620" b="7620"/>
            <wp:docPr id="1118564422" name="Picture 111856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678CC900" w14:textId="77777777" w:rsidR="000B5D20" w:rsidRDefault="000B5D20" w:rsidP="000B5D20">
      <w:pPr>
        <w:pStyle w:val="BodyText"/>
        <w:rPr>
          <w:rFonts w:eastAsiaTheme="minorEastAsia"/>
          <w:lang w:eastAsia="zh-TW"/>
        </w:rPr>
      </w:pPr>
      <w:r>
        <w:rPr>
          <w:noProof/>
        </w:rPr>
        <w:lastRenderedPageBreak/>
        <w:drawing>
          <wp:inline distT="0" distB="0" distL="0" distR="0" wp14:anchorId="4A685361" wp14:editId="1F537CBE">
            <wp:extent cx="2926080" cy="2926080"/>
            <wp:effectExtent l="0" t="0" r="7620" b="7620"/>
            <wp:docPr id="1118564423" name="Picture 111856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0E549F5" wp14:editId="57531A0A">
            <wp:extent cx="2926080" cy="2926080"/>
            <wp:effectExtent l="0" t="0" r="7620" b="7620"/>
            <wp:docPr id="1118564424" name="Picture 111856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2A1AC9E6" wp14:editId="60C05558">
            <wp:extent cx="2926080" cy="2926080"/>
            <wp:effectExtent l="0" t="0" r="7620" b="7620"/>
            <wp:docPr id="1118564425" name="Picture 111856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4D96F42C" wp14:editId="332228B5">
            <wp:extent cx="2926080" cy="2926080"/>
            <wp:effectExtent l="0" t="0" r="7620" b="7620"/>
            <wp:docPr id="1118564426" name="Picture 111856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1F07ECB4" w14:textId="77777777" w:rsidR="000B5D20" w:rsidRDefault="000B5D20" w:rsidP="000B5D20">
      <w:pPr>
        <w:pStyle w:val="BodyText"/>
        <w:rPr>
          <w:rFonts w:eastAsiaTheme="minorEastAsia"/>
          <w:lang w:eastAsia="zh-TW"/>
        </w:rPr>
      </w:pPr>
      <w:r>
        <w:rPr>
          <w:noProof/>
        </w:rPr>
        <w:lastRenderedPageBreak/>
        <w:drawing>
          <wp:inline distT="0" distB="0" distL="0" distR="0" wp14:anchorId="408070BC" wp14:editId="1A71B2FE">
            <wp:extent cx="2926080" cy="2926080"/>
            <wp:effectExtent l="0" t="0" r="7620" b="7620"/>
            <wp:docPr id="1118564428" name="Picture 111856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16EC73D2" wp14:editId="082405F3">
            <wp:extent cx="2926080" cy="2926080"/>
            <wp:effectExtent l="0" t="0" r="7620" b="7620"/>
            <wp:docPr id="1118564429" name="Picture 111856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904F9C4" wp14:editId="7EEEC0C5">
            <wp:extent cx="2926080" cy="2926080"/>
            <wp:effectExtent l="0" t="0" r="7620" b="7620"/>
            <wp:docPr id="1118564430" name="Picture 111856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28664D57" wp14:editId="77B1BB2C">
            <wp:extent cx="2926080" cy="2926080"/>
            <wp:effectExtent l="0" t="0" r="7620" b="7620"/>
            <wp:docPr id="1118564431" name="Picture 111856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74574BAB" w14:textId="77777777" w:rsidR="00BC3231" w:rsidRDefault="00BC3231" w:rsidP="007E69F2">
      <w:pPr>
        <w:pStyle w:val="BodyText"/>
        <w:rPr>
          <w:rFonts w:eastAsiaTheme="minorEastAsia"/>
          <w:lang w:eastAsia="zh-TW"/>
        </w:rPr>
      </w:pPr>
    </w:p>
    <w:p w14:paraId="78D7F7A6" w14:textId="77777777" w:rsidR="007E4A31" w:rsidRDefault="007E4A31" w:rsidP="007E4A31">
      <w:pPr>
        <w:pStyle w:val="BodyText"/>
        <w:rPr>
          <w:snapToGrid/>
        </w:rPr>
      </w:pPr>
    </w:p>
    <w:p w14:paraId="1044A2DA" w14:textId="77777777" w:rsidR="007E4A31" w:rsidRDefault="007E4A31" w:rsidP="007E4A31">
      <w:pPr>
        <w:pStyle w:val="BodyText"/>
        <w:rPr>
          <w:snapToGrid/>
        </w:rPr>
        <w:sectPr w:rsidR="007E4A31" w:rsidSect="00CC3514">
          <w:footerReference w:type="default" r:id="rId482"/>
          <w:pgSz w:w="12240" w:h="15840" w:code="1"/>
          <w:pgMar w:top="1440" w:right="1440" w:bottom="1440" w:left="1440" w:header="720" w:footer="720" w:gutter="0"/>
          <w:pgNumType w:start="1" w:chapStyle="9"/>
          <w:cols w:space="720"/>
          <w:docGrid w:linePitch="360"/>
        </w:sectPr>
      </w:pPr>
    </w:p>
    <w:p w14:paraId="3FC6EE22" w14:textId="056147D9" w:rsidR="007E4A31" w:rsidRPr="00737A01" w:rsidRDefault="00BC3231" w:rsidP="007E4A31">
      <w:pPr>
        <w:pStyle w:val="Heading9"/>
      </w:pPr>
      <w:bookmarkStart w:id="626" w:name="_Ref81738613"/>
      <w:bookmarkStart w:id="627" w:name="_Toc113380860"/>
      <w:r w:rsidRPr="00306773">
        <w:lastRenderedPageBreak/>
        <w:t xml:space="preserve">ANOVA </w:t>
      </w:r>
      <w:r>
        <w:t>OF SEASONAL HYDROPOWER GENERATION</w:t>
      </w:r>
      <w:bookmarkEnd w:id="626"/>
      <w:bookmarkEnd w:id="627"/>
    </w:p>
    <w:p w14:paraId="4D52510B" w14:textId="77777777" w:rsidR="00BC3231" w:rsidRDefault="00BC3231" w:rsidP="00BC3231">
      <w:pPr>
        <w:pStyle w:val="BodyText"/>
        <w:rPr>
          <w:rFonts w:eastAsiaTheme="minorEastAsia"/>
          <w:lang w:eastAsia="zh-TW"/>
        </w:rPr>
      </w:pPr>
      <w:r>
        <w:rPr>
          <w:noProof/>
        </w:rPr>
        <w:drawing>
          <wp:inline distT="0" distB="0" distL="0" distR="0" wp14:anchorId="080B7D42" wp14:editId="3BD110B6">
            <wp:extent cx="2926080" cy="2926080"/>
            <wp:effectExtent l="0" t="0" r="762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5E7AF7BF" wp14:editId="2E7F4E3A">
            <wp:extent cx="2926080" cy="2926080"/>
            <wp:effectExtent l="0" t="0" r="762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4E8D9DD" wp14:editId="53FAE879">
            <wp:extent cx="2926080" cy="2926080"/>
            <wp:effectExtent l="0" t="0" r="762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5BB54717" wp14:editId="54753517">
            <wp:extent cx="2926080" cy="2926080"/>
            <wp:effectExtent l="0" t="0" r="762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69FBE770" w14:textId="77777777" w:rsidR="00BC3231" w:rsidRDefault="00BC3231" w:rsidP="00BC3231">
      <w:pPr>
        <w:pStyle w:val="BodyText"/>
        <w:rPr>
          <w:rFonts w:eastAsiaTheme="minorEastAsia"/>
          <w:lang w:eastAsia="zh-TW"/>
        </w:rPr>
      </w:pPr>
      <w:r>
        <w:rPr>
          <w:noProof/>
        </w:rPr>
        <w:lastRenderedPageBreak/>
        <w:drawing>
          <wp:inline distT="0" distB="0" distL="0" distR="0" wp14:anchorId="2F82973C" wp14:editId="3FF0B782">
            <wp:extent cx="2926080" cy="3901440"/>
            <wp:effectExtent l="0" t="0" r="7620" b="38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10BCC07C" wp14:editId="343108C0">
            <wp:extent cx="2926080" cy="3901440"/>
            <wp:effectExtent l="0" t="0" r="7620" b="381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58296DF6" wp14:editId="486C69C2">
            <wp:extent cx="2926080" cy="3901440"/>
            <wp:effectExtent l="0" t="0" r="762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noProof/>
        </w:rPr>
        <w:drawing>
          <wp:inline distT="0" distB="0" distL="0" distR="0" wp14:anchorId="022206D4" wp14:editId="6E6CB433">
            <wp:extent cx="2926080" cy="3901440"/>
            <wp:effectExtent l="0" t="0" r="762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p>
    <w:p w14:paraId="7FEAA8B9" w14:textId="77777777" w:rsidR="00BC3231" w:rsidRDefault="00BC3231" w:rsidP="00BC3231">
      <w:pPr>
        <w:pStyle w:val="BodyText"/>
        <w:rPr>
          <w:rFonts w:eastAsiaTheme="minorEastAsia"/>
          <w:lang w:eastAsia="zh-TW"/>
        </w:rPr>
      </w:pPr>
      <w:r>
        <w:rPr>
          <w:noProof/>
        </w:rPr>
        <w:lastRenderedPageBreak/>
        <w:drawing>
          <wp:inline distT="0" distB="0" distL="0" distR="0" wp14:anchorId="5B4A09C8" wp14:editId="426614CC">
            <wp:extent cx="2926080" cy="2926080"/>
            <wp:effectExtent l="0" t="0" r="762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6138B976" wp14:editId="582FDE86">
            <wp:extent cx="2926080" cy="2926080"/>
            <wp:effectExtent l="0" t="0" r="762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3F78A1C8" wp14:editId="11E34D1A">
            <wp:extent cx="2926080" cy="2926080"/>
            <wp:effectExtent l="0" t="0" r="762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581190F2" wp14:editId="34F27E17">
            <wp:extent cx="2926080" cy="2926080"/>
            <wp:effectExtent l="0" t="0" r="762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6857B6C4" w14:textId="77777777" w:rsidR="00BC3231" w:rsidRDefault="00BC3231" w:rsidP="00BC3231">
      <w:pPr>
        <w:pStyle w:val="BodyText"/>
        <w:rPr>
          <w:rFonts w:eastAsiaTheme="minorEastAsia"/>
          <w:lang w:eastAsia="zh-TW"/>
        </w:rPr>
      </w:pPr>
      <w:r>
        <w:rPr>
          <w:noProof/>
        </w:rPr>
        <w:lastRenderedPageBreak/>
        <w:drawing>
          <wp:inline distT="0" distB="0" distL="0" distR="0" wp14:anchorId="55DBFA97" wp14:editId="73296292">
            <wp:extent cx="2926080" cy="2926080"/>
            <wp:effectExtent l="0" t="0" r="762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15B77493" wp14:editId="39FFF6DB">
            <wp:extent cx="2926080" cy="2926080"/>
            <wp:effectExtent l="0" t="0" r="762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2BAE0607" wp14:editId="4E2A058C">
            <wp:extent cx="2926080" cy="2926080"/>
            <wp:effectExtent l="0" t="0" r="762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Pr>
          <w:noProof/>
        </w:rPr>
        <w:drawing>
          <wp:inline distT="0" distB="0" distL="0" distR="0" wp14:anchorId="3D239EE1" wp14:editId="1A930178">
            <wp:extent cx="2926080" cy="2926080"/>
            <wp:effectExtent l="0" t="0" r="762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C8D6DB5" w14:textId="77777777" w:rsidR="003E0E01" w:rsidRDefault="003E0E01" w:rsidP="007E4A31">
      <w:pPr>
        <w:pStyle w:val="BodyText"/>
        <w:rPr>
          <w:snapToGrid/>
        </w:rPr>
      </w:pPr>
    </w:p>
    <w:p w14:paraId="3FDE22B9" w14:textId="77777777" w:rsidR="007E4A31" w:rsidRDefault="007E4A31" w:rsidP="007E4A31">
      <w:pPr>
        <w:pStyle w:val="BodyText"/>
        <w:rPr>
          <w:snapToGrid/>
        </w:rPr>
      </w:pPr>
    </w:p>
    <w:p w14:paraId="47E6DDD6" w14:textId="77777777" w:rsidR="007E4A31" w:rsidRDefault="007E4A31" w:rsidP="007E4A31">
      <w:pPr>
        <w:pStyle w:val="BodyText"/>
        <w:rPr>
          <w:snapToGrid/>
        </w:rPr>
        <w:sectPr w:rsidR="007E4A31" w:rsidSect="00CC3514">
          <w:footerReference w:type="default" r:id="rId499"/>
          <w:pgSz w:w="12240" w:h="15840" w:code="1"/>
          <w:pgMar w:top="1440" w:right="1440" w:bottom="1440" w:left="1440" w:header="720" w:footer="720" w:gutter="0"/>
          <w:pgNumType w:start="1" w:chapStyle="9"/>
          <w:cols w:space="720"/>
          <w:docGrid w:linePitch="360"/>
        </w:sectPr>
      </w:pPr>
    </w:p>
    <w:p w14:paraId="43CC013D" w14:textId="31A9E629" w:rsidR="007E69F2" w:rsidRPr="00737A01" w:rsidRDefault="006C09B3" w:rsidP="007E69F2">
      <w:pPr>
        <w:pStyle w:val="Heading9"/>
      </w:pPr>
      <w:bookmarkStart w:id="628" w:name="_Ref81737985"/>
      <w:bookmarkStart w:id="629" w:name="_Toc113380861"/>
      <w:r w:rsidRPr="00DD4CC4">
        <w:lastRenderedPageBreak/>
        <w:t>POWER MARKETING ANALYSIS</w:t>
      </w:r>
      <w:bookmarkEnd w:id="628"/>
      <w:bookmarkEnd w:id="629"/>
    </w:p>
    <w:p w14:paraId="058C36B1" w14:textId="6D94AE00" w:rsidR="006C09B3" w:rsidRDefault="000F2D52" w:rsidP="006C09B3">
      <w:pPr>
        <w:pStyle w:val="BodyText"/>
        <w:rPr>
          <w:rFonts w:eastAsiaTheme="minorEastAsia"/>
          <w:lang w:eastAsia="zh-TW"/>
        </w:rPr>
      </w:pPr>
      <w:r>
        <w:rPr>
          <w:rFonts w:eastAsiaTheme="minorEastAsia"/>
          <w:lang w:eastAsia="zh-TW"/>
        </w:rPr>
        <w:fldChar w:fldCharType="begin"/>
      </w:r>
      <w:r>
        <w:rPr>
          <w:rFonts w:eastAsiaTheme="minorEastAsia"/>
          <w:lang w:eastAsia="zh-TW"/>
        </w:rPr>
        <w:instrText xml:space="preserve"> REF _Ref81737809 \h </w:instrText>
      </w:r>
      <w:r>
        <w:rPr>
          <w:rFonts w:eastAsiaTheme="minorEastAsia"/>
          <w:lang w:eastAsia="zh-TW"/>
        </w:rPr>
      </w:r>
      <w:r>
        <w:rPr>
          <w:rFonts w:eastAsiaTheme="minorEastAsia"/>
          <w:lang w:eastAsia="zh-TW"/>
        </w:rPr>
        <w:fldChar w:fldCharType="separate"/>
      </w:r>
      <w:r w:rsidR="00EE0BF5">
        <w:t xml:space="preserve">Table </w:t>
      </w:r>
      <w:r w:rsidR="00EE0BF5">
        <w:rPr>
          <w:noProof/>
        </w:rPr>
        <w:t>H</w:t>
      </w:r>
      <w:r w:rsidR="00EE0BF5">
        <w:t>.</w:t>
      </w:r>
      <w:r w:rsidR="00EE0BF5">
        <w:rPr>
          <w:noProof/>
        </w:rPr>
        <w:t>1</w:t>
      </w:r>
      <w:r w:rsidR="00EE0BF5" w:rsidRPr="00485D84">
        <w:rPr>
          <w:rFonts w:eastAsia="PMingLiU"/>
          <w:lang w:bidi="en-US"/>
        </w:rPr>
        <w:t xml:space="preserve">. </w:t>
      </w:r>
      <w:r>
        <w:rPr>
          <w:rFonts w:eastAsiaTheme="minorEastAsia"/>
          <w:lang w:eastAsia="zh-TW"/>
        </w:rPr>
        <w:fldChar w:fldCharType="end"/>
      </w:r>
      <w:r>
        <w:rPr>
          <w:rFonts w:eastAsiaTheme="minorEastAsia"/>
          <w:lang w:eastAsia="zh-TW"/>
        </w:rPr>
        <w:t xml:space="preserve"> </w:t>
      </w:r>
      <w:r w:rsidR="00087820">
        <w:rPr>
          <w:rFonts w:eastAsiaTheme="minorEastAsia"/>
          <w:lang w:eastAsia="zh-TW"/>
        </w:rPr>
        <w:t>displays the correspondence between the 18 9505 areas and the 9 power marketing subregions used for the demand analysis. Whenever possible, the 9 power marketing subregions correspond to the regional delineation used by the PMAs for marketing and rate-setting purposes (e.g., BPA functions as a single region for marketing purposes even though it is divided into four areas for hydrologic projections). In some cases, multiple power marketing regions had to be combined because the number of preference customers reporting sales data to EIA was too small to estimate their sales equation separately</w:t>
      </w:r>
      <w:r w:rsidR="006C09B3">
        <w:rPr>
          <w:rFonts w:eastAsiaTheme="minorEastAsia"/>
          <w:lang w:eastAsia="zh-TW"/>
        </w:rPr>
        <w:t>.</w:t>
      </w:r>
    </w:p>
    <w:p w14:paraId="7278EE9C" w14:textId="5EFC66DA" w:rsidR="006C09B3" w:rsidRPr="00485D84" w:rsidRDefault="00336BCB" w:rsidP="00336BCB">
      <w:pPr>
        <w:pStyle w:val="AppendixTableCaption"/>
        <w:rPr>
          <w:rFonts w:eastAsia="PMingLiU"/>
          <w:lang w:bidi="en-US"/>
        </w:rPr>
      </w:pPr>
      <w:bookmarkStart w:id="630" w:name="_Ref81737809"/>
      <w:r>
        <w:t xml:space="preserve">Table </w:t>
      </w:r>
      <w:fldSimple w:instr=" STYLEREF 9 \s ">
        <w:r w:rsidR="00EE0BF5">
          <w:rPr>
            <w:noProof/>
          </w:rPr>
          <w:t>H</w:t>
        </w:r>
      </w:fldSimple>
      <w:r>
        <w:t>.</w:t>
      </w:r>
      <w:fldSimple w:instr=" SEQ Table_Apx \* ARABIC \s 9 ">
        <w:r w:rsidR="00EE0BF5">
          <w:rPr>
            <w:noProof/>
          </w:rPr>
          <w:t>1</w:t>
        </w:r>
      </w:fldSimple>
      <w:r w:rsidRPr="00485D84">
        <w:rPr>
          <w:rFonts w:eastAsia="PMingLiU"/>
          <w:lang w:bidi="en-US"/>
        </w:rPr>
        <w:t xml:space="preserve">. </w:t>
      </w:r>
      <w:bookmarkEnd w:id="630"/>
      <w:r w:rsidR="006C09B3">
        <w:rPr>
          <w:rFonts w:eastAsiaTheme="minorEastAsia"/>
          <w:lang w:eastAsia="zh-TW"/>
        </w:rPr>
        <w:t>Correspondence between 9505 study regions and marketing regions used for PMA customer demand analysis</w:t>
      </w:r>
    </w:p>
    <w:tbl>
      <w:tblPr>
        <w:tblStyle w:val="PlainTable2"/>
        <w:tblW w:w="0" w:type="auto"/>
        <w:jc w:val="center"/>
        <w:tblLayout w:type="fixed"/>
        <w:tblCellMar>
          <w:top w:w="29" w:type="dxa"/>
          <w:left w:w="58" w:type="dxa"/>
          <w:bottom w:w="29" w:type="dxa"/>
          <w:right w:w="58" w:type="dxa"/>
        </w:tblCellMar>
        <w:tblLook w:val="04A0" w:firstRow="1" w:lastRow="0" w:firstColumn="1" w:lastColumn="0" w:noHBand="0" w:noVBand="1"/>
      </w:tblPr>
      <w:tblGrid>
        <w:gridCol w:w="1980"/>
        <w:gridCol w:w="3960"/>
        <w:gridCol w:w="3410"/>
      </w:tblGrid>
      <w:tr w:rsidR="006C09B3" w:rsidRPr="00551685" w14:paraId="592AF6A6" w14:textId="77777777" w:rsidTr="00336B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Borders>
              <w:top w:val="single" w:sz="12" w:space="0" w:color="000000" w:themeColor="text1"/>
              <w:bottom w:val="single" w:sz="12" w:space="0" w:color="000000" w:themeColor="text1"/>
            </w:tcBorders>
            <w:vAlign w:val="center"/>
          </w:tcPr>
          <w:p w14:paraId="2466D66D" w14:textId="77777777" w:rsidR="006C09B3" w:rsidRPr="00551685" w:rsidRDefault="006C09B3" w:rsidP="00336BCB">
            <w:pPr>
              <w:spacing w:before="0" w:after="0" w:line="240" w:lineRule="auto"/>
              <w:ind w:firstLine="0"/>
              <w:jc w:val="center"/>
              <w:rPr>
                <w:sz w:val="20"/>
                <w:szCs w:val="20"/>
              </w:rPr>
            </w:pPr>
            <w:r w:rsidRPr="00551685">
              <w:rPr>
                <w:sz w:val="20"/>
                <w:szCs w:val="20"/>
              </w:rPr>
              <w:t>9505 Study Regions</w:t>
            </w:r>
          </w:p>
        </w:tc>
        <w:tc>
          <w:tcPr>
            <w:tcW w:w="3960" w:type="dxa"/>
            <w:tcBorders>
              <w:top w:val="single" w:sz="12" w:space="0" w:color="000000" w:themeColor="text1"/>
              <w:bottom w:val="single" w:sz="12" w:space="0" w:color="000000" w:themeColor="text1"/>
            </w:tcBorders>
            <w:vAlign w:val="center"/>
          </w:tcPr>
          <w:p w14:paraId="183CE1E7" w14:textId="77777777" w:rsidR="006C09B3" w:rsidRPr="00551685" w:rsidRDefault="006C09B3" w:rsidP="00336BCB">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Subr</w:t>
            </w:r>
            <w:r w:rsidRPr="00551685">
              <w:rPr>
                <w:sz w:val="20"/>
                <w:szCs w:val="20"/>
              </w:rPr>
              <w:t>egions used in the Power Marketing Analysis</w:t>
            </w:r>
          </w:p>
        </w:tc>
        <w:tc>
          <w:tcPr>
            <w:tcW w:w="3410" w:type="dxa"/>
            <w:tcBorders>
              <w:top w:val="single" w:sz="12" w:space="0" w:color="000000" w:themeColor="text1"/>
              <w:bottom w:val="single" w:sz="12" w:space="0" w:color="000000" w:themeColor="text1"/>
            </w:tcBorders>
            <w:vAlign w:val="center"/>
          </w:tcPr>
          <w:p w14:paraId="72B30746" w14:textId="77777777" w:rsidR="006C09B3" w:rsidRPr="00551685" w:rsidRDefault="006C09B3" w:rsidP="00336BCB">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551685">
              <w:rPr>
                <w:sz w:val="20"/>
                <w:szCs w:val="20"/>
              </w:rPr>
              <w:t>Number of preference customers used for estimation of sales equation</w:t>
            </w:r>
          </w:p>
        </w:tc>
      </w:tr>
      <w:tr w:rsidR="006C09B3" w:rsidRPr="00551685" w14:paraId="1EB1F09A"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Borders>
              <w:top w:val="single" w:sz="12" w:space="0" w:color="000000" w:themeColor="text1"/>
            </w:tcBorders>
            <w:vAlign w:val="center"/>
          </w:tcPr>
          <w:p w14:paraId="60451FA3" w14:textId="71BBDCB5" w:rsidR="006C09B3" w:rsidRPr="00444028" w:rsidRDefault="006C09B3" w:rsidP="00336BCB">
            <w:pPr>
              <w:spacing w:before="0" w:after="0" w:line="240" w:lineRule="auto"/>
              <w:ind w:firstLine="0"/>
              <w:rPr>
                <w:b w:val="0"/>
                <w:bCs w:val="0"/>
                <w:sz w:val="20"/>
                <w:szCs w:val="20"/>
              </w:rPr>
            </w:pPr>
            <w:r w:rsidRPr="00444028">
              <w:rPr>
                <w:b w:val="0"/>
                <w:bCs w:val="0"/>
                <w:sz w:val="20"/>
                <w:szCs w:val="20"/>
              </w:rPr>
              <w:t>BPA</w:t>
            </w:r>
            <w:r w:rsidR="002A0F15">
              <w:rPr>
                <w:b w:val="0"/>
                <w:bCs w:val="0"/>
                <w:sz w:val="20"/>
                <w:szCs w:val="20"/>
              </w:rPr>
              <w:t>-</w:t>
            </w:r>
            <w:r w:rsidRPr="00444028">
              <w:rPr>
                <w:b w:val="0"/>
                <w:bCs w:val="0"/>
                <w:sz w:val="20"/>
                <w:szCs w:val="20"/>
              </w:rPr>
              <w:t>1</w:t>
            </w:r>
            <w:r w:rsidR="002A0F15">
              <w:rPr>
                <w:b w:val="0"/>
                <w:bCs w:val="0"/>
                <w:sz w:val="20"/>
                <w:szCs w:val="20"/>
              </w:rPr>
              <w:t>–</w:t>
            </w:r>
            <w:r w:rsidRPr="00444028">
              <w:rPr>
                <w:b w:val="0"/>
                <w:bCs w:val="0"/>
                <w:sz w:val="20"/>
                <w:szCs w:val="20"/>
              </w:rPr>
              <w:t>4</w:t>
            </w:r>
          </w:p>
        </w:tc>
        <w:tc>
          <w:tcPr>
            <w:tcW w:w="3960" w:type="dxa"/>
            <w:tcBorders>
              <w:top w:val="single" w:sz="12" w:space="0" w:color="000000" w:themeColor="text1"/>
            </w:tcBorders>
            <w:vAlign w:val="center"/>
          </w:tcPr>
          <w:p w14:paraId="56DB882E" w14:textId="77777777" w:rsidR="006C09B3" w:rsidRPr="00444028" w:rsidRDefault="006C09B3" w:rsidP="00336BCB">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444028">
              <w:rPr>
                <w:sz w:val="20"/>
                <w:szCs w:val="20"/>
              </w:rPr>
              <w:t>BPA</w:t>
            </w:r>
          </w:p>
        </w:tc>
        <w:tc>
          <w:tcPr>
            <w:tcW w:w="3410" w:type="dxa"/>
            <w:tcBorders>
              <w:top w:val="single" w:sz="12" w:space="0" w:color="000000" w:themeColor="text1"/>
            </w:tcBorders>
            <w:vAlign w:val="center"/>
          </w:tcPr>
          <w:p w14:paraId="3F042FFE" w14:textId="77777777" w:rsidR="006C09B3" w:rsidRPr="00444028" w:rsidRDefault="006C09B3" w:rsidP="00C065C7">
            <w:pPr>
              <w:tabs>
                <w:tab w:val="decimal" w:pos="18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444028">
              <w:rPr>
                <w:sz w:val="20"/>
                <w:szCs w:val="20"/>
              </w:rPr>
              <w:t>91</w:t>
            </w:r>
          </w:p>
        </w:tc>
      </w:tr>
      <w:tr w:rsidR="006C09B3" w:rsidRPr="00551685" w14:paraId="63AE1FC0"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B6808CE"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WAPA-1</w:t>
            </w:r>
          </w:p>
        </w:tc>
        <w:tc>
          <w:tcPr>
            <w:tcW w:w="3960" w:type="dxa"/>
            <w:vAlign w:val="center"/>
          </w:tcPr>
          <w:p w14:paraId="51269DE7" w14:textId="4F0EF614" w:rsidR="006C09B3" w:rsidRPr="00444028" w:rsidRDefault="006C09B3" w:rsidP="00336BCB">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WAPA-</w:t>
            </w:r>
            <w:r w:rsidRPr="00444028">
              <w:rPr>
                <w:sz w:val="20"/>
                <w:szCs w:val="20"/>
              </w:rPr>
              <w:t>UGP</w:t>
            </w:r>
          </w:p>
        </w:tc>
        <w:tc>
          <w:tcPr>
            <w:tcW w:w="3410" w:type="dxa"/>
            <w:vAlign w:val="center"/>
          </w:tcPr>
          <w:p w14:paraId="5184834E" w14:textId="77777777" w:rsidR="006C09B3" w:rsidRPr="00444028" w:rsidRDefault="006C09B3" w:rsidP="00C065C7">
            <w:pPr>
              <w:tabs>
                <w:tab w:val="decimal" w:pos="18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44028">
              <w:rPr>
                <w:sz w:val="20"/>
                <w:szCs w:val="20"/>
              </w:rPr>
              <w:t>128</w:t>
            </w:r>
          </w:p>
        </w:tc>
      </w:tr>
      <w:tr w:rsidR="006C09B3" w:rsidRPr="00551685" w14:paraId="0706836E"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A04EF7A"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WAPA-3, WAPA-5</w:t>
            </w:r>
          </w:p>
        </w:tc>
        <w:tc>
          <w:tcPr>
            <w:tcW w:w="3960" w:type="dxa"/>
            <w:vAlign w:val="center"/>
          </w:tcPr>
          <w:p w14:paraId="1A63F649" w14:textId="0C032D84" w:rsidR="006C09B3" w:rsidRPr="00444028" w:rsidRDefault="006C09B3" w:rsidP="00336BCB">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WAPA-</w:t>
            </w:r>
            <w:r w:rsidRPr="00444028">
              <w:rPr>
                <w:sz w:val="20"/>
                <w:szCs w:val="20"/>
              </w:rPr>
              <w:t>CRSP</w:t>
            </w:r>
          </w:p>
        </w:tc>
        <w:tc>
          <w:tcPr>
            <w:tcW w:w="3410" w:type="dxa"/>
            <w:vAlign w:val="center"/>
          </w:tcPr>
          <w:p w14:paraId="07EC15A1" w14:textId="77777777" w:rsidR="006C09B3" w:rsidRPr="00444028" w:rsidRDefault="006C09B3" w:rsidP="00C065C7">
            <w:pPr>
              <w:tabs>
                <w:tab w:val="decimal" w:pos="18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444028">
              <w:rPr>
                <w:sz w:val="20"/>
                <w:szCs w:val="20"/>
              </w:rPr>
              <w:t>36</w:t>
            </w:r>
          </w:p>
        </w:tc>
      </w:tr>
      <w:tr w:rsidR="006C09B3" w:rsidRPr="00551685" w14:paraId="374B8B91"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FECC072"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WAPA-4</w:t>
            </w:r>
          </w:p>
        </w:tc>
        <w:tc>
          <w:tcPr>
            <w:tcW w:w="3960" w:type="dxa"/>
            <w:vAlign w:val="center"/>
          </w:tcPr>
          <w:p w14:paraId="589F92B4" w14:textId="70F5E908" w:rsidR="006C09B3" w:rsidRPr="00444028" w:rsidRDefault="006C09B3" w:rsidP="00336BCB">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WAPA-</w:t>
            </w:r>
            <w:r w:rsidRPr="00444028">
              <w:rPr>
                <w:sz w:val="20"/>
                <w:szCs w:val="20"/>
              </w:rPr>
              <w:t>DSW</w:t>
            </w:r>
          </w:p>
        </w:tc>
        <w:tc>
          <w:tcPr>
            <w:tcW w:w="3410" w:type="dxa"/>
            <w:vAlign w:val="center"/>
          </w:tcPr>
          <w:p w14:paraId="7CCBF38E" w14:textId="77777777" w:rsidR="006C09B3" w:rsidRPr="00444028" w:rsidRDefault="006C09B3" w:rsidP="00C065C7">
            <w:pPr>
              <w:tabs>
                <w:tab w:val="decimal" w:pos="18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44028">
              <w:rPr>
                <w:sz w:val="20"/>
                <w:szCs w:val="20"/>
              </w:rPr>
              <w:t>18</w:t>
            </w:r>
          </w:p>
        </w:tc>
      </w:tr>
      <w:tr w:rsidR="006C09B3" w:rsidRPr="00551685" w14:paraId="3CB2FAD2"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836129D"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WAPA-2, WAPA-6</w:t>
            </w:r>
          </w:p>
        </w:tc>
        <w:tc>
          <w:tcPr>
            <w:tcW w:w="3960" w:type="dxa"/>
            <w:vAlign w:val="center"/>
          </w:tcPr>
          <w:p w14:paraId="7D75022C" w14:textId="24F9CE12" w:rsidR="006C09B3" w:rsidRPr="00444028" w:rsidRDefault="006C09B3" w:rsidP="00336BCB">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WAPA-SN/</w:t>
            </w:r>
            <w:r w:rsidRPr="00444028">
              <w:rPr>
                <w:sz w:val="20"/>
                <w:szCs w:val="20"/>
              </w:rPr>
              <w:t>RM</w:t>
            </w:r>
          </w:p>
        </w:tc>
        <w:tc>
          <w:tcPr>
            <w:tcW w:w="3410" w:type="dxa"/>
            <w:vAlign w:val="center"/>
          </w:tcPr>
          <w:p w14:paraId="0CE15CD4" w14:textId="77777777" w:rsidR="006C09B3" w:rsidRPr="00444028" w:rsidRDefault="006C09B3" w:rsidP="00C065C7">
            <w:pPr>
              <w:tabs>
                <w:tab w:val="decimal" w:pos="18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444028">
              <w:rPr>
                <w:sz w:val="20"/>
                <w:szCs w:val="20"/>
              </w:rPr>
              <w:t>18</w:t>
            </w:r>
          </w:p>
        </w:tc>
      </w:tr>
      <w:tr w:rsidR="006C09B3" w:rsidRPr="00551685" w14:paraId="7E4A3F86"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94D20E8" w14:textId="62975961" w:rsidR="006C09B3" w:rsidRPr="00444028" w:rsidRDefault="006C09B3" w:rsidP="00336BCB">
            <w:pPr>
              <w:spacing w:before="0" w:after="0" w:line="240" w:lineRule="auto"/>
              <w:ind w:firstLine="0"/>
              <w:rPr>
                <w:b w:val="0"/>
                <w:bCs w:val="0"/>
                <w:sz w:val="20"/>
                <w:szCs w:val="20"/>
              </w:rPr>
            </w:pPr>
            <w:r w:rsidRPr="00444028">
              <w:rPr>
                <w:b w:val="0"/>
                <w:bCs w:val="0"/>
                <w:sz w:val="20"/>
                <w:szCs w:val="20"/>
              </w:rPr>
              <w:t>SWPA</w:t>
            </w:r>
            <w:r w:rsidR="002A0F15">
              <w:rPr>
                <w:b w:val="0"/>
                <w:bCs w:val="0"/>
                <w:sz w:val="20"/>
                <w:szCs w:val="20"/>
              </w:rPr>
              <w:t>-</w:t>
            </w:r>
            <w:r w:rsidRPr="00444028">
              <w:rPr>
                <w:b w:val="0"/>
                <w:bCs w:val="0"/>
                <w:sz w:val="20"/>
                <w:szCs w:val="20"/>
              </w:rPr>
              <w:t>1</w:t>
            </w:r>
            <w:r w:rsidR="002A0F15">
              <w:rPr>
                <w:b w:val="0"/>
                <w:bCs w:val="0"/>
                <w:sz w:val="20"/>
                <w:szCs w:val="20"/>
              </w:rPr>
              <w:t>–</w:t>
            </w:r>
            <w:r w:rsidRPr="00444028">
              <w:rPr>
                <w:b w:val="0"/>
                <w:bCs w:val="0"/>
                <w:sz w:val="20"/>
                <w:szCs w:val="20"/>
              </w:rPr>
              <w:t>4</w:t>
            </w:r>
          </w:p>
        </w:tc>
        <w:tc>
          <w:tcPr>
            <w:tcW w:w="3960" w:type="dxa"/>
            <w:vAlign w:val="center"/>
          </w:tcPr>
          <w:p w14:paraId="5EF43D38" w14:textId="77777777" w:rsidR="006C09B3" w:rsidRPr="00444028" w:rsidRDefault="006C09B3" w:rsidP="00336BCB">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44028">
              <w:rPr>
                <w:sz w:val="20"/>
                <w:szCs w:val="20"/>
              </w:rPr>
              <w:t>SWPA</w:t>
            </w:r>
          </w:p>
        </w:tc>
        <w:tc>
          <w:tcPr>
            <w:tcW w:w="3410" w:type="dxa"/>
            <w:vAlign w:val="center"/>
          </w:tcPr>
          <w:p w14:paraId="5ADD7E7C" w14:textId="77777777" w:rsidR="006C09B3" w:rsidRPr="00444028" w:rsidRDefault="006C09B3" w:rsidP="00C065C7">
            <w:pPr>
              <w:tabs>
                <w:tab w:val="decimal" w:pos="18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44028">
              <w:rPr>
                <w:sz w:val="20"/>
                <w:szCs w:val="20"/>
              </w:rPr>
              <w:t>35</w:t>
            </w:r>
          </w:p>
        </w:tc>
      </w:tr>
      <w:tr w:rsidR="006C09B3" w:rsidRPr="00551685" w14:paraId="194852E3"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173E7C7"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SEPA-1</w:t>
            </w:r>
          </w:p>
        </w:tc>
        <w:tc>
          <w:tcPr>
            <w:tcW w:w="3960" w:type="dxa"/>
            <w:vAlign w:val="center"/>
          </w:tcPr>
          <w:p w14:paraId="568F6694" w14:textId="634CC2DD" w:rsidR="006C09B3" w:rsidRPr="00444028" w:rsidRDefault="006C09B3" w:rsidP="00336BCB">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SEPA-</w:t>
            </w:r>
            <w:r w:rsidRPr="00444028">
              <w:rPr>
                <w:sz w:val="20"/>
                <w:szCs w:val="20"/>
              </w:rPr>
              <w:t>Kerr</w:t>
            </w:r>
            <w:r w:rsidR="003D6B9E">
              <w:rPr>
                <w:sz w:val="20"/>
                <w:szCs w:val="20"/>
              </w:rPr>
              <w:t>-</w:t>
            </w:r>
            <w:r w:rsidRPr="00444028">
              <w:rPr>
                <w:sz w:val="20"/>
                <w:szCs w:val="20"/>
              </w:rPr>
              <w:t>Philpott</w:t>
            </w:r>
          </w:p>
        </w:tc>
        <w:tc>
          <w:tcPr>
            <w:tcW w:w="3410" w:type="dxa"/>
            <w:vAlign w:val="center"/>
          </w:tcPr>
          <w:p w14:paraId="565F18D4" w14:textId="77777777" w:rsidR="006C09B3" w:rsidRPr="00444028" w:rsidRDefault="006C09B3" w:rsidP="00C065C7">
            <w:pPr>
              <w:tabs>
                <w:tab w:val="decimal" w:pos="18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rPr>
            </w:pPr>
            <w:r w:rsidRPr="00444028">
              <w:rPr>
                <w:sz w:val="20"/>
                <w:szCs w:val="20"/>
              </w:rPr>
              <w:t>63</w:t>
            </w:r>
          </w:p>
        </w:tc>
      </w:tr>
      <w:tr w:rsidR="006C09B3" w:rsidRPr="00551685" w14:paraId="50E8BDEF"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1980" w:type="dxa"/>
            <w:tcBorders>
              <w:bottom w:val="single" w:sz="4" w:space="0" w:color="7F7F7F" w:themeColor="text1" w:themeTint="80"/>
            </w:tcBorders>
            <w:vAlign w:val="center"/>
          </w:tcPr>
          <w:p w14:paraId="06A08817"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SEPA-2</w:t>
            </w:r>
          </w:p>
        </w:tc>
        <w:tc>
          <w:tcPr>
            <w:tcW w:w="3960" w:type="dxa"/>
            <w:tcBorders>
              <w:bottom w:val="single" w:sz="4" w:space="0" w:color="7F7F7F" w:themeColor="text1" w:themeTint="80"/>
            </w:tcBorders>
            <w:vAlign w:val="center"/>
          </w:tcPr>
          <w:p w14:paraId="5791819E" w14:textId="77777777" w:rsidR="006C09B3" w:rsidRPr="00444028" w:rsidRDefault="006C09B3" w:rsidP="00336BCB">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SEPA-</w:t>
            </w:r>
            <w:r w:rsidRPr="00444028">
              <w:rPr>
                <w:sz w:val="20"/>
                <w:szCs w:val="20"/>
              </w:rPr>
              <w:t>Cumberland</w:t>
            </w:r>
          </w:p>
        </w:tc>
        <w:tc>
          <w:tcPr>
            <w:tcW w:w="3410" w:type="dxa"/>
            <w:tcBorders>
              <w:bottom w:val="single" w:sz="4" w:space="0" w:color="7F7F7F" w:themeColor="text1" w:themeTint="80"/>
            </w:tcBorders>
            <w:vAlign w:val="center"/>
          </w:tcPr>
          <w:p w14:paraId="04266B23" w14:textId="77777777" w:rsidR="006C09B3" w:rsidRPr="00444028" w:rsidRDefault="006C09B3" w:rsidP="00C065C7">
            <w:pPr>
              <w:tabs>
                <w:tab w:val="decimal" w:pos="18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0"/>
                <w:szCs w:val="20"/>
              </w:rPr>
            </w:pPr>
            <w:r w:rsidRPr="00444028">
              <w:rPr>
                <w:sz w:val="20"/>
                <w:szCs w:val="20"/>
              </w:rPr>
              <w:t>162</w:t>
            </w:r>
          </w:p>
        </w:tc>
      </w:tr>
      <w:tr w:rsidR="006C09B3" w:rsidRPr="00551685" w14:paraId="09B998E0"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Borders>
              <w:bottom w:val="single" w:sz="12" w:space="0" w:color="000000" w:themeColor="text1"/>
            </w:tcBorders>
            <w:vAlign w:val="center"/>
          </w:tcPr>
          <w:p w14:paraId="0BCB57B6" w14:textId="77777777" w:rsidR="006C09B3" w:rsidRPr="00444028" w:rsidRDefault="006C09B3" w:rsidP="00336BCB">
            <w:pPr>
              <w:spacing w:before="0" w:after="0" w:line="240" w:lineRule="auto"/>
              <w:ind w:firstLine="0"/>
              <w:rPr>
                <w:b w:val="0"/>
                <w:bCs w:val="0"/>
                <w:sz w:val="20"/>
                <w:szCs w:val="20"/>
              </w:rPr>
            </w:pPr>
            <w:r w:rsidRPr="00444028">
              <w:rPr>
                <w:b w:val="0"/>
                <w:bCs w:val="0"/>
                <w:sz w:val="20"/>
                <w:szCs w:val="20"/>
              </w:rPr>
              <w:t>SEPA-3, SEPA-4</w:t>
            </w:r>
          </w:p>
        </w:tc>
        <w:tc>
          <w:tcPr>
            <w:tcW w:w="3960" w:type="dxa"/>
            <w:tcBorders>
              <w:bottom w:val="single" w:sz="12" w:space="0" w:color="000000" w:themeColor="text1"/>
            </w:tcBorders>
            <w:vAlign w:val="center"/>
          </w:tcPr>
          <w:p w14:paraId="12F0AB73" w14:textId="0DAEB20D" w:rsidR="006C09B3" w:rsidRPr="00444028" w:rsidRDefault="006C09B3" w:rsidP="00336BCB">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Pr>
                <w:sz w:val="20"/>
                <w:szCs w:val="20"/>
                <w:lang w:val="es-ES"/>
              </w:rPr>
              <w:t>SEPA-</w:t>
            </w:r>
            <w:r w:rsidRPr="00444028">
              <w:rPr>
                <w:sz w:val="20"/>
                <w:szCs w:val="20"/>
                <w:lang w:val="es-ES"/>
              </w:rPr>
              <w:t>GA</w:t>
            </w:r>
            <w:r>
              <w:rPr>
                <w:sz w:val="20"/>
                <w:szCs w:val="20"/>
                <w:lang w:val="es-ES"/>
              </w:rPr>
              <w:t>/</w:t>
            </w:r>
            <w:r w:rsidRPr="00444028">
              <w:rPr>
                <w:sz w:val="20"/>
                <w:szCs w:val="20"/>
                <w:lang w:val="es-ES"/>
              </w:rPr>
              <w:t>AL</w:t>
            </w:r>
            <w:r>
              <w:rPr>
                <w:sz w:val="20"/>
                <w:szCs w:val="20"/>
                <w:lang w:val="es-ES"/>
              </w:rPr>
              <w:t>/</w:t>
            </w:r>
            <w:r w:rsidRPr="00444028">
              <w:rPr>
                <w:sz w:val="20"/>
                <w:szCs w:val="20"/>
                <w:lang w:val="es-ES"/>
              </w:rPr>
              <w:t>SC/JW</w:t>
            </w:r>
          </w:p>
        </w:tc>
        <w:tc>
          <w:tcPr>
            <w:tcW w:w="3410" w:type="dxa"/>
            <w:tcBorders>
              <w:bottom w:val="single" w:sz="12" w:space="0" w:color="000000" w:themeColor="text1"/>
            </w:tcBorders>
            <w:vAlign w:val="center"/>
          </w:tcPr>
          <w:p w14:paraId="35EE1572" w14:textId="77777777" w:rsidR="006C09B3" w:rsidRPr="00444028" w:rsidRDefault="006C09B3" w:rsidP="00C065C7">
            <w:pPr>
              <w:tabs>
                <w:tab w:val="decimal" w:pos="18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0"/>
                <w:szCs w:val="20"/>
                <w:lang w:val="es-ES"/>
              </w:rPr>
            </w:pPr>
            <w:r w:rsidRPr="00444028">
              <w:rPr>
                <w:sz w:val="20"/>
                <w:szCs w:val="20"/>
                <w:lang w:val="es-ES"/>
              </w:rPr>
              <w:t>83</w:t>
            </w:r>
          </w:p>
        </w:tc>
      </w:tr>
    </w:tbl>
    <w:p w14:paraId="302A706A" w14:textId="77777777" w:rsidR="006C09B3" w:rsidRPr="00444028" w:rsidRDefault="006C09B3" w:rsidP="00336BCB">
      <w:pPr>
        <w:pStyle w:val="BodyText"/>
        <w:spacing w:before="120"/>
        <w:rPr>
          <w:iCs/>
          <w:sz w:val="18"/>
        </w:rPr>
      </w:pPr>
      <w:r>
        <w:rPr>
          <w:iCs/>
          <w:sz w:val="18"/>
        </w:rPr>
        <w:t xml:space="preserve">Note: </w:t>
      </w:r>
      <w:r w:rsidRPr="00444028">
        <w:rPr>
          <w:iCs/>
          <w:sz w:val="18"/>
        </w:rPr>
        <w:t>Data and estimation method for air conditioning penetration in BPA region</w:t>
      </w:r>
    </w:p>
    <w:p w14:paraId="6C5ADC2F" w14:textId="01F15872" w:rsidR="006C09B3" w:rsidRDefault="006C09B3" w:rsidP="00336BCB">
      <w:pPr>
        <w:pStyle w:val="BodyText"/>
      </w:pPr>
      <w:r>
        <w:t>Air conditioning (AC) penetration, particularly in the residential sector, is a key driver of electricity use during the summer. For most of the regions where PMA customers are located, AC saturation is close to 100%. Therefore, most of the increases in electricity use triggered by warm temperatures in these regions result from more intense use of the existing AC stock (intensive margin of AC use). The intensive margin of AC use can simply be captured through the CDD variable. However, in the Pacific Northwest, AC penetration is significantly lower than in the rest of regions of interest, but it has been growing rapidly in recent years. For this reason, it is important to include both the intensive and extensive margin of AC load among BPA customers. The extensive margin (increase in AC use due to installation of additional AC units) is modeled through an interaction term between CDDs and AC saturation for each preference customer. Data on AC penetration at the for each preference customers level are not available. Instead, the probability of AC ownership in the service territory for each BPA preference customer is estimated using data from the Northwest Energy Efficiency Alliance (NEEA) household survey. The NEEA survey contains detailed information on AC ownership and other household characteristics and demographic information for approximately 2,000 households in Washington, Oregon, Idaho, and Montana. These data, combined with CDD observations for the city/place where each household is located, are used to estimate the following equation.</w:t>
      </w:r>
      <w:r>
        <w:rPr>
          <w:rStyle w:val="FootnoteReference"/>
        </w:rPr>
        <w:footnoteReference w:id="32"/>
      </w:r>
      <w:r>
        <w:t xml:space="preserve"> Then, the estimated equation is applied to income and CDD data for each of the preference customers (setting the rest of explanatory variables at their mean levels) to obtain estimates of AC saturation that can be interacted with CDDs in the seasonal load equations discussed in Section 6.3.2.</w:t>
      </w:r>
    </w:p>
    <w:p w14:paraId="74BDFA32" w14:textId="77777777" w:rsidR="006C09B3" w:rsidRDefault="006C09B3" w:rsidP="00336BCB">
      <w:pPr>
        <w:pStyle w:val="BodyText"/>
      </w:pPr>
      <w:r>
        <w:t>The estimated equation is a probit regression where the dependent variable (AC) is a binary variable coded as 1 or 0 depending on whether mechanical cooling equipment is installed in the household or not.</w:t>
      </w:r>
    </w:p>
    <w:p w14:paraId="6C44002B" w14:textId="77777777" w:rsidR="006C09B3" w:rsidRPr="000E6233" w:rsidRDefault="006C09B3" w:rsidP="006C09B3">
      <w:pPr>
        <w:spacing w:before="0" w:line="240" w:lineRule="auto"/>
        <w:ind w:left="720" w:firstLine="0"/>
        <w:rPr>
          <w:rFonts w:eastAsiaTheme="minorEastAsia"/>
          <w:sz w:val="20"/>
        </w:rPr>
      </w:pPr>
      <m:oMath>
        <m:r>
          <w:rPr>
            <w:rFonts w:ascii="Cambria Math" w:hAnsi="Cambria Math"/>
            <w:sz w:val="20"/>
          </w:rPr>
          <w:lastRenderedPageBreak/>
          <m:t>E</m:t>
        </m:r>
        <m:d>
          <m:dPr>
            <m:ctrlPr>
              <w:rPr>
                <w:rFonts w:ascii="Cambria Math" w:hAnsi="Cambria Math"/>
                <w:i/>
                <w:sz w:val="20"/>
              </w:rPr>
            </m:ctrlPr>
          </m:dPr>
          <m:e>
            <m:r>
              <w:rPr>
                <w:rFonts w:ascii="Cambria Math" w:hAnsi="Cambria Math"/>
                <w:sz w:val="20"/>
              </w:rPr>
              <m:t>AC</m:t>
            </m:r>
          </m:e>
          <m:e>
            <m:r>
              <w:rPr>
                <w:rFonts w:ascii="Cambria Math" w:hAnsi="Cambria Math"/>
                <w:sz w:val="20"/>
              </w:rPr>
              <m:t>X</m:t>
            </m:r>
          </m:e>
        </m:d>
        <m:r>
          <w:rPr>
            <w:rFonts w:ascii="Cambria Math" w:hAnsi="Cambria Math"/>
            <w:sz w:val="20"/>
          </w:rPr>
          <m:t>=P</m:t>
        </m:r>
        <m:d>
          <m:dPr>
            <m:ctrlPr>
              <w:rPr>
                <w:rFonts w:ascii="Cambria Math" w:hAnsi="Cambria Math"/>
                <w:i/>
                <w:sz w:val="20"/>
              </w:rPr>
            </m:ctrlPr>
          </m:dPr>
          <m:e>
            <m:r>
              <w:rPr>
                <w:rFonts w:ascii="Cambria Math" w:hAnsi="Cambria Math"/>
                <w:sz w:val="20"/>
              </w:rPr>
              <m:t>AC=1</m:t>
            </m:r>
          </m:e>
          <m:e>
            <m:r>
              <w:rPr>
                <w:rFonts w:ascii="Cambria Math" w:hAnsi="Cambria Math"/>
                <w:sz w:val="20"/>
              </w:rPr>
              <m:t>X</m:t>
            </m:r>
          </m:e>
        </m:d>
        <m:r>
          <w:rPr>
            <w:rFonts w:ascii="Cambria Math" w:hAnsi="Cambria Math"/>
            <w:sz w:val="20"/>
          </w:rPr>
          <m:t>= F(α+</m:t>
        </m:r>
        <m:sSub>
          <m:sSubPr>
            <m:ctrlPr>
              <w:rPr>
                <w:rFonts w:ascii="Cambria Math" w:hAnsi="Cambria Math"/>
                <w:i/>
                <w:sz w:val="20"/>
              </w:rPr>
            </m:ctrlPr>
          </m:sSubPr>
          <m:e>
            <m:r>
              <w:rPr>
                <w:rFonts w:ascii="Cambria Math" w:hAnsi="Cambria Math"/>
                <w:sz w:val="20"/>
              </w:rPr>
              <m:t>β</m:t>
            </m:r>
          </m:e>
          <m:sub>
            <m:r>
              <w:rPr>
                <w:rFonts w:ascii="Cambria Math" w:hAnsi="Cambria Math"/>
                <w:sz w:val="20"/>
              </w:rPr>
              <m:t>1</m:t>
            </m:r>
          </m:sub>
        </m:sSub>
        <m:r>
          <w:rPr>
            <w:rFonts w:ascii="Cambria Math" w:hAnsi="Cambria Math"/>
            <w:sz w:val="20"/>
          </w:rPr>
          <m:t>*CDD3+</m:t>
        </m:r>
        <m:sSub>
          <m:sSubPr>
            <m:ctrlPr>
              <w:rPr>
                <w:rFonts w:ascii="Cambria Math" w:hAnsi="Cambria Math"/>
                <w:i/>
                <w:sz w:val="20"/>
              </w:rPr>
            </m:ctrlPr>
          </m:sSubPr>
          <m:e>
            <m:r>
              <w:rPr>
                <w:rFonts w:ascii="Cambria Math" w:hAnsi="Cambria Math"/>
                <w:sz w:val="20"/>
              </w:rPr>
              <m:t>β</m:t>
            </m:r>
          </m:e>
          <m:sub>
            <m:r>
              <w:rPr>
                <w:rFonts w:ascii="Cambria Math" w:hAnsi="Cambria Math"/>
                <w:sz w:val="20"/>
              </w:rPr>
              <m:t>2</m:t>
            </m:r>
          </m:sub>
        </m:sSub>
        <m:r>
          <w:rPr>
            <w:rFonts w:ascii="Cambria Math" w:hAnsi="Cambria Math"/>
            <w:sz w:val="20"/>
          </w:rPr>
          <m:t>*Income+</m:t>
        </m:r>
        <m:sSub>
          <m:sSubPr>
            <m:ctrlPr>
              <w:rPr>
                <w:rFonts w:ascii="Cambria Math" w:hAnsi="Cambria Math"/>
                <w:i/>
                <w:sz w:val="20"/>
              </w:rPr>
            </m:ctrlPr>
          </m:sSubPr>
          <m:e>
            <m:r>
              <w:rPr>
                <w:rFonts w:ascii="Cambria Math" w:hAnsi="Cambria Math"/>
                <w:sz w:val="20"/>
              </w:rPr>
              <m:t>β</m:t>
            </m:r>
          </m:e>
          <m:sub>
            <m:r>
              <w:rPr>
                <w:rFonts w:ascii="Cambria Math" w:hAnsi="Cambria Math"/>
                <w:sz w:val="20"/>
              </w:rPr>
              <m:t>3</m:t>
            </m:r>
          </m:sub>
        </m:sSub>
        <m:r>
          <w:rPr>
            <w:rFonts w:ascii="Cambria Math" w:hAnsi="Cambria Math"/>
            <w:sz w:val="20"/>
          </w:rPr>
          <m:t>*Income*warm+</m:t>
        </m:r>
        <m:sSub>
          <m:sSubPr>
            <m:ctrlPr>
              <w:rPr>
                <w:rFonts w:ascii="Cambria Math" w:hAnsi="Cambria Math"/>
                <w:i/>
                <w:sz w:val="20"/>
              </w:rPr>
            </m:ctrlPr>
          </m:sSubPr>
          <m:e>
            <m:r>
              <w:rPr>
                <w:rFonts w:ascii="Cambria Math" w:hAnsi="Cambria Math"/>
                <w:sz w:val="20"/>
              </w:rPr>
              <m:t>β</m:t>
            </m:r>
          </m:e>
          <m:sub>
            <m:r>
              <w:rPr>
                <w:rFonts w:ascii="Cambria Math" w:hAnsi="Cambria Math"/>
                <w:sz w:val="20"/>
              </w:rPr>
              <m:t>4</m:t>
            </m:r>
          </m:sub>
        </m:sSub>
        <m:r>
          <w:rPr>
            <w:rFonts w:ascii="Cambria Math" w:hAnsi="Cambria Math"/>
            <w:sz w:val="20"/>
          </w:rPr>
          <m:t>*BuildCat)</m:t>
        </m:r>
      </m:oMath>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r>
      <w:r>
        <w:rPr>
          <w:rFonts w:eastAsiaTheme="minorEastAsia"/>
          <w:sz w:val="20"/>
        </w:rPr>
        <w:tab/>
        <w:t>(G.1)</w:t>
      </w:r>
    </w:p>
    <w:p w14:paraId="09A89A81" w14:textId="62EB8D99" w:rsidR="006C09B3" w:rsidRDefault="006C09B3" w:rsidP="00336BCB">
      <w:pPr>
        <w:pStyle w:val="BodyText"/>
      </w:pPr>
      <w:r>
        <w:t xml:space="preserve">where F is the cumulative distribution function for the standard normal distribution, </w:t>
      </w:r>
      <w:r w:rsidRPr="00BC3C44">
        <w:rPr>
          <w:rFonts w:ascii="Cambria Math" w:hAnsi="Cambria Math"/>
          <w:i/>
          <w:iCs/>
        </w:rPr>
        <w:t>CDD</w:t>
      </w:r>
      <w:r>
        <w:rPr>
          <w:rFonts w:ascii="Cambria Math" w:hAnsi="Cambria Math"/>
          <w:i/>
          <w:iCs/>
        </w:rPr>
        <w:t>3</w:t>
      </w:r>
      <w:r>
        <w:t xml:space="preserve"> is the average number of CDDs in the 3 years before the survey interview taking place, </w:t>
      </w:r>
      <w:r w:rsidRPr="00BC3C44">
        <w:rPr>
          <w:rFonts w:ascii="Cambria Math" w:hAnsi="Cambria Math"/>
          <w:i/>
          <w:iCs/>
        </w:rPr>
        <w:t>Income</w:t>
      </w:r>
      <w:r>
        <w:t xml:space="preserve"> is the income per capita reported in the survey, </w:t>
      </w:r>
      <w:r w:rsidRPr="00BC3C44">
        <w:rPr>
          <w:rFonts w:ascii="Cambria Math" w:hAnsi="Cambria Math"/>
          <w:i/>
          <w:iCs/>
        </w:rPr>
        <w:t>Income</w:t>
      </w:r>
      <w:r>
        <w:rPr>
          <w:rFonts w:ascii="Cambria Math" w:hAnsi="Cambria Math"/>
          <w:i/>
          <w:iCs/>
        </w:rPr>
        <w:t xml:space="preserve">*warm </w:t>
      </w:r>
      <w:r>
        <w:t xml:space="preserve">is an interaction variable between income and CDDs but takes the value zero for households experiencing less-than-average CDDs within the region. Finally, </w:t>
      </w:r>
      <w:r w:rsidRPr="008464C4">
        <w:rPr>
          <w:rFonts w:ascii="Cambria Math" w:hAnsi="Cambria Math"/>
          <w:i/>
          <w:iCs/>
        </w:rPr>
        <w:t>Buildcat</w:t>
      </w:r>
      <w:r>
        <w:t xml:space="preserve"> codifies whether the respondent lives in a single-family home, a manufactured home, or a multifamily building (5 or more units), or a manufactured home. </w:t>
      </w:r>
      <w:r w:rsidR="00A47208">
        <w:fldChar w:fldCharType="begin"/>
      </w:r>
      <w:r w:rsidR="00A47208">
        <w:instrText xml:space="preserve"> REF _Ref81737867 \h </w:instrText>
      </w:r>
      <w:r w:rsidR="00A47208">
        <w:fldChar w:fldCharType="separate"/>
      </w:r>
      <w:r w:rsidR="00EE0BF5">
        <w:t xml:space="preserve">Table </w:t>
      </w:r>
      <w:r w:rsidR="00EE0BF5">
        <w:rPr>
          <w:noProof/>
        </w:rPr>
        <w:t>H</w:t>
      </w:r>
      <w:r w:rsidR="00EE0BF5">
        <w:t>.</w:t>
      </w:r>
      <w:r w:rsidR="00EE0BF5">
        <w:rPr>
          <w:noProof/>
        </w:rPr>
        <w:t>2</w:t>
      </w:r>
      <w:r w:rsidR="00EE0BF5" w:rsidRPr="00485D84">
        <w:rPr>
          <w:rFonts w:eastAsia="PMingLiU"/>
          <w:lang w:bidi="en-US"/>
        </w:rPr>
        <w:t xml:space="preserve">. </w:t>
      </w:r>
      <w:r w:rsidR="00A47208">
        <w:fldChar w:fldCharType="end"/>
      </w:r>
      <w:r w:rsidR="00A47208">
        <w:t xml:space="preserve"> </w:t>
      </w:r>
      <w:r>
        <w:t>shows the estimated coefficients from the probit regression.</w:t>
      </w:r>
    </w:p>
    <w:p w14:paraId="2B50552B" w14:textId="535CF412" w:rsidR="006C09B3" w:rsidRPr="00FB50C1" w:rsidRDefault="00336BCB" w:rsidP="00336BCB">
      <w:pPr>
        <w:pStyle w:val="AppendixTableCaption"/>
        <w:rPr>
          <w:rFonts w:eastAsiaTheme="minorEastAsia"/>
        </w:rPr>
      </w:pPr>
      <w:bookmarkStart w:id="631" w:name="_Ref81737867"/>
      <w:r>
        <w:t xml:space="preserve">Table </w:t>
      </w:r>
      <w:fldSimple w:instr=" STYLEREF 9 \s ">
        <w:r w:rsidR="00EE0BF5">
          <w:rPr>
            <w:noProof/>
          </w:rPr>
          <w:t>H</w:t>
        </w:r>
      </w:fldSimple>
      <w:r>
        <w:t>.</w:t>
      </w:r>
      <w:fldSimple w:instr=" SEQ Table_Apx \* ARABIC \s 9 ">
        <w:r w:rsidR="00EE0BF5">
          <w:rPr>
            <w:noProof/>
          </w:rPr>
          <w:t>2</w:t>
        </w:r>
      </w:fldSimple>
      <w:r w:rsidRPr="00485D84">
        <w:rPr>
          <w:rFonts w:eastAsia="PMingLiU"/>
          <w:lang w:bidi="en-US"/>
        </w:rPr>
        <w:t xml:space="preserve">. </w:t>
      </w:r>
      <w:bookmarkEnd w:id="631"/>
      <w:r w:rsidR="006C09B3" w:rsidRPr="00FB50C1">
        <w:rPr>
          <w:rFonts w:eastAsiaTheme="minorEastAsia"/>
        </w:rPr>
        <w:t>Estimated coefficients from probit model of AC penetration in the Pacific Northwest</w:t>
      </w:r>
    </w:p>
    <w:tbl>
      <w:tblPr>
        <w:tblStyle w:val="PlainTable2"/>
        <w:tblW w:w="9360" w:type="dxa"/>
        <w:jc w:val="center"/>
        <w:tblLayout w:type="fixed"/>
        <w:tblCellMar>
          <w:top w:w="29" w:type="dxa"/>
          <w:left w:w="58" w:type="dxa"/>
          <w:bottom w:w="29" w:type="dxa"/>
          <w:right w:w="58" w:type="dxa"/>
        </w:tblCellMar>
        <w:tblLook w:val="04A0" w:firstRow="1" w:lastRow="0" w:firstColumn="1" w:lastColumn="0" w:noHBand="0" w:noVBand="1"/>
      </w:tblPr>
      <w:tblGrid>
        <w:gridCol w:w="4680"/>
        <w:gridCol w:w="1618"/>
        <w:gridCol w:w="1618"/>
        <w:gridCol w:w="1444"/>
      </w:tblGrid>
      <w:tr w:rsidR="006C09B3" w:rsidRPr="00143DC9" w14:paraId="00566153" w14:textId="77777777" w:rsidTr="00336B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80" w:type="dxa"/>
            <w:tcBorders>
              <w:top w:val="single" w:sz="12" w:space="0" w:color="000000" w:themeColor="text1"/>
              <w:bottom w:val="single" w:sz="12" w:space="0" w:color="000000" w:themeColor="text1"/>
            </w:tcBorders>
            <w:noWrap/>
            <w:vAlign w:val="center"/>
            <w:hideMark/>
          </w:tcPr>
          <w:p w14:paraId="43E01ADA" w14:textId="77777777" w:rsidR="006C09B3" w:rsidRPr="00143DC9" w:rsidRDefault="006C09B3" w:rsidP="00336BCB">
            <w:pPr>
              <w:spacing w:before="0" w:after="0" w:line="240" w:lineRule="auto"/>
              <w:ind w:firstLine="0"/>
              <w:jc w:val="center"/>
              <w:rPr>
                <w:rFonts w:eastAsia="Times New Roman"/>
                <w:color w:val="000000"/>
                <w:sz w:val="20"/>
                <w:szCs w:val="20"/>
              </w:rPr>
            </w:pPr>
            <w:r>
              <w:rPr>
                <w:rFonts w:eastAsia="Times New Roman"/>
                <w:color w:val="000000"/>
                <w:sz w:val="20"/>
                <w:szCs w:val="20"/>
              </w:rPr>
              <w:t>T</w:t>
            </w:r>
            <w:r w:rsidRPr="00143DC9">
              <w:rPr>
                <w:rFonts w:eastAsia="Times New Roman"/>
                <w:color w:val="000000"/>
                <w:sz w:val="20"/>
                <w:szCs w:val="20"/>
              </w:rPr>
              <w:t>erm</w:t>
            </w:r>
          </w:p>
        </w:tc>
        <w:tc>
          <w:tcPr>
            <w:tcW w:w="1618" w:type="dxa"/>
            <w:tcBorders>
              <w:top w:val="single" w:sz="12" w:space="0" w:color="000000" w:themeColor="text1"/>
              <w:bottom w:val="single" w:sz="12" w:space="0" w:color="000000" w:themeColor="text1"/>
            </w:tcBorders>
            <w:noWrap/>
            <w:vAlign w:val="center"/>
            <w:hideMark/>
          </w:tcPr>
          <w:p w14:paraId="0772FAEF" w14:textId="257A480B" w:rsidR="006C09B3" w:rsidRPr="00143DC9" w:rsidRDefault="00C117DF" w:rsidP="00336BCB">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143DC9">
              <w:rPr>
                <w:rFonts w:eastAsia="Times New Roman"/>
                <w:color w:val="000000"/>
                <w:sz w:val="20"/>
                <w:szCs w:val="20"/>
              </w:rPr>
              <w:t>Estimate</w:t>
            </w:r>
          </w:p>
        </w:tc>
        <w:tc>
          <w:tcPr>
            <w:tcW w:w="1618" w:type="dxa"/>
            <w:tcBorders>
              <w:top w:val="single" w:sz="12" w:space="0" w:color="000000" w:themeColor="text1"/>
              <w:bottom w:val="single" w:sz="12" w:space="0" w:color="000000" w:themeColor="text1"/>
            </w:tcBorders>
            <w:noWrap/>
            <w:vAlign w:val="center"/>
            <w:hideMark/>
          </w:tcPr>
          <w:p w14:paraId="61115F37" w14:textId="7D092CE0" w:rsidR="006C09B3" w:rsidRPr="00143DC9" w:rsidRDefault="00C117DF" w:rsidP="00336BCB">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143DC9">
              <w:rPr>
                <w:rFonts w:eastAsia="Times New Roman"/>
                <w:color w:val="000000"/>
                <w:sz w:val="20"/>
                <w:szCs w:val="20"/>
              </w:rPr>
              <w:t xml:space="preserve">Standard </w:t>
            </w:r>
            <w:r w:rsidR="006C09B3" w:rsidRPr="00143DC9">
              <w:rPr>
                <w:rFonts w:eastAsia="Times New Roman"/>
                <w:color w:val="000000"/>
                <w:sz w:val="20"/>
                <w:szCs w:val="20"/>
              </w:rPr>
              <w:t>error</w:t>
            </w:r>
          </w:p>
        </w:tc>
        <w:tc>
          <w:tcPr>
            <w:tcW w:w="1444" w:type="dxa"/>
            <w:tcBorders>
              <w:top w:val="single" w:sz="12" w:space="0" w:color="000000" w:themeColor="text1"/>
              <w:bottom w:val="single" w:sz="12" w:space="0" w:color="000000" w:themeColor="text1"/>
            </w:tcBorders>
            <w:vAlign w:val="center"/>
          </w:tcPr>
          <w:p w14:paraId="727EAA41" w14:textId="298860FF" w:rsidR="006C09B3" w:rsidRPr="00143DC9" w:rsidRDefault="00C117DF" w:rsidP="00336BCB">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143DC9">
              <w:rPr>
                <w:rFonts w:eastAsia="Times New Roman"/>
                <w:color w:val="000000"/>
                <w:sz w:val="20"/>
                <w:szCs w:val="20"/>
              </w:rPr>
              <w:t>Slope</w:t>
            </w:r>
          </w:p>
        </w:tc>
      </w:tr>
      <w:tr w:rsidR="006C09B3" w:rsidRPr="00143DC9" w14:paraId="30CE605D"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80" w:type="dxa"/>
            <w:tcBorders>
              <w:top w:val="single" w:sz="12" w:space="0" w:color="000000" w:themeColor="text1"/>
            </w:tcBorders>
            <w:noWrap/>
            <w:vAlign w:val="center"/>
            <w:hideMark/>
          </w:tcPr>
          <w:p w14:paraId="0CE05B3D" w14:textId="77777777"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(Intercept)</w:t>
            </w:r>
          </w:p>
        </w:tc>
        <w:tc>
          <w:tcPr>
            <w:tcW w:w="1618" w:type="dxa"/>
            <w:tcBorders>
              <w:top w:val="single" w:sz="12" w:space="0" w:color="000000" w:themeColor="text1"/>
            </w:tcBorders>
            <w:noWrap/>
            <w:vAlign w:val="center"/>
            <w:hideMark/>
          </w:tcPr>
          <w:p w14:paraId="1618DB7A" w14:textId="5D10337C" w:rsidR="006C09B3" w:rsidRPr="00A17771" w:rsidRDefault="00C117DF" w:rsidP="00C117DF">
            <w:pPr>
              <w:tabs>
                <w:tab w:val="decimal" w:pos="5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r>
              <w:rPr>
                <w:rFonts w:eastAsia="Times New Roman"/>
                <w:b/>
                <w:bCs/>
                <w:color w:val="000000"/>
                <w:sz w:val="20"/>
                <w:szCs w:val="20"/>
              </w:rPr>
              <w:t>−</w:t>
            </w:r>
            <w:r w:rsidR="006C09B3" w:rsidRPr="00A17771">
              <w:rPr>
                <w:rFonts w:eastAsia="Times New Roman"/>
                <w:b/>
                <w:bCs/>
                <w:color w:val="000000"/>
                <w:sz w:val="20"/>
                <w:szCs w:val="20"/>
              </w:rPr>
              <w:t>0.5327</w:t>
            </w:r>
          </w:p>
        </w:tc>
        <w:tc>
          <w:tcPr>
            <w:tcW w:w="1618" w:type="dxa"/>
            <w:tcBorders>
              <w:top w:val="single" w:sz="12" w:space="0" w:color="000000" w:themeColor="text1"/>
            </w:tcBorders>
            <w:noWrap/>
            <w:vAlign w:val="center"/>
            <w:hideMark/>
          </w:tcPr>
          <w:p w14:paraId="52A88E88" w14:textId="77777777" w:rsidR="006C09B3" w:rsidRPr="00150CE0" w:rsidRDefault="006C09B3" w:rsidP="00C117DF">
            <w:pPr>
              <w:tabs>
                <w:tab w:val="decimal" w:pos="55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0.1432</w:t>
            </w:r>
          </w:p>
        </w:tc>
        <w:tc>
          <w:tcPr>
            <w:tcW w:w="1444" w:type="dxa"/>
            <w:tcBorders>
              <w:top w:val="single" w:sz="12" w:space="0" w:color="000000" w:themeColor="text1"/>
            </w:tcBorders>
            <w:vAlign w:val="center"/>
          </w:tcPr>
          <w:p w14:paraId="2770E358" w14:textId="77777777" w:rsidR="006C09B3" w:rsidRPr="00150CE0" w:rsidRDefault="006C09B3" w:rsidP="00C117DF">
            <w:pPr>
              <w:tabs>
                <w:tab w:val="decimal" w:pos="46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r>
      <w:tr w:rsidR="006C09B3" w:rsidRPr="00143DC9" w14:paraId="59DC0E27"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4680" w:type="dxa"/>
            <w:noWrap/>
            <w:vAlign w:val="center"/>
            <w:hideMark/>
          </w:tcPr>
          <w:p w14:paraId="7853AEDE" w14:textId="77777777"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CDD3 (in thousands)</w:t>
            </w:r>
          </w:p>
        </w:tc>
        <w:tc>
          <w:tcPr>
            <w:tcW w:w="1618" w:type="dxa"/>
            <w:noWrap/>
            <w:vAlign w:val="center"/>
            <w:hideMark/>
          </w:tcPr>
          <w:p w14:paraId="3D6867BF" w14:textId="77777777" w:rsidR="006C09B3" w:rsidRPr="00A17771" w:rsidRDefault="006C09B3" w:rsidP="00C117DF">
            <w:pPr>
              <w:tabs>
                <w:tab w:val="decimal" w:pos="5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A17771">
              <w:rPr>
                <w:rFonts w:eastAsia="Times New Roman"/>
                <w:b/>
                <w:bCs/>
                <w:color w:val="000000"/>
                <w:sz w:val="20"/>
                <w:szCs w:val="20"/>
              </w:rPr>
              <w:t>2.2165</w:t>
            </w:r>
          </w:p>
        </w:tc>
        <w:tc>
          <w:tcPr>
            <w:tcW w:w="1618" w:type="dxa"/>
            <w:noWrap/>
            <w:vAlign w:val="center"/>
            <w:hideMark/>
          </w:tcPr>
          <w:p w14:paraId="6960CFD8" w14:textId="77777777" w:rsidR="006C09B3" w:rsidRPr="00150CE0" w:rsidRDefault="006C09B3" w:rsidP="00C117DF">
            <w:pPr>
              <w:tabs>
                <w:tab w:val="decimal" w:pos="55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0.2347</w:t>
            </w:r>
          </w:p>
        </w:tc>
        <w:tc>
          <w:tcPr>
            <w:tcW w:w="1444" w:type="dxa"/>
            <w:vAlign w:val="center"/>
          </w:tcPr>
          <w:p w14:paraId="421279EB" w14:textId="77777777" w:rsidR="006C09B3" w:rsidRPr="00150CE0" w:rsidRDefault="006C09B3" w:rsidP="00C117DF">
            <w:pPr>
              <w:tabs>
                <w:tab w:val="decimal" w:pos="46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0.8826</w:t>
            </w:r>
          </w:p>
        </w:tc>
      </w:tr>
      <w:tr w:rsidR="006C09B3" w:rsidRPr="00143DC9" w14:paraId="0BA91116"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80" w:type="dxa"/>
            <w:noWrap/>
            <w:vAlign w:val="center"/>
            <w:hideMark/>
          </w:tcPr>
          <w:p w14:paraId="6A17C994" w14:textId="7A93F376"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Income (</w:t>
            </w:r>
            <w:r w:rsidR="004A6B0B">
              <w:rPr>
                <w:rFonts w:eastAsia="Times New Roman"/>
                <w:b w:val="0"/>
                <w:bCs w:val="0"/>
                <w:color w:val="000000"/>
                <w:sz w:val="20"/>
                <w:szCs w:val="20"/>
              </w:rPr>
              <w:t xml:space="preserve">in </w:t>
            </w:r>
            <w:r w:rsidRPr="00150CE0">
              <w:rPr>
                <w:rFonts w:eastAsia="Times New Roman"/>
                <w:b w:val="0"/>
                <w:bCs w:val="0"/>
                <w:color w:val="000000"/>
                <w:sz w:val="20"/>
                <w:szCs w:val="20"/>
              </w:rPr>
              <w:t>tens of thousands of dollars)</w:t>
            </w:r>
          </w:p>
        </w:tc>
        <w:tc>
          <w:tcPr>
            <w:tcW w:w="1618" w:type="dxa"/>
            <w:noWrap/>
            <w:vAlign w:val="center"/>
            <w:hideMark/>
          </w:tcPr>
          <w:p w14:paraId="2D9D23AF" w14:textId="77777777" w:rsidR="006C09B3" w:rsidRPr="00A17771" w:rsidRDefault="006C09B3" w:rsidP="00C117DF">
            <w:pPr>
              <w:tabs>
                <w:tab w:val="decimal" w:pos="5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r w:rsidRPr="00A17771">
              <w:rPr>
                <w:rFonts w:eastAsia="Times New Roman"/>
                <w:b/>
                <w:bCs/>
                <w:color w:val="000000"/>
                <w:sz w:val="20"/>
                <w:szCs w:val="20"/>
              </w:rPr>
              <w:t>0.032</w:t>
            </w:r>
          </w:p>
        </w:tc>
        <w:tc>
          <w:tcPr>
            <w:tcW w:w="1618" w:type="dxa"/>
            <w:noWrap/>
            <w:vAlign w:val="center"/>
            <w:hideMark/>
          </w:tcPr>
          <w:p w14:paraId="006EC027" w14:textId="77777777" w:rsidR="006C09B3" w:rsidRPr="00150CE0" w:rsidRDefault="006C09B3" w:rsidP="00C117DF">
            <w:pPr>
              <w:tabs>
                <w:tab w:val="decimal" w:pos="55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0.0195</w:t>
            </w:r>
          </w:p>
        </w:tc>
        <w:tc>
          <w:tcPr>
            <w:tcW w:w="1444" w:type="dxa"/>
            <w:vAlign w:val="center"/>
          </w:tcPr>
          <w:p w14:paraId="33CE47E6" w14:textId="77777777" w:rsidR="006C09B3" w:rsidRPr="00150CE0" w:rsidRDefault="006C09B3" w:rsidP="00C117DF">
            <w:pPr>
              <w:tabs>
                <w:tab w:val="decimal" w:pos="46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0.0127</w:t>
            </w:r>
          </w:p>
        </w:tc>
      </w:tr>
      <w:tr w:rsidR="006C09B3" w:rsidRPr="00143DC9" w14:paraId="47B12BAB"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4680" w:type="dxa"/>
            <w:noWrap/>
            <w:vAlign w:val="center"/>
          </w:tcPr>
          <w:p w14:paraId="70011F64" w14:textId="729A1269"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 xml:space="preserve">Income </w:t>
            </w:r>
            <w:r w:rsidR="004A6B0B">
              <w:rPr>
                <w:rFonts w:eastAsia="Times New Roman"/>
                <w:b w:val="0"/>
                <w:bCs w:val="0"/>
                <w:color w:val="000000"/>
                <w:sz w:val="20"/>
                <w:szCs w:val="20"/>
                <w:lang w:bidi="ar-SA"/>
              </w:rPr>
              <w:t>×</w:t>
            </w:r>
            <w:r w:rsidRPr="00150CE0">
              <w:rPr>
                <w:rFonts w:eastAsia="Times New Roman"/>
                <w:b w:val="0"/>
                <w:bCs w:val="0"/>
                <w:color w:val="000000"/>
                <w:sz w:val="20"/>
                <w:szCs w:val="20"/>
              </w:rPr>
              <w:t xml:space="preserve"> warm</w:t>
            </w:r>
          </w:p>
        </w:tc>
        <w:tc>
          <w:tcPr>
            <w:tcW w:w="1618" w:type="dxa"/>
            <w:noWrap/>
            <w:vAlign w:val="center"/>
          </w:tcPr>
          <w:p w14:paraId="761E2FD4" w14:textId="504D078C" w:rsidR="006C09B3" w:rsidRPr="00150CE0" w:rsidRDefault="00C117DF" w:rsidP="00C117DF">
            <w:pPr>
              <w:tabs>
                <w:tab w:val="decimal" w:pos="5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Pr>
                <w:rFonts w:eastAsia="Times New Roman"/>
                <w:color w:val="000000"/>
                <w:sz w:val="20"/>
                <w:szCs w:val="20"/>
              </w:rPr>
              <w:t>−</w:t>
            </w:r>
            <w:r w:rsidR="006C09B3" w:rsidRPr="00150CE0">
              <w:rPr>
                <w:rFonts w:eastAsia="Times New Roman"/>
                <w:color w:val="000000"/>
                <w:sz w:val="20"/>
                <w:szCs w:val="20"/>
              </w:rPr>
              <w:t>0.0084</w:t>
            </w:r>
          </w:p>
        </w:tc>
        <w:tc>
          <w:tcPr>
            <w:tcW w:w="1618" w:type="dxa"/>
            <w:noWrap/>
            <w:vAlign w:val="center"/>
          </w:tcPr>
          <w:p w14:paraId="7F1DE135" w14:textId="77777777" w:rsidR="006C09B3" w:rsidRPr="00150CE0" w:rsidRDefault="006C09B3" w:rsidP="00C117DF">
            <w:pPr>
              <w:tabs>
                <w:tab w:val="decimal" w:pos="55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0.0275</w:t>
            </w:r>
          </w:p>
        </w:tc>
        <w:tc>
          <w:tcPr>
            <w:tcW w:w="1444" w:type="dxa"/>
            <w:vAlign w:val="center"/>
          </w:tcPr>
          <w:p w14:paraId="38559E92" w14:textId="00D8A0D7" w:rsidR="006C09B3" w:rsidRPr="00150CE0" w:rsidRDefault="00C117DF" w:rsidP="00C117DF">
            <w:pPr>
              <w:tabs>
                <w:tab w:val="decimal" w:pos="46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Pr>
                <w:rFonts w:eastAsia="Times New Roman"/>
                <w:color w:val="000000"/>
                <w:sz w:val="20"/>
                <w:szCs w:val="20"/>
              </w:rPr>
              <w:t>−</w:t>
            </w:r>
            <w:r w:rsidR="006C09B3" w:rsidRPr="00150CE0">
              <w:rPr>
                <w:rFonts w:eastAsia="Times New Roman"/>
                <w:color w:val="000000"/>
                <w:sz w:val="20"/>
                <w:szCs w:val="20"/>
              </w:rPr>
              <w:t>0.0033</w:t>
            </w:r>
          </w:p>
        </w:tc>
      </w:tr>
      <w:tr w:rsidR="006C09B3" w:rsidRPr="00143DC9" w14:paraId="7236ADB9"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80" w:type="dxa"/>
            <w:noWrap/>
            <w:vAlign w:val="center"/>
            <w:hideMark/>
          </w:tcPr>
          <w:p w14:paraId="72E516C9" w14:textId="14AA31C1"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 xml:space="preserve">Building </w:t>
            </w:r>
            <w:r w:rsidR="004A6B0B" w:rsidRPr="00150CE0">
              <w:rPr>
                <w:rFonts w:eastAsia="Times New Roman"/>
                <w:b w:val="0"/>
                <w:bCs w:val="0"/>
                <w:color w:val="000000"/>
                <w:sz w:val="20"/>
                <w:szCs w:val="20"/>
              </w:rPr>
              <w:t xml:space="preserve">category </w:t>
            </w:r>
            <w:r w:rsidRPr="00150CE0">
              <w:rPr>
                <w:rFonts w:eastAsia="Times New Roman"/>
                <w:b w:val="0"/>
                <w:bCs w:val="0"/>
                <w:color w:val="000000"/>
                <w:sz w:val="20"/>
                <w:szCs w:val="20"/>
              </w:rPr>
              <w:t xml:space="preserve">= </w:t>
            </w:r>
            <w:r w:rsidR="004A6B0B" w:rsidRPr="00150CE0">
              <w:rPr>
                <w:rFonts w:eastAsia="Times New Roman"/>
                <w:b w:val="0"/>
                <w:bCs w:val="0"/>
                <w:color w:val="000000"/>
                <w:sz w:val="20"/>
                <w:szCs w:val="20"/>
              </w:rPr>
              <w:t xml:space="preserve">multifamily </w:t>
            </w:r>
            <w:r w:rsidRPr="00150CE0">
              <w:rPr>
                <w:rFonts w:eastAsia="Times New Roman"/>
                <w:b w:val="0"/>
                <w:bCs w:val="0"/>
                <w:color w:val="000000"/>
                <w:sz w:val="20"/>
                <w:szCs w:val="20"/>
              </w:rPr>
              <w:t>(5 or more units)</w:t>
            </w:r>
          </w:p>
        </w:tc>
        <w:tc>
          <w:tcPr>
            <w:tcW w:w="1618" w:type="dxa"/>
            <w:noWrap/>
            <w:vAlign w:val="center"/>
            <w:hideMark/>
          </w:tcPr>
          <w:p w14:paraId="59A80ACA" w14:textId="0A44621B" w:rsidR="006C09B3" w:rsidRPr="00A17771" w:rsidRDefault="00C117DF" w:rsidP="00C117DF">
            <w:pPr>
              <w:tabs>
                <w:tab w:val="decimal" w:pos="5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r>
              <w:rPr>
                <w:rFonts w:eastAsia="Times New Roman"/>
                <w:b/>
                <w:bCs/>
                <w:color w:val="000000"/>
                <w:sz w:val="20"/>
                <w:szCs w:val="20"/>
              </w:rPr>
              <w:t>−</w:t>
            </w:r>
            <w:r w:rsidR="006C09B3" w:rsidRPr="00A17771">
              <w:rPr>
                <w:rFonts w:eastAsia="Times New Roman"/>
                <w:b/>
                <w:bCs/>
                <w:color w:val="000000"/>
                <w:sz w:val="20"/>
                <w:szCs w:val="20"/>
              </w:rPr>
              <w:t>1.114</w:t>
            </w:r>
          </w:p>
        </w:tc>
        <w:tc>
          <w:tcPr>
            <w:tcW w:w="1618" w:type="dxa"/>
            <w:noWrap/>
            <w:vAlign w:val="center"/>
            <w:hideMark/>
          </w:tcPr>
          <w:p w14:paraId="1EB2C545" w14:textId="77777777" w:rsidR="006C09B3" w:rsidRPr="00150CE0" w:rsidRDefault="006C09B3" w:rsidP="00C117DF">
            <w:pPr>
              <w:tabs>
                <w:tab w:val="decimal" w:pos="55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0.1333</w:t>
            </w:r>
          </w:p>
        </w:tc>
        <w:tc>
          <w:tcPr>
            <w:tcW w:w="1444" w:type="dxa"/>
            <w:vAlign w:val="center"/>
          </w:tcPr>
          <w:p w14:paraId="4B46B265" w14:textId="7C744ECA" w:rsidR="006C09B3" w:rsidRPr="00150CE0" w:rsidRDefault="00C117DF" w:rsidP="00C117DF">
            <w:pPr>
              <w:tabs>
                <w:tab w:val="decimal" w:pos="46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Pr>
                <w:rFonts w:eastAsia="Times New Roman"/>
                <w:color w:val="000000"/>
                <w:sz w:val="20"/>
                <w:szCs w:val="20"/>
              </w:rPr>
              <w:t>−</w:t>
            </w:r>
            <w:r w:rsidR="006C09B3" w:rsidRPr="00150CE0">
              <w:rPr>
                <w:rFonts w:eastAsia="Times New Roman"/>
                <w:color w:val="000000"/>
                <w:sz w:val="20"/>
                <w:szCs w:val="20"/>
              </w:rPr>
              <w:t>0.2378</w:t>
            </w:r>
          </w:p>
        </w:tc>
      </w:tr>
      <w:tr w:rsidR="006C09B3" w:rsidRPr="00143DC9" w14:paraId="21A1B856" w14:textId="77777777" w:rsidTr="00336BCB">
        <w:trPr>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7F7F7F" w:themeColor="text1" w:themeTint="80"/>
            </w:tcBorders>
            <w:noWrap/>
            <w:vAlign w:val="center"/>
            <w:hideMark/>
          </w:tcPr>
          <w:p w14:paraId="36B374AA" w14:textId="7DD626BC"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 xml:space="preserve">Building </w:t>
            </w:r>
            <w:r w:rsidR="004A6B0B" w:rsidRPr="00150CE0">
              <w:rPr>
                <w:rFonts w:eastAsia="Times New Roman"/>
                <w:b w:val="0"/>
                <w:bCs w:val="0"/>
                <w:color w:val="000000"/>
                <w:sz w:val="20"/>
                <w:szCs w:val="20"/>
              </w:rPr>
              <w:t xml:space="preserve">category </w:t>
            </w:r>
            <w:r w:rsidRPr="00150CE0">
              <w:rPr>
                <w:rFonts w:eastAsia="Times New Roman"/>
                <w:b w:val="0"/>
                <w:bCs w:val="0"/>
                <w:color w:val="000000"/>
                <w:sz w:val="20"/>
                <w:szCs w:val="20"/>
              </w:rPr>
              <w:t xml:space="preserve">= </w:t>
            </w:r>
            <w:r w:rsidR="004A6B0B" w:rsidRPr="00150CE0">
              <w:rPr>
                <w:rFonts w:eastAsia="Times New Roman"/>
                <w:b w:val="0"/>
                <w:bCs w:val="0"/>
                <w:color w:val="000000"/>
                <w:sz w:val="20"/>
                <w:szCs w:val="20"/>
              </w:rPr>
              <w:t xml:space="preserve">single family </w:t>
            </w:r>
            <w:r w:rsidRPr="00150CE0">
              <w:rPr>
                <w:rFonts w:eastAsia="Times New Roman"/>
                <w:b w:val="0"/>
                <w:bCs w:val="0"/>
                <w:color w:val="000000"/>
                <w:sz w:val="20"/>
                <w:szCs w:val="20"/>
              </w:rPr>
              <w:t>(4 or fewer units)</w:t>
            </w:r>
          </w:p>
        </w:tc>
        <w:tc>
          <w:tcPr>
            <w:tcW w:w="1618" w:type="dxa"/>
            <w:tcBorders>
              <w:bottom w:val="single" w:sz="4" w:space="0" w:color="7F7F7F" w:themeColor="text1" w:themeTint="80"/>
            </w:tcBorders>
            <w:noWrap/>
            <w:vAlign w:val="center"/>
            <w:hideMark/>
          </w:tcPr>
          <w:p w14:paraId="1D8F6B50" w14:textId="50C2FBF9" w:rsidR="006C09B3" w:rsidRPr="00A17771" w:rsidRDefault="00C117DF" w:rsidP="00C117DF">
            <w:pPr>
              <w:tabs>
                <w:tab w:val="decimal" w:pos="5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Pr>
                <w:rFonts w:eastAsia="Times New Roman"/>
                <w:b/>
                <w:bCs/>
                <w:color w:val="000000"/>
                <w:sz w:val="20"/>
                <w:szCs w:val="20"/>
              </w:rPr>
              <w:t>−</w:t>
            </w:r>
            <w:r w:rsidR="006C09B3" w:rsidRPr="00A17771">
              <w:rPr>
                <w:rFonts w:eastAsia="Times New Roman"/>
                <w:b/>
                <w:bCs/>
                <w:color w:val="000000"/>
                <w:sz w:val="20"/>
                <w:szCs w:val="20"/>
              </w:rPr>
              <w:t>0.3255</w:t>
            </w:r>
          </w:p>
        </w:tc>
        <w:tc>
          <w:tcPr>
            <w:tcW w:w="1618" w:type="dxa"/>
            <w:tcBorders>
              <w:bottom w:val="single" w:sz="4" w:space="0" w:color="7F7F7F" w:themeColor="text1" w:themeTint="80"/>
            </w:tcBorders>
            <w:noWrap/>
            <w:vAlign w:val="center"/>
            <w:hideMark/>
          </w:tcPr>
          <w:p w14:paraId="22148F77" w14:textId="77777777" w:rsidR="006C09B3" w:rsidRPr="00150CE0" w:rsidRDefault="006C09B3" w:rsidP="00C117DF">
            <w:pPr>
              <w:tabs>
                <w:tab w:val="decimal" w:pos="55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0.122</w:t>
            </w:r>
          </w:p>
        </w:tc>
        <w:tc>
          <w:tcPr>
            <w:tcW w:w="1444" w:type="dxa"/>
            <w:tcBorders>
              <w:bottom w:val="single" w:sz="4" w:space="0" w:color="7F7F7F" w:themeColor="text1" w:themeTint="80"/>
            </w:tcBorders>
            <w:vAlign w:val="center"/>
          </w:tcPr>
          <w:p w14:paraId="09D092F0" w14:textId="4A8F3778" w:rsidR="006C09B3" w:rsidRPr="00150CE0" w:rsidRDefault="00C117DF" w:rsidP="00C117DF">
            <w:pPr>
              <w:tabs>
                <w:tab w:val="decimal" w:pos="46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Pr>
                <w:rFonts w:eastAsia="Times New Roman"/>
                <w:color w:val="000000"/>
                <w:sz w:val="20"/>
                <w:szCs w:val="20"/>
              </w:rPr>
              <w:t>−</w:t>
            </w:r>
            <w:r w:rsidR="006C09B3" w:rsidRPr="00150CE0">
              <w:rPr>
                <w:rFonts w:eastAsia="Times New Roman"/>
                <w:color w:val="000000"/>
                <w:sz w:val="20"/>
                <w:szCs w:val="20"/>
              </w:rPr>
              <w:t>0.0473</w:t>
            </w:r>
          </w:p>
        </w:tc>
      </w:tr>
      <w:tr w:rsidR="006C09B3" w:rsidRPr="00143DC9" w14:paraId="5533ECDB" w14:textId="77777777" w:rsidTr="00336B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12" w:space="0" w:color="000000" w:themeColor="text1"/>
            </w:tcBorders>
            <w:noWrap/>
            <w:vAlign w:val="center"/>
          </w:tcPr>
          <w:p w14:paraId="54298917" w14:textId="77777777" w:rsidR="006C09B3" w:rsidRPr="00150CE0" w:rsidRDefault="006C09B3" w:rsidP="00336BCB">
            <w:pPr>
              <w:spacing w:before="0" w:after="0" w:line="240" w:lineRule="auto"/>
              <w:ind w:firstLine="0"/>
              <w:rPr>
                <w:rFonts w:eastAsia="Times New Roman"/>
                <w:b w:val="0"/>
                <w:bCs w:val="0"/>
                <w:color w:val="000000"/>
                <w:sz w:val="20"/>
                <w:szCs w:val="20"/>
              </w:rPr>
            </w:pPr>
            <w:r w:rsidRPr="00150CE0">
              <w:rPr>
                <w:rFonts w:eastAsia="Times New Roman"/>
                <w:b w:val="0"/>
                <w:bCs w:val="0"/>
                <w:color w:val="000000"/>
                <w:sz w:val="20"/>
                <w:szCs w:val="20"/>
              </w:rPr>
              <w:t>Number of observations</w:t>
            </w:r>
          </w:p>
        </w:tc>
        <w:tc>
          <w:tcPr>
            <w:tcW w:w="4680" w:type="dxa"/>
            <w:gridSpan w:val="3"/>
            <w:tcBorders>
              <w:bottom w:val="single" w:sz="12" w:space="0" w:color="000000" w:themeColor="text1"/>
            </w:tcBorders>
            <w:noWrap/>
            <w:vAlign w:val="center"/>
          </w:tcPr>
          <w:p w14:paraId="587D2CFE" w14:textId="4FD29AE5" w:rsidR="006C09B3" w:rsidRPr="00150CE0" w:rsidRDefault="006C09B3" w:rsidP="00336BCB">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150CE0">
              <w:rPr>
                <w:rFonts w:eastAsia="Times New Roman"/>
                <w:color w:val="000000"/>
                <w:sz w:val="20"/>
                <w:szCs w:val="20"/>
              </w:rPr>
              <w:t>1</w:t>
            </w:r>
            <w:r w:rsidR="00C117DF">
              <w:rPr>
                <w:rFonts w:eastAsia="Times New Roman"/>
                <w:color w:val="000000"/>
                <w:sz w:val="20"/>
                <w:szCs w:val="20"/>
              </w:rPr>
              <w:t>,</w:t>
            </w:r>
            <w:r w:rsidRPr="00150CE0">
              <w:rPr>
                <w:rFonts w:eastAsia="Times New Roman"/>
                <w:color w:val="000000"/>
                <w:sz w:val="20"/>
                <w:szCs w:val="20"/>
              </w:rPr>
              <w:t>857</w:t>
            </w:r>
          </w:p>
        </w:tc>
      </w:tr>
    </w:tbl>
    <w:p w14:paraId="44126C91" w14:textId="53B658C2" w:rsidR="006C09B3" w:rsidRPr="00150CE0" w:rsidRDefault="006C09B3" w:rsidP="00336BCB">
      <w:pPr>
        <w:spacing w:before="120" w:line="240" w:lineRule="auto"/>
        <w:ind w:firstLine="0"/>
        <w:rPr>
          <w:sz w:val="18"/>
          <w:szCs w:val="18"/>
        </w:rPr>
      </w:pPr>
      <w:r w:rsidRPr="00150CE0">
        <w:rPr>
          <w:sz w:val="18"/>
          <w:szCs w:val="18"/>
        </w:rPr>
        <w:t>Notes: Bolded values indicate that the estimated elasticity is statistically significant at the 10% level. Observations were adjusted by the survey sampling weights provided in the NEEA database. Manufactured homes are taken as the reference building category and dropped from the equation. Slope = f(x</w:t>
      </w:r>
      <w:r w:rsidR="00805545">
        <w:rPr>
          <w:sz w:val="18"/>
          <w:szCs w:val="18"/>
        </w:rPr>
        <w:t>’</w:t>
      </w:r>
      <w:r w:rsidRPr="00150CE0">
        <w:rPr>
          <w:rFonts w:ascii="Symbol" w:hAnsi="Symbol"/>
          <w:sz w:val="18"/>
          <w:szCs w:val="18"/>
        </w:rPr>
        <w:t>b</w:t>
      </w:r>
      <w:r w:rsidRPr="00150CE0">
        <w:rPr>
          <w:sz w:val="18"/>
          <w:szCs w:val="18"/>
          <w:vertAlign w:val="subscript"/>
        </w:rPr>
        <w:t>k</w:t>
      </w:r>
      <w:r w:rsidRPr="00150CE0">
        <w:rPr>
          <w:sz w:val="18"/>
          <w:szCs w:val="18"/>
        </w:rPr>
        <w:t>)</w:t>
      </w:r>
      <w:r w:rsidRPr="00150CE0">
        <w:rPr>
          <w:rFonts w:ascii="Symbol" w:hAnsi="Symbol"/>
          <w:sz w:val="18"/>
          <w:szCs w:val="18"/>
        </w:rPr>
        <w:t>b</w:t>
      </w:r>
      <w:r w:rsidRPr="00150CE0">
        <w:rPr>
          <w:sz w:val="18"/>
          <w:szCs w:val="18"/>
          <w:vertAlign w:val="subscript"/>
        </w:rPr>
        <w:t>k</w:t>
      </w:r>
      <w:r w:rsidRPr="00150CE0">
        <w:rPr>
          <w:sz w:val="18"/>
          <w:szCs w:val="18"/>
        </w:rPr>
        <w:t xml:space="preserve"> where f is the density function for the standard normal distribution.</w:t>
      </w:r>
    </w:p>
    <w:p w14:paraId="3AB2946B" w14:textId="3C0D9631" w:rsidR="006C09B3" w:rsidRDefault="006C09B3" w:rsidP="00336BCB">
      <w:pPr>
        <w:pStyle w:val="BodyText"/>
      </w:pPr>
      <w:r>
        <w:t xml:space="preserve">The strongest effect on the AC ownership probability comes from the CDD variable. Income per capita also has a positive and statistically significant effect. The probability of AC ownership is lower in single-family homes and multifamily buildings than in manufactured homes. </w:t>
      </w:r>
      <w:r w:rsidR="00F0389E">
        <w:fldChar w:fldCharType="begin"/>
      </w:r>
      <w:r w:rsidR="00F0389E">
        <w:instrText xml:space="preserve"> REF _Ref81738608 \h </w:instrText>
      </w:r>
      <w:r w:rsidR="00F0389E">
        <w:fldChar w:fldCharType="separate"/>
      </w:r>
      <w:r w:rsidR="00EE0BF5">
        <w:t xml:space="preserve">Figure </w:t>
      </w:r>
      <w:r w:rsidR="00EE0BF5">
        <w:rPr>
          <w:noProof/>
        </w:rPr>
        <w:t>H</w:t>
      </w:r>
      <w:r w:rsidR="00EE0BF5">
        <w:t>.</w:t>
      </w:r>
      <w:r w:rsidR="00EE0BF5">
        <w:rPr>
          <w:noProof/>
        </w:rPr>
        <w:t>1</w:t>
      </w:r>
      <w:r w:rsidR="00F0389E">
        <w:fldChar w:fldCharType="end"/>
      </w:r>
      <w:r>
        <w:t xml:space="preserve"> shows the nonlinear relationship between CDDs and the probability of AC ownership implied by the estimated probit model, while setting the values of all the other variables in the equation at their sample means. The estimated curve follows the S-shaped profile that is typical of technological diffusion models. The estimated rate of AC adoption in response to CDDs slows down considerably beyond 900 annual CDDs at which point AC penetration is ~90%.</w:t>
      </w:r>
    </w:p>
    <w:p w14:paraId="6FF48E95" w14:textId="45C9BD5D" w:rsidR="00336BCB" w:rsidRDefault="00336BCB">
      <w:pPr>
        <w:spacing w:before="0" w:after="0" w:line="240" w:lineRule="auto"/>
        <w:ind w:firstLine="0"/>
      </w:pPr>
      <w:r>
        <w:br w:type="page"/>
      </w:r>
    </w:p>
    <w:p w14:paraId="140ECF6F" w14:textId="4EA4C724" w:rsidR="006C09B3" w:rsidRPr="005E415F" w:rsidRDefault="00336BCB" w:rsidP="00336BCB">
      <w:pPr>
        <w:pStyle w:val="AppendixTableCaption"/>
        <w:rPr>
          <w:rFonts w:eastAsiaTheme="minorEastAsia"/>
          <w:lang w:eastAsia="zh-TW"/>
        </w:rPr>
      </w:pPr>
      <w:r>
        <w:lastRenderedPageBreak/>
        <w:t xml:space="preserve">Table </w:t>
      </w:r>
      <w:fldSimple w:instr=" STYLEREF 9 \s ">
        <w:r w:rsidR="00EE0BF5">
          <w:rPr>
            <w:noProof/>
          </w:rPr>
          <w:t>H</w:t>
        </w:r>
      </w:fldSimple>
      <w:r>
        <w:t>.</w:t>
      </w:r>
      <w:fldSimple w:instr=" SEQ Table_Apx \* ARABIC \s 9 ">
        <w:r w:rsidR="00EE0BF5">
          <w:rPr>
            <w:noProof/>
          </w:rPr>
          <w:t>3</w:t>
        </w:r>
      </w:fldSimple>
      <w:r w:rsidRPr="00485D84">
        <w:rPr>
          <w:rFonts w:eastAsia="PMingLiU"/>
          <w:lang w:bidi="en-US"/>
        </w:rPr>
        <w:t xml:space="preserve">. </w:t>
      </w:r>
      <w:r w:rsidR="006C09B3" w:rsidRPr="00A17771">
        <w:rPr>
          <w:rFonts w:eastAsiaTheme="minorEastAsia"/>
        </w:rPr>
        <w:t>BPA Total Retail Load Estimated Equations</w:t>
      </w:r>
    </w:p>
    <w:tbl>
      <w:tblPr>
        <w:tblStyle w:val="PlainTable2"/>
        <w:tblW w:w="5000" w:type="pct"/>
        <w:tblLayout w:type="fixed"/>
        <w:tblCellMar>
          <w:left w:w="58" w:type="dxa"/>
          <w:right w:w="58" w:type="dxa"/>
        </w:tblCellMar>
        <w:tblLook w:val="04A0" w:firstRow="1" w:lastRow="0" w:firstColumn="1" w:lastColumn="0" w:noHBand="0" w:noVBand="1"/>
      </w:tblPr>
      <w:tblGrid>
        <w:gridCol w:w="1442"/>
        <w:gridCol w:w="989"/>
        <w:gridCol w:w="992"/>
        <w:gridCol w:w="990"/>
        <w:gridCol w:w="990"/>
        <w:gridCol w:w="990"/>
        <w:gridCol w:w="990"/>
        <w:gridCol w:w="990"/>
        <w:gridCol w:w="987"/>
      </w:tblGrid>
      <w:tr w:rsidR="006C09B3" w:rsidRPr="00A8676B" w14:paraId="0E02ECFE" w14:textId="77777777" w:rsidTr="00DB59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vMerge w:val="restart"/>
            <w:tcBorders>
              <w:top w:val="single" w:sz="12" w:space="0" w:color="000000" w:themeColor="text1"/>
            </w:tcBorders>
            <w:noWrap/>
            <w:vAlign w:val="center"/>
            <w:hideMark/>
          </w:tcPr>
          <w:p w14:paraId="17389EFB" w14:textId="77777777" w:rsidR="006C09B3" w:rsidRPr="00A8676B" w:rsidRDefault="006C09B3" w:rsidP="006E569B">
            <w:pPr>
              <w:keepNext/>
              <w:spacing w:before="0" w:after="0" w:line="240" w:lineRule="auto"/>
              <w:ind w:firstLine="0"/>
              <w:rPr>
                <w:rFonts w:eastAsia="Times New Roman"/>
                <w:color w:val="000000"/>
                <w:sz w:val="20"/>
                <w:szCs w:val="20"/>
                <w:lang w:bidi="ar-SA"/>
              </w:rPr>
            </w:pPr>
          </w:p>
        </w:tc>
        <w:tc>
          <w:tcPr>
            <w:tcW w:w="1058" w:type="pct"/>
            <w:gridSpan w:val="2"/>
            <w:tcBorders>
              <w:top w:val="single" w:sz="12" w:space="0" w:color="000000" w:themeColor="text1"/>
              <w:bottom w:val="single" w:sz="4" w:space="0" w:color="000000" w:themeColor="text1"/>
            </w:tcBorders>
            <w:noWrap/>
            <w:vAlign w:val="center"/>
            <w:hideMark/>
          </w:tcPr>
          <w:p w14:paraId="7237CBDC" w14:textId="77777777" w:rsidR="006C09B3" w:rsidRPr="00A8676B" w:rsidRDefault="006C09B3" w:rsidP="006E569B">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Winter</w:t>
            </w:r>
          </w:p>
        </w:tc>
        <w:tc>
          <w:tcPr>
            <w:tcW w:w="1058" w:type="pct"/>
            <w:gridSpan w:val="2"/>
            <w:tcBorders>
              <w:top w:val="single" w:sz="12" w:space="0" w:color="000000" w:themeColor="text1"/>
              <w:bottom w:val="single" w:sz="4" w:space="0" w:color="000000" w:themeColor="text1"/>
            </w:tcBorders>
            <w:noWrap/>
            <w:vAlign w:val="center"/>
            <w:hideMark/>
          </w:tcPr>
          <w:p w14:paraId="6194BE77" w14:textId="77777777" w:rsidR="006C09B3" w:rsidRPr="00A8676B" w:rsidRDefault="006C09B3" w:rsidP="006E569B">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Spring</w:t>
            </w:r>
          </w:p>
        </w:tc>
        <w:tc>
          <w:tcPr>
            <w:tcW w:w="1058" w:type="pct"/>
            <w:gridSpan w:val="2"/>
            <w:tcBorders>
              <w:top w:val="single" w:sz="12" w:space="0" w:color="000000" w:themeColor="text1"/>
              <w:bottom w:val="single" w:sz="4" w:space="0" w:color="000000" w:themeColor="text1"/>
            </w:tcBorders>
            <w:noWrap/>
            <w:vAlign w:val="center"/>
            <w:hideMark/>
          </w:tcPr>
          <w:p w14:paraId="225BCBB3" w14:textId="77777777" w:rsidR="006C09B3" w:rsidRPr="00A8676B" w:rsidRDefault="006C09B3" w:rsidP="006E569B">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Summer</w:t>
            </w:r>
          </w:p>
        </w:tc>
        <w:tc>
          <w:tcPr>
            <w:tcW w:w="1056" w:type="pct"/>
            <w:gridSpan w:val="2"/>
            <w:tcBorders>
              <w:top w:val="single" w:sz="12" w:space="0" w:color="000000" w:themeColor="text1"/>
              <w:bottom w:val="single" w:sz="4" w:space="0" w:color="000000" w:themeColor="text1"/>
            </w:tcBorders>
            <w:noWrap/>
            <w:vAlign w:val="center"/>
            <w:hideMark/>
          </w:tcPr>
          <w:p w14:paraId="36A25E28" w14:textId="77777777" w:rsidR="006C09B3" w:rsidRPr="00A8676B" w:rsidRDefault="006C09B3" w:rsidP="006E569B">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Fall</w:t>
            </w:r>
          </w:p>
        </w:tc>
      </w:tr>
      <w:tr w:rsidR="006C09B3" w:rsidRPr="00A8676B" w14:paraId="617D7394"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vMerge/>
            <w:tcBorders>
              <w:bottom w:val="single" w:sz="12" w:space="0" w:color="000000" w:themeColor="text1"/>
            </w:tcBorders>
            <w:noWrap/>
            <w:vAlign w:val="center"/>
          </w:tcPr>
          <w:p w14:paraId="214A7230" w14:textId="77777777" w:rsidR="006C09B3" w:rsidRPr="00A8676B" w:rsidRDefault="006C09B3" w:rsidP="006E569B">
            <w:pPr>
              <w:keepNext/>
              <w:spacing w:before="0" w:after="0" w:line="240" w:lineRule="auto"/>
              <w:ind w:firstLine="0"/>
              <w:rPr>
                <w:rFonts w:eastAsia="Times New Roman"/>
                <w:color w:val="000000"/>
                <w:sz w:val="20"/>
                <w:szCs w:val="20"/>
                <w:lang w:bidi="ar-SA"/>
              </w:rPr>
            </w:pPr>
          </w:p>
        </w:tc>
        <w:tc>
          <w:tcPr>
            <w:tcW w:w="528" w:type="pct"/>
            <w:tcBorders>
              <w:top w:val="single" w:sz="4" w:space="0" w:color="000000" w:themeColor="text1"/>
              <w:bottom w:val="single" w:sz="12" w:space="0" w:color="000000" w:themeColor="text1"/>
            </w:tcBorders>
            <w:noWrap/>
            <w:vAlign w:val="center"/>
          </w:tcPr>
          <w:p w14:paraId="400B71D5"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Daymet</w:t>
            </w:r>
          </w:p>
        </w:tc>
        <w:tc>
          <w:tcPr>
            <w:tcW w:w="530" w:type="pct"/>
            <w:tcBorders>
              <w:top w:val="single" w:sz="4" w:space="0" w:color="000000" w:themeColor="text1"/>
              <w:bottom w:val="single" w:sz="12" w:space="0" w:color="000000" w:themeColor="text1"/>
            </w:tcBorders>
            <w:noWrap/>
            <w:vAlign w:val="center"/>
          </w:tcPr>
          <w:p w14:paraId="121ABC6B"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Livneh</w:t>
            </w:r>
          </w:p>
        </w:tc>
        <w:tc>
          <w:tcPr>
            <w:tcW w:w="529" w:type="pct"/>
            <w:tcBorders>
              <w:top w:val="single" w:sz="4" w:space="0" w:color="000000" w:themeColor="text1"/>
              <w:bottom w:val="single" w:sz="12" w:space="0" w:color="000000" w:themeColor="text1"/>
            </w:tcBorders>
            <w:noWrap/>
            <w:vAlign w:val="center"/>
          </w:tcPr>
          <w:p w14:paraId="26BB05A7"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Daymet</w:t>
            </w:r>
          </w:p>
        </w:tc>
        <w:tc>
          <w:tcPr>
            <w:tcW w:w="529" w:type="pct"/>
            <w:tcBorders>
              <w:top w:val="single" w:sz="4" w:space="0" w:color="000000" w:themeColor="text1"/>
              <w:bottom w:val="single" w:sz="12" w:space="0" w:color="000000" w:themeColor="text1"/>
            </w:tcBorders>
            <w:noWrap/>
            <w:vAlign w:val="center"/>
          </w:tcPr>
          <w:p w14:paraId="6FD494A8"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Livneh</w:t>
            </w:r>
          </w:p>
        </w:tc>
        <w:tc>
          <w:tcPr>
            <w:tcW w:w="529" w:type="pct"/>
            <w:tcBorders>
              <w:top w:val="single" w:sz="4" w:space="0" w:color="000000" w:themeColor="text1"/>
              <w:bottom w:val="single" w:sz="12" w:space="0" w:color="000000" w:themeColor="text1"/>
            </w:tcBorders>
            <w:noWrap/>
            <w:vAlign w:val="center"/>
          </w:tcPr>
          <w:p w14:paraId="4957EBB0"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Daymet</w:t>
            </w:r>
          </w:p>
        </w:tc>
        <w:tc>
          <w:tcPr>
            <w:tcW w:w="529" w:type="pct"/>
            <w:tcBorders>
              <w:top w:val="single" w:sz="4" w:space="0" w:color="000000" w:themeColor="text1"/>
              <w:bottom w:val="single" w:sz="12" w:space="0" w:color="000000" w:themeColor="text1"/>
            </w:tcBorders>
            <w:noWrap/>
            <w:vAlign w:val="center"/>
          </w:tcPr>
          <w:p w14:paraId="4CF9A61D"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Livneh</w:t>
            </w:r>
          </w:p>
        </w:tc>
        <w:tc>
          <w:tcPr>
            <w:tcW w:w="529" w:type="pct"/>
            <w:tcBorders>
              <w:top w:val="single" w:sz="4" w:space="0" w:color="000000" w:themeColor="text1"/>
              <w:bottom w:val="single" w:sz="12" w:space="0" w:color="000000" w:themeColor="text1"/>
            </w:tcBorders>
            <w:noWrap/>
            <w:vAlign w:val="center"/>
          </w:tcPr>
          <w:p w14:paraId="206684F2"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Daymet</w:t>
            </w:r>
          </w:p>
        </w:tc>
        <w:tc>
          <w:tcPr>
            <w:tcW w:w="527" w:type="pct"/>
            <w:tcBorders>
              <w:top w:val="single" w:sz="4" w:space="0" w:color="000000" w:themeColor="text1"/>
              <w:bottom w:val="single" w:sz="12" w:space="0" w:color="000000" w:themeColor="text1"/>
            </w:tcBorders>
            <w:noWrap/>
            <w:vAlign w:val="center"/>
          </w:tcPr>
          <w:p w14:paraId="18070CA9" w14:textId="77777777" w:rsidR="006C09B3" w:rsidRDefault="006C09B3" w:rsidP="006E569B">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Livneh</w:t>
            </w:r>
          </w:p>
        </w:tc>
      </w:tr>
      <w:tr w:rsidR="006C09B3" w:rsidRPr="00A8676B" w14:paraId="7D72A7F5"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tcBorders>
              <w:top w:val="single" w:sz="12" w:space="0" w:color="000000" w:themeColor="text1"/>
            </w:tcBorders>
            <w:noWrap/>
            <w:vAlign w:val="center"/>
            <w:hideMark/>
          </w:tcPr>
          <w:p w14:paraId="24C7D9D9"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Intercept</w:t>
            </w:r>
          </w:p>
        </w:tc>
        <w:tc>
          <w:tcPr>
            <w:tcW w:w="528" w:type="pct"/>
            <w:tcBorders>
              <w:top w:val="single" w:sz="12" w:space="0" w:color="000000" w:themeColor="text1"/>
            </w:tcBorders>
            <w:noWrap/>
            <w:vAlign w:val="center"/>
            <w:hideMark/>
          </w:tcPr>
          <w:p w14:paraId="21FD0E95" w14:textId="1B46CC56" w:rsidR="006C09B3" w:rsidRPr="00C7399F" w:rsidRDefault="00C117DF"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C7399F">
              <w:rPr>
                <w:rFonts w:eastAsia="Times New Roman"/>
                <w:b/>
                <w:bCs/>
                <w:color w:val="000000"/>
                <w:sz w:val="20"/>
                <w:szCs w:val="20"/>
                <w:lang w:bidi="ar-SA"/>
              </w:rPr>
              <w:t>5.7262</w:t>
            </w:r>
          </w:p>
          <w:p w14:paraId="04253F2D"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(2.0858)</w:t>
            </w:r>
          </w:p>
        </w:tc>
        <w:tc>
          <w:tcPr>
            <w:tcW w:w="530" w:type="pct"/>
            <w:tcBorders>
              <w:top w:val="single" w:sz="12" w:space="0" w:color="000000" w:themeColor="text1"/>
            </w:tcBorders>
            <w:noWrap/>
            <w:vAlign w:val="center"/>
            <w:hideMark/>
          </w:tcPr>
          <w:p w14:paraId="23F55B0B" w14:textId="2642A7FA" w:rsidR="006C09B3" w:rsidRPr="00C7399F" w:rsidRDefault="00C117DF"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C7399F">
              <w:rPr>
                <w:rFonts w:eastAsia="Times New Roman"/>
                <w:b/>
                <w:bCs/>
                <w:color w:val="000000"/>
                <w:sz w:val="20"/>
                <w:szCs w:val="20"/>
                <w:lang w:bidi="ar-SA"/>
              </w:rPr>
              <w:t>5.2917</w:t>
            </w:r>
          </w:p>
          <w:p w14:paraId="16B28998"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(1.8442)</w:t>
            </w:r>
          </w:p>
        </w:tc>
        <w:tc>
          <w:tcPr>
            <w:tcW w:w="529" w:type="pct"/>
            <w:tcBorders>
              <w:top w:val="single" w:sz="12" w:space="0" w:color="000000" w:themeColor="text1"/>
            </w:tcBorders>
            <w:noWrap/>
            <w:vAlign w:val="center"/>
            <w:hideMark/>
          </w:tcPr>
          <w:p w14:paraId="5A554277" w14:textId="4CCAD59E" w:rsidR="006C09B3" w:rsidRDefault="00C117DF"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Pr>
                <w:rFonts w:eastAsia="Times New Roman"/>
                <w:b/>
                <w:bCs/>
                <w:color w:val="000000"/>
                <w:sz w:val="20"/>
                <w:szCs w:val="20"/>
                <w:lang w:bidi="ar-SA"/>
              </w:rPr>
              <w:t>5.0647</w:t>
            </w:r>
          </w:p>
          <w:p w14:paraId="13E3BC8E"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(2.1</w:t>
            </w:r>
            <w:r>
              <w:rPr>
                <w:rFonts w:eastAsia="Times New Roman"/>
                <w:color w:val="000000"/>
                <w:sz w:val="20"/>
                <w:szCs w:val="20"/>
                <w:lang w:bidi="ar-SA"/>
              </w:rPr>
              <w:t>41</w:t>
            </w:r>
            <w:r w:rsidRPr="00A8676B">
              <w:rPr>
                <w:rFonts w:eastAsia="Times New Roman"/>
                <w:color w:val="000000"/>
                <w:sz w:val="20"/>
                <w:szCs w:val="20"/>
                <w:lang w:bidi="ar-SA"/>
              </w:rPr>
              <w:t>)</w:t>
            </w:r>
          </w:p>
        </w:tc>
        <w:tc>
          <w:tcPr>
            <w:tcW w:w="529" w:type="pct"/>
            <w:tcBorders>
              <w:top w:val="single" w:sz="12" w:space="0" w:color="000000" w:themeColor="text1"/>
            </w:tcBorders>
            <w:noWrap/>
            <w:vAlign w:val="center"/>
            <w:hideMark/>
          </w:tcPr>
          <w:p w14:paraId="22C54797" w14:textId="5A7F6B77" w:rsidR="006C09B3" w:rsidRDefault="00C117DF"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4.</w:t>
            </w:r>
            <w:r w:rsidR="006C09B3">
              <w:rPr>
                <w:rFonts w:eastAsia="Times New Roman"/>
                <w:b/>
                <w:bCs/>
                <w:color w:val="000000"/>
                <w:sz w:val="20"/>
                <w:szCs w:val="20"/>
                <w:lang w:bidi="ar-SA"/>
              </w:rPr>
              <w:t>724</w:t>
            </w:r>
          </w:p>
          <w:p w14:paraId="05582195"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(1.9</w:t>
            </w:r>
            <w:r>
              <w:rPr>
                <w:rFonts w:eastAsia="Times New Roman"/>
                <w:color w:val="000000"/>
                <w:sz w:val="20"/>
                <w:szCs w:val="20"/>
                <w:lang w:bidi="ar-SA"/>
              </w:rPr>
              <w:t>267</w:t>
            </w:r>
            <w:r w:rsidRPr="00A8676B">
              <w:rPr>
                <w:rFonts w:eastAsia="Times New Roman"/>
                <w:color w:val="000000"/>
                <w:sz w:val="20"/>
                <w:szCs w:val="20"/>
                <w:lang w:bidi="ar-SA"/>
              </w:rPr>
              <w:t>)</w:t>
            </w:r>
          </w:p>
        </w:tc>
        <w:tc>
          <w:tcPr>
            <w:tcW w:w="529" w:type="pct"/>
            <w:tcBorders>
              <w:top w:val="single" w:sz="12" w:space="0" w:color="000000" w:themeColor="text1"/>
            </w:tcBorders>
            <w:noWrap/>
            <w:vAlign w:val="center"/>
            <w:hideMark/>
          </w:tcPr>
          <w:p w14:paraId="210D0DAC"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tcBorders>
              <w:top w:val="single" w:sz="12" w:space="0" w:color="000000" w:themeColor="text1"/>
            </w:tcBorders>
            <w:noWrap/>
            <w:vAlign w:val="center"/>
            <w:hideMark/>
          </w:tcPr>
          <w:p w14:paraId="0CD25056"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tcBorders>
              <w:top w:val="single" w:sz="12" w:space="0" w:color="000000" w:themeColor="text1"/>
            </w:tcBorders>
            <w:noWrap/>
            <w:vAlign w:val="center"/>
            <w:hideMark/>
          </w:tcPr>
          <w:p w14:paraId="7B60A657" w14:textId="7C71E995" w:rsidR="006C09B3" w:rsidRPr="00C7399F" w:rsidRDefault="00C117DF"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C7399F">
              <w:rPr>
                <w:rFonts w:eastAsia="Times New Roman"/>
                <w:b/>
                <w:bCs/>
                <w:color w:val="000000"/>
                <w:sz w:val="20"/>
                <w:szCs w:val="20"/>
                <w:lang w:bidi="ar-SA"/>
              </w:rPr>
              <w:t>3.6767</w:t>
            </w:r>
          </w:p>
          <w:p w14:paraId="45DA532A"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(2.3103)</w:t>
            </w:r>
          </w:p>
        </w:tc>
        <w:tc>
          <w:tcPr>
            <w:tcW w:w="527" w:type="pct"/>
            <w:tcBorders>
              <w:top w:val="single" w:sz="12" w:space="0" w:color="000000" w:themeColor="text1"/>
            </w:tcBorders>
            <w:noWrap/>
            <w:vAlign w:val="center"/>
            <w:hideMark/>
          </w:tcPr>
          <w:p w14:paraId="63B539F6" w14:textId="588BDE44" w:rsidR="006C09B3" w:rsidRDefault="00C117DF"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6C09B3" w:rsidRPr="00A8676B">
              <w:rPr>
                <w:rFonts w:eastAsia="Times New Roman"/>
                <w:color w:val="000000"/>
                <w:sz w:val="20"/>
                <w:szCs w:val="20"/>
                <w:lang w:bidi="ar-SA"/>
              </w:rPr>
              <w:t>2.</w:t>
            </w:r>
            <w:r w:rsidR="006C09B3">
              <w:rPr>
                <w:rFonts w:eastAsia="Times New Roman"/>
                <w:color w:val="000000"/>
                <w:sz w:val="20"/>
                <w:szCs w:val="20"/>
                <w:lang w:bidi="ar-SA"/>
              </w:rPr>
              <w:t>7073</w:t>
            </w:r>
          </w:p>
          <w:p w14:paraId="3A7D8C0D"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(2.0679)</w:t>
            </w:r>
          </w:p>
        </w:tc>
      </w:tr>
      <w:tr w:rsidR="006C09B3" w:rsidRPr="00A8676B" w14:paraId="2221E55D"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32A26F05"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HDD</w:t>
            </w:r>
          </w:p>
        </w:tc>
        <w:tc>
          <w:tcPr>
            <w:tcW w:w="528" w:type="pct"/>
            <w:noWrap/>
            <w:vAlign w:val="center"/>
            <w:hideMark/>
          </w:tcPr>
          <w:p w14:paraId="1C89E6F7"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w:t>
            </w:r>
            <w:r>
              <w:rPr>
                <w:rFonts w:eastAsia="Times New Roman"/>
                <w:b/>
                <w:bCs/>
                <w:color w:val="000000"/>
                <w:sz w:val="20"/>
                <w:szCs w:val="20"/>
                <w:lang w:bidi="ar-SA"/>
              </w:rPr>
              <w:t>3641</w:t>
            </w:r>
          </w:p>
          <w:p w14:paraId="716E4487"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w:t>
            </w:r>
            <w:r>
              <w:rPr>
                <w:rFonts w:eastAsia="Times New Roman"/>
                <w:color w:val="000000"/>
                <w:sz w:val="20"/>
                <w:szCs w:val="20"/>
                <w:lang w:bidi="ar-SA"/>
              </w:rPr>
              <w:t>4</w:t>
            </w:r>
            <w:r w:rsidRPr="00A8676B">
              <w:rPr>
                <w:rFonts w:eastAsia="Times New Roman"/>
                <w:color w:val="000000"/>
                <w:sz w:val="20"/>
                <w:szCs w:val="20"/>
                <w:lang w:bidi="ar-SA"/>
              </w:rPr>
              <w:t>)</w:t>
            </w:r>
          </w:p>
        </w:tc>
        <w:tc>
          <w:tcPr>
            <w:tcW w:w="530" w:type="pct"/>
            <w:noWrap/>
            <w:vAlign w:val="center"/>
            <w:hideMark/>
          </w:tcPr>
          <w:p w14:paraId="2E47F517" w14:textId="77777777" w:rsidR="006C09B3"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w:t>
            </w:r>
            <w:r>
              <w:rPr>
                <w:rFonts w:eastAsia="Times New Roman"/>
                <w:b/>
                <w:bCs/>
                <w:color w:val="000000"/>
                <w:sz w:val="20"/>
                <w:szCs w:val="20"/>
                <w:lang w:bidi="ar-SA"/>
              </w:rPr>
              <w:t>3701</w:t>
            </w:r>
          </w:p>
          <w:p w14:paraId="19924B8C"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(0.015)</w:t>
            </w:r>
          </w:p>
        </w:tc>
        <w:tc>
          <w:tcPr>
            <w:tcW w:w="529" w:type="pct"/>
            <w:noWrap/>
            <w:vAlign w:val="center"/>
            <w:hideMark/>
          </w:tcPr>
          <w:p w14:paraId="1C690BAF"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w:t>
            </w:r>
            <w:r>
              <w:rPr>
                <w:rFonts w:eastAsia="Times New Roman"/>
                <w:b/>
                <w:bCs/>
                <w:color w:val="000000"/>
                <w:sz w:val="20"/>
                <w:szCs w:val="20"/>
                <w:lang w:bidi="ar-SA"/>
              </w:rPr>
              <w:t>538</w:t>
            </w:r>
          </w:p>
          <w:p w14:paraId="04F1F98A"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w:t>
            </w:r>
            <w:r>
              <w:rPr>
                <w:rFonts w:eastAsia="Times New Roman"/>
                <w:color w:val="000000"/>
                <w:sz w:val="20"/>
                <w:szCs w:val="20"/>
                <w:lang w:bidi="ar-SA"/>
              </w:rPr>
              <w:t>169</w:t>
            </w:r>
            <w:r w:rsidRPr="00A8676B">
              <w:rPr>
                <w:rFonts w:eastAsia="Times New Roman"/>
                <w:color w:val="000000"/>
                <w:sz w:val="20"/>
                <w:szCs w:val="20"/>
                <w:lang w:bidi="ar-SA"/>
              </w:rPr>
              <w:t>)</w:t>
            </w:r>
          </w:p>
        </w:tc>
        <w:tc>
          <w:tcPr>
            <w:tcW w:w="529" w:type="pct"/>
            <w:noWrap/>
            <w:vAlign w:val="center"/>
            <w:hideMark/>
          </w:tcPr>
          <w:p w14:paraId="51FEE91D" w14:textId="77777777" w:rsidR="006C09B3"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w:t>
            </w:r>
            <w:r>
              <w:rPr>
                <w:rFonts w:eastAsia="Times New Roman"/>
                <w:b/>
                <w:bCs/>
                <w:color w:val="000000"/>
                <w:sz w:val="20"/>
                <w:szCs w:val="20"/>
                <w:lang w:bidi="ar-SA"/>
              </w:rPr>
              <w:t>414</w:t>
            </w:r>
          </w:p>
          <w:p w14:paraId="3B41F067"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w:t>
            </w:r>
            <w:r>
              <w:rPr>
                <w:rFonts w:eastAsia="Times New Roman"/>
                <w:color w:val="000000"/>
                <w:sz w:val="20"/>
                <w:szCs w:val="20"/>
                <w:lang w:bidi="ar-SA"/>
              </w:rPr>
              <w:t>179</w:t>
            </w:r>
            <w:r w:rsidRPr="00A8676B">
              <w:rPr>
                <w:rFonts w:eastAsia="Times New Roman"/>
                <w:color w:val="000000"/>
                <w:sz w:val="20"/>
                <w:szCs w:val="20"/>
                <w:lang w:bidi="ar-SA"/>
              </w:rPr>
              <w:t>)</w:t>
            </w:r>
          </w:p>
        </w:tc>
        <w:tc>
          <w:tcPr>
            <w:tcW w:w="529" w:type="pct"/>
            <w:noWrap/>
            <w:vAlign w:val="center"/>
            <w:hideMark/>
          </w:tcPr>
          <w:p w14:paraId="6BB0645A" w14:textId="4A6B6261" w:rsidR="006C09B3" w:rsidRDefault="00C117DF"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0.002</w:t>
            </w:r>
            <w:r w:rsidR="006C09B3">
              <w:rPr>
                <w:rFonts w:eastAsia="Times New Roman"/>
                <w:b/>
                <w:bCs/>
                <w:color w:val="000000"/>
                <w:sz w:val="20"/>
                <w:szCs w:val="20"/>
                <w:lang w:bidi="ar-SA"/>
              </w:rPr>
              <w:t>7</w:t>
            </w:r>
          </w:p>
          <w:p w14:paraId="6906AEBA"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(0.001</w:t>
            </w:r>
            <w:r>
              <w:rPr>
                <w:rFonts w:eastAsia="Times New Roman"/>
                <w:color w:val="000000"/>
                <w:sz w:val="20"/>
                <w:szCs w:val="20"/>
                <w:lang w:bidi="ar-SA"/>
              </w:rPr>
              <w:t>1</w:t>
            </w:r>
            <w:r w:rsidRPr="00A8676B">
              <w:rPr>
                <w:rFonts w:eastAsia="Times New Roman"/>
                <w:color w:val="000000"/>
                <w:sz w:val="20"/>
                <w:szCs w:val="20"/>
                <w:lang w:bidi="ar-SA"/>
              </w:rPr>
              <w:t>)</w:t>
            </w:r>
          </w:p>
        </w:tc>
        <w:tc>
          <w:tcPr>
            <w:tcW w:w="529" w:type="pct"/>
            <w:noWrap/>
            <w:vAlign w:val="center"/>
            <w:hideMark/>
          </w:tcPr>
          <w:p w14:paraId="406A1446" w14:textId="5B8C3556" w:rsidR="006C09B3" w:rsidRDefault="00C117DF"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0.00</w:t>
            </w:r>
            <w:r w:rsidR="006C09B3">
              <w:rPr>
                <w:rFonts w:eastAsia="Times New Roman"/>
                <w:b/>
                <w:bCs/>
                <w:color w:val="000000"/>
                <w:sz w:val="20"/>
                <w:szCs w:val="20"/>
                <w:lang w:bidi="ar-SA"/>
              </w:rPr>
              <w:t>31</w:t>
            </w:r>
          </w:p>
          <w:p w14:paraId="4098A130"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09</w:t>
            </w:r>
            <w:r w:rsidRPr="00A8676B">
              <w:rPr>
                <w:rFonts w:eastAsia="Times New Roman"/>
                <w:color w:val="000000"/>
                <w:sz w:val="20"/>
                <w:szCs w:val="20"/>
                <w:lang w:bidi="ar-SA"/>
              </w:rPr>
              <w:t>)</w:t>
            </w:r>
          </w:p>
        </w:tc>
        <w:tc>
          <w:tcPr>
            <w:tcW w:w="529" w:type="pct"/>
            <w:noWrap/>
            <w:vAlign w:val="center"/>
            <w:hideMark/>
          </w:tcPr>
          <w:p w14:paraId="3A6C8D86" w14:textId="77777777" w:rsidR="006C09B3" w:rsidRPr="00E466D6"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E466D6">
              <w:rPr>
                <w:rFonts w:eastAsia="Times New Roman"/>
                <w:color w:val="000000"/>
                <w:sz w:val="20"/>
                <w:szCs w:val="20"/>
                <w:lang w:bidi="ar-SA"/>
              </w:rPr>
              <w:t>0.0072</w:t>
            </w:r>
          </w:p>
          <w:p w14:paraId="717E1469"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5</w:t>
            </w:r>
            <w:r w:rsidRPr="00A8676B">
              <w:rPr>
                <w:rFonts w:eastAsia="Times New Roman"/>
                <w:color w:val="000000"/>
                <w:sz w:val="20"/>
                <w:szCs w:val="20"/>
                <w:lang w:bidi="ar-SA"/>
              </w:rPr>
              <w:t>)</w:t>
            </w:r>
          </w:p>
        </w:tc>
        <w:tc>
          <w:tcPr>
            <w:tcW w:w="527" w:type="pct"/>
            <w:noWrap/>
            <w:vAlign w:val="center"/>
            <w:hideMark/>
          </w:tcPr>
          <w:p w14:paraId="0CE1EBF8" w14:textId="77777777" w:rsidR="006C09B3"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0.01</w:t>
            </w:r>
            <w:r>
              <w:rPr>
                <w:rFonts w:eastAsia="Times New Roman"/>
                <w:b/>
                <w:bCs/>
                <w:color w:val="000000"/>
                <w:sz w:val="20"/>
                <w:szCs w:val="20"/>
                <w:lang w:bidi="ar-SA"/>
              </w:rPr>
              <w:t>87</w:t>
            </w:r>
          </w:p>
          <w:p w14:paraId="52264B41"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78</w:t>
            </w:r>
            <w:r w:rsidRPr="00A8676B">
              <w:rPr>
                <w:rFonts w:eastAsia="Times New Roman"/>
                <w:color w:val="000000"/>
                <w:sz w:val="20"/>
                <w:szCs w:val="20"/>
                <w:lang w:bidi="ar-SA"/>
              </w:rPr>
              <w:t>)</w:t>
            </w:r>
          </w:p>
        </w:tc>
      </w:tr>
      <w:tr w:rsidR="006C09B3" w:rsidRPr="00A8676B" w14:paraId="71859F9F"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0968F815"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CDD</w:t>
            </w:r>
          </w:p>
        </w:tc>
        <w:tc>
          <w:tcPr>
            <w:tcW w:w="528" w:type="pct"/>
            <w:noWrap/>
            <w:vAlign w:val="center"/>
            <w:hideMark/>
          </w:tcPr>
          <w:p w14:paraId="1B01E232" w14:textId="76FDAE20"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324F6438"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2AC479D5" w14:textId="77777777" w:rsidR="006C09B3"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0.0038</w:t>
            </w:r>
          </w:p>
          <w:p w14:paraId="4E82B0C7"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(0.0081)</w:t>
            </w:r>
          </w:p>
        </w:tc>
        <w:tc>
          <w:tcPr>
            <w:tcW w:w="529" w:type="pct"/>
            <w:noWrap/>
            <w:vAlign w:val="center"/>
            <w:hideMark/>
          </w:tcPr>
          <w:p w14:paraId="06C49851" w14:textId="77777777" w:rsidR="006C09B3"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0.0019</w:t>
            </w:r>
          </w:p>
          <w:p w14:paraId="3F13FC9F"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(0.0087)</w:t>
            </w:r>
          </w:p>
        </w:tc>
        <w:tc>
          <w:tcPr>
            <w:tcW w:w="529" w:type="pct"/>
            <w:noWrap/>
            <w:vAlign w:val="center"/>
            <w:hideMark/>
          </w:tcPr>
          <w:p w14:paraId="7CCF2524" w14:textId="77777777" w:rsidR="006C09B3"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w:t>
            </w:r>
            <w:r>
              <w:rPr>
                <w:rFonts w:eastAsia="Times New Roman"/>
                <w:b/>
                <w:bCs/>
                <w:color w:val="000000"/>
                <w:sz w:val="20"/>
                <w:szCs w:val="20"/>
                <w:lang w:bidi="ar-SA"/>
              </w:rPr>
              <w:t>497</w:t>
            </w:r>
          </w:p>
          <w:p w14:paraId="31D0DDED"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(0.006</w:t>
            </w:r>
            <w:r>
              <w:rPr>
                <w:rFonts w:eastAsia="Times New Roman"/>
                <w:color w:val="000000"/>
                <w:sz w:val="20"/>
                <w:szCs w:val="20"/>
                <w:lang w:bidi="ar-SA"/>
              </w:rPr>
              <w:t>4</w:t>
            </w:r>
            <w:r w:rsidRPr="00A8676B">
              <w:rPr>
                <w:rFonts w:eastAsia="Times New Roman"/>
                <w:color w:val="000000"/>
                <w:sz w:val="20"/>
                <w:szCs w:val="20"/>
                <w:lang w:bidi="ar-SA"/>
              </w:rPr>
              <w:t>)</w:t>
            </w:r>
          </w:p>
        </w:tc>
        <w:tc>
          <w:tcPr>
            <w:tcW w:w="529" w:type="pct"/>
            <w:noWrap/>
            <w:vAlign w:val="center"/>
            <w:hideMark/>
          </w:tcPr>
          <w:p w14:paraId="34DE8CB6" w14:textId="77777777" w:rsidR="006C09B3"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0.04</w:t>
            </w:r>
            <w:r>
              <w:rPr>
                <w:rFonts w:eastAsia="Times New Roman"/>
                <w:b/>
                <w:bCs/>
                <w:color w:val="000000"/>
                <w:sz w:val="20"/>
                <w:szCs w:val="20"/>
                <w:lang w:bidi="ar-SA"/>
              </w:rPr>
              <w:t>4</w:t>
            </w:r>
            <w:r w:rsidRPr="00A8676B">
              <w:rPr>
                <w:rFonts w:eastAsia="Times New Roman"/>
                <w:b/>
                <w:bCs/>
                <w:color w:val="000000"/>
                <w:sz w:val="20"/>
                <w:szCs w:val="20"/>
                <w:lang w:bidi="ar-SA"/>
              </w:rPr>
              <w:t>3</w:t>
            </w:r>
          </w:p>
          <w:p w14:paraId="58C9041F"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(0.0064)</w:t>
            </w:r>
          </w:p>
        </w:tc>
        <w:tc>
          <w:tcPr>
            <w:tcW w:w="529" w:type="pct"/>
            <w:noWrap/>
            <w:vAlign w:val="center"/>
            <w:hideMark/>
          </w:tcPr>
          <w:p w14:paraId="32B00995" w14:textId="380F7660" w:rsidR="006C09B3" w:rsidRDefault="00C117DF"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6C09B3" w:rsidRPr="00A8676B">
              <w:rPr>
                <w:rFonts w:eastAsia="Times New Roman"/>
                <w:color w:val="000000"/>
                <w:sz w:val="20"/>
                <w:szCs w:val="20"/>
                <w:lang w:bidi="ar-SA"/>
              </w:rPr>
              <w:t>0.002</w:t>
            </w:r>
            <w:r w:rsidR="006C09B3">
              <w:rPr>
                <w:rFonts w:eastAsia="Times New Roman"/>
                <w:color w:val="000000"/>
                <w:sz w:val="20"/>
                <w:szCs w:val="20"/>
                <w:lang w:bidi="ar-SA"/>
              </w:rPr>
              <w:t>3</w:t>
            </w:r>
          </w:p>
          <w:p w14:paraId="266C5752"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(0.007)</w:t>
            </w:r>
          </w:p>
        </w:tc>
        <w:tc>
          <w:tcPr>
            <w:tcW w:w="527" w:type="pct"/>
            <w:noWrap/>
            <w:vAlign w:val="center"/>
            <w:hideMark/>
          </w:tcPr>
          <w:p w14:paraId="255EB57D" w14:textId="7539E70A" w:rsidR="006C09B3" w:rsidRDefault="00C117DF"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6C09B3" w:rsidRPr="00A8676B">
              <w:rPr>
                <w:rFonts w:eastAsia="Times New Roman"/>
                <w:color w:val="000000"/>
                <w:sz w:val="20"/>
                <w:szCs w:val="20"/>
                <w:lang w:bidi="ar-SA"/>
              </w:rPr>
              <w:t>0.00</w:t>
            </w:r>
            <w:r w:rsidR="006C09B3">
              <w:rPr>
                <w:rFonts w:eastAsia="Times New Roman"/>
                <w:color w:val="000000"/>
                <w:sz w:val="20"/>
                <w:szCs w:val="20"/>
                <w:lang w:bidi="ar-SA"/>
              </w:rPr>
              <w:t>0</w:t>
            </w:r>
            <w:r w:rsidR="006C09B3" w:rsidRPr="00A8676B">
              <w:rPr>
                <w:rFonts w:eastAsia="Times New Roman"/>
                <w:color w:val="000000"/>
                <w:sz w:val="20"/>
                <w:szCs w:val="20"/>
                <w:lang w:bidi="ar-SA"/>
              </w:rPr>
              <w:t>4</w:t>
            </w:r>
          </w:p>
          <w:p w14:paraId="3D6547F0"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(0.0074)</w:t>
            </w:r>
          </w:p>
        </w:tc>
      </w:tr>
      <w:tr w:rsidR="006C09B3" w:rsidRPr="00A8676B" w14:paraId="3B4571D5"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2E498402" w14:textId="3322FA51" w:rsidR="006C09B3" w:rsidRPr="00A17771" w:rsidRDefault="000352DD"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 xml:space="preserve">CDD </w:t>
            </w:r>
            <w:r>
              <w:rPr>
                <w:rFonts w:eastAsia="Times New Roman"/>
                <w:b w:val="0"/>
                <w:bCs w:val="0"/>
                <w:color w:val="000000"/>
                <w:sz w:val="20"/>
                <w:szCs w:val="20"/>
                <w:lang w:bidi="ar-SA"/>
              </w:rPr>
              <w:t>×</w:t>
            </w:r>
            <w:r w:rsidRPr="00A17771">
              <w:rPr>
                <w:rFonts w:eastAsia="Times New Roman"/>
                <w:b w:val="0"/>
                <w:bCs w:val="0"/>
                <w:color w:val="000000"/>
                <w:sz w:val="20"/>
                <w:szCs w:val="20"/>
                <w:lang w:bidi="ar-SA"/>
              </w:rPr>
              <w:t xml:space="preserve"> </w:t>
            </w:r>
            <w:r>
              <w:rPr>
                <w:rFonts w:eastAsia="Times New Roman"/>
                <w:b w:val="0"/>
                <w:bCs w:val="0"/>
                <w:color w:val="000000"/>
                <w:sz w:val="20"/>
                <w:szCs w:val="20"/>
                <w:lang w:bidi="ar-SA"/>
              </w:rPr>
              <w:t>estimated AC penetration</w:t>
            </w:r>
          </w:p>
        </w:tc>
        <w:tc>
          <w:tcPr>
            <w:tcW w:w="528" w:type="pct"/>
            <w:noWrap/>
            <w:vAlign w:val="center"/>
            <w:hideMark/>
          </w:tcPr>
          <w:p w14:paraId="555A1445"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7BC88935"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744B6E8"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w:t>
            </w:r>
            <w:r>
              <w:rPr>
                <w:rFonts w:eastAsia="Times New Roman"/>
                <w:color w:val="000000"/>
                <w:sz w:val="20"/>
                <w:szCs w:val="20"/>
                <w:lang w:bidi="ar-SA"/>
              </w:rPr>
              <w:t>104</w:t>
            </w:r>
          </w:p>
          <w:p w14:paraId="0229B77B"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(0.0065)</w:t>
            </w:r>
          </w:p>
        </w:tc>
        <w:tc>
          <w:tcPr>
            <w:tcW w:w="529" w:type="pct"/>
            <w:noWrap/>
            <w:vAlign w:val="center"/>
            <w:hideMark/>
          </w:tcPr>
          <w:p w14:paraId="15708AF4" w14:textId="77777777" w:rsidR="006C09B3"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99</w:t>
            </w:r>
          </w:p>
          <w:p w14:paraId="198F7EFF"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(0.0067)</w:t>
            </w:r>
          </w:p>
        </w:tc>
        <w:tc>
          <w:tcPr>
            <w:tcW w:w="529" w:type="pct"/>
            <w:noWrap/>
            <w:vAlign w:val="center"/>
            <w:hideMark/>
          </w:tcPr>
          <w:p w14:paraId="3107CAA3" w14:textId="77777777" w:rsidR="006C09B3"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w:t>
            </w:r>
            <w:r>
              <w:rPr>
                <w:rFonts w:eastAsia="Times New Roman"/>
                <w:b/>
                <w:bCs/>
                <w:color w:val="000000"/>
                <w:sz w:val="20"/>
                <w:szCs w:val="20"/>
                <w:lang w:bidi="ar-SA"/>
              </w:rPr>
              <w:t>396</w:t>
            </w:r>
          </w:p>
          <w:p w14:paraId="12F5AC6E"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(0.005</w:t>
            </w:r>
            <w:r>
              <w:rPr>
                <w:rFonts w:eastAsia="Times New Roman"/>
                <w:color w:val="000000"/>
                <w:sz w:val="20"/>
                <w:szCs w:val="20"/>
                <w:lang w:bidi="ar-SA"/>
              </w:rPr>
              <w:t>3</w:t>
            </w:r>
            <w:r w:rsidRPr="00A8676B">
              <w:rPr>
                <w:rFonts w:eastAsia="Times New Roman"/>
                <w:color w:val="000000"/>
                <w:sz w:val="20"/>
                <w:szCs w:val="20"/>
                <w:lang w:bidi="ar-SA"/>
              </w:rPr>
              <w:t>)</w:t>
            </w:r>
          </w:p>
        </w:tc>
        <w:tc>
          <w:tcPr>
            <w:tcW w:w="529" w:type="pct"/>
            <w:noWrap/>
            <w:vAlign w:val="center"/>
            <w:hideMark/>
          </w:tcPr>
          <w:p w14:paraId="75E4A9EF" w14:textId="77777777" w:rsidR="006C09B3"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0.03</w:t>
            </w:r>
            <w:r>
              <w:rPr>
                <w:rFonts w:eastAsia="Times New Roman"/>
                <w:b/>
                <w:bCs/>
                <w:color w:val="000000"/>
                <w:sz w:val="20"/>
                <w:szCs w:val="20"/>
                <w:lang w:bidi="ar-SA"/>
              </w:rPr>
              <w:t>59</w:t>
            </w:r>
          </w:p>
          <w:p w14:paraId="60583BF2"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(0.005</w:t>
            </w:r>
            <w:r>
              <w:rPr>
                <w:rFonts w:eastAsia="Times New Roman"/>
                <w:color w:val="000000"/>
                <w:sz w:val="20"/>
                <w:szCs w:val="20"/>
                <w:lang w:bidi="ar-SA"/>
              </w:rPr>
              <w:t>3</w:t>
            </w:r>
            <w:r w:rsidRPr="00A8676B">
              <w:rPr>
                <w:rFonts w:eastAsia="Times New Roman"/>
                <w:color w:val="000000"/>
                <w:sz w:val="20"/>
                <w:szCs w:val="20"/>
                <w:lang w:bidi="ar-SA"/>
              </w:rPr>
              <w:t>)</w:t>
            </w:r>
          </w:p>
        </w:tc>
        <w:tc>
          <w:tcPr>
            <w:tcW w:w="529" w:type="pct"/>
            <w:noWrap/>
            <w:vAlign w:val="center"/>
            <w:hideMark/>
          </w:tcPr>
          <w:p w14:paraId="34009226" w14:textId="77777777" w:rsidR="006C09B3"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72</w:t>
            </w:r>
          </w:p>
          <w:p w14:paraId="14F3907A"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(0.0058)</w:t>
            </w:r>
          </w:p>
        </w:tc>
        <w:tc>
          <w:tcPr>
            <w:tcW w:w="527" w:type="pct"/>
            <w:noWrap/>
            <w:vAlign w:val="center"/>
            <w:hideMark/>
          </w:tcPr>
          <w:p w14:paraId="5EFA5589" w14:textId="77777777" w:rsidR="006C09B3"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71</w:t>
            </w:r>
          </w:p>
          <w:p w14:paraId="44B051F8"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(0.0061)</w:t>
            </w:r>
          </w:p>
        </w:tc>
      </w:tr>
      <w:tr w:rsidR="006C09B3" w:rsidRPr="00A8676B" w14:paraId="657543D5"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722CD0F1" w14:textId="0012C32C"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 xml:space="preserve">CDD </w:t>
            </w:r>
            <w:r w:rsidR="00804D3E">
              <w:rPr>
                <w:rFonts w:eastAsia="Times New Roman"/>
                <w:b w:val="0"/>
                <w:bCs w:val="0"/>
                <w:color w:val="000000"/>
                <w:sz w:val="20"/>
                <w:szCs w:val="20"/>
                <w:lang w:bidi="ar-SA"/>
              </w:rPr>
              <w:t>×</w:t>
            </w:r>
            <w:r w:rsidRPr="00A17771">
              <w:rPr>
                <w:rFonts w:eastAsia="Times New Roman"/>
                <w:b w:val="0"/>
                <w:bCs w:val="0"/>
                <w:color w:val="000000"/>
                <w:sz w:val="20"/>
                <w:szCs w:val="20"/>
                <w:lang w:bidi="ar-SA"/>
              </w:rPr>
              <w:t xml:space="preserve"> irrig</w:t>
            </w:r>
            <w:r w:rsidR="00804D3E">
              <w:rPr>
                <w:rFonts w:eastAsia="Times New Roman"/>
                <w:b w:val="0"/>
                <w:bCs w:val="0"/>
                <w:color w:val="000000"/>
                <w:sz w:val="20"/>
                <w:szCs w:val="20"/>
                <w:lang w:bidi="ar-SA"/>
              </w:rPr>
              <w:t>ation</w:t>
            </w:r>
          </w:p>
        </w:tc>
        <w:tc>
          <w:tcPr>
            <w:tcW w:w="528" w:type="pct"/>
            <w:noWrap/>
            <w:vAlign w:val="center"/>
            <w:hideMark/>
          </w:tcPr>
          <w:p w14:paraId="3C58A237"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2F53EAC7"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4162A31E" w14:textId="77777777" w:rsidR="006C09B3"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0.07</w:t>
            </w:r>
            <w:r>
              <w:rPr>
                <w:rFonts w:eastAsia="Times New Roman"/>
                <w:b/>
                <w:bCs/>
                <w:color w:val="000000"/>
                <w:sz w:val="20"/>
                <w:szCs w:val="20"/>
                <w:lang w:bidi="ar-SA"/>
              </w:rPr>
              <w:t>2</w:t>
            </w:r>
          </w:p>
          <w:p w14:paraId="0018930A"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(0.013</w:t>
            </w:r>
            <w:r>
              <w:rPr>
                <w:rFonts w:eastAsia="Times New Roman"/>
                <w:color w:val="000000"/>
                <w:sz w:val="20"/>
                <w:szCs w:val="20"/>
                <w:lang w:bidi="ar-SA"/>
              </w:rPr>
              <w:t>7</w:t>
            </w:r>
            <w:r w:rsidRPr="00A8676B">
              <w:rPr>
                <w:rFonts w:eastAsia="Times New Roman"/>
                <w:color w:val="000000"/>
                <w:sz w:val="20"/>
                <w:szCs w:val="20"/>
                <w:lang w:bidi="ar-SA"/>
              </w:rPr>
              <w:t>)</w:t>
            </w:r>
          </w:p>
        </w:tc>
        <w:tc>
          <w:tcPr>
            <w:tcW w:w="529" w:type="pct"/>
            <w:noWrap/>
            <w:vAlign w:val="center"/>
            <w:hideMark/>
          </w:tcPr>
          <w:p w14:paraId="49CD91A4" w14:textId="77777777" w:rsidR="006C09B3"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0.068</w:t>
            </w:r>
          </w:p>
          <w:p w14:paraId="6E592475"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(0.013)</w:t>
            </w:r>
          </w:p>
        </w:tc>
        <w:tc>
          <w:tcPr>
            <w:tcW w:w="529" w:type="pct"/>
            <w:noWrap/>
            <w:vAlign w:val="center"/>
            <w:hideMark/>
          </w:tcPr>
          <w:p w14:paraId="6CD888D9" w14:textId="77777777" w:rsidR="006C09B3"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0.03</w:t>
            </w:r>
            <w:r>
              <w:rPr>
                <w:rFonts w:eastAsia="Times New Roman"/>
                <w:b/>
                <w:bCs/>
                <w:color w:val="000000"/>
                <w:sz w:val="20"/>
                <w:szCs w:val="20"/>
                <w:lang w:bidi="ar-SA"/>
              </w:rPr>
              <w:t>9</w:t>
            </w:r>
          </w:p>
          <w:p w14:paraId="4A06DFD9"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(0.005</w:t>
            </w:r>
            <w:r>
              <w:rPr>
                <w:rFonts w:eastAsia="Times New Roman"/>
                <w:color w:val="000000"/>
                <w:sz w:val="20"/>
                <w:szCs w:val="20"/>
                <w:lang w:bidi="ar-SA"/>
              </w:rPr>
              <w:t>3</w:t>
            </w:r>
            <w:r w:rsidRPr="00A8676B">
              <w:rPr>
                <w:rFonts w:eastAsia="Times New Roman"/>
                <w:color w:val="000000"/>
                <w:sz w:val="20"/>
                <w:szCs w:val="20"/>
                <w:lang w:bidi="ar-SA"/>
              </w:rPr>
              <w:t>)</w:t>
            </w:r>
          </w:p>
        </w:tc>
        <w:tc>
          <w:tcPr>
            <w:tcW w:w="529" w:type="pct"/>
            <w:noWrap/>
            <w:vAlign w:val="center"/>
            <w:hideMark/>
          </w:tcPr>
          <w:p w14:paraId="04C65AC8" w14:textId="77777777" w:rsidR="006C09B3"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0.037</w:t>
            </w:r>
            <w:r>
              <w:rPr>
                <w:rFonts w:eastAsia="Times New Roman"/>
                <w:b/>
                <w:bCs/>
                <w:color w:val="000000"/>
                <w:sz w:val="20"/>
                <w:szCs w:val="20"/>
                <w:lang w:bidi="ar-SA"/>
              </w:rPr>
              <w:t>8</w:t>
            </w:r>
          </w:p>
          <w:p w14:paraId="4895610E"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(0.005</w:t>
            </w:r>
            <w:r>
              <w:rPr>
                <w:rFonts w:eastAsia="Times New Roman"/>
                <w:color w:val="000000"/>
                <w:sz w:val="20"/>
                <w:szCs w:val="20"/>
                <w:lang w:bidi="ar-SA"/>
              </w:rPr>
              <w:t>1</w:t>
            </w:r>
            <w:r w:rsidRPr="00A8676B">
              <w:rPr>
                <w:rFonts w:eastAsia="Times New Roman"/>
                <w:color w:val="000000"/>
                <w:sz w:val="20"/>
                <w:szCs w:val="20"/>
                <w:lang w:bidi="ar-SA"/>
              </w:rPr>
              <w:t>)</w:t>
            </w:r>
          </w:p>
        </w:tc>
        <w:tc>
          <w:tcPr>
            <w:tcW w:w="529" w:type="pct"/>
            <w:noWrap/>
            <w:vAlign w:val="center"/>
            <w:hideMark/>
          </w:tcPr>
          <w:p w14:paraId="25B92AFB" w14:textId="77777777" w:rsidR="006C09B3"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0.06</w:t>
            </w:r>
            <w:r>
              <w:rPr>
                <w:rFonts w:eastAsia="Times New Roman"/>
                <w:b/>
                <w:bCs/>
                <w:color w:val="000000"/>
                <w:sz w:val="20"/>
                <w:szCs w:val="20"/>
                <w:lang w:bidi="ar-SA"/>
              </w:rPr>
              <w:t>59</w:t>
            </w:r>
          </w:p>
          <w:p w14:paraId="4BB2B14E"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(0.013</w:t>
            </w:r>
            <w:r>
              <w:rPr>
                <w:rFonts w:eastAsia="Times New Roman"/>
                <w:color w:val="000000"/>
                <w:sz w:val="20"/>
                <w:szCs w:val="20"/>
                <w:lang w:bidi="ar-SA"/>
              </w:rPr>
              <w:t>5</w:t>
            </w:r>
            <w:r w:rsidRPr="00A8676B">
              <w:rPr>
                <w:rFonts w:eastAsia="Times New Roman"/>
                <w:color w:val="000000"/>
                <w:sz w:val="20"/>
                <w:szCs w:val="20"/>
                <w:lang w:bidi="ar-SA"/>
              </w:rPr>
              <w:t>)</w:t>
            </w:r>
          </w:p>
        </w:tc>
        <w:tc>
          <w:tcPr>
            <w:tcW w:w="527" w:type="pct"/>
            <w:noWrap/>
            <w:vAlign w:val="center"/>
            <w:hideMark/>
          </w:tcPr>
          <w:p w14:paraId="2148DA2D" w14:textId="77777777" w:rsidR="006C09B3"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0.067</w:t>
            </w:r>
            <w:r>
              <w:rPr>
                <w:rFonts w:eastAsia="Times New Roman"/>
                <w:b/>
                <w:bCs/>
                <w:color w:val="000000"/>
                <w:sz w:val="20"/>
                <w:szCs w:val="20"/>
                <w:lang w:bidi="ar-SA"/>
              </w:rPr>
              <w:t>5</w:t>
            </w:r>
          </w:p>
          <w:p w14:paraId="02E6A5DA"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(0.013</w:t>
            </w:r>
            <w:r>
              <w:rPr>
                <w:rFonts w:eastAsia="Times New Roman"/>
                <w:color w:val="000000"/>
                <w:sz w:val="20"/>
                <w:szCs w:val="20"/>
                <w:lang w:bidi="ar-SA"/>
              </w:rPr>
              <w:t>7</w:t>
            </w:r>
            <w:r w:rsidRPr="00A8676B">
              <w:rPr>
                <w:rFonts w:eastAsia="Times New Roman"/>
                <w:color w:val="000000"/>
                <w:sz w:val="20"/>
                <w:szCs w:val="20"/>
                <w:lang w:bidi="ar-SA"/>
              </w:rPr>
              <w:t>)</w:t>
            </w:r>
          </w:p>
        </w:tc>
      </w:tr>
      <w:tr w:rsidR="006C09B3" w:rsidRPr="00A8676B" w14:paraId="6804C878"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5EB81F97"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Precipitation</w:t>
            </w:r>
          </w:p>
        </w:tc>
        <w:tc>
          <w:tcPr>
            <w:tcW w:w="528" w:type="pct"/>
            <w:noWrap/>
            <w:vAlign w:val="center"/>
            <w:hideMark/>
          </w:tcPr>
          <w:p w14:paraId="58A0D333" w14:textId="394F4549" w:rsidR="006C09B3" w:rsidRDefault="00C117DF"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6C09B3">
              <w:rPr>
                <w:rFonts w:eastAsia="Times New Roman"/>
                <w:color w:val="000000"/>
                <w:sz w:val="20"/>
                <w:szCs w:val="20"/>
                <w:lang w:bidi="ar-SA"/>
              </w:rPr>
              <w:t>0.0011</w:t>
            </w:r>
          </w:p>
          <w:p w14:paraId="2CD32239"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(0.0038)</w:t>
            </w:r>
          </w:p>
        </w:tc>
        <w:tc>
          <w:tcPr>
            <w:tcW w:w="530" w:type="pct"/>
            <w:noWrap/>
            <w:vAlign w:val="center"/>
            <w:hideMark/>
          </w:tcPr>
          <w:p w14:paraId="3AD49E41" w14:textId="77777777" w:rsidR="006C09B3"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38</w:t>
            </w:r>
          </w:p>
          <w:p w14:paraId="09C7EA46"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(0.0031)</w:t>
            </w:r>
          </w:p>
        </w:tc>
        <w:tc>
          <w:tcPr>
            <w:tcW w:w="529" w:type="pct"/>
            <w:noWrap/>
            <w:vAlign w:val="center"/>
            <w:hideMark/>
          </w:tcPr>
          <w:p w14:paraId="55733DEB"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0.00</w:t>
            </w:r>
            <w:r>
              <w:rPr>
                <w:rFonts w:eastAsia="Times New Roman"/>
                <w:color w:val="000000"/>
                <w:sz w:val="20"/>
                <w:szCs w:val="20"/>
                <w:lang w:bidi="ar-SA"/>
              </w:rPr>
              <w:t>39</w:t>
            </w:r>
          </w:p>
          <w:p w14:paraId="411B4CF1"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(0.0057)</w:t>
            </w:r>
          </w:p>
        </w:tc>
        <w:tc>
          <w:tcPr>
            <w:tcW w:w="529" w:type="pct"/>
            <w:noWrap/>
            <w:vAlign w:val="center"/>
            <w:hideMark/>
          </w:tcPr>
          <w:p w14:paraId="4F639AF5" w14:textId="77777777" w:rsidR="006C09B3"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0.01</w:t>
            </w:r>
            <w:r>
              <w:rPr>
                <w:rFonts w:eastAsia="Times New Roman"/>
                <w:b/>
                <w:bCs/>
                <w:color w:val="000000"/>
                <w:sz w:val="20"/>
                <w:szCs w:val="20"/>
                <w:lang w:bidi="ar-SA"/>
              </w:rPr>
              <w:t>57</w:t>
            </w:r>
          </w:p>
          <w:p w14:paraId="3B3C87F0"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w:t>
            </w:r>
            <w:r>
              <w:rPr>
                <w:rFonts w:eastAsia="Times New Roman"/>
                <w:color w:val="000000"/>
                <w:sz w:val="20"/>
                <w:szCs w:val="20"/>
                <w:lang w:bidi="ar-SA"/>
              </w:rPr>
              <w:t>71</w:t>
            </w:r>
            <w:r w:rsidRPr="00BD7C5F">
              <w:rPr>
                <w:rFonts w:eastAsia="Times New Roman"/>
                <w:color w:val="000000"/>
                <w:sz w:val="20"/>
                <w:szCs w:val="20"/>
                <w:lang w:bidi="ar-SA"/>
              </w:rPr>
              <w:t>)</w:t>
            </w:r>
          </w:p>
        </w:tc>
        <w:tc>
          <w:tcPr>
            <w:tcW w:w="529" w:type="pct"/>
            <w:noWrap/>
            <w:vAlign w:val="center"/>
            <w:hideMark/>
          </w:tcPr>
          <w:p w14:paraId="1C37E159" w14:textId="7A39D1FB" w:rsidR="006C09B3" w:rsidRDefault="00C117DF"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0.006</w:t>
            </w:r>
            <w:r w:rsidR="006C09B3">
              <w:rPr>
                <w:rFonts w:eastAsia="Times New Roman"/>
                <w:b/>
                <w:bCs/>
                <w:color w:val="000000"/>
                <w:sz w:val="20"/>
                <w:szCs w:val="20"/>
                <w:lang w:bidi="ar-SA"/>
              </w:rPr>
              <w:t>4</w:t>
            </w:r>
          </w:p>
          <w:p w14:paraId="26CCE109"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(0.000</w:t>
            </w:r>
            <w:r>
              <w:rPr>
                <w:rFonts w:eastAsia="Times New Roman"/>
                <w:color w:val="000000"/>
                <w:sz w:val="20"/>
                <w:szCs w:val="20"/>
                <w:lang w:bidi="ar-SA"/>
              </w:rPr>
              <w:t>9</w:t>
            </w:r>
            <w:r w:rsidRPr="00BD7C5F">
              <w:rPr>
                <w:rFonts w:eastAsia="Times New Roman"/>
                <w:color w:val="000000"/>
                <w:sz w:val="20"/>
                <w:szCs w:val="20"/>
                <w:lang w:bidi="ar-SA"/>
              </w:rPr>
              <w:t>)</w:t>
            </w:r>
          </w:p>
        </w:tc>
        <w:tc>
          <w:tcPr>
            <w:tcW w:w="529" w:type="pct"/>
            <w:noWrap/>
            <w:vAlign w:val="center"/>
            <w:hideMark/>
          </w:tcPr>
          <w:p w14:paraId="1CE1D79C" w14:textId="12DB4808" w:rsidR="006C09B3" w:rsidRDefault="00C117DF"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0.007</w:t>
            </w:r>
          </w:p>
          <w:p w14:paraId="1F193E23"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(0.0013)</w:t>
            </w:r>
          </w:p>
        </w:tc>
        <w:tc>
          <w:tcPr>
            <w:tcW w:w="529" w:type="pct"/>
            <w:noWrap/>
            <w:vAlign w:val="center"/>
            <w:hideMark/>
          </w:tcPr>
          <w:p w14:paraId="26717C9D" w14:textId="6AF5A7E2" w:rsidR="006C09B3" w:rsidRDefault="00C117DF"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w:t>
            </w:r>
            <w:r w:rsidR="006C09B3">
              <w:rPr>
                <w:rFonts w:eastAsia="Times New Roman"/>
                <w:b/>
                <w:bCs/>
                <w:color w:val="000000"/>
                <w:sz w:val="20"/>
                <w:szCs w:val="20"/>
                <w:lang w:bidi="ar-SA"/>
              </w:rPr>
              <w:t>096</w:t>
            </w:r>
          </w:p>
          <w:p w14:paraId="6AC659D7"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w:t>
            </w:r>
            <w:r>
              <w:rPr>
                <w:rFonts w:eastAsia="Times New Roman"/>
                <w:color w:val="000000"/>
                <w:sz w:val="20"/>
                <w:szCs w:val="20"/>
                <w:lang w:bidi="ar-SA"/>
              </w:rPr>
              <w:t>27</w:t>
            </w:r>
            <w:r w:rsidRPr="00BD7C5F">
              <w:rPr>
                <w:rFonts w:eastAsia="Times New Roman"/>
                <w:color w:val="000000"/>
                <w:sz w:val="20"/>
                <w:szCs w:val="20"/>
                <w:lang w:bidi="ar-SA"/>
              </w:rPr>
              <w:t>)</w:t>
            </w:r>
          </w:p>
        </w:tc>
        <w:tc>
          <w:tcPr>
            <w:tcW w:w="527" w:type="pct"/>
            <w:noWrap/>
            <w:vAlign w:val="center"/>
            <w:hideMark/>
          </w:tcPr>
          <w:p w14:paraId="56717FE5" w14:textId="5BAC672E" w:rsidR="006C09B3" w:rsidRDefault="00C117DF"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0.00</w:t>
            </w:r>
            <w:r w:rsidR="006C09B3">
              <w:rPr>
                <w:rFonts w:eastAsia="Times New Roman"/>
                <w:b/>
                <w:bCs/>
                <w:color w:val="000000"/>
                <w:sz w:val="20"/>
                <w:szCs w:val="20"/>
                <w:lang w:bidi="ar-SA"/>
              </w:rPr>
              <w:t>71</w:t>
            </w:r>
          </w:p>
          <w:p w14:paraId="5B445885"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(0.003</w:t>
            </w:r>
            <w:r>
              <w:rPr>
                <w:rFonts w:eastAsia="Times New Roman"/>
                <w:color w:val="000000"/>
                <w:sz w:val="20"/>
                <w:szCs w:val="20"/>
                <w:lang w:bidi="ar-SA"/>
              </w:rPr>
              <w:t>3</w:t>
            </w:r>
            <w:r w:rsidRPr="00BD7C5F">
              <w:rPr>
                <w:rFonts w:eastAsia="Times New Roman"/>
                <w:color w:val="000000"/>
                <w:sz w:val="20"/>
                <w:szCs w:val="20"/>
                <w:lang w:bidi="ar-SA"/>
              </w:rPr>
              <w:t>)</w:t>
            </w:r>
          </w:p>
        </w:tc>
      </w:tr>
      <w:tr w:rsidR="006C09B3" w:rsidRPr="00A8676B" w14:paraId="59883D63"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1A8BA1DA"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Avg_Price</w:t>
            </w:r>
          </w:p>
        </w:tc>
        <w:tc>
          <w:tcPr>
            <w:tcW w:w="528" w:type="pct"/>
            <w:noWrap/>
            <w:vAlign w:val="center"/>
            <w:hideMark/>
          </w:tcPr>
          <w:p w14:paraId="79CCDE24" w14:textId="7ED7EAA0" w:rsidR="006C09B3" w:rsidRDefault="00C117DF"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0.4</w:t>
            </w:r>
            <w:r w:rsidR="006C09B3">
              <w:rPr>
                <w:rFonts w:eastAsia="Times New Roman"/>
                <w:b/>
                <w:bCs/>
                <w:color w:val="000000"/>
                <w:sz w:val="20"/>
                <w:szCs w:val="20"/>
                <w:lang w:bidi="ar-SA"/>
              </w:rPr>
              <w:t>452</w:t>
            </w:r>
          </w:p>
          <w:p w14:paraId="437302E3"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w:t>
            </w:r>
            <w:r>
              <w:rPr>
                <w:rFonts w:eastAsia="Times New Roman"/>
                <w:color w:val="000000"/>
                <w:sz w:val="20"/>
                <w:szCs w:val="20"/>
                <w:lang w:bidi="ar-SA"/>
              </w:rPr>
              <w:t>896</w:t>
            </w:r>
            <w:r w:rsidRPr="00BD7C5F">
              <w:rPr>
                <w:rFonts w:eastAsia="Times New Roman"/>
                <w:color w:val="000000"/>
                <w:sz w:val="20"/>
                <w:szCs w:val="20"/>
                <w:lang w:bidi="ar-SA"/>
              </w:rPr>
              <w:t>)</w:t>
            </w:r>
          </w:p>
        </w:tc>
        <w:tc>
          <w:tcPr>
            <w:tcW w:w="530" w:type="pct"/>
            <w:noWrap/>
            <w:vAlign w:val="center"/>
            <w:hideMark/>
          </w:tcPr>
          <w:p w14:paraId="2E42A964" w14:textId="0C2BDA67" w:rsidR="006C09B3" w:rsidRDefault="00C117DF"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0.3</w:t>
            </w:r>
            <w:r w:rsidR="006C09B3">
              <w:rPr>
                <w:rFonts w:eastAsia="Times New Roman"/>
                <w:b/>
                <w:bCs/>
                <w:color w:val="000000"/>
                <w:sz w:val="20"/>
                <w:szCs w:val="20"/>
                <w:lang w:bidi="ar-SA"/>
              </w:rPr>
              <w:t>896</w:t>
            </w:r>
          </w:p>
          <w:p w14:paraId="4E691C85"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w:t>
            </w:r>
            <w:r>
              <w:rPr>
                <w:rFonts w:eastAsia="Times New Roman"/>
                <w:color w:val="000000"/>
                <w:sz w:val="20"/>
                <w:szCs w:val="20"/>
                <w:lang w:bidi="ar-SA"/>
              </w:rPr>
              <w:t>694</w:t>
            </w:r>
            <w:r w:rsidRPr="00BD7C5F">
              <w:rPr>
                <w:rFonts w:eastAsia="Times New Roman"/>
                <w:color w:val="000000"/>
                <w:sz w:val="20"/>
                <w:szCs w:val="20"/>
                <w:lang w:bidi="ar-SA"/>
              </w:rPr>
              <w:t>)</w:t>
            </w:r>
          </w:p>
        </w:tc>
        <w:tc>
          <w:tcPr>
            <w:tcW w:w="529" w:type="pct"/>
            <w:noWrap/>
            <w:vAlign w:val="center"/>
            <w:hideMark/>
          </w:tcPr>
          <w:p w14:paraId="31780730" w14:textId="3404DBB0" w:rsidR="006C09B3" w:rsidRDefault="00C117DF"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0.5</w:t>
            </w:r>
            <w:r w:rsidR="006C09B3">
              <w:rPr>
                <w:rFonts w:eastAsia="Times New Roman"/>
                <w:b/>
                <w:bCs/>
                <w:color w:val="000000"/>
                <w:sz w:val="20"/>
                <w:szCs w:val="20"/>
                <w:lang w:bidi="ar-SA"/>
              </w:rPr>
              <w:t>928</w:t>
            </w:r>
          </w:p>
          <w:p w14:paraId="64B8935A"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(0.21</w:t>
            </w:r>
            <w:r>
              <w:rPr>
                <w:rFonts w:eastAsia="Times New Roman"/>
                <w:color w:val="000000"/>
                <w:sz w:val="20"/>
                <w:szCs w:val="20"/>
                <w:lang w:bidi="ar-SA"/>
              </w:rPr>
              <w:t>37</w:t>
            </w:r>
            <w:r w:rsidRPr="00BD7C5F">
              <w:rPr>
                <w:rFonts w:eastAsia="Times New Roman"/>
                <w:color w:val="000000"/>
                <w:sz w:val="20"/>
                <w:szCs w:val="20"/>
                <w:lang w:bidi="ar-SA"/>
              </w:rPr>
              <w:t>)</w:t>
            </w:r>
          </w:p>
        </w:tc>
        <w:tc>
          <w:tcPr>
            <w:tcW w:w="529" w:type="pct"/>
            <w:noWrap/>
            <w:vAlign w:val="center"/>
            <w:hideMark/>
          </w:tcPr>
          <w:p w14:paraId="17F9D883" w14:textId="19405B6E" w:rsidR="006C09B3" w:rsidRDefault="00C117DF"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0.5</w:t>
            </w:r>
            <w:r w:rsidR="006C09B3">
              <w:rPr>
                <w:rFonts w:eastAsia="Times New Roman"/>
                <w:b/>
                <w:bCs/>
                <w:color w:val="000000"/>
                <w:sz w:val="20"/>
                <w:szCs w:val="20"/>
                <w:lang w:bidi="ar-SA"/>
              </w:rPr>
              <w:t>665</w:t>
            </w:r>
          </w:p>
          <w:p w14:paraId="66F3D3E2"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(0.19</w:t>
            </w:r>
            <w:r>
              <w:rPr>
                <w:rFonts w:eastAsia="Times New Roman"/>
                <w:color w:val="000000"/>
                <w:sz w:val="20"/>
                <w:szCs w:val="20"/>
                <w:lang w:bidi="ar-SA"/>
              </w:rPr>
              <w:t>44</w:t>
            </w:r>
            <w:r w:rsidRPr="00BD7C5F">
              <w:rPr>
                <w:rFonts w:eastAsia="Times New Roman"/>
                <w:color w:val="000000"/>
                <w:sz w:val="20"/>
                <w:szCs w:val="20"/>
                <w:lang w:bidi="ar-SA"/>
              </w:rPr>
              <w:t>)</w:t>
            </w:r>
          </w:p>
        </w:tc>
        <w:tc>
          <w:tcPr>
            <w:tcW w:w="529" w:type="pct"/>
            <w:noWrap/>
            <w:vAlign w:val="center"/>
            <w:hideMark/>
          </w:tcPr>
          <w:p w14:paraId="33146B15" w14:textId="07C6A513" w:rsidR="006C09B3" w:rsidRDefault="00C117DF"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0.58</w:t>
            </w:r>
            <w:r w:rsidR="006C09B3">
              <w:rPr>
                <w:rFonts w:eastAsia="Times New Roman"/>
                <w:b/>
                <w:bCs/>
                <w:color w:val="000000"/>
                <w:sz w:val="20"/>
                <w:szCs w:val="20"/>
                <w:lang w:bidi="ar-SA"/>
              </w:rPr>
              <w:t>42</w:t>
            </w:r>
          </w:p>
          <w:p w14:paraId="315CC046"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(0.216</w:t>
            </w:r>
            <w:r>
              <w:rPr>
                <w:rFonts w:eastAsia="Times New Roman"/>
                <w:color w:val="000000"/>
                <w:sz w:val="20"/>
                <w:szCs w:val="20"/>
                <w:lang w:bidi="ar-SA"/>
              </w:rPr>
              <w:t>1</w:t>
            </w:r>
            <w:r w:rsidRPr="00BD7C5F">
              <w:rPr>
                <w:rFonts w:eastAsia="Times New Roman"/>
                <w:color w:val="000000"/>
                <w:sz w:val="20"/>
                <w:szCs w:val="20"/>
                <w:lang w:bidi="ar-SA"/>
              </w:rPr>
              <w:t>)</w:t>
            </w:r>
          </w:p>
        </w:tc>
        <w:tc>
          <w:tcPr>
            <w:tcW w:w="529" w:type="pct"/>
            <w:noWrap/>
            <w:vAlign w:val="center"/>
            <w:hideMark/>
          </w:tcPr>
          <w:p w14:paraId="4E490762" w14:textId="1E2C0E93" w:rsidR="006C09B3" w:rsidRDefault="00C117DF"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0.5</w:t>
            </w:r>
            <w:r w:rsidR="006C09B3">
              <w:rPr>
                <w:rFonts w:eastAsia="Times New Roman"/>
                <w:b/>
                <w:bCs/>
                <w:color w:val="000000"/>
                <w:sz w:val="20"/>
                <w:szCs w:val="20"/>
                <w:lang w:bidi="ar-SA"/>
              </w:rPr>
              <w:t>322</w:t>
            </w:r>
          </w:p>
          <w:p w14:paraId="62AD1F27"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(0.200</w:t>
            </w:r>
            <w:r>
              <w:rPr>
                <w:rFonts w:eastAsia="Times New Roman"/>
                <w:color w:val="000000"/>
                <w:sz w:val="20"/>
                <w:szCs w:val="20"/>
                <w:lang w:bidi="ar-SA"/>
              </w:rPr>
              <w:t>3</w:t>
            </w:r>
            <w:r w:rsidRPr="00BD7C5F">
              <w:rPr>
                <w:rFonts w:eastAsia="Times New Roman"/>
                <w:color w:val="000000"/>
                <w:sz w:val="20"/>
                <w:szCs w:val="20"/>
                <w:lang w:bidi="ar-SA"/>
              </w:rPr>
              <w:t>)</w:t>
            </w:r>
          </w:p>
        </w:tc>
        <w:tc>
          <w:tcPr>
            <w:tcW w:w="529" w:type="pct"/>
            <w:noWrap/>
            <w:vAlign w:val="center"/>
            <w:hideMark/>
          </w:tcPr>
          <w:p w14:paraId="2691123B" w14:textId="48D927F3" w:rsidR="006C09B3" w:rsidRDefault="00C117DF"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0.5</w:t>
            </w:r>
            <w:r w:rsidR="006C09B3">
              <w:rPr>
                <w:rFonts w:eastAsia="Times New Roman"/>
                <w:b/>
                <w:bCs/>
                <w:color w:val="000000"/>
                <w:sz w:val="20"/>
                <w:szCs w:val="20"/>
                <w:lang w:bidi="ar-SA"/>
              </w:rPr>
              <w:t>316</w:t>
            </w:r>
          </w:p>
          <w:p w14:paraId="26752CF7"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(0.2226)</w:t>
            </w:r>
          </w:p>
        </w:tc>
        <w:tc>
          <w:tcPr>
            <w:tcW w:w="527" w:type="pct"/>
            <w:noWrap/>
            <w:vAlign w:val="center"/>
            <w:hideMark/>
          </w:tcPr>
          <w:p w14:paraId="784AB6CD" w14:textId="6C25635E" w:rsidR="006C09B3" w:rsidRDefault="00C117DF"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0.4</w:t>
            </w:r>
            <w:r w:rsidR="006C09B3">
              <w:rPr>
                <w:rFonts w:eastAsia="Times New Roman"/>
                <w:b/>
                <w:bCs/>
                <w:color w:val="000000"/>
                <w:sz w:val="20"/>
                <w:szCs w:val="20"/>
                <w:lang w:bidi="ar-SA"/>
              </w:rPr>
              <w:t>528</w:t>
            </w:r>
          </w:p>
          <w:p w14:paraId="6553C3B7"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(0.20</w:t>
            </w:r>
            <w:r>
              <w:rPr>
                <w:rFonts w:eastAsia="Times New Roman"/>
                <w:color w:val="000000"/>
                <w:sz w:val="20"/>
                <w:szCs w:val="20"/>
                <w:lang w:bidi="ar-SA"/>
              </w:rPr>
              <w:t>37</w:t>
            </w:r>
            <w:r w:rsidRPr="00BD7C5F">
              <w:rPr>
                <w:rFonts w:eastAsia="Times New Roman"/>
                <w:color w:val="000000"/>
                <w:sz w:val="20"/>
                <w:szCs w:val="20"/>
                <w:lang w:bidi="ar-SA"/>
              </w:rPr>
              <w:t>)</w:t>
            </w:r>
          </w:p>
        </w:tc>
      </w:tr>
      <w:tr w:rsidR="006C09B3" w:rsidRPr="00A8676B" w14:paraId="0CB87781"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5AA7ED1C"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IncomePerCap</w:t>
            </w:r>
          </w:p>
        </w:tc>
        <w:tc>
          <w:tcPr>
            <w:tcW w:w="528" w:type="pct"/>
            <w:noWrap/>
            <w:vAlign w:val="center"/>
            <w:hideMark/>
          </w:tcPr>
          <w:p w14:paraId="77402575"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0.2</w:t>
            </w:r>
            <w:r>
              <w:rPr>
                <w:rFonts w:eastAsia="Times New Roman"/>
                <w:b/>
                <w:bCs/>
                <w:color w:val="000000"/>
                <w:sz w:val="20"/>
                <w:szCs w:val="20"/>
                <w:lang w:bidi="ar-SA"/>
              </w:rPr>
              <w:t>963</w:t>
            </w:r>
          </w:p>
          <w:p w14:paraId="72E9F4FC"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(0.15</w:t>
            </w:r>
            <w:r>
              <w:rPr>
                <w:rFonts w:eastAsia="Times New Roman"/>
                <w:color w:val="000000"/>
                <w:sz w:val="20"/>
                <w:szCs w:val="20"/>
                <w:lang w:bidi="ar-SA"/>
              </w:rPr>
              <w:t>56</w:t>
            </w:r>
            <w:r w:rsidRPr="00BD7C5F">
              <w:rPr>
                <w:rFonts w:eastAsia="Times New Roman"/>
                <w:color w:val="000000"/>
                <w:sz w:val="20"/>
                <w:szCs w:val="20"/>
                <w:lang w:bidi="ar-SA"/>
              </w:rPr>
              <w:t>)</w:t>
            </w:r>
          </w:p>
        </w:tc>
        <w:tc>
          <w:tcPr>
            <w:tcW w:w="530" w:type="pct"/>
            <w:noWrap/>
            <w:vAlign w:val="center"/>
            <w:hideMark/>
          </w:tcPr>
          <w:p w14:paraId="14684E94" w14:textId="77777777" w:rsidR="006C09B3"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0.2</w:t>
            </w:r>
            <w:r>
              <w:rPr>
                <w:rFonts w:eastAsia="Times New Roman"/>
                <w:b/>
                <w:bCs/>
                <w:color w:val="000000"/>
                <w:sz w:val="20"/>
                <w:szCs w:val="20"/>
                <w:lang w:bidi="ar-SA"/>
              </w:rPr>
              <w:t>623</w:t>
            </w:r>
          </w:p>
          <w:p w14:paraId="009B2DF4"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(0.13</w:t>
            </w:r>
            <w:r>
              <w:rPr>
                <w:rFonts w:eastAsia="Times New Roman"/>
                <w:color w:val="000000"/>
                <w:sz w:val="20"/>
                <w:szCs w:val="20"/>
                <w:lang w:bidi="ar-SA"/>
              </w:rPr>
              <w:t>8</w:t>
            </w:r>
            <w:r w:rsidRPr="00BD7C5F">
              <w:rPr>
                <w:rFonts w:eastAsia="Times New Roman"/>
                <w:color w:val="000000"/>
                <w:sz w:val="20"/>
                <w:szCs w:val="20"/>
                <w:lang w:bidi="ar-SA"/>
              </w:rPr>
              <w:t>)</w:t>
            </w:r>
          </w:p>
        </w:tc>
        <w:tc>
          <w:tcPr>
            <w:tcW w:w="529" w:type="pct"/>
            <w:noWrap/>
            <w:vAlign w:val="center"/>
            <w:hideMark/>
          </w:tcPr>
          <w:p w14:paraId="5C3EA73B"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w:t>
            </w:r>
            <w:r>
              <w:rPr>
                <w:rFonts w:eastAsia="Times New Roman"/>
                <w:b/>
                <w:bCs/>
                <w:color w:val="000000"/>
                <w:sz w:val="20"/>
                <w:szCs w:val="20"/>
                <w:lang w:bidi="ar-SA"/>
              </w:rPr>
              <w:t>3672</w:t>
            </w:r>
          </w:p>
          <w:p w14:paraId="6AA2681C"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(0.15</w:t>
            </w:r>
            <w:r>
              <w:rPr>
                <w:rFonts w:eastAsia="Times New Roman"/>
                <w:color w:val="000000"/>
                <w:sz w:val="20"/>
                <w:szCs w:val="20"/>
                <w:lang w:bidi="ar-SA"/>
              </w:rPr>
              <w:t>49</w:t>
            </w:r>
            <w:r w:rsidRPr="00BD7C5F">
              <w:rPr>
                <w:rFonts w:eastAsia="Times New Roman"/>
                <w:color w:val="000000"/>
                <w:sz w:val="20"/>
                <w:szCs w:val="20"/>
                <w:lang w:bidi="ar-SA"/>
              </w:rPr>
              <w:t>)</w:t>
            </w:r>
          </w:p>
        </w:tc>
        <w:tc>
          <w:tcPr>
            <w:tcW w:w="529" w:type="pct"/>
            <w:noWrap/>
            <w:vAlign w:val="center"/>
            <w:hideMark/>
          </w:tcPr>
          <w:p w14:paraId="7380F221" w14:textId="77777777" w:rsidR="006C09B3"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0.3</w:t>
            </w:r>
            <w:r>
              <w:rPr>
                <w:rFonts w:eastAsia="Times New Roman"/>
                <w:b/>
                <w:bCs/>
                <w:color w:val="000000"/>
                <w:sz w:val="20"/>
                <w:szCs w:val="20"/>
                <w:lang w:bidi="ar-SA"/>
              </w:rPr>
              <w:t>432</w:t>
            </w:r>
          </w:p>
          <w:p w14:paraId="34D5D4C6"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w:t>
            </w:r>
            <w:r>
              <w:rPr>
                <w:rFonts w:eastAsia="Times New Roman"/>
                <w:color w:val="000000"/>
                <w:sz w:val="20"/>
                <w:szCs w:val="20"/>
                <w:lang w:bidi="ar-SA"/>
              </w:rPr>
              <w:t>396</w:t>
            </w:r>
            <w:r w:rsidRPr="00BD7C5F">
              <w:rPr>
                <w:rFonts w:eastAsia="Times New Roman"/>
                <w:color w:val="000000"/>
                <w:sz w:val="20"/>
                <w:szCs w:val="20"/>
                <w:lang w:bidi="ar-SA"/>
              </w:rPr>
              <w:t>)</w:t>
            </w:r>
          </w:p>
        </w:tc>
        <w:tc>
          <w:tcPr>
            <w:tcW w:w="529" w:type="pct"/>
            <w:noWrap/>
            <w:vAlign w:val="center"/>
            <w:hideMark/>
          </w:tcPr>
          <w:p w14:paraId="0A508248" w14:textId="77777777" w:rsidR="006C09B3"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0.28</w:t>
            </w:r>
            <w:r>
              <w:rPr>
                <w:rFonts w:eastAsia="Times New Roman"/>
                <w:b/>
                <w:bCs/>
                <w:color w:val="000000"/>
                <w:sz w:val="20"/>
                <w:szCs w:val="20"/>
                <w:lang w:bidi="ar-SA"/>
              </w:rPr>
              <w:t>42</w:t>
            </w:r>
          </w:p>
          <w:p w14:paraId="4DA2A92C"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(0.14</w:t>
            </w:r>
            <w:r>
              <w:rPr>
                <w:rFonts w:eastAsia="Times New Roman"/>
                <w:color w:val="000000"/>
                <w:sz w:val="20"/>
                <w:szCs w:val="20"/>
                <w:lang w:bidi="ar-SA"/>
              </w:rPr>
              <w:t>59</w:t>
            </w:r>
            <w:r w:rsidRPr="00BD7C5F">
              <w:rPr>
                <w:rFonts w:eastAsia="Times New Roman"/>
                <w:color w:val="000000"/>
                <w:sz w:val="20"/>
                <w:szCs w:val="20"/>
                <w:lang w:bidi="ar-SA"/>
              </w:rPr>
              <w:t>)</w:t>
            </w:r>
          </w:p>
        </w:tc>
        <w:tc>
          <w:tcPr>
            <w:tcW w:w="529" w:type="pct"/>
            <w:noWrap/>
            <w:vAlign w:val="center"/>
            <w:hideMark/>
          </w:tcPr>
          <w:p w14:paraId="7440CC7B" w14:textId="77777777" w:rsidR="006C09B3"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0.28</w:t>
            </w:r>
            <w:r>
              <w:rPr>
                <w:rFonts w:eastAsia="Times New Roman"/>
                <w:b/>
                <w:bCs/>
                <w:color w:val="000000"/>
                <w:sz w:val="20"/>
                <w:szCs w:val="20"/>
                <w:lang w:bidi="ar-SA"/>
              </w:rPr>
              <w:t>01</w:t>
            </w:r>
          </w:p>
          <w:p w14:paraId="74F1802B"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(0.1331)</w:t>
            </w:r>
          </w:p>
        </w:tc>
        <w:tc>
          <w:tcPr>
            <w:tcW w:w="529" w:type="pct"/>
            <w:noWrap/>
            <w:vAlign w:val="center"/>
            <w:hideMark/>
          </w:tcPr>
          <w:p w14:paraId="6FCEEAA1" w14:textId="77777777" w:rsidR="006C09B3"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0.2</w:t>
            </w:r>
            <w:r>
              <w:rPr>
                <w:rFonts w:eastAsia="Times New Roman"/>
                <w:b/>
                <w:bCs/>
                <w:color w:val="000000"/>
                <w:sz w:val="20"/>
                <w:szCs w:val="20"/>
                <w:lang w:bidi="ar-SA"/>
              </w:rPr>
              <w:t>913</w:t>
            </w:r>
          </w:p>
          <w:p w14:paraId="700C09D0"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(0.166</w:t>
            </w:r>
            <w:r>
              <w:rPr>
                <w:rFonts w:eastAsia="Times New Roman"/>
                <w:color w:val="000000"/>
                <w:sz w:val="20"/>
                <w:szCs w:val="20"/>
                <w:lang w:bidi="ar-SA"/>
              </w:rPr>
              <w:t>8</w:t>
            </w:r>
            <w:r w:rsidRPr="00BD7C5F">
              <w:rPr>
                <w:rFonts w:eastAsia="Times New Roman"/>
                <w:color w:val="000000"/>
                <w:sz w:val="20"/>
                <w:szCs w:val="20"/>
                <w:lang w:bidi="ar-SA"/>
              </w:rPr>
              <w:t>)</w:t>
            </w:r>
          </w:p>
        </w:tc>
        <w:tc>
          <w:tcPr>
            <w:tcW w:w="527" w:type="pct"/>
            <w:noWrap/>
            <w:vAlign w:val="center"/>
            <w:hideMark/>
          </w:tcPr>
          <w:p w14:paraId="18E15CFD" w14:textId="77777777" w:rsidR="006C09B3"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0.212</w:t>
            </w:r>
            <w:r>
              <w:rPr>
                <w:rFonts w:eastAsia="Times New Roman"/>
                <w:color w:val="000000"/>
                <w:sz w:val="20"/>
                <w:szCs w:val="20"/>
                <w:lang w:bidi="ar-SA"/>
              </w:rPr>
              <w:t>4</w:t>
            </w:r>
          </w:p>
          <w:p w14:paraId="18B90318"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(0.1491)</w:t>
            </w:r>
          </w:p>
        </w:tc>
      </w:tr>
      <w:tr w:rsidR="006C09B3" w:rsidRPr="00A8676B" w14:paraId="159EFBD5"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1BCD43CB"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February</w:t>
            </w:r>
          </w:p>
        </w:tc>
        <w:tc>
          <w:tcPr>
            <w:tcW w:w="528" w:type="pct"/>
            <w:noWrap/>
            <w:vAlign w:val="center"/>
            <w:hideMark/>
          </w:tcPr>
          <w:p w14:paraId="2CAE7181" w14:textId="5548D9D3" w:rsidR="006C09B3" w:rsidRDefault="00C117DF"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w:t>
            </w:r>
            <w:r w:rsidR="006C09B3">
              <w:rPr>
                <w:rFonts w:eastAsia="Times New Roman"/>
                <w:b/>
                <w:bCs/>
                <w:color w:val="000000"/>
                <w:sz w:val="20"/>
                <w:szCs w:val="20"/>
                <w:lang w:bidi="ar-SA"/>
              </w:rPr>
              <w:t>773</w:t>
            </w:r>
          </w:p>
          <w:p w14:paraId="3B452287"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w:t>
            </w:r>
            <w:r w:rsidRPr="00A8676B">
              <w:rPr>
                <w:rFonts w:eastAsia="Times New Roman"/>
                <w:color w:val="000000"/>
                <w:sz w:val="20"/>
                <w:szCs w:val="20"/>
                <w:lang w:bidi="ar-SA"/>
              </w:rPr>
              <w:t>0.00</w:t>
            </w:r>
            <w:r>
              <w:rPr>
                <w:rFonts w:eastAsia="Times New Roman"/>
                <w:color w:val="000000"/>
                <w:sz w:val="20"/>
                <w:szCs w:val="20"/>
                <w:lang w:bidi="ar-SA"/>
              </w:rPr>
              <w:t>42</w:t>
            </w:r>
            <w:r w:rsidRPr="00BD7C5F">
              <w:rPr>
                <w:rFonts w:eastAsia="Times New Roman"/>
                <w:color w:val="000000"/>
                <w:sz w:val="20"/>
                <w:szCs w:val="20"/>
                <w:lang w:bidi="ar-SA"/>
              </w:rPr>
              <w:t>)</w:t>
            </w:r>
          </w:p>
        </w:tc>
        <w:tc>
          <w:tcPr>
            <w:tcW w:w="530" w:type="pct"/>
            <w:noWrap/>
            <w:vAlign w:val="center"/>
            <w:hideMark/>
          </w:tcPr>
          <w:p w14:paraId="664A6584" w14:textId="3A4DA322" w:rsidR="006C09B3" w:rsidRDefault="00C117DF"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w:t>
            </w:r>
            <w:r w:rsidR="006C09B3">
              <w:rPr>
                <w:rFonts w:eastAsia="Times New Roman"/>
                <w:b/>
                <w:bCs/>
                <w:color w:val="000000"/>
                <w:sz w:val="20"/>
                <w:szCs w:val="20"/>
                <w:lang w:bidi="ar-SA"/>
              </w:rPr>
              <w:t>771</w:t>
            </w:r>
          </w:p>
          <w:p w14:paraId="4F2555F0"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w:t>
            </w:r>
            <w:r w:rsidRPr="00A8676B">
              <w:rPr>
                <w:rFonts w:eastAsia="Times New Roman"/>
                <w:color w:val="000000"/>
                <w:sz w:val="20"/>
                <w:szCs w:val="20"/>
                <w:lang w:bidi="ar-SA"/>
              </w:rPr>
              <w:t>0.004</w:t>
            </w:r>
            <w:r>
              <w:rPr>
                <w:rFonts w:eastAsia="Times New Roman"/>
                <w:color w:val="000000"/>
                <w:sz w:val="20"/>
                <w:szCs w:val="20"/>
                <w:lang w:bidi="ar-SA"/>
              </w:rPr>
              <w:t>6</w:t>
            </w:r>
            <w:r w:rsidRPr="00BD7C5F">
              <w:rPr>
                <w:rFonts w:eastAsia="Times New Roman"/>
                <w:color w:val="000000"/>
                <w:sz w:val="20"/>
                <w:szCs w:val="20"/>
                <w:lang w:bidi="ar-SA"/>
              </w:rPr>
              <w:t>)</w:t>
            </w:r>
          </w:p>
        </w:tc>
        <w:tc>
          <w:tcPr>
            <w:tcW w:w="529" w:type="pct"/>
            <w:noWrap/>
            <w:vAlign w:val="center"/>
            <w:hideMark/>
          </w:tcPr>
          <w:p w14:paraId="665EC1FC"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C44CCAB"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66C9A15"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1F5FE8EE"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D77A902"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329B948F"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r>
      <w:tr w:rsidR="006C09B3" w:rsidRPr="00A8676B" w14:paraId="5E78E0B6"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0F2FD19B"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January</w:t>
            </w:r>
          </w:p>
        </w:tc>
        <w:tc>
          <w:tcPr>
            <w:tcW w:w="528" w:type="pct"/>
            <w:noWrap/>
            <w:vAlign w:val="center"/>
            <w:hideMark/>
          </w:tcPr>
          <w:p w14:paraId="3888D5C4"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0.00</w:t>
            </w:r>
            <w:r>
              <w:rPr>
                <w:rFonts w:eastAsia="Times New Roman"/>
                <w:b/>
                <w:bCs/>
                <w:color w:val="000000"/>
                <w:sz w:val="20"/>
                <w:szCs w:val="20"/>
                <w:lang w:bidi="ar-SA"/>
              </w:rPr>
              <w:t>52</w:t>
            </w:r>
          </w:p>
          <w:p w14:paraId="747D8B5A"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(0.0027)</w:t>
            </w:r>
          </w:p>
        </w:tc>
        <w:tc>
          <w:tcPr>
            <w:tcW w:w="530" w:type="pct"/>
            <w:noWrap/>
            <w:vAlign w:val="center"/>
            <w:hideMark/>
          </w:tcPr>
          <w:p w14:paraId="0F580305" w14:textId="77777777" w:rsidR="006C09B3"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0.0012</w:t>
            </w:r>
          </w:p>
          <w:p w14:paraId="3E788C17"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(0.0027)</w:t>
            </w:r>
          </w:p>
        </w:tc>
        <w:tc>
          <w:tcPr>
            <w:tcW w:w="529" w:type="pct"/>
            <w:noWrap/>
            <w:vAlign w:val="center"/>
            <w:hideMark/>
          </w:tcPr>
          <w:p w14:paraId="31A32DD1"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C216E23"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098B0BEF"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65593C9"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0C135632"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5CDE7D46"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r>
      <w:tr w:rsidR="006C09B3" w:rsidRPr="00A8676B" w14:paraId="1399EC5E"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5E5190BD"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March</w:t>
            </w:r>
          </w:p>
        </w:tc>
        <w:tc>
          <w:tcPr>
            <w:tcW w:w="528" w:type="pct"/>
            <w:noWrap/>
            <w:vAlign w:val="center"/>
            <w:hideMark/>
          </w:tcPr>
          <w:p w14:paraId="7A2A8EB4"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4DB18CBF"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2F7150E2" w14:textId="77777777" w:rsidR="006C09B3"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w:t>
            </w:r>
            <w:r>
              <w:rPr>
                <w:rFonts w:eastAsia="Times New Roman"/>
                <w:b/>
                <w:bCs/>
                <w:color w:val="000000"/>
                <w:sz w:val="20"/>
                <w:szCs w:val="20"/>
                <w:lang w:bidi="ar-SA"/>
              </w:rPr>
              <w:t>0952</w:t>
            </w:r>
          </w:p>
          <w:p w14:paraId="2938AB3F"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(0.015</w:t>
            </w:r>
            <w:r>
              <w:rPr>
                <w:rFonts w:eastAsia="Times New Roman"/>
                <w:color w:val="000000"/>
                <w:sz w:val="20"/>
                <w:szCs w:val="20"/>
                <w:lang w:bidi="ar-SA"/>
              </w:rPr>
              <w:t>1</w:t>
            </w:r>
            <w:r w:rsidRPr="00BD7C5F">
              <w:rPr>
                <w:rFonts w:eastAsia="Times New Roman"/>
                <w:color w:val="000000"/>
                <w:sz w:val="20"/>
                <w:szCs w:val="20"/>
                <w:lang w:bidi="ar-SA"/>
              </w:rPr>
              <w:t>)</w:t>
            </w:r>
          </w:p>
        </w:tc>
        <w:tc>
          <w:tcPr>
            <w:tcW w:w="529" w:type="pct"/>
            <w:noWrap/>
            <w:vAlign w:val="center"/>
            <w:hideMark/>
          </w:tcPr>
          <w:p w14:paraId="7E0E4BC0" w14:textId="77777777" w:rsidR="006C09B3"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w:t>
            </w:r>
            <w:r>
              <w:rPr>
                <w:rFonts w:eastAsia="Times New Roman"/>
                <w:b/>
                <w:bCs/>
                <w:color w:val="000000"/>
                <w:sz w:val="20"/>
                <w:szCs w:val="20"/>
                <w:lang w:bidi="ar-SA"/>
              </w:rPr>
              <w:t>899</w:t>
            </w:r>
          </w:p>
          <w:p w14:paraId="057D09FA"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(0.01</w:t>
            </w:r>
            <w:r>
              <w:rPr>
                <w:rFonts w:eastAsia="Times New Roman"/>
                <w:color w:val="000000"/>
                <w:sz w:val="20"/>
                <w:szCs w:val="20"/>
                <w:lang w:bidi="ar-SA"/>
              </w:rPr>
              <w:t>54</w:t>
            </w:r>
            <w:r w:rsidRPr="00BD7C5F">
              <w:rPr>
                <w:rFonts w:eastAsia="Times New Roman"/>
                <w:color w:val="000000"/>
                <w:sz w:val="20"/>
                <w:szCs w:val="20"/>
                <w:lang w:bidi="ar-SA"/>
              </w:rPr>
              <w:t>)</w:t>
            </w:r>
          </w:p>
        </w:tc>
        <w:tc>
          <w:tcPr>
            <w:tcW w:w="529" w:type="pct"/>
            <w:noWrap/>
            <w:vAlign w:val="center"/>
            <w:hideMark/>
          </w:tcPr>
          <w:p w14:paraId="28F46DCD"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44250ADE"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C1EC5BB"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23948408"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r>
      <w:tr w:rsidR="006C09B3" w:rsidRPr="00A8676B" w14:paraId="452F34CD"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130D943D"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May</w:t>
            </w:r>
          </w:p>
        </w:tc>
        <w:tc>
          <w:tcPr>
            <w:tcW w:w="528" w:type="pct"/>
            <w:noWrap/>
            <w:vAlign w:val="center"/>
            <w:hideMark/>
          </w:tcPr>
          <w:p w14:paraId="0AFCA395"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191C402E"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6BD6EF43" w14:textId="77777777" w:rsidR="006C09B3"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w:t>
            </w:r>
            <w:r>
              <w:rPr>
                <w:rFonts w:eastAsia="Times New Roman"/>
                <w:color w:val="000000"/>
                <w:sz w:val="20"/>
                <w:szCs w:val="20"/>
                <w:lang w:bidi="ar-SA"/>
              </w:rPr>
              <w:t>171</w:t>
            </w:r>
          </w:p>
          <w:p w14:paraId="2FA5D347"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(0.0276)</w:t>
            </w:r>
          </w:p>
        </w:tc>
        <w:tc>
          <w:tcPr>
            <w:tcW w:w="529" w:type="pct"/>
            <w:noWrap/>
            <w:vAlign w:val="center"/>
            <w:hideMark/>
          </w:tcPr>
          <w:p w14:paraId="07A7210A" w14:textId="77777777" w:rsidR="006C09B3"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0.01</w:t>
            </w:r>
            <w:r>
              <w:rPr>
                <w:rFonts w:eastAsia="Times New Roman"/>
                <w:color w:val="000000"/>
                <w:sz w:val="20"/>
                <w:szCs w:val="20"/>
                <w:lang w:bidi="ar-SA"/>
              </w:rPr>
              <w:t>58</w:t>
            </w:r>
          </w:p>
          <w:p w14:paraId="31AB32BB"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(0.0288)</w:t>
            </w:r>
          </w:p>
        </w:tc>
        <w:tc>
          <w:tcPr>
            <w:tcW w:w="529" w:type="pct"/>
            <w:noWrap/>
            <w:vAlign w:val="center"/>
            <w:hideMark/>
          </w:tcPr>
          <w:p w14:paraId="0FC60F52"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C467908"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769E033E"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26EF4B79"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r>
      <w:tr w:rsidR="006C09B3" w:rsidRPr="00A8676B" w14:paraId="613D3979"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3F098021"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July</w:t>
            </w:r>
          </w:p>
        </w:tc>
        <w:tc>
          <w:tcPr>
            <w:tcW w:w="528" w:type="pct"/>
            <w:noWrap/>
            <w:vAlign w:val="center"/>
            <w:hideMark/>
          </w:tcPr>
          <w:p w14:paraId="6A853BCA"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1453B15E"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69C815B9"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BF64B59"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72B579CF" w14:textId="77777777" w:rsidR="006C09B3"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0.01</w:t>
            </w:r>
            <w:r>
              <w:rPr>
                <w:rFonts w:eastAsia="Times New Roman"/>
                <w:b/>
                <w:bCs/>
                <w:color w:val="000000"/>
                <w:sz w:val="20"/>
                <w:szCs w:val="20"/>
                <w:lang w:bidi="ar-SA"/>
              </w:rPr>
              <w:t>18</w:t>
            </w:r>
          </w:p>
          <w:p w14:paraId="370EEA4B"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(0.006)</w:t>
            </w:r>
          </w:p>
        </w:tc>
        <w:tc>
          <w:tcPr>
            <w:tcW w:w="529" w:type="pct"/>
            <w:noWrap/>
            <w:vAlign w:val="center"/>
            <w:hideMark/>
          </w:tcPr>
          <w:p w14:paraId="523F0EE5" w14:textId="77777777" w:rsidR="006C09B3"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8676B">
              <w:rPr>
                <w:rFonts w:eastAsia="Times New Roman"/>
                <w:b/>
                <w:bCs/>
                <w:color w:val="000000"/>
                <w:sz w:val="20"/>
                <w:szCs w:val="20"/>
                <w:lang w:bidi="ar-SA"/>
              </w:rPr>
              <w:t>0.01</w:t>
            </w:r>
            <w:r>
              <w:rPr>
                <w:rFonts w:eastAsia="Times New Roman"/>
                <w:b/>
                <w:bCs/>
                <w:color w:val="000000"/>
                <w:sz w:val="20"/>
                <w:szCs w:val="20"/>
                <w:lang w:bidi="ar-SA"/>
              </w:rPr>
              <w:t>38</w:t>
            </w:r>
          </w:p>
          <w:p w14:paraId="582B4440"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D7C5F">
              <w:rPr>
                <w:rFonts w:eastAsia="Times New Roman"/>
                <w:color w:val="000000"/>
                <w:sz w:val="20"/>
                <w:szCs w:val="20"/>
                <w:lang w:bidi="ar-SA"/>
              </w:rPr>
              <w:t>(0.00</w:t>
            </w:r>
            <w:r>
              <w:rPr>
                <w:rFonts w:eastAsia="Times New Roman"/>
                <w:color w:val="000000"/>
                <w:sz w:val="20"/>
                <w:szCs w:val="20"/>
                <w:lang w:bidi="ar-SA"/>
              </w:rPr>
              <w:t>59</w:t>
            </w:r>
            <w:r w:rsidRPr="00BD7C5F">
              <w:rPr>
                <w:rFonts w:eastAsia="Times New Roman"/>
                <w:color w:val="000000"/>
                <w:sz w:val="20"/>
                <w:szCs w:val="20"/>
                <w:lang w:bidi="ar-SA"/>
              </w:rPr>
              <w:t>)</w:t>
            </w:r>
          </w:p>
        </w:tc>
        <w:tc>
          <w:tcPr>
            <w:tcW w:w="529" w:type="pct"/>
            <w:noWrap/>
            <w:vAlign w:val="center"/>
            <w:hideMark/>
          </w:tcPr>
          <w:p w14:paraId="0EE63C05"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31994D74"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r>
      <w:tr w:rsidR="006C09B3" w:rsidRPr="00A8676B" w14:paraId="36EF5366"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04D2CB1A"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June</w:t>
            </w:r>
          </w:p>
        </w:tc>
        <w:tc>
          <w:tcPr>
            <w:tcW w:w="528" w:type="pct"/>
            <w:noWrap/>
            <w:vAlign w:val="center"/>
            <w:hideMark/>
          </w:tcPr>
          <w:p w14:paraId="25C64664"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428728AB"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63006C1"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0B8003C4"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491D2E06" w14:textId="5146BDA9" w:rsidR="006C09B3" w:rsidRDefault="00C117DF"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w:t>
            </w:r>
            <w:r w:rsidR="006C09B3">
              <w:rPr>
                <w:rFonts w:eastAsia="Times New Roman"/>
                <w:b/>
                <w:bCs/>
                <w:color w:val="000000"/>
                <w:sz w:val="20"/>
                <w:szCs w:val="20"/>
                <w:lang w:bidi="ar-SA"/>
              </w:rPr>
              <w:t>347</w:t>
            </w:r>
          </w:p>
          <w:p w14:paraId="7F7B8261"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w:t>
            </w:r>
            <w:r>
              <w:rPr>
                <w:rFonts w:eastAsia="Times New Roman"/>
                <w:color w:val="000000"/>
                <w:sz w:val="20"/>
                <w:szCs w:val="20"/>
                <w:lang w:bidi="ar-SA"/>
              </w:rPr>
              <w:t>101</w:t>
            </w:r>
            <w:r w:rsidRPr="00950AD6">
              <w:rPr>
                <w:rFonts w:eastAsia="Times New Roman"/>
                <w:color w:val="000000"/>
                <w:sz w:val="20"/>
                <w:szCs w:val="20"/>
                <w:lang w:bidi="ar-SA"/>
              </w:rPr>
              <w:t>)</w:t>
            </w:r>
          </w:p>
        </w:tc>
        <w:tc>
          <w:tcPr>
            <w:tcW w:w="529" w:type="pct"/>
            <w:noWrap/>
            <w:vAlign w:val="center"/>
            <w:hideMark/>
          </w:tcPr>
          <w:p w14:paraId="4045BA26" w14:textId="2FD80BEB" w:rsidR="006C09B3" w:rsidRDefault="00C117DF"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0.0</w:t>
            </w:r>
            <w:r w:rsidR="006C09B3">
              <w:rPr>
                <w:rFonts w:eastAsia="Times New Roman"/>
                <w:b/>
                <w:bCs/>
                <w:color w:val="000000"/>
                <w:sz w:val="20"/>
                <w:szCs w:val="20"/>
                <w:lang w:bidi="ar-SA"/>
              </w:rPr>
              <w:t>355</w:t>
            </w:r>
          </w:p>
          <w:p w14:paraId="4E0327D5"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(0.007</w:t>
            </w:r>
            <w:r>
              <w:rPr>
                <w:rFonts w:eastAsia="Times New Roman"/>
                <w:color w:val="000000"/>
                <w:sz w:val="20"/>
                <w:szCs w:val="20"/>
                <w:lang w:bidi="ar-SA"/>
              </w:rPr>
              <w:t>7</w:t>
            </w:r>
            <w:r w:rsidRPr="00950AD6">
              <w:rPr>
                <w:rFonts w:eastAsia="Times New Roman"/>
                <w:color w:val="000000"/>
                <w:sz w:val="20"/>
                <w:szCs w:val="20"/>
                <w:lang w:bidi="ar-SA"/>
              </w:rPr>
              <w:t>)</w:t>
            </w:r>
          </w:p>
        </w:tc>
        <w:tc>
          <w:tcPr>
            <w:tcW w:w="529" w:type="pct"/>
            <w:noWrap/>
            <w:vAlign w:val="center"/>
            <w:hideMark/>
          </w:tcPr>
          <w:p w14:paraId="6A1C0306"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7" w:type="pct"/>
            <w:noWrap/>
            <w:vAlign w:val="center"/>
            <w:hideMark/>
          </w:tcPr>
          <w:p w14:paraId="4FACE58E"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r>
      <w:tr w:rsidR="006C09B3" w:rsidRPr="00A8676B" w14:paraId="10C02BEF"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165F4F97"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October</w:t>
            </w:r>
          </w:p>
        </w:tc>
        <w:tc>
          <w:tcPr>
            <w:tcW w:w="528" w:type="pct"/>
            <w:noWrap/>
            <w:vAlign w:val="center"/>
            <w:hideMark/>
          </w:tcPr>
          <w:p w14:paraId="617D1E08"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17F6125E"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62B647B"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9BAB5B3"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6AD966E5"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14D5B59"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7FB63E6B" w14:textId="62160D34" w:rsidR="006C09B3" w:rsidRDefault="00C117DF"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0.1</w:t>
            </w:r>
            <w:r w:rsidR="006C09B3">
              <w:rPr>
                <w:rFonts w:eastAsia="Times New Roman"/>
                <w:b/>
                <w:bCs/>
                <w:color w:val="000000"/>
                <w:sz w:val="20"/>
                <w:szCs w:val="20"/>
                <w:lang w:bidi="ar-SA"/>
              </w:rPr>
              <w:t>148</w:t>
            </w:r>
          </w:p>
          <w:p w14:paraId="0D858DF4"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(0.01</w:t>
            </w:r>
            <w:r>
              <w:rPr>
                <w:rFonts w:eastAsia="Times New Roman"/>
                <w:color w:val="000000"/>
                <w:sz w:val="20"/>
                <w:szCs w:val="20"/>
                <w:lang w:bidi="ar-SA"/>
              </w:rPr>
              <w:t>24</w:t>
            </w:r>
            <w:r w:rsidRPr="00950AD6">
              <w:rPr>
                <w:rFonts w:eastAsia="Times New Roman"/>
                <w:color w:val="000000"/>
                <w:sz w:val="20"/>
                <w:szCs w:val="20"/>
                <w:lang w:bidi="ar-SA"/>
              </w:rPr>
              <w:t>)</w:t>
            </w:r>
          </w:p>
        </w:tc>
        <w:tc>
          <w:tcPr>
            <w:tcW w:w="527" w:type="pct"/>
            <w:noWrap/>
            <w:vAlign w:val="center"/>
            <w:hideMark/>
          </w:tcPr>
          <w:p w14:paraId="57A37F83" w14:textId="02F77D6F" w:rsidR="006C09B3" w:rsidRDefault="00C117DF"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0.1</w:t>
            </w:r>
            <w:r w:rsidR="006C09B3">
              <w:rPr>
                <w:rFonts w:eastAsia="Times New Roman"/>
                <w:b/>
                <w:bCs/>
                <w:color w:val="000000"/>
                <w:sz w:val="20"/>
                <w:szCs w:val="20"/>
                <w:lang w:bidi="ar-SA"/>
              </w:rPr>
              <w:t>104</w:t>
            </w:r>
          </w:p>
          <w:p w14:paraId="365FB56F"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(0.01</w:t>
            </w:r>
            <w:r>
              <w:rPr>
                <w:rFonts w:eastAsia="Times New Roman"/>
                <w:color w:val="000000"/>
                <w:sz w:val="20"/>
                <w:szCs w:val="20"/>
                <w:lang w:bidi="ar-SA"/>
              </w:rPr>
              <w:t>4</w:t>
            </w:r>
            <w:r w:rsidRPr="00950AD6">
              <w:rPr>
                <w:rFonts w:eastAsia="Times New Roman"/>
                <w:color w:val="000000"/>
                <w:sz w:val="20"/>
                <w:szCs w:val="20"/>
                <w:lang w:bidi="ar-SA"/>
              </w:rPr>
              <w:t>)</w:t>
            </w:r>
          </w:p>
        </w:tc>
      </w:tr>
      <w:tr w:rsidR="006C09B3" w:rsidRPr="00A8676B" w14:paraId="343DFB45"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376223AD"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September</w:t>
            </w:r>
          </w:p>
        </w:tc>
        <w:tc>
          <w:tcPr>
            <w:tcW w:w="528" w:type="pct"/>
            <w:noWrap/>
            <w:vAlign w:val="center"/>
            <w:hideMark/>
          </w:tcPr>
          <w:p w14:paraId="4AFF71FF"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30" w:type="pct"/>
            <w:noWrap/>
            <w:vAlign w:val="center"/>
            <w:hideMark/>
          </w:tcPr>
          <w:p w14:paraId="44C52EC9"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5BA0A51E"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3CEB5068"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2A787DD3"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6B7FCB89"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529" w:type="pct"/>
            <w:noWrap/>
            <w:vAlign w:val="center"/>
            <w:hideMark/>
          </w:tcPr>
          <w:p w14:paraId="20B03657" w14:textId="1CB87668" w:rsidR="006C09B3" w:rsidRDefault="00C117DF"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0.1</w:t>
            </w:r>
            <w:r w:rsidR="006C09B3">
              <w:rPr>
                <w:rFonts w:eastAsia="Times New Roman"/>
                <w:b/>
                <w:bCs/>
                <w:color w:val="000000"/>
                <w:sz w:val="20"/>
                <w:szCs w:val="20"/>
                <w:lang w:bidi="ar-SA"/>
              </w:rPr>
              <w:t>703</w:t>
            </w:r>
          </w:p>
          <w:p w14:paraId="23216CEB"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w:t>
            </w:r>
            <w:r>
              <w:rPr>
                <w:rFonts w:eastAsia="Times New Roman"/>
                <w:color w:val="000000"/>
                <w:sz w:val="20"/>
                <w:szCs w:val="20"/>
                <w:lang w:bidi="ar-SA"/>
              </w:rPr>
              <w:t>359</w:t>
            </w:r>
            <w:r w:rsidRPr="00950AD6">
              <w:rPr>
                <w:rFonts w:eastAsia="Times New Roman"/>
                <w:color w:val="000000"/>
                <w:sz w:val="20"/>
                <w:szCs w:val="20"/>
                <w:lang w:bidi="ar-SA"/>
              </w:rPr>
              <w:t>)</w:t>
            </w:r>
          </w:p>
        </w:tc>
        <w:tc>
          <w:tcPr>
            <w:tcW w:w="527" w:type="pct"/>
            <w:noWrap/>
            <w:vAlign w:val="center"/>
            <w:hideMark/>
          </w:tcPr>
          <w:p w14:paraId="545C2785" w14:textId="6E791163" w:rsidR="006C09B3" w:rsidRDefault="00C117DF"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6C09B3" w:rsidRPr="00A8676B">
              <w:rPr>
                <w:rFonts w:eastAsia="Times New Roman"/>
                <w:b/>
                <w:bCs/>
                <w:color w:val="000000"/>
                <w:sz w:val="20"/>
                <w:szCs w:val="20"/>
                <w:lang w:bidi="ar-SA"/>
              </w:rPr>
              <w:t>0.1</w:t>
            </w:r>
            <w:r w:rsidR="006C09B3">
              <w:rPr>
                <w:rFonts w:eastAsia="Times New Roman"/>
                <w:b/>
                <w:bCs/>
                <w:color w:val="000000"/>
                <w:sz w:val="20"/>
                <w:szCs w:val="20"/>
                <w:lang w:bidi="ar-SA"/>
              </w:rPr>
              <w:t>514</w:t>
            </w:r>
          </w:p>
          <w:p w14:paraId="6E650356"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950AD6">
              <w:rPr>
                <w:rFonts w:eastAsia="Times New Roman"/>
                <w:color w:val="000000"/>
                <w:sz w:val="20"/>
                <w:szCs w:val="20"/>
                <w:lang w:bidi="ar-SA"/>
              </w:rPr>
              <w:t>(0.0</w:t>
            </w:r>
            <w:r>
              <w:rPr>
                <w:rFonts w:eastAsia="Times New Roman"/>
                <w:color w:val="000000"/>
                <w:sz w:val="20"/>
                <w:szCs w:val="20"/>
                <w:lang w:bidi="ar-SA"/>
              </w:rPr>
              <w:t>41</w:t>
            </w:r>
            <w:r w:rsidRPr="00950AD6">
              <w:rPr>
                <w:rFonts w:eastAsia="Times New Roman"/>
                <w:color w:val="000000"/>
                <w:sz w:val="20"/>
                <w:szCs w:val="20"/>
                <w:lang w:bidi="ar-SA"/>
              </w:rPr>
              <w:t>)</w:t>
            </w:r>
          </w:p>
        </w:tc>
      </w:tr>
      <w:tr w:rsidR="006C09B3" w:rsidRPr="00A8676B" w14:paraId="427D45A3"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48DD57D0" w14:textId="5EDE884A" w:rsidR="006C09B3" w:rsidRPr="00A17771" w:rsidRDefault="00C117DF"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Estimator</w:t>
            </w:r>
          </w:p>
        </w:tc>
        <w:tc>
          <w:tcPr>
            <w:tcW w:w="528" w:type="pct"/>
            <w:noWrap/>
            <w:vAlign w:val="center"/>
            <w:hideMark/>
          </w:tcPr>
          <w:p w14:paraId="6E7EA6EB" w14:textId="4272C229"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Random</w:t>
            </w:r>
          </w:p>
        </w:tc>
        <w:tc>
          <w:tcPr>
            <w:tcW w:w="530" w:type="pct"/>
            <w:noWrap/>
            <w:vAlign w:val="center"/>
            <w:hideMark/>
          </w:tcPr>
          <w:p w14:paraId="0BD675D8" w14:textId="6500C283"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Random</w:t>
            </w:r>
          </w:p>
        </w:tc>
        <w:tc>
          <w:tcPr>
            <w:tcW w:w="529" w:type="pct"/>
            <w:noWrap/>
            <w:vAlign w:val="center"/>
            <w:hideMark/>
          </w:tcPr>
          <w:p w14:paraId="3D73854F" w14:textId="6557139A"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Random</w:t>
            </w:r>
          </w:p>
        </w:tc>
        <w:tc>
          <w:tcPr>
            <w:tcW w:w="529" w:type="pct"/>
            <w:noWrap/>
            <w:vAlign w:val="center"/>
            <w:hideMark/>
          </w:tcPr>
          <w:p w14:paraId="13CDF720" w14:textId="56E17120"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Random</w:t>
            </w:r>
          </w:p>
        </w:tc>
        <w:tc>
          <w:tcPr>
            <w:tcW w:w="529" w:type="pct"/>
            <w:noWrap/>
            <w:vAlign w:val="center"/>
            <w:hideMark/>
          </w:tcPr>
          <w:p w14:paraId="5F8E4EC8" w14:textId="0806934A"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Within</w:t>
            </w:r>
          </w:p>
        </w:tc>
        <w:tc>
          <w:tcPr>
            <w:tcW w:w="529" w:type="pct"/>
            <w:noWrap/>
            <w:vAlign w:val="center"/>
            <w:hideMark/>
          </w:tcPr>
          <w:p w14:paraId="7171256C" w14:textId="51A76E5B"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Within</w:t>
            </w:r>
          </w:p>
        </w:tc>
        <w:tc>
          <w:tcPr>
            <w:tcW w:w="529" w:type="pct"/>
            <w:noWrap/>
            <w:vAlign w:val="center"/>
            <w:hideMark/>
          </w:tcPr>
          <w:p w14:paraId="1CB5871D" w14:textId="30684A9F"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Random</w:t>
            </w:r>
          </w:p>
        </w:tc>
        <w:tc>
          <w:tcPr>
            <w:tcW w:w="527" w:type="pct"/>
            <w:noWrap/>
            <w:vAlign w:val="center"/>
            <w:hideMark/>
          </w:tcPr>
          <w:p w14:paraId="7B0D2625" w14:textId="1B6489C3" w:rsidR="006C09B3" w:rsidRPr="00A8676B" w:rsidRDefault="00C117DF" w:rsidP="00C065C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Random</w:t>
            </w:r>
          </w:p>
        </w:tc>
      </w:tr>
      <w:tr w:rsidR="006C09B3" w:rsidRPr="00A8676B" w14:paraId="6F32911C"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noWrap/>
            <w:vAlign w:val="center"/>
            <w:hideMark/>
          </w:tcPr>
          <w:p w14:paraId="5AE56324"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adj.r.squared</w:t>
            </w:r>
          </w:p>
        </w:tc>
        <w:tc>
          <w:tcPr>
            <w:tcW w:w="528" w:type="pct"/>
            <w:noWrap/>
            <w:vAlign w:val="center"/>
            <w:hideMark/>
          </w:tcPr>
          <w:p w14:paraId="2D194F9E"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0.4</w:t>
            </w:r>
            <w:r>
              <w:rPr>
                <w:rFonts w:eastAsia="Times New Roman"/>
                <w:color w:val="000000"/>
                <w:sz w:val="20"/>
                <w:szCs w:val="20"/>
                <w:lang w:bidi="ar-SA"/>
              </w:rPr>
              <w:t>849</w:t>
            </w:r>
          </w:p>
        </w:tc>
        <w:tc>
          <w:tcPr>
            <w:tcW w:w="530" w:type="pct"/>
            <w:noWrap/>
            <w:vAlign w:val="center"/>
            <w:hideMark/>
          </w:tcPr>
          <w:p w14:paraId="3F103DAF" w14:textId="77777777" w:rsidR="006C09B3" w:rsidRPr="00A8676B" w:rsidRDefault="006C09B3" w:rsidP="00C117DF">
            <w:pPr>
              <w:tabs>
                <w:tab w:val="decimal" w:pos="27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0.5</w:t>
            </w:r>
            <w:r>
              <w:rPr>
                <w:rFonts w:eastAsia="Times New Roman"/>
                <w:color w:val="000000"/>
                <w:sz w:val="20"/>
                <w:szCs w:val="20"/>
                <w:lang w:bidi="ar-SA"/>
              </w:rPr>
              <w:t>14</w:t>
            </w:r>
            <w:r w:rsidRPr="00A8676B">
              <w:rPr>
                <w:rFonts w:eastAsia="Times New Roman"/>
                <w:color w:val="000000"/>
                <w:sz w:val="20"/>
                <w:szCs w:val="20"/>
                <w:lang w:bidi="ar-SA"/>
              </w:rPr>
              <w:t>8</w:t>
            </w:r>
          </w:p>
        </w:tc>
        <w:tc>
          <w:tcPr>
            <w:tcW w:w="529" w:type="pct"/>
            <w:noWrap/>
            <w:vAlign w:val="center"/>
            <w:hideMark/>
          </w:tcPr>
          <w:p w14:paraId="6D1B41E1" w14:textId="77777777" w:rsidR="006C09B3" w:rsidRPr="00A8676B" w:rsidRDefault="006C09B3" w:rsidP="00C117DF">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0.33</w:t>
            </w:r>
          </w:p>
        </w:tc>
        <w:tc>
          <w:tcPr>
            <w:tcW w:w="529" w:type="pct"/>
            <w:noWrap/>
            <w:vAlign w:val="center"/>
            <w:hideMark/>
          </w:tcPr>
          <w:p w14:paraId="49BB56BD" w14:textId="77777777" w:rsidR="006C09B3" w:rsidRPr="00A8676B" w:rsidRDefault="006C09B3" w:rsidP="00C065C7">
            <w:pPr>
              <w:tabs>
                <w:tab w:val="decimal" w:pos="31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0.29</w:t>
            </w:r>
            <w:r>
              <w:rPr>
                <w:rFonts w:eastAsia="Times New Roman"/>
                <w:color w:val="000000"/>
                <w:sz w:val="20"/>
                <w:szCs w:val="20"/>
                <w:lang w:bidi="ar-SA"/>
              </w:rPr>
              <w:t>33</w:t>
            </w:r>
          </w:p>
        </w:tc>
        <w:tc>
          <w:tcPr>
            <w:tcW w:w="529" w:type="pct"/>
            <w:noWrap/>
            <w:vAlign w:val="center"/>
            <w:hideMark/>
          </w:tcPr>
          <w:p w14:paraId="32FB7032" w14:textId="77777777" w:rsidR="006C09B3" w:rsidRPr="00A8676B" w:rsidRDefault="006C09B3" w:rsidP="00C065C7">
            <w:pPr>
              <w:tabs>
                <w:tab w:val="decimal" w:pos="21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0.28</w:t>
            </w:r>
            <w:r>
              <w:rPr>
                <w:rFonts w:eastAsia="Times New Roman"/>
                <w:color w:val="000000"/>
                <w:sz w:val="20"/>
                <w:szCs w:val="20"/>
                <w:lang w:bidi="ar-SA"/>
              </w:rPr>
              <w:t>8</w:t>
            </w:r>
            <w:r w:rsidRPr="00A8676B">
              <w:rPr>
                <w:rFonts w:eastAsia="Times New Roman"/>
                <w:color w:val="000000"/>
                <w:sz w:val="20"/>
                <w:szCs w:val="20"/>
                <w:lang w:bidi="ar-SA"/>
              </w:rPr>
              <w:t>8</w:t>
            </w:r>
          </w:p>
        </w:tc>
        <w:tc>
          <w:tcPr>
            <w:tcW w:w="529" w:type="pct"/>
            <w:noWrap/>
            <w:vAlign w:val="center"/>
            <w:hideMark/>
          </w:tcPr>
          <w:p w14:paraId="730BF857"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0.28</w:t>
            </w:r>
            <w:r>
              <w:rPr>
                <w:rFonts w:eastAsia="Times New Roman"/>
                <w:color w:val="000000"/>
                <w:sz w:val="20"/>
                <w:szCs w:val="20"/>
                <w:lang w:bidi="ar-SA"/>
              </w:rPr>
              <w:t>3</w:t>
            </w:r>
          </w:p>
        </w:tc>
        <w:tc>
          <w:tcPr>
            <w:tcW w:w="529" w:type="pct"/>
            <w:noWrap/>
            <w:vAlign w:val="center"/>
            <w:hideMark/>
          </w:tcPr>
          <w:p w14:paraId="2D431B11" w14:textId="77777777" w:rsidR="006C09B3" w:rsidRPr="00A8676B" w:rsidRDefault="006C09B3" w:rsidP="00C065C7">
            <w:pPr>
              <w:tabs>
                <w:tab w:val="decimal" w:pos="28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w:t>
            </w:r>
            <w:r>
              <w:rPr>
                <w:rFonts w:eastAsia="Times New Roman"/>
                <w:color w:val="000000"/>
                <w:sz w:val="20"/>
                <w:szCs w:val="20"/>
                <w:lang w:bidi="ar-SA"/>
              </w:rPr>
              <w:t>3921</w:t>
            </w:r>
          </w:p>
        </w:tc>
        <w:tc>
          <w:tcPr>
            <w:tcW w:w="527" w:type="pct"/>
            <w:noWrap/>
            <w:vAlign w:val="center"/>
            <w:hideMark/>
          </w:tcPr>
          <w:p w14:paraId="02721F97" w14:textId="77777777" w:rsidR="006C09B3" w:rsidRPr="00A8676B" w:rsidRDefault="006C09B3" w:rsidP="00C065C7">
            <w:pPr>
              <w:tabs>
                <w:tab w:val="decimal" w:pos="30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0.3</w:t>
            </w:r>
            <w:r>
              <w:rPr>
                <w:rFonts w:eastAsia="Times New Roman"/>
                <w:color w:val="000000"/>
                <w:sz w:val="20"/>
                <w:szCs w:val="20"/>
                <w:lang w:bidi="ar-SA"/>
              </w:rPr>
              <w:t>772</w:t>
            </w:r>
          </w:p>
        </w:tc>
      </w:tr>
      <w:tr w:rsidR="006C09B3" w:rsidRPr="00A8676B" w14:paraId="3725338B" w14:textId="77777777" w:rsidTr="00DB5955">
        <w:trPr>
          <w:trHeight w:val="300"/>
        </w:trPr>
        <w:tc>
          <w:tcPr>
            <w:cnfStyle w:val="001000000000" w:firstRow="0" w:lastRow="0" w:firstColumn="1" w:lastColumn="0" w:oddVBand="0" w:evenVBand="0" w:oddHBand="0" w:evenHBand="0" w:firstRowFirstColumn="0" w:firstRowLastColumn="0" w:lastRowFirstColumn="0" w:lastRowLastColumn="0"/>
            <w:tcW w:w="770" w:type="pct"/>
            <w:tcBorders>
              <w:bottom w:val="single" w:sz="4" w:space="0" w:color="7F7F7F" w:themeColor="text1" w:themeTint="80"/>
            </w:tcBorders>
            <w:noWrap/>
            <w:vAlign w:val="center"/>
          </w:tcPr>
          <w:p w14:paraId="01F5D44B" w14:textId="77777777" w:rsidR="006C09B3" w:rsidRPr="00A17771" w:rsidRDefault="006C09B3"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NRMSE</w:t>
            </w:r>
          </w:p>
        </w:tc>
        <w:tc>
          <w:tcPr>
            <w:tcW w:w="528" w:type="pct"/>
            <w:tcBorders>
              <w:bottom w:val="single" w:sz="4" w:space="0" w:color="7F7F7F" w:themeColor="text1" w:themeTint="80"/>
            </w:tcBorders>
            <w:noWrap/>
            <w:vAlign w:val="center"/>
          </w:tcPr>
          <w:p w14:paraId="4EDDE1B1"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0.1078</w:t>
            </w:r>
          </w:p>
        </w:tc>
        <w:tc>
          <w:tcPr>
            <w:tcW w:w="530" w:type="pct"/>
            <w:tcBorders>
              <w:bottom w:val="single" w:sz="4" w:space="0" w:color="7F7F7F" w:themeColor="text1" w:themeTint="80"/>
            </w:tcBorders>
            <w:noWrap/>
            <w:vAlign w:val="center"/>
          </w:tcPr>
          <w:p w14:paraId="31280FBB" w14:textId="77777777" w:rsidR="006C09B3" w:rsidRPr="00A8676B" w:rsidRDefault="006C09B3" w:rsidP="00C117DF">
            <w:pPr>
              <w:tabs>
                <w:tab w:val="decimal" w:pos="27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0.1031</w:t>
            </w:r>
          </w:p>
        </w:tc>
        <w:tc>
          <w:tcPr>
            <w:tcW w:w="529" w:type="pct"/>
            <w:tcBorders>
              <w:bottom w:val="single" w:sz="4" w:space="0" w:color="7F7F7F" w:themeColor="text1" w:themeTint="80"/>
            </w:tcBorders>
            <w:noWrap/>
            <w:vAlign w:val="center"/>
          </w:tcPr>
          <w:p w14:paraId="68F04DE6" w14:textId="77777777" w:rsidR="006C09B3" w:rsidRPr="00A8676B" w:rsidRDefault="006C09B3" w:rsidP="00C117DF">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0.2119</w:t>
            </w:r>
          </w:p>
        </w:tc>
        <w:tc>
          <w:tcPr>
            <w:tcW w:w="529" w:type="pct"/>
            <w:tcBorders>
              <w:bottom w:val="single" w:sz="4" w:space="0" w:color="7F7F7F" w:themeColor="text1" w:themeTint="80"/>
            </w:tcBorders>
            <w:noWrap/>
            <w:vAlign w:val="center"/>
          </w:tcPr>
          <w:p w14:paraId="65E97001" w14:textId="77777777" w:rsidR="006C09B3" w:rsidRPr="00A8676B" w:rsidRDefault="006C09B3" w:rsidP="00C065C7">
            <w:pPr>
              <w:tabs>
                <w:tab w:val="decimal" w:pos="31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0.2121</w:t>
            </w:r>
          </w:p>
        </w:tc>
        <w:tc>
          <w:tcPr>
            <w:tcW w:w="529" w:type="pct"/>
            <w:tcBorders>
              <w:bottom w:val="single" w:sz="4" w:space="0" w:color="7F7F7F" w:themeColor="text1" w:themeTint="80"/>
            </w:tcBorders>
            <w:noWrap/>
            <w:vAlign w:val="center"/>
          </w:tcPr>
          <w:p w14:paraId="477AD571" w14:textId="77777777" w:rsidR="006C09B3" w:rsidRPr="00A8676B" w:rsidRDefault="006C09B3" w:rsidP="00C065C7">
            <w:pPr>
              <w:tabs>
                <w:tab w:val="decimal" w:pos="21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0.1390</w:t>
            </w:r>
          </w:p>
        </w:tc>
        <w:tc>
          <w:tcPr>
            <w:tcW w:w="529" w:type="pct"/>
            <w:tcBorders>
              <w:bottom w:val="single" w:sz="4" w:space="0" w:color="7F7F7F" w:themeColor="text1" w:themeTint="80"/>
            </w:tcBorders>
            <w:noWrap/>
            <w:vAlign w:val="center"/>
          </w:tcPr>
          <w:p w14:paraId="4E5B2C49"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0.1337</w:t>
            </w:r>
          </w:p>
        </w:tc>
        <w:tc>
          <w:tcPr>
            <w:tcW w:w="529" w:type="pct"/>
            <w:tcBorders>
              <w:bottom w:val="single" w:sz="4" w:space="0" w:color="7F7F7F" w:themeColor="text1" w:themeTint="80"/>
            </w:tcBorders>
            <w:noWrap/>
            <w:vAlign w:val="center"/>
          </w:tcPr>
          <w:p w14:paraId="1ABEDD5D" w14:textId="77777777" w:rsidR="006C09B3" w:rsidRPr="00A8676B" w:rsidRDefault="006C09B3" w:rsidP="00C065C7">
            <w:pPr>
              <w:tabs>
                <w:tab w:val="decimal" w:pos="28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0.2048</w:t>
            </w:r>
          </w:p>
        </w:tc>
        <w:tc>
          <w:tcPr>
            <w:tcW w:w="527" w:type="pct"/>
            <w:tcBorders>
              <w:bottom w:val="single" w:sz="4" w:space="0" w:color="7F7F7F" w:themeColor="text1" w:themeTint="80"/>
            </w:tcBorders>
            <w:noWrap/>
            <w:vAlign w:val="center"/>
          </w:tcPr>
          <w:p w14:paraId="273F0164" w14:textId="77777777" w:rsidR="006C09B3" w:rsidRPr="00A8676B" w:rsidRDefault="006C09B3" w:rsidP="00C065C7">
            <w:pPr>
              <w:tabs>
                <w:tab w:val="decimal" w:pos="30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0.2040</w:t>
            </w:r>
          </w:p>
        </w:tc>
      </w:tr>
      <w:tr w:rsidR="006C09B3" w:rsidRPr="00A8676B" w14:paraId="2CFFD595" w14:textId="77777777" w:rsidTr="00DB59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70" w:type="pct"/>
            <w:tcBorders>
              <w:bottom w:val="single" w:sz="12" w:space="0" w:color="000000" w:themeColor="text1"/>
            </w:tcBorders>
            <w:noWrap/>
            <w:vAlign w:val="center"/>
            <w:hideMark/>
          </w:tcPr>
          <w:p w14:paraId="293729A6" w14:textId="381AC163" w:rsidR="006C09B3" w:rsidRPr="00A17771" w:rsidRDefault="00C065C7" w:rsidP="00DB5955">
            <w:pPr>
              <w:spacing w:before="0" w:after="0" w:line="240" w:lineRule="auto"/>
              <w:ind w:firstLine="0"/>
              <w:rPr>
                <w:rFonts w:eastAsia="Times New Roman"/>
                <w:b w:val="0"/>
                <w:bCs w:val="0"/>
                <w:color w:val="000000"/>
                <w:sz w:val="20"/>
                <w:szCs w:val="20"/>
                <w:lang w:bidi="ar-SA"/>
              </w:rPr>
            </w:pPr>
            <w:r w:rsidRPr="00A17771">
              <w:rPr>
                <w:rFonts w:eastAsia="Times New Roman"/>
                <w:b w:val="0"/>
                <w:bCs w:val="0"/>
                <w:color w:val="000000"/>
                <w:sz w:val="20"/>
                <w:szCs w:val="20"/>
                <w:lang w:bidi="ar-SA"/>
              </w:rPr>
              <w:t>Nobs</w:t>
            </w:r>
          </w:p>
        </w:tc>
        <w:tc>
          <w:tcPr>
            <w:tcW w:w="528" w:type="pct"/>
            <w:tcBorders>
              <w:bottom w:val="single" w:sz="12" w:space="0" w:color="000000" w:themeColor="text1"/>
            </w:tcBorders>
            <w:noWrap/>
            <w:vAlign w:val="center"/>
            <w:hideMark/>
          </w:tcPr>
          <w:p w14:paraId="44458A17" w14:textId="7579C48F" w:rsidR="006C09B3" w:rsidRPr="00A8676B" w:rsidRDefault="006C09B3" w:rsidP="00C065C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799</w:t>
            </w:r>
          </w:p>
        </w:tc>
        <w:tc>
          <w:tcPr>
            <w:tcW w:w="530" w:type="pct"/>
            <w:tcBorders>
              <w:bottom w:val="single" w:sz="12" w:space="0" w:color="000000" w:themeColor="text1"/>
            </w:tcBorders>
            <w:noWrap/>
            <w:vAlign w:val="center"/>
            <w:hideMark/>
          </w:tcPr>
          <w:p w14:paraId="3ACF6474" w14:textId="5B769ABB" w:rsidR="006C09B3" w:rsidRPr="00A8676B" w:rsidRDefault="006C09B3" w:rsidP="00C065C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526</w:t>
            </w:r>
          </w:p>
        </w:tc>
        <w:tc>
          <w:tcPr>
            <w:tcW w:w="529" w:type="pct"/>
            <w:tcBorders>
              <w:bottom w:val="single" w:sz="12" w:space="0" w:color="000000" w:themeColor="text1"/>
            </w:tcBorders>
            <w:noWrap/>
            <w:vAlign w:val="center"/>
            <w:hideMark/>
          </w:tcPr>
          <w:p w14:paraId="414D96A6" w14:textId="701AF0A4" w:rsidR="006C09B3" w:rsidRPr="00A8676B" w:rsidRDefault="006C09B3" w:rsidP="00C065C7">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800</w:t>
            </w:r>
          </w:p>
        </w:tc>
        <w:tc>
          <w:tcPr>
            <w:tcW w:w="529" w:type="pct"/>
            <w:tcBorders>
              <w:bottom w:val="single" w:sz="12" w:space="0" w:color="000000" w:themeColor="text1"/>
            </w:tcBorders>
            <w:noWrap/>
            <w:vAlign w:val="center"/>
            <w:hideMark/>
          </w:tcPr>
          <w:p w14:paraId="58993658" w14:textId="548EB551" w:rsidR="006C09B3" w:rsidRPr="00A8676B" w:rsidRDefault="006C09B3"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527</w:t>
            </w:r>
          </w:p>
        </w:tc>
        <w:tc>
          <w:tcPr>
            <w:tcW w:w="529" w:type="pct"/>
            <w:tcBorders>
              <w:bottom w:val="single" w:sz="12" w:space="0" w:color="000000" w:themeColor="text1"/>
            </w:tcBorders>
            <w:noWrap/>
            <w:vAlign w:val="center"/>
            <w:hideMark/>
          </w:tcPr>
          <w:p w14:paraId="08C6B839" w14:textId="01CEDA71" w:rsidR="006C09B3" w:rsidRPr="00A8676B" w:rsidRDefault="006C09B3"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801</w:t>
            </w:r>
          </w:p>
        </w:tc>
        <w:tc>
          <w:tcPr>
            <w:tcW w:w="529" w:type="pct"/>
            <w:tcBorders>
              <w:bottom w:val="single" w:sz="12" w:space="0" w:color="000000" w:themeColor="text1"/>
            </w:tcBorders>
            <w:noWrap/>
            <w:vAlign w:val="center"/>
            <w:hideMark/>
          </w:tcPr>
          <w:p w14:paraId="4A96058C" w14:textId="779ED7BF" w:rsidR="006C09B3" w:rsidRPr="00A8676B" w:rsidRDefault="006C09B3"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528</w:t>
            </w:r>
          </w:p>
        </w:tc>
        <w:tc>
          <w:tcPr>
            <w:tcW w:w="529" w:type="pct"/>
            <w:tcBorders>
              <w:bottom w:val="single" w:sz="12" w:space="0" w:color="000000" w:themeColor="text1"/>
            </w:tcBorders>
            <w:noWrap/>
            <w:vAlign w:val="center"/>
            <w:hideMark/>
          </w:tcPr>
          <w:p w14:paraId="785FB774" w14:textId="23C7AB28" w:rsidR="006C09B3" w:rsidRPr="00A8676B" w:rsidRDefault="006C09B3"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801</w:t>
            </w:r>
          </w:p>
        </w:tc>
        <w:tc>
          <w:tcPr>
            <w:tcW w:w="527" w:type="pct"/>
            <w:tcBorders>
              <w:bottom w:val="single" w:sz="12" w:space="0" w:color="000000" w:themeColor="text1"/>
            </w:tcBorders>
            <w:noWrap/>
            <w:vAlign w:val="center"/>
            <w:hideMark/>
          </w:tcPr>
          <w:p w14:paraId="0B0DD70D" w14:textId="3DFDF62C" w:rsidR="006C09B3" w:rsidRPr="00A8676B" w:rsidRDefault="006C09B3"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8676B">
              <w:rPr>
                <w:rFonts w:eastAsia="Times New Roman"/>
                <w:color w:val="000000"/>
                <w:sz w:val="20"/>
                <w:szCs w:val="20"/>
                <w:lang w:bidi="ar-SA"/>
              </w:rPr>
              <w:t>3</w:t>
            </w:r>
            <w:r w:rsidR="00C065C7">
              <w:rPr>
                <w:rFonts w:eastAsia="Times New Roman"/>
                <w:color w:val="000000"/>
                <w:sz w:val="20"/>
                <w:szCs w:val="20"/>
                <w:lang w:bidi="ar-SA"/>
              </w:rPr>
              <w:t>,</w:t>
            </w:r>
            <w:r w:rsidRPr="00A8676B">
              <w:rPr>
                <w:rFonts w:eastAsia="Times New Roman"/>
                <w:color w:val="000000"/>
                <w:sz w:val="20"/>
                <w:szCs w:val="20"/>
                <w:lang w:bidi="ar-SA"/>
              </w:rPr>
              <w:t>528</w:t>
            </w:r>
          </w:p>
        </w:tc>
      </w:tr>
    </w:tbl>
    <w:p w14:paraId="6DB17005" w14:textId="77777777" w:rsidR="006C09B3" w:rsidRPr="00A17771" w:rsidRDefault="006C09B3" w:rsidP="00336BCB">
      <w:pPr>
        <w:pStyle w:val="BodyText"/>
        <w:spacing w:before="120"/>
        <w:rPr>
          <w:rFonts w:eastAsiaTheme="minorEastAsia"/>
          <w:sz w:val="18"/>
          <w:szCs w:val="18"/>
          <w:lang w:eastAsia="zh-TW"/>
        </w:rPr>
      </w:pPr>
      <w:r w:rsidRPr="00A17771">
        <w:rPr>
          <w:sz w:val="18"/>
          <w:szCs w:val="18"/>
        </w:rPr>
        <w:t>Notes: Bolded values indicate that the estimated elasticity is statistically significant at the 10% level. Values in parenthesis are standard errors.</w:t>
      </w:r>
    </w:p>
    <w:p w14:paraId="4B23672D" w14:textId="77777777" w:rsidR="006C09B3" w:rsidRDefault="006C09B3" w:rsidP="00336BCB">
      <w:pPr>
        <w:pStyle w:val="FIGUREposition"/>
        <w:rPr>
          <w:noProof/>
        </w:rPr>
      </w:pPr>
      <w:r w:rsidRPr="00336BCB">
        <w:rPr>
          <w:noProof/>
        </w:rPr>
        <w:lastRenderedPageBreak/>
        <w:drawing>
          <wp:inline distT="0" distB="0" distL="0" distR="0" wp14:anchorId="3C13521F" wp14:editId="4C42310C">
            <wp:extent cx="5943600" cy="2971800"/>
            <wp:effectExtent l="0" t="0" r="0" b="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283A10D3" w14:textId="576D753C" w:rsidR="006C09B3" w:rsidRPr="006869CA" w:rsidRDefault="00336BCB" w:rsidP="00336BCB">
      <w:pPr>
        <w:pStyle w:val="AppendixFigureCaption"/>
      </w:pPr>
      <w:bookmarkStart w:id="632" w:name="_Ref81738608"/>
      <w:r>
        <w:t xml:space="preserve">Figure </w:t>
      </w:r>
      <w:fldSimple w:instr=" STYLEREF 9 \s ">
        <w:r w:rsidR="00EE0BF5">
          <w:rPr>
            <w:noProof/>
          </w:rPr>
          <w:t>H</w:t>
        </w:r>
      </w:fldSimple>
      <w:r>
        <w:t>.</w:t>
      </w:r>
      <w:fldSimple w:instr=" SEQ Figure_Apx \* ARABIC \s 9 ">
        <w:r w:rsidR="00EE0BF5">
          <w:rPr>
            <w:noProof/>
          </w:rPr>
          <w:t>1</w:t>
        </w:r>
      </w:fldSimple>
      <w:bookmarkEnd w:id="632"/>
      <w:r w:rsidR="006C09B3" w:rsidRPr="006869CA">
        <w:rPr>
          <w:lang w:eastAsia="zh-TW"/>
        </w:rPr>
        <w:t xml:space="preserve">. </w:t>
      </w:r>
      <w:r w:rsidR="006C09B3" w:rsidRPr="00A130D6">
        <w:rPr>
          <w:lang w:eastAsia="zh-TW"/>
        </w:rPr>
        <w:t>Relationship between CDDs and probability of AC ownership implied by the estimated probit model</w:t>
      </w:r>
      <w:r w:rsidR="006C09B3" w:rsidRPr="00706985">
        <w:rPr>
          <w:lang w:eastAsia="zh-TW"/>
        </w:rPr>
        <w:t>.</w:t>
      </w:r>
    </w:p>
    <w:p w14:paraId="2A9DD071" w14:textId="07567156" w:rsidR="006C09B3" w:rsidRPr="005E415F" w:rsidRDefault="00336BCB" w:rsidP="00336BCB">
      <w:pPr>
        <w:pStyle w:val="AppendixTableCaption"/>
        <w:rPr>
          <w:rFonts w:eastAsiaTheme="minorEastAsia"/>
          <w:lang w:eastAsia="zh-TW"/>
        </w:rPr>
      </w:pPr>
      <w:r>
        <w:t xml:space="preserve">Table </w:t>
      </w:r>
      <w:fldSimple w:instr=" STYLEREF 9 \s ">
        <w:r w:rsidR="00EE0BF5">
          <w:rPr>
            <w:noProof/>
          </w:rPr>
          <w:t>H</w:t>
        </w:r>
      </w:fldSimple>
      <w:r>
        <w:t>.</w:t>
      </w:r>
      <w:fldSimple w:instr=" SEQ Table_Apx \* ARABIC \s 9 ">
        <w:r w:rsidR="00EE0BF5">
          <w:rPr>
            <w:noProof/>
          </w:rPr>
          <w:t>4</w:t>
        </w:r>
      </w:fldSimple>
      <w:r w:rsidRPr="00485D84">
        <w:rPr>
          <w:rFonts w:eastAsia="PMingLiU"/>
          <w:lang w:bidi="en-US"/>
        </w:rPr>
        <w:t xml:space="preserve">. </w:t>
      </w:r>
      <w:r w:rsidR="006C09B3" w:rsidRPr="00A17771">
        <w:rPr>
          <w:rFonts w:eastAsiaTheme="minorEastAsia"/>
        </w:rPr>
        <w:t>WAPA-UGP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220E3C" w:rsidRPr="00125107" w14:paraId="396BE7BF" w14:textId="77777777" w:rsidTr="00220E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03525632" w14:textId="77777777" w:rsidR="00220E3C" w:rsidRPr="00125107" w:rsidRDefault="00220E3C"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0151C7D5" w14:textId="77777777" w:rsidR="00220E3C" w:rsidRPr="00125107" w:rsidRDefault="00220E3C"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220E3C" w:rsidRPr="00125107" w14:paraId="0CBF54F2" w14:textId="77777777" w:rsidTr="00220E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7BA66FDE"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78DAA49D" w14:textId="77777777" w:rsidR="00220E3C" w:rsidRPr="00125107" w:rsidRDefault="00220E3C"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76EA11F1" w14:textId="77777777" w:rsidR="00220E3C" w:rsidRPr="00125107" w:rsidRDefault="00220E3C"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220E3C" w:rsidRPr="00125107" w14:paraId="0261DCCB" w14:textId="77777777" w:rsidTr="00220E3C">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232A8E46"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24EF7D02" w14:textId="77777777" w:rsidR="00220E3C"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125107">
              <w:rPr>
                <w:rFonts w:eastAsia="Times New Roman"/>
                <w:b/>
                <w:bCs/>
                <w:color w:val="000000"/>
                <w:sz w:val="20"/>
                <w:szCs w:val="20"/>
                <w:lang w:bidi="ar-SA"/>
              </w:rPr>
              <w:t>0.1154</w:t>
            </w:r>
          </w:p>
          <w:p w14:paraId="129B7C16" w14:textId="77777777" w:rsidR="00220E3C" w:rsidRPr="00125107"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0.01</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71F420F8" w14:textId="77777777" w:rsidR="00220E3C"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125107">
              <w:rPr>
                <w:rFonts w:eastAsia="Times New Roman"/>
                <w:b/>
                <w:bCs/>
                <w:color w:val="000000"/>
                <w:sz w:val="20"/>
                <w:szCs w:val="20"/>
                <w:lang w:bidi="ar-SA"/>
              </w:rPr>
              <w:t>0.1315</w:t>
            </w:r>
          </w:p>
          <w:p w14:paraId="3DA1C726" w14:textId="77777777" w:rsidR="00220E3C" w:rsidRPr="00125107"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0.018</w:t>
            </w:r>
            <w:r>
              <w:rPr>
                <w:rFonts w:eastAsia="Times New Roman"/>
                <w:color w:val="000000"/>
                <w:sz w:val="20"/>
                <w:szCs w:val="20"/>
                <w:lang w:bidi="ar-SA"/>
              </w:rPr>
              <w:t>)</w:t>
            </w:r>
          </w:p>
        </w:tc>
      </w:tr>
      <w:tr w:rsidR="00220E3C" w:rsidRPr="00125107" w14:paraId="2CB9D569" w14:textId="77777777" w:rsidTr="00220E3C">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F5FFF01"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CDD</w:t>
            </w:r>
          </w:p>
        </w:tc>
        <w:tc>
          <w:tcPr>
            <w:tcW w:w="1836" w:type="dxa"/>
            <w:noWrap/>
            <w:vAlign w:val="center"/>
          </w:tcPr>
          <w:p w14:paraId="46A9C946" w14:textId="77777777" w:rsidR="00220E3C" w:rsidRPr="00125107" w:rsidRDefault="00220E3C" w:rsidP="00C065C7">
            <w:pPr>
              <w:tabs>
                <w:tab w:val="decimal" w:pos="720"/>
              </w:tabs>
              <w:spacing w:before="0"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125107">
              <w:rPr>
                <w:rFonts w:eastAsia="Times New Roman"/>
                <w:b/>
                <w:bCs/>
                <w:color w:val="000000"/>
                <w:sz w:val="20"/>
                <w:szCs w:val="20"/>
                <w:lang w:bidi="ar-SA"/>
              </w:rPr>
              <w:t>0.0271</w:t>
            </w:r>
          </w:p>
          <w:p w14:paraId="7A9B5DEA" w14:textId="77777777" w:rsidR="00220E3C" w:rsidRPr="00125107" w:rsidRDefault="00220E3C" w:rsidP="00C065C7">
            <w:pPr>
              <w:tabs>
                <w:tab w:val="decimal" w:pos="720"/>
              </w:tabs>
              <w:spacing w:before="0"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0.00</w:t>
            </w:r>
            <w:r>
              <w:rPr>
                <w:rFonts w:eastAsia="Times New Roman"/>
                <w:color w:val="000000"/>
                <w:sz w:val="20"/>
                <w:szCs w:val="20"/>
                <w:lang w:bidi="ar-SA"/>
              </w:rPr>
              <w:t>83)</w:t>
            </w:r>
          </w:p>
        </w:tc>
        <w:tc>
          <w:tcPr>
            <w:tcW w:w="1836" w:type="dxa"/>
            <w:noWrap/>
            <w:vAlign w:val="center"/>
          </w:tcPr>
          <w:p w14:paraId="356ED1E5" w14:textId="77777777" w:rsidR="00220E3C" w:rsidRPr="00125107" w:rsidRDefault="00220E3C"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125107">
              <w:rPr>
                <w:rFonts w:eastAsia="Times New Roman"/>
                <w:b/>
                <w:bCs/>
                <w:color w:val="000000"/>
                <w:sz w:val="20"/>
                <w:szCs w:val="20"/>
                <w:lang w:bidi="ar-SA"/>
              </w:rPr>
              <w:t>0.0264</w:t>
            </w:r>
          </w:p>
          <w:p w14:paraId="777709A4" w14:textId="77777777" w:rsidR="00220E3C" w:rsidRPr="00125107" w:rsidRDefault="00220E3C"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0.0082</w:t>
            </w:r>
            <w:r>
              <w:rPr>
                <w:rFonts w:eastAsia="Times New Roman"/>
                <w:color w:val="000000"/>
                <w:sz w:val="20"/>
                <w:szCs w:val="20"/>
                <w:lang w:bidi="ar-SA"/>
              </w:rPr>
              <w:t>)</w:t>
            </w:r>
          </w:p>
        </w:tc>
      </w:tr>
      <w:tr w:rsidR="00220E3C" w:rsidRPr="00125107" w14:paraId="41481A8B" w14:textId="77777777" w:rsidTr="00220E3C">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03CE84C"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Precipitation</w:t>
            </w:r>
          </w:p>
        </w:tc>
        <w:tc>
          <w:tcPr>
            <w:tcW w:w="1836" w:type="dxa"/>
            <w:noWrap/>
            <w:vAlign w:val="center"/>
          </w:tcPr>
          <w:p w14:paraId="6D097CEF" w14:textId="0FC0ADBF" w:rsidR="00220E3C" w:rsidRPr="00125107" w:rsidRDefault="00C065C7"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220E3C" w:rsidRPr="00125107">
              <w:rPr>
                <w:rFonts w:eastAsia="Times New Roman"/>
                <w:color w:val="000000"/>
                <w:sz w:val="20"/>
                <w:szCs w:val="20"/>
                <w:lang w:bidi="ar-SA"/>
              </w:rPr>
              <w:t>0.0102</w:t>
            </w:r>
          </w:p>
          <w:p w14:paraId="200AC786" w14:textId="77777777" w:rsidR="00220E3C" w:rsidRPr="00125107"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0.0104</w:t>
            </w:r>
            <w:r>
              <w:rPr>
                <w:rFonts w:eastAsia="Times New Roman"/>
                <w:color w:val="000000"/>
                <w:sz w:val="20"/>
                <w:szCs w:val="20"/>
                <w:lang w:bidi="ar-SA"/>
              </w:rPr>
              <w:t>)</w:t>
            </w:r>
          </w:p>
        </w:tc>
        <w:tc>
          <w:tcPr>
            <w:tcW w:w="1836" w:type="dxa"/>
            <w:noWrap/>
            <w:vAlign w:val="center"/>
          </w:tcPr>
          <w:p w14:paraId="58952C55" w14:textId="3855413C" w:rsidR="00220E3C" w:rsidRPr="00125107" w:rsidRDefault="00C065C7"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220E3C" w:rsidRPr="00125107">
              <w:rPr>
                <w:rFonts w:eastAsia="Times New Roman"/>
                <w:color w:val="000000"/>
                <w:sz w:val="20"/>
                <w:szCs w:val="20"/>
                <w:lang w:bidi="ar-SA"/>
              </w:rPr>
              <w:t>0.0109</w:t>
            </w:r>
          </w:p>
          <w:p w14:paraId="6DD28BBF" w14:textId="77777777" w:rsidR="00220E3C" w:rsidRPr="00125107"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0.0085</w:t>
            </w:r>
            <w:r>
              <w:rPr>
                <w:rFonts w:eastAsia="Times New Roman"/>
                <w:color w:val="000000"/>
                <w:sz w:val="20"/>
                <w:szCs w:val="20"/>
                <w:lang w:bidi="ar-SA"/>
              </w:rPr>
              <w:t>)</w:t>
            </w:r>
          </w:p>
        </w:tc>
      </w:tr>
      <w:tr w:rsidR="00220E3C" w:rsidRPr="00125107" w14:paraId="22BCB7CE" w14:textId="77777777" w:rsidTr="00220E3C">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062F1F97"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Avg_Price</w:t>
            </w:r>
          </w:p>
        </w:tc>
        <w:tc>
          <w:tcPr>
            <w:tcW w:w="1836" w:type="dxa"/>
            <w:noWrap/>
            <w:vAlign w:val="center"/>
          </w:tcPr>
          <w:p w14:paraId="2F372F4D" w14:textId="39B46D5E" w:rsidR="00220E3C" w:rsidRPr="00AB371E" w:rsidRDefault="00C065C7" w:rsidP="00C065C7">
            <w:pPr>
              <w:tabs>
                <w:tab w:val="decimal" w:pos="720"/>
              </w:tabs>
              <w:spacing w:before="0"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220E3C" w:rsidRPr="00AB371E">
              <w:rPr>
                <w:rFonts w:eastAsia="Times New Roman"/>
                <w:b/>
                <w:bCs/>
                <w:color w:val="000000"/>
                <w:sz w:val="20"/>
                <w:szCs w:val="20"/>
                <w:lang w:bidi="ar-SA"/>
              </w:rPr>
              <w:t>0.3539</w:t>
            </w:r>
          </w:p>
          <w:p w14:paraId="731E62E1" w14:textId="77777777" w:rsidR="00220E3C" w:rsidRPr="00125107" w:rsidRDefault="00220E3C" w:rsidP="00C065C7">
            <w:pPr>
              <w:tabs>
                <w:tab w:val="decimal" w:pos="720"/>
              </w:tabs>
              <w:spacing w:before="0"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0.0666</w:t>
            </w:r>
            <w:r>
              <w:rPr>
                <w:rFonts w:eastAsia="Times New Roman"/>
                <w:color w:val="000000"/>
                <w:sz w:val="20"/>
                <w:szCs w:val="20"/>
                <w:lang w:bidi="ar-SA"/>
              </w:rPr>
              <w:t>)</w:t>
            </w:r>
          </w:p>
        </w:tc>
        <w:tc>
          <w:tcPr>
            <w:tcW w:w="1836" w:type="dxa"/>
            <w:noWrap/>
            <w:vAlign w:val="center"/>
          </w:tcPr>
          <w:p w14:paraId="6FC43DA2" w14:textId="59D48F6E" w:rsidR="00220E3C" w:rsidRPr="00AB371E" w:rsidRDefault="00C065C7"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220E3C" w:rsidRPr="00AB371E">
              <w:rPr>
                <w:rFonts w:eastAsia="Times New Roman"/>
                <w:b/>
                <w:bCs/>
                <w:color w:val="000000"/>
                <w:sz w:val="20"/>
                <w:szCs w:val="20"/>
                <w:lang w:bidi="ar-SA"/>
              </w:rPr>
              <w:t>0.3355</w:t>
            </w:r>
          </w:p>
          <w:p w14:paraId="567D5F45" w14:textId="77777777" w:rsidR="00220E3C" w:rsidRPr="00125107" w:rsidRDefault="00220E3C"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0.0639</w:t>
            </w:r>
            <w:r>
              <w:rPr>
                <w:rFonts w:eastAsia="Times New Roman"/>
                <w:color w:val="000000"/>
                <w:sz w:val="20"/>
                <w:szCs w:val="20"/>
                <w:lang w:bidi="ar-SA"/>
              </w:rPr>
              <w:t>)</w:t>
            </w:r>
          </w:p>
        </w:tc>
      </w:tr>
      <w:tr w:rsidR="00220E3C" w:rsidRPr="00125107" w14:paraId="6B8A6053" w14:textId="77777777" w:rsidTr="00220E3C">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3CE4163B"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IncomePerCap</w:t>
            </w:r>
          </w:p>
        </w:tc>
        <w:tc>
          <w:tcPr>
            <w:tcW w:w="1836" w:type="dxa"/>
            <w:noWrap/>
            <w:vAlign w:val="center"/>
          </w:tcPr>
          <w:p w14:paraId="3A2C2216" w14:textId="77777777" w:rsidR="00220E3C" w:rsidRPr="00AB371E"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B371E">
              <w:rPr>
                <w:rFonts w:eastAsia="Times New Roman"/>
                <w:b/>
                <w:bCs/>
                <w:color w:val="000000"/>
                <w:sz w:val="20"/>
                <w:szCs w:val="20"/>
                <w:lang w:bidi="ar-SA"/>
              </w:rPr>
              <w:t>0.4555</w:t>
            </w:r>
          </w:p>
          <w:p w14:paraId="4A246741" w14:textId="77777777" w:rsidR="00220E3C" w:rsidRPr="00AB371E"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0.0539</w:t>
            </w:r>
            <w:r>
              <w:rPr>
                <w:rFonts w:eastAsia="Times New Roman"/>
                <w:color w:val="000000"/>
                <w:sz w:val="20"/>
                <w:szCs w:val="20"/>
                <w:lang w:bidi="ar-SA"/>
              </w:rPr>
              <w:t>)</w:t>
            </w:r>
          </w:p>
        </w:tc>
        <w:tc>
          <w:tcPr>
            <w:tcW w:w="1836" w:type="dxa"/>
            <w:noWrap/>
            <w:vAlign w:val="center"/>
          </w:tcPr>
          <w:p w14:paraId="719A0A78" w14:textId="77777777" w:rsidR="00220E3C" w:rsidRPr="00AB371E"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B371E">
              <w:rPr>
                <w:rFonts w:eastAsia="Times New Roman"/>
                <w:b/>
                <w:bCs/>
                <w:color w:val="000000"/>
                <w:sz w:val="20"/>
                <w:szCs w:val="20"/>
                <w:lang w:bidi="ar-SA"/>
              </w:rPr>
              <w:t>0.4499</w:t>
            </w:r>
          </w:p>
          <w:p w14:paraId="3D907FFA" w14:textId="77777777" w:rsidR="00220E3C" w:rsidRPr="00AB371E"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125107">
              <w:rPr>
                <w:rFonts w:eastAsia="Times New Roman"/>
                <w:color w:val="000000"/>
                <w:sz w:val="20"/>
                <w:szCs w:val="20"/>
                <w:lang w:bidi="ar-SA"/>
              </w:rPr>
              <w:t>0.0532</w:t>
            </w:r>
            <w:r>
              <w:rPr>
                <w:rFonts w:eastAsia="Times New Roman"/>
                <w:color w:val="000000"/>
                <w:sz w:val="20"/>
                <w:szCs w:val="20"/>
                <w:lang w:bidi="ar-SA"/>
              </w:rPr>
              <w:t>)</w:t>
            </w:r>
          </w:p>
        </w:tc>
      </w:tr>
      <w:tr w:rsidR="00220E3C" w:rsidRPr="00125107" w14:paraId="3EC1CFAE" w14:textId="77777777" w:rsidTr="00220E3C">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369E4D6F" w14:textId="020A282C" w:rsidR="00220E3C" w:rsidRPr="006148E2" w:rsidRDefault="00C065C7"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Estimator</w:t>
            </w:r>
          </w:p>
        </w:tc>
        <w:tc>
          <w:tcPr>
            <w:tcW w:w="1836" w:type="dxa"/>
            <w:noWrap/>
            <w:vAlign w:val="center"/>
            <w:hideMark/>
          </w:tcPr>
          <w:p w14:paraId="146CAD9F" w14:textId="4014A3EC" w:rsidR="00220E3C"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Within</w:t>
            </w:r>
          </w:p>
        </w:tc>
        <w:tc>
          <w:tcPr>
            <w:tcW w:w="1836" w:type="dxa"/>
            <w:noWrap/>
            <w:vAlign w:val="center"/>
            <w:hideMark/>
          </w:tcPr>
          <w:p w14:paraId="284D7658" w14:textId="4AF1CAE1" w:rsidR="00220E3C"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Within</w:t>
            </w:r>
          </w:p>
        </w:tc>
      </w:tr>
      <w:tr w:rsidR="00220E3C" w:rsidRPr="00125107" w14:paraId="6B8C29B9" w14:textId="77777777" w:rsidTr="00220E3C">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C492B84"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adj.r.squared</w:t>
            </w:r>
          </w:p>
        </w:tc>
        <w:tc>
          <w:tcPr>
            <w:tcW w:w="1836" w:type="dxa"/>
            <w:noWrap/>
            <w:vAlign w:val="center"/>
            <w:hideMark/>
          </w:tcPr>
          <w:p w14:paraId="53F7F2E0" w14:textId="77777777" w:rsidR="00220E3C" w:rsidRPr="00125107" w:rsidRDefault="00220E3C" w:rsidP="00C065C7">
            <w:pPr>
              <w:tabs>
                <w:tab w:val="decimal" w:pos="720"/>
              </w:tabs>
              <w:spacing w:before="0"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0.3926</w:t>
            </w:r>
          </w:p>
        </w:tc>
        <w:tc>
          <w:tcPr>
            <w:tcW w:w="1836" w:type="dxa"/>
            <w:noWrap/>
            <w:vAlign w:val="center"/>
            <w:hideMark/>
          </w:tcPr>
          <w:p w14:paraId="6A2D6BC4" w14:textId="77777777" w:rsidR="00220E3C" w:rsidRPr="00125107" w:rsidRDefault="00220E3C"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0.4027</w:t>
            </w:r>
          </w:p>
        </w:tc>
      </w:tr>
      <w:tr w:rsidR="00220E3C" w:rsidRPr="00125107" w14:paraId="497074B6" w14:textId="77777777" w:rsidTr="00220E3C">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B299125"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NRMSE</w:t>
            </w:r>
          </w:p>
        </w:tc>
        <w:tc>
          <w:tcPr>
            <w:tcW w:w="1836" w:type="dxa"/>
            <w:noWrap/>
            <w:vAlign w:val="center"/>
          </w:tcPr>
          <w:p w14:paraId="53169B6A" w14:textId="77777777" w:rsidR="00220E3C" w:rsidRPr="00125107" w:rsidRDefault="00220E3C" w:rsidP="00C065C7">
            <w:pPr>
              <w:tabs>
                <w:tab w:val="decimal" w:pos="720"/>
              </w:tabs>
              <w:spacing w:before="0"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0.0373</w:t>
            </w:r>
          </w:p>
        </w:tc>
        <w:tc>
          <w:tcPr>
            <w:tcW w:w="1836" w:type="dxa"/>
            <w:noWrap/>
            <w:vAlign w:val="center"/>
          </w:tcPr>
          <w:p w14:paraId="25550368" w14:textId="77777777" w:rsidR="00220E3C" w:rsidRPr="00125107" w:rsidRDefault="00220E3C"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0.0364</w:t>
            </w:r>
          </w:p>
        </w:tc>
      </w:tr>
      <w:tr w:rsidR="00220E3C" w:rsidRPr="00125107" w14:paraId="08059944" w14:textId="77777777" w:rsidTr="00220E3C">
        <w:trPr>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4" w:space="0" w:color="7F7F7F" w:themeColor="text1" w:themeTint="80"/>
              <w:bottom w:val="single" w:sz="12" w:space="0" w:color="000000" w:themeColor="text1"/>
            </w:tcBorders>
            <w:vAlign w:val="center"/>
          </w:tcPr>
          <w:p w14:paraId="7A3A5257" w14:textId="77777777" w:rsidR="00220E3C" w:rsidRPr="006148E2" w:rsidRDefault="00220E3C" w:rsidP="00DB5955">
            <w:pPr>
              <w:spacing w:before="0" w:after="0" w:line="240" w:lineRule="auto"/>
              <w:ind w:firstLine="0"/>
              <w:rPr>
                <w:rFonts w:eastAsia="Times New Roman"/>
                <w:b w:val="0"/>
                <w:bCs w:val="0"/>
                <w:color w:val="000000"/>
                <w:sz w:val="20"/>
                <w:szCs w:val="20"/>
                <w:lang w:bidi="ar-SA"/>
              </w:rPr>
            </w:pPr>
            <w:r w:rsidRPr="006148E2">
              <w:rPr>
                <w:rFonts w:eastAsia="Times New Roman"/>
                <w:b w:val="0"/>
                <w:bCs w:val="0"/>
                <w:color w:val="000000"/>
                <w:sz w:val="20"/>
                <w:szCs w:val="20"/>
                <w:lang w:bidi="ar-SA"/>
              </w:rPr>
              <w:t>nobs</w:t>
            </w:r>
          </w:p>
        </w:tc>
        <w:tc>
          <w:tcPr>
            <w:tcW w:w="1836" w:type="dxa"/>
            <w:tcBorders>
              <w:top w:val="single" w:sz="4" w:space="0" w:color="7F7F7F" w:themeColor="text1" w:themeTint="80"/>
              <w:bottom w:val="single" w:sz="12" w:space="0" w:color="000000" w:themeColor="text1"/>
            </w:tcBorders>
            <w:noWrap/>
            <w:vAlign w:val="center"/>
            <w:hideMark/>
          </w:tcPr>
          <w:p w14:paraId="3698DE0F" w14:textId="52D9CB40" w:rsidR="00220E3C" w:rsidRPr="00125107" w:rsidRDefault="00220E3C"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3</w:t>
            </w:r>
            <w:r w:rsidR="00C065C7">
              <w:rPr>
                <w:rFonts w:eastAsia="Times New Roman"/>
                <w:color w:val="000000"/>
                <w:sz w:val="20"/>
                <w:szCs w:val="20"/>
                <w:lang w:bidi="ar-SA"/>
              </w:rPr>
              <w:t>,</w:t>
            </w:r>
            <w:r w:rsidRPr="00125107">
              <w:rPr>
                <w:rFonts w:eastAsia="Times New Roman"/>
                <w:color w:val="000000"/>
                <w:sz w:val="20"/>
                <w:szCs w:val="20"/>
                <w:lang w:bidi="ar-SA"/>
              </w:rPr>
              <w:t>838</w:t>
            </w:r>
          </w:p>
        </w:tc>
        <w:tc>
          <w:tcPr>
            <w:tcW w:w="1836" w:type="dxa"/>
            <w:tcBorders>
              <w:top w:val="single" w:sz="4" w:space="0" w:color="7F7F7F" w:themeColor="text1" w:themeTint="80"/>
              <w:bottom w:val="single" w:sz="12" w:space="0" w:color="000000" w:themeColor="text1"/>
            </w:tcBorders>
            <w:noWrap/>
            <w:vAlign w:val="center"/>
            <w:hideMark/>
          </w:tcPr>
          <w:p w14:paraId="218BB759" w14:textId="08574B37" w:rsidR="00220E3C" w:rsidRPr="00125107" w:rsidRDefault="00220E3C"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3</w:t>
            </w:r>
            <w:r w:rsidR="00C065C7">
              <w:rPr>
                <w:rFonts w:eastAsia="Times New Roman"/>
                <w:color w:val="000000"/>
                <w:sz w:val="20"/>
                <w:szCs w:val="20"/>
                <w:lang w:bidi="ar-SA"/>
              </w:rPr>
              <w:t>,</w:t>
            </w:r>
            <w:r w:rsidRPr="00125107">
              <w:rPr>
                <w:rFonts w:eastAsia="Times New Roman"/>
                <w:color w:val="000000"/>
                <w:sz w:val="20"/>
                <w:szCs w:val="20"/>
                <w:lang w:bidi="ar-SA"/>
              </w:rPr>
              <w:t>710</w:t>
            </w:r>
          </w:p>
        </w:tc>
      </w:tr>
    </w:tbl>
    <w:p w14:paraId="59D58790" w14:textId="20A970C3" w:rsidR="006C09B3" w:rsidRPr="00A17771" w:rsidRDefault="006C09B3" w:rsidP="00336BCB">
      <w:pPr>
        <w:pStyle w:val="BodyText"/>
        <w:spacing w:before="120"/>
        <w:ind w:left="1890"/>
        <w:rPr>
          <w:rFonts w:eastAsiaTheme="minorEastAsia"/>
          <w:sz w:val="18"/>
          <w:szCs w:val="18"/>
          <w:lang w:eastAsia="zh-TW"/>
        </w:rPr>
      </w:pPr>
      <w:r w:rsidRPr="00A17771">
        <w:rPr>
          <w:sz w:val="18"/>
          <w:szCs w:val="18"/>
        </w:rPr>
        <w:t xml:space="preserve">Notes: Bolded values indicate that the estimated elasticity is statistically </w:t>
      </w:r>
      <w:r w:rsidR="008D095A">
        <w:rPr>
          <w:sz w:val="18"/>
          <w:szCs w:val="18"/>
        </w:rPr>
        <w:br/>
      </w:r>
      <w:r w:rsidRPr="00A17771">
        <w:rPr>
          <w:sz w:val="18"/>
          <w:szCs w:val="18"/>
        </w:rPr>
        <w:t>significant at the 10% level. Values in parenthesis are standard errors.</w:t>
      </w:r>
    </w:p>
    <w:p w14:paraId="6FBE928D" w14:textId="77777777" w:rsidR="006C09B3" w:rsidRDefault="006C09B3" w:rsidP="006C09B3">
      <w:pPr>
        <w:pStyle w:val="BodyText"/>
        <w:rPr>
          <w:rFonts w:eastAsiaTheme="minorEastAsia"/>
          <w:lang w:eastAsia="zh-TW"/>
        </w:rPr>
      </w:pPr>
    </w:p>
    <w:p w14:paraId="602AB081" w14:textId="2F904E79" w:rsidR="006C09B3" w:rsidRPr="005E415F" w:rsidRDefault="00336BCB" w:rsidP="00321A44">
      <w:pPr>
        <w:pStyle w:val="AppendixTableCaption"/>
        <w:keepNext/>
        <w:rPr>
          <w:rFonts w:eastAsiaTheme="minorEastAsia"/>
          <w:lang w:eastAsia="zh-TW"/>
        </w:rPr>
      </w:pPr>
      <w:r>
        <w:lastRenderedPageBreak/>
        <w:t xml:space="preserve">Table </w:t>
      </w:r>
      <w:fldSimple w:instr=" STYLEREF 9 \s ">
        <w:r w:rsidR="00EE0BF5">
          <w:rPr>
            <w:noProof/>
          </w:rPr>
          <w:t>H</w:t>
        </w:r>
      </w:fldSimple>
      <w:r>
        <w:t>.</w:t>
      </w:r>
      <w:fldSimple w:instr=" SEQ Table_Apx \* ARABIC \s 9 ">
        <w:r w:rsidR="00EE0BF5">
          <w:rPr>
            <w:noProof/>
          </w:rPr>
          <w:t>5</w:t>
        </w:r>
      </w:fldSimple>
      <w:r w:rsidRPr="00485D84">
        <w:rPr>
          <w:rFonts w:eastAsia="PMingLiU"/>
          <w:lang w:bidi="en-US"/>
        </w:rPr>
        <w:t xml:space="preserve">. </w:t>
      </w:r>
      <w:r w:rsidR="006C09B3" w:rsidRPr="006857B2">
        <w:rPr>
          <w:rFonts w:eastAsiaTheme="minorEastAsia"/>
        </w:rPr>
        <w:t>WAPA-CRSP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638728FC"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60C2260B" w14:textId="77777777" w:rsidR="008D095A" w:rsidRPr="00125107" w:rsidRDefault="008D095A" w:rsidP="00321A44">
            <w:pPr>
              <w:keepNext/>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422A157D" w14:textId="77777777" w:rsidR="008D095A" w:rsidRPr="00125107" w:rsidRDefault="008D095A" w:rsidP="00321A44">
            <w:pPr>
              <w:keepNext/>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56027928"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533C3DD0" w14:textId="77777777" w:rsidR="008D095A" w:rsidRPr="006148E2" w:rsidRDefault="008D095A" w:rsidP="00321A44">
            <w:pPr>
              <w:keepNext/>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1B5670A3" w14:textId="77777777" w:rsidR="008D095A" w:rsidRPr="00125107" w:rsidRDefault="008D095A" w:rsidP="00321A44">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5E2BEBD0" w14:textId="77777777" w:rsidR="008D095A" w:rsidRPr="00125107" w:rsidRDefault="008D095A" w:rsidP="00321A44">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06829715"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37EED144"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6E997116" w14:textId="4A8F5876" w:rsidR="008D095A" w:rsidRPr="00345727" w:rsidRDefault="00C065C7"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0.0073</w:t>
            </w:r>
          </w:p>
          <w:p w14:paraId="0F944EB5" w14:textId="77777777" w:rsidR="008D095A" w:rsidRPr="00125107" w:rsidRDefault="008D095A"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0.0449</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479C3704" w14:textId="77777777" w:rsidR="008D095A" w:rsidRPr="00345727"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0.0128</w:t>
            </w:r>
          </w:p>
          <w:p w14:paraId="4EF7764F" w14:textId="77777777" w:rsidR="008D095A" w:rsidRPr="00125107"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0.0444</w:t>
            </w:r>
            <w:r>
              <w:rPr>
                <w:rFonts w:eastAsia="Times New Roman"/>
                <w:color w:val="000000"/>
                <w:sz w:val="20"/>
                <w:szCs w:val="20"/>
                <w:lang w:bidi="ar-SA"/>
              </w:rPr>
              <w:t>)</w:t>
            </w:r>
          </w:p>
        </w:tc>
      </w:tr>
      <w:tr w:rsidR="008D095A" w:rsidRPr="00125107" w14:paraId="3907A121"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AEAC70F"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CDD</w:t>
            </w:r>
          </w:p>
        </w:tc>
        <w:tc>
          <w:tcPr>
            <w:tcW w:w="1836" w:type="dxa"/>
            <w:noWrap/>
            <w:vAlign w:val="center"/>
          </w:tcPr>
          <w:p w14:paraId="13DF7944" w14:textId="7841771D" w:rsidR="008D095A" w:rsidRPr="00345727" w:rsidRDefault="00C065C7"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0.0096</w:t>
            </w:r>
          </w:p>
          <w:p w14:paraId="7F3BD62E" w14:textId="77777777" w:rsidR="008D095A" w:rsidRPr="00125107" w:rsidRDefault="008D095A"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0.0103</w:t>
            </w:r>
            <w:r>
              <w:rPr>
                <w:rFonts w:eastAsia="Times New Roman"/>
                <w:color w:val="000000"/>
                <w:sz w:val="20"/>
                <w:szCs w:val="20"/>
                <w:lang w:bidi="ar-SA"/>
              </w:rPr>
              <w:t>)</w:t>
            </w:r>
          </w:p>
        </w:tc>
        <w:tc>
          <w:tcPr>
            <w:tcW w:w="1836" w:type="dxa"/>
            <w:noWrap/>
            <w:vAlign w:val="center"/>
          </w:tcPr>
          <w:p w14:paraId="3594908F" w14:textId="5661C512" w:rsidR="008D095A" w:rsidRPr="00345727" w:rsidRDefault="00C065C7"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0.0018</w:t>
            </w:r>
          </w:p>
          <w:p w14:paraId="1F7A7C84" w14:textId="77777777" w:rsidR="008D095A" w:rsidRPr="00125107" w:rsidRDefault="008D095A"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0.0069</w:t>
            </w:r>
            <w:r>
              <w:rPr>
                <w:rFonts w:eastAsia="Times New Roman"/>
                <w:color w:val="000000"/>
                <w:sz w:val="20"/>
                <w:szCs w:val="20"/>
                <w:lang w:bidi="ar-SA"/>
              </w:rPr>
              <w:t>)</w:t>
            </w:r>
          </w:p>
        </w:tc>
      </w:tr>
      <w:tr w:rsidR="008D095A" w:rsidRPr="00125107" w14:paraId="7763820F"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4BD4C45"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Precipitation</w:t>
            </w:r>
          </w:p>
        </w:tc>
        <w:tc>
          <w:tcPr>
            <w:tcW w:w="1836" w:type="dxa"/>
            <w:noWrap/>
            <w:vAlign w:val="center"/>
          </w:tcPr>
          <w:p w14:paraId="488C16F7" w14:textId="7FD21715" w:rsidR="008D095A" w:rsidRPr="00345727" w:rsidRDefault="00C065C7"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0.0092</w:t>
            </w:r>
          </w:p>
          <w:p w14:paraId="4159EC0E" w14:textId="77777777" w:rsidR="008D095A" w:rsidRPr="00125107" w:rsidRDefault="008D095A"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0.0203</w:t>
            </w:r>
            <w:r>
              <w:rPr>
                <w:rFonts w:eastAsia="Times New Roman"/>
                <w:color w:val="000000"/>
                <w:sz w:val="20"/>
                <w:szCs w:val="20"/>
                <w:lang w:bidi="ar-SA"/>
              </w:rPr>
              <w:t>)</w:t>
            </w:r>
          </w:p>
        </w:tc>
        <w:tc>
          <w:tcPr>
            <w:tcW w:w="1836" w:type="dxa"/>
            <w:noWrap/>
            <w:vAlign w:val="center"/>
          </w:tcPr>
          <w:p w14:paraId="31C1A543" w14:textId="39CC6EC6" w:rsidR="008D095A" w:rsidRPr="00345727" w:rsidRDefault="00C065C7"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0.0213</w:t>
            </w:r>
          </w:p>
          <w:p w14:paraId="6CEDBC73" w14:textId="77777777" w:rsidR="008D095A" w:rsidRPr="00125107"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0.016</w:t>
            </w:r>
            <w:r>
              <w:rPr>
                <w:rFonts w:eastAsia="Times New Roman"/>
                <w:color w:val="000000"/>
                <w:sz w:val="20"/>
                <w:szCs w:val="20"/>
                <w:lang w:bidi="ar-SA"/>
              </w:rPr>
              <w:t>)</w:t>
            </w:r>
          </w:p>
        </w:tc>
      </w:tr>
      <w:tr w:rsidR="008D095A" w:rsidRPr="00125107" w14:paraId="7815C018"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3F816413"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Avg_Price</w:t>
            </w:r>
          </w:p>
        </w:tc>
        <w:tc>
          <w:tcPr>
            <w:tcW w:w="1836" w:type="dxa"/>
            <w:noWrap/>
            <w:vAlign w:val="center"/>
          </w:tcPr>
          <w:p w14:paraId="67A7CAEC" w14:textId="72C27C5E" w:rsidR="008D095A" w:rsidRPr="00345727" w:rsidRDefault="00C065C7"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345727">
              <w:rPr>
                <w:rFonts w:eastAsia="Times New Roman"/>
                <w:b/>
                <w:bCs/>
                <w:color w:val="000000"/>
                <w:sz w:val="20"/>
                <w:szCs w:val="20"/>
                <w:lang w:bidi="ar-SA"/>
              </w:rPr>
              <w:t>0.3536</w:t>
            </w:r>
          </w:p>
          <w:p w14:paraId="2B20AFFB" w14:textId="77777777" w:rsidR="008D095A" w:rsidRPr="00125107" w:rsidRDefault="008D095A"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0.1525</w:t>
            </w:r>
            <w:r>
              <w:rPr>
                <w:rFonts w:eastAsia="Times New Roman"/>
                <w:color w:val="000000"/>
                <w:sz w:val="20"/>
                <w:szCs w:val="20"/>
                <w:lang w:bidi="ar-SA"/>
              </w:rPr>
              <w:t>)</w:t>
            </w:r>
          </w:p>
        </w:tc>
        <w:tc>
          <w:tcPr>
            <w:tcW w:w="1836" w:type="dxa"/>
            <w:noWrap/>
            <w:vAlign w:val="center"/>
          </w:tcPr>
          <w:p w14:paraId="200BE768" w14:textId="2A2A0535" w:rsidR="008D095A" w:rsidRPr="00345727" w:rsidRDefault="00C065C7"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345727">
              <w:rPr>
                <w:rFonts w:eastAsia="Times New Roman"/>
                <w:b/>
                <w:bCs/>
                <w:color w:val="000000"/>
                <w:sz w:val="20"/>
                <w:szCs w:val="20"/>
                <w:lang w:bidi="ar-SA"/>
              </w:rPr>
              <w:t>0.3365</w:t>
            </w:r>
          </w:p>
          <w:p w14:paraId="03B9559B" w14:textId="77777777" w:rsidR="008D095A" w:rsidRPr="00125107" w:rsidRDefault="008D095A"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0.1491</w:t>
            </w:r>
            <w:r>
              <w:rPr>
                <w:rFonts w:eastAsia="Times New Roman"/>
                <w:color w:val="000000"/>
                <w:sz w:val="20"/>
                <w:szCs w:val="20"/>
                <w:lang w:bidi="ar-SA"/>
              </w:rPr>
              <w:t>)</w:t>
            </w:r>
          </w:p>
        </w:tc>
      </w:tr>
      <w:tr w:rsidR="008D095A" w:rsidRPr="00125107" w14:paraId="3AC3F9BF"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5776009"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IncomePerCap</w:t>
            </w:r>
          </w:p>
        </w:tc>
        <w:tc>
          <w:tcPr>
            <w:tcW w:w="1836" w:type="dxa"/>
            <w:noWrap/>
            <w:vAlign w:val="center"/>
          </w:tcPr>
          <w:p w14:paraId="7B55D46E" w14:textId="77777777" w:rsidR="008D095A" w:rsidRPr="00345727" w:rsidRDefault="008D095A"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345727">
              <w:rPr>
                <w:rFonts w:eastAsia="Times New Roman"/>
                <w:b/>
                <w:bCs/>
                <w:color w:val="000000"/>
                <w:sz w:val="20"/>
                <w:szCs w:val="20"/>
                <w:lang w:bidi="ar-SA"/>
              </w:rPr>
              <w:t>0.3014</w:t>
            </w:r>
          </w:p>
          <w:p w14:paraId="26C3735A" w14:textId="77777777" w:rsidR="008D095A" w:rsidRPr="00AB371E" w:rsidRDefault="008D095A"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0.0833</w:t>
            </w:r>
            <w:r>
              <w:rPr>
                <w:rFonts w:eastAsia="Times New Roman"/>
                <w:color w:val="000000"/>
                <w:sz w:val="20"/>
                <w:szCs w:val="20"/>
                <w:lang w:bidi="ar-SA"/>
              </w:rPr>
              <w:t>)</w:t>
            </w:r>
          </w:p>
        </w:tc>
        <w:tc>
          <w:tcPr>
            <w:tcW w:w="1836" w:type="dxa"/>
            <w:noWrap/>
            <w:vAlign w:val="center"/>
          </w:tcPr>
          <w:p w14:paraId="332D130C" w14:textId="77777777" w:rsidR="008D095A" w:rsidRPr="00345727"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345727">
              <w:rPr>
                <w:rFonts w:eastAsia="Times New Roman"/>
                <w:b/>
                <w:bCs/>
                <w:color w:val="000000"/>
                <w:sz w:val="20"/>
                <w:szCs w:val="20"/>
                <w:lang w:bidi="ar-SA"/>
              </w:rPr>
              <w:t>0.2988</w:t>
            </w:r>
          </w:p>
          <w:p w14:paraId="6340748C" w14:textId="77777777" w:rsidR="008D095A" w:rsidRPr="00AB371E"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0.0817</w:t>
            </w:r>
            <w:r>
              <w:rPr>
                <w:rFonts w:eastAsia="Times New Roman"/>
                <w:color w:val="000000"/>
                <w:sz w:val="20"/>
                <w:szCs w:val="20"/>
                <w:lang w:bidi="ar-SA"/>
              </w:rPr>
              <w:t>)</w:t>
            </w:r>
          </w:p>
        </w:tc>
      </w:tr>
      <w:tr w:rsidR="008D095A" w:rsidRPr="00125107" w14:paraId="3570C62B" w14:textId="77777777" w:rsidTr="008D095A">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0B50FAE4"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Intercept</w:t>
            </w:r>
          </w:p>
        </w:tc>
        <w:tc>
          <w:tcPr>
            <w:tcW w:w="1836" w:type="dxa"/>
            <w:noWrap/>
            <w:vAlign w:val="center"/>
            <w:hideMark/>
          </w:tcPr>
          <w:p w14:paraId="080E2501" w14:textId="578A976C" w:rsidR="008D095A" w:rsidRPr="00345727" w:rsidRDefault="00C065C7"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0.6744</w:t>
            </w:r>
          </w:p>
          <w:p w14:paraId="21AE4F69" w14:textId="77777777" w:rsidR="008D095A" w:rsidRPr="00125107" w:rsidRDefault="008D095A"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1.1246</w:t>
            </w:r>
            <w:r>
              <w:rPr>
                <w:rFonts w:eastAsia="Times New Roman"/>
                <w:color w:val="000000"/>
                <w:sz w:val="20"/>
                <w:szCs w:val="20"/>
                <w:lang w:bidi="ar-SA"/>
              </w:rPr>
              <w:t>)</w:t>
            </w:r>
          </w:p>
        </w:tc>
        <w:tc>
          <w:tcPr>
            <w:tcW w:w="1836" w:type="dxa"/>
            <w:noWrap/>
            <w:vAlign w:val="center"/>
            <w:hideMark/>
          </w:tcPr>
          <w:p w14:paraId="372943E4" w14:textId="7ADFEE8F" w:rsidR="008D095A" w:rsidRPr="00345727" w:rsidRDefault="00C065C7"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0.7432</w:t>
            </w:r>
          </w:p>
          <w:p w14:paraId="451E4603" w14:textId="77777777" w:rsidR="008D095A" w:rsidRPr="00125107" w:rsidRDefault="008D095A"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1.1073</w:t>
            </w:r>
            <w:r>
              <w:rPr>
                <w:rFonts w:eastAsia="Times New Roman"/>
                <w:color w:val="000000"/>
                <w:sz w:val="20"/>
                <w:szCs w:val="20"/>
                <w:lang w:bidi="ar-SA"/>
              </w:rPr>
              <w:t>)</w:t>
            </w:r>
          </w:p>
        </w:tc>
      </w:tr>
      <w:tr w:rsidR="008D095A" w:rsidRPr="00125107" w14:paraId="5F8540A8"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26F3ABC" w14:textId="266AE274" w:rsidR="008D095A" w:rsidRPr="00A62B9E" w:rsidRDefault="00C065C7"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Estimator</w:t>
            </w:r>
          </w:p>
        </w:tc>
        <w:tc>
          <w:tcPr>
            <w:tcW w:w="1836" w:type="dxa"/>
            <w:noWrap/>
            <w:vAlign w:val="center"/>
            <w:hideMark/>
          </w:tcPr>
          <w:p w14:paraId="2390DE5B" w14:textId="1D1DD043" w:rsidR="008D095A" w:rsidRPr="00125107" w:rsidRDefault="00C065C7" w:rsidP="00321A44">
            <w:pPr>
              <w:keepNext/>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Random</w:t>
            </w:r>
          </w:p>
        </w:tc>
        <w:tc>
          <w:tcPr>
            <w:tcW w:w="1836" w:type="dxa"/>
            <w:noWrap/>
            <w:vAlign w:val="center"/>
            <w:hideMark/>
          </w:tcPr>
          <w:p w14:paraId="07AEFF4F" w14:textId="643DFC86" w:rsidR="008D095A" w:rsidRPr="00125107" w:rsidRDefault="00C065C7" w:rsidP="00321A44">
            <w:pPr>
              <w:keepNext/>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Random</w:t>
            </w:r>
          </w:p>
        </w:tc>
      </w:tr>
      <w:tr w:rsidR="008D095A" w:rsidRPr="00125107" w14:paraId="0A0009AC"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60E4766"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adj.r.squared</w:t>
            </w:r>
          </w:p>
        </w:tc>
        <w:tc>
          <w:tcPr>
            <w:tcW w:w="1836" w:type="dxa"/>
            <w:noWrap/>
            <w:vAlign w:val="center"/>
          </w:tcPr>
          <w:p w14:paraId="60B60760" w14:textId="77777777" w:rsidR="008D095A" w:rsidRPr="00345727" w:rsidRDefault="008D095A" w:rsidP="00321A44">
            <w:pPr>
              <w:keepNext/>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0.2179</w:t>
            </w:r>
          </w:p>
        </w:tc>
        <w:tc>
          <w:tcPr>
            <w:tcW w:w="1836" w:type="dxa"/>
            <w:noWrap/>
            <w:vAlign w:val="center"/>
          </w:tcPr>
          <w:p w14:paraId="4245C76A" w14:textId="77777777" w:rsidR="008D095A" w:rsidRPr="00345727" w:rsidRDefault="008D095A" w:rsidP="00321A44">
            <w:pPr>
              <w:keepNext/>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0.2216</w:t>
            </w:r>
          </w:p>
        </w:tc>
      </w:tr>
      <w:tr w:rsidR="008D095A" w:rsidRPr="00125107" w14:paraId="508C54B9"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3E7FCEFF" w14:textId="77777777" w:rsidR="008D095A" w:rsidRPr="00A62B9E" w:rsidRDefault="008D095A"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NRMSE</w:t>
            </w:r>
          </w:p>
        </w:tc>
        <w:tc>
          <w:tcPr>
            <w:tcW w:w="1836" w:type="dxa"/>
            <w:tcBorders>
              <w:bottom w:val="single" w:sz="4" w:space="0" w:color="7F7F7F" w:themeColor="text1" w:themeTint="80"/>
            </w:tcBorders>
            <w:noWrap/>
            <w:vAlign w:val="center"/>
          </w:tcPr>
          <w:p w14:paraId="0A6931CD" w14:textId="77777777" w:rsidR="008D095A" w:rsidRPr="00125107" w:rsidRDefault="008D095A" w:rsidP="00321A44">
            <w:pPr>
              <w:keepNext/>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0.0415</w:t>
            </w:r>
          </w:p>
        </w:tc>
        <w:tc>
          <w:tcPr>
            <w:tcW w:w="1836" w:type="dxa"/>
            <w:tcBorders>
              <w:bottom w:val="single" w:sz="4" w:space="0" w:color="7F7F7F" w:themeColor="text1" w:themeTint="80"/>
            </w:tcBorders>
            <w:noWrap/>
            <w:vAlign w:val="center"/>
          </w:tcPr>
          <w:p w14:paraId="00A83881" w14:textId="77777777" w:rsidR="008D095A" w:rsidRPr="00125107" w:rsidRDefault="008D095A" w:rsidP="00321A44">
            <w:pPr>
              <w:keepNext/>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0.0414</w:t>
            </w:r>
          </w:p>
        </w:tc>
      </w:tr>
      <w:tr w:rsidR="008D095A" w:rsidRPr="00125107" w14:paraId="69928041"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12" w:space="0" w:color="000000" w:themeColor="text1"/>
            </w:tcBorders>
            <w:vAlign w:val="center"/>
          </w:tcPr>
          <w:p w14:paraId="329B2F53" w14:textId="5721BAF8" w:rsidR="008D095A" w:rsidRPr="00A62B9E" w:rsidRDefault="00C065C7" w:rsidP="00321A44">
            <w:pPr>
              <w:keepNext/>
              <w:spacing w:before="0" w:after="0" w:line="240" w:lineRule="auto"/>
              <w:ind w:firstLine="0"/>
              <w:rPr>
                <w:rFonts w:eastAsia="Times New Roman"/>
                <w:b w:val="0"/>
                <w:bCs w:val="0"/>
                <w:color w:val="000000"/>
                <w:sz w:val="20"/>
                <w:szCs w:val="20"/>
                <w:lang w:bidi="ar-SA"/>
              </w:rPr>
            </w:pPr>
            <w:r w:rsidRPr="00A62B9E">
              <w:rPr>
                <w:rFonts w:eastAsia="Times New Roman"/>
                <w:b w:val="0"/>
                <w:bCs w:val="0"/>
                <w:color w:val="000000"/>
                <w:sz w:val="20"/>
                <w:szCs w:val="20"/>
                <w:lang w:bidi="ar-SA"/>
              </w:rPr>
              <w:t>Nobs</w:t>
            </w:r>
          </w:p>
        </w:tc>
        <w:tc>
          <w:tcPr>
            <w:tcW w:w="1836" w:type="dxa"/>
            <w:tcBorders>
              <w:bottom w:val="single" w:sz="12" w:space="0" w:color="000000" w:themeColor="text1"/>
            </w:tcBorders>
            <w:noWrap/>
            <w:vAlign w:val="center"/>
            <w:hideMark/>
          </w:tcPr>
          <w:p w14:paraId="20C4D9CE" w14:textId="440E90D6" w:rsidR="008D095A" w:rsidRPr="00125107" w:rsidRDefault="008D095A" w:rsidP="00321A44">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1</w:t>
            </w:r>
            <w:r w:rsidR="00C065C7">
              <w:rPr>
                <w:rFonts w:eastAsia="Times New Roman"/>
                <w:color w:val="000000"/>
                <w:sz w:val="20"/>
                <w:szCs w:val="20"/>
                <w:lang w:bidi="ar-SA"/>
              </w:rPr>
              <w:t>,</w:t>
            </w:r>
            <w:r w:rsidRPr="00345727">
              <w:rPr>
                <w:rFonts w:eastAsia="Times New Roman"/>
                <w:color w:val="000000"/>
                <w:sz w:val="20"/>
                <w:szCs w:val="20"/>
                <w:lang w:bidi="ar-SA"/>
              </w:rPr>
              <w:t>080</w:t>
            </w:r>
          </w:p>
        </w:tc>
        <w:tc>
          <w:tcPr>
            <w:tcW w:w="1836" w:type="dxa"/>
            <w:tcBorders>
              <w:bottom w:val="single" w:sz="12" w:space="0" w:color="000000" w:themeColor="text1"/>
            </w:tcBorders>
            <w:noWrap/>
            <w:vAlign w:val="center"/>
            <w:hideMark/>
          </w:tcPr>
          <w:p w14:paraId="3AE47613" w14:textId="7DD74C49" w:rsidR="008D095A" w:rsidRPr="00125107" w:rsidRDefault="008D095A" w:rsidP="00321A44">
            <w:pPr>
              <w:keepNext/>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1</w:t>
            </w:r>
            <w:r w:rsidR="00C065C7">
              <w:rPr>
                <w:rFonts w:eastAsia="Times New Roman"/>
                <w:color w:val="000000"/>
                <w:sz w:val="20"/>
                <w:szCs w:val="20"/>
                <w:lang w:bidi="ar-SA"/>
              </w:rPr>
              <w:t>,</w:t>
            </w:r>
            <w:r w:rsidRPr="00345727">
              <w:rPr>
                <w:rFonts w:eastAsia="Times New Roman"/>
                <w:color w:val="000000"/>
                <w:sz w:val="20"/>
                <w:szCs w:val="20"/>
                <w:lang w:bidi="ar-SA"/>
              </w:rPr>
              <w:t>044</w:t>
            </w:r>
          </w:p>
        </w:tc>
      </w:tr>
    </w:tbl>
    <w:p w14:paraId="344F3726" w14:textId="40312241" w:rsidR="006C09B3" w:rsidRDefault="006C09B3" w:rsidP="00336BCB">
      <w:pPr>
        <w:pStyle w:val="BodyText"/>
        <w:spacing w:before="120"/>
        <w:ind w:left="1890"/>
        <w:rPr>
          <w:sz w:val="18"/>
          <w:szCs w:val="18"/>
        </w:rPr>
      </w:pPr>
      <w:r w:rsidRPr="006857B2">
        <w:rPr>
          <w:sz w:val="18"/>
          <w:szCs w:val="18"/>
        </w:rPr>
        <w:t xml:space="preserve">Notes: Bolded values indicate that the estimated elasticity is statistically </w:t>
      </w:r>
      <w:r w:rsidR="008D095A">
        <w:rPr>
          <w:sz w:val="18"/>
          <w:szCs w:val="18"/>
        </w:rPr>
        <w:br/>
      </w:r>
      <w:r w:rsidRPr="006857B2">
        <w:rPr>
          <w:sz w:val="18"/>
          <w:szCs w:val="18"/>
        </w:rPr>
        <w:t>significant at the 10% level. Values in parenthesis are standard errors.</w:t>
      </w:r>
    </w:p>
    <w:p w14:paraId="5E03781B" w14:textId="77777777" w:rsidR="006C09B3" w:rsidRDefault="006C09B3" w:rsidP="006C09B3">
      <w:pPr>
        <w:pStyle w:val="BodyText"/>
        <w:rPr>
          <w:rFonts w:eastAsiaTheme="minorEastAsia"/>
          <w:sz w:val="18"/>
          <w:szCs w:val="18"/>
          <w:lang w:eastAsia="zh-TW"/>
        </w:rPr>
      </w:pPr>
    </w:p>
    <w:p w14:paraId="5DBFD6A2" w14:textId="7F87EDA8" w:rsidR="006C09B3" w:rsidRPr="005E415F" w:rsidRDefault="00336BCB" w:rsidP="00336BCB">
      <w:pPr>
        <w:pStyle w:val="AppendixTableCaption"/>
        <w:rPr>
          <w:rFonts w:eastAsiaTheme="minorEastAsia"/>
          <w:lang w:eastAsia="zh-TW"/>
        </w:rPr>
      </w:pPr>
      <w:r>
        <w:t xml:space="preserve">Table </w:t>
      </w:r>
      <w:fldSimple w:instr=" STYLEREF 9 \s ">
        <w:r w:rsidR="00EE0BF5">
          <w:rPr>
            <w:noProof/>
          </w:rPr>
          <w:t>H</w:t>
        </w:r>
      </w:fldSimple>
      <w:r>
        <w:t>.</w:t>
      </w:r>
      <w:fldSimple w:instr=" SEQ Table_Apx \* ARABIC \s 9 ">
        <w:r w:rsidR="00EE0BF5">
          <w:rPr>
            <w:noProof/>
          </w:rPr>
          <w:t>6</w:t>
        </w:r>
      </w:fldSimple>
      <w:r w:rsidRPr="00485D84">
        <w:rPr>
          <w:rFonts w:eastAsia="PMingLiU"/>
          <w:lang w:bidi="en-US"/>
        </w:rPr>
        <w:t xml:space="preserve">. </w:t>
      </w:r>
      <w:r w:rsidR="006C09B3" w:rsidRPr="00824FAE">
        <w:rPr>
          <w:rFonts w:eastAsiaTheme="minorEastAsia"/>
        </w:rPr>
        <w:t>WAPA-SN</w:t>
      </w:r>
      <w:r w:rsidR="006C09B3">
        <w:rPr>
          <w:rFonts w:eastAsiaTheme="minorEastAsia"/>
        </w:rPr>
        <w:t>/</w:t>
      </w:r>
      <w:r w:rsidR="006C09B3" w:rsidRPr="00824FAE">
        <w:rPr>
          <w:rFonts w:eastAsiaTheme="minorEastAsia"/>
        </w:rPr>
        <w:t>RM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6190A064"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2399FD7D"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092813EA"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7DB58792"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046618DD"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74F2B051"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1D6318A7"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2BBDC1D9"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381EE220"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29B0EA09" w14:textId="77777777" w:rsidR="008D095A" w:rsidRPr="0034572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0.055</w:t>
            </w:r>
          </w:p>
          <w:p w14:paraId="030F2574"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0.0475</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771C7FDF" w14:textId="77777777" w:rsidR="008D095A" w:rsidRPr="0034572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0.0069</w:t>
            </w:r>
          </w:p>
          <w:p w14:paraId="1B6278B7"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0.0391</w:t>
            </w:r>
            <w:r>
              <w:rPr>
                <w:rFonts w:eastAsia="Times New Roman"/>
                <w:color w:val="000000"/>
                <w:sz w:val="20"/>
                <w:szCs w:val="20"/>
                <w:lang w:bidi="ar-SA"/>
              </w:rPr>
              <w:t>)</w:t>
            </w:r>
          </w:p>
        </w:tc>
      </w:tr>
      <w:tr w:rsidR="008D095A" w:rsidRPr="00125107" w14:paraId="76033222"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9C2729B"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CDD</w:t>
            </w:r>
          </w:p>
        </w:tc>
        <w:tc>
          <w:tcPr>
            <w:tcW w:w="1836" w:type="dxa"/>
            <w:noWrap/>
            <w:vAlign w:val="center"/>
          </w:tcPr>
          <w:p w14:paraId="5BCD238F" w14:textId="77777777" w:rsidR="008D095A" w:rsidRPr="0034572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0.0198</w:t>
            </w:r>
          </w:p>
          <w:p w14:paraId="67DA095A"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0.0482</w:t>
            </w:r>
            <w:r>
              <w:rPr>
                <w:rFonts w:eastAsia="Times New Roman"/>
                <w:color w:val="000000"/>
                <w:sz w:val="20"/>
                <w:szCs w:val="20"/>
                <w:lang w:bidi="ar-SA"/>
              </w:rPr>
              <w:t>)</w:t>
            </w:r>
          </w:p>
        </w:tc>
        <w:tc>
          <w:tcPr>
            <w:tcW w:w="1836" w:type="dxa"/>
            <w:noWrap/>
            <w:vAlign w:val="center"/>
          </w:tcPr>
          <w:p w14:paraId="32A5AAD2" w14:textId="77777777" w:rsidR="008D095A" w:rsidRPr="0034572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0.0154</w:t>
            </w:r>
          </w:p>
          <w:p w14:paraId="18970E10"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0.0424</w:t>
            </w:r>
            <w:r>
              <w:rPr>
                <w:rFonts w:eastAsia="Times New Roman"/>
                <w:color w:val="000000"/>
                <w:sz w:val="20"/>
                <w:szCs w:val="20"/>
                <w:lang w:bidi="ar-SA"/>
              </w:rPr>
              <w:t>)</w:t>
            </w:r>
          </w:p>
        </w:tc>
      </w:tr>
      <w:tr w:rsidR="008D095A" w:rsidRPr="00125107" w14:paraId="5B88917F"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3A736A3"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Precipitation</w:t>
            </w:r>
          </w:p>
        </w:tc>
        <w:tc>
          <w:tcPr>
            <w:tcW w:w="1836" w:type="dxa"/>
            <w:noWrap/>
            <w:vAlign w:val="center"/>
          </w:tcPr>
          <w:p w14:paraId="08A80670" w14:textId="7BCFEC77" w:rsidR="008D095A" w:rsidRPr="00345727" w:rsidRDefault="00C065C7"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0.0076</w:t>
            </w:r>
          </w:p>
          <w:p w14:paraId="310BB721"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0.0075</w:t>
            </w:r>
            <w:r>
              <w:rPr>
                <w:rFonts w:eastAsia="Times New Roman"/>
                <w:color w:val="000000"/>
                <w:sz w:val="20"/>
                <w:szCs w:val="20"/>
                <w:lang w:bidi="ar-SA"/>
              </w:rPr>
              <w:t>)</w:t>
            </w:r>
          </w:p>
        </w:tc>
        <w:tc>
          <w:tcPr>
            <w:tcW w:w="1836" w:type="dxa"/>
            <w:noWrap/>
            <w:vAlign w:val="center"/>
          </w:tcPr>
          <w:p w14:paraId="297D288F" w14:textId="72AF8FA2" w:rsidR="008D095A" w:rsidRPr="00345727" w:rsidRDefault="00C065C7"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0.0037</w:t>
            </w:r>
          </w:p>
          <w:p w14:paraId="4189B8EF"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0.011</w:t>
            </w:r>
            <w:r>
              <w:rPr>
                <w:rFonts w:eastAsia="Times New Roman"/>
                <w:color w:val="000000"/>
                <w:sz w:val="20"/>
                <w:szCs w:val="20"/>
                <w:lang w:bidi="ar-SA"/>
              </w:rPr>
              <w:t>)</w:t>
            </w:r>
          </w:p>
        </w:tc>
      </w:tr>
      <w:tr w:rsidR="008D095A" w:rsidRPr="00125107" w14:paraId="253988F0"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142ABD3"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Avg_Price</w:t>
            </w:r>
          </w:p>
        </w:tc>
        <w:tc>
          <w:tcPr>
            <w:tcW w:w="1836" w:type="dxa"/>
            <w:noWrap/>
            <w:vAlign w:val="center"/>
          </w:tcPr>
          <w:p w14:paraId="12B3694E" w14:textId="5426242D" w:rsidR="008D095A" w:rsidRPr="004C1530" w:rsidRDefault="00C065C7"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345727">
              <w:rPr>
                <w:rFonts w:eastAsia="Times New Roman"/>
                <w:b/>
                <w:bCs/>
                <w:color w:val="000000"/>
                <w:sz w:val="20"/>
                <w:szCs w:val="20"/>
                <w:lang w:bidi="ar-SA"/>
              </w:rPr>
              <w:t>0.3521</w:t>
            </w:r>
          </w:p>
          <w:p w14:paraId="07DB9B06"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0.0666</w:t>
            </w:r>
            <w:r>
              <w:rPr>
                <w:rFonts w:eastAsia="Times New Roman"/>
                <w:color w:val="000000"/>
                <w:sz w:val="20"/>
                <w:szCs w:val="20"/>
                <w:lang w:bidi="ar-SA"/>
              </w:rPr>
              <w:t>)</w:t>
            </w:r>
          </w:p>
        </w:tc>
        <w:tc>
          <w:tcPr>
            <w:tcW w:w="1836" w:type="dxa"/>
            <w:noWrap/>
            <w:vAlign w:val="center"/>
          </w:tcPr>
          <w:p w14:paraId="0ED6E5D0" w14:textId="5646A298" w:rsidR="008D095A" w:rsidRPr="004C1530" w:rsidRDefault="00C065C7"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345727">
              <w:rPr>
                <w:rFonts w:eastAsia="Times New Roman"/>
                <w:b/>
                <w:bCs/>
                <w:color w:val="000000"/>
                <w:sz w:val="20"/>
                <w:szCs w:val="20"/>
                <w:lang w:bidi="ar-SA"/>
              </w:rPr>
              <w:t>0.3552</w:t>
            </w:r>
          </w:p>
          <w:p w14:paraId="653B0B9E"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0.0641</w:t>
            </w:r>
            <w:r>
              <w:rPr>
                <w:rFonts w:eastAsia="Times New Roman"/>
                <w:color w:val="000000"/>
                <w:sz w:val="20"/>
                <w:szCs w:val="20"/>
                <w:lang w:bidi="ar-SA"/>
              </w:rPr>
              <w:t>)</w:t>
            </w:r>
          </w:p>
        </w:tc>
      </w:tr>
      <w:tr w:rsidR="008D095A" w:rsidRPr="00125107" w14:paraId="5D16A863"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B471F2E"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IncomePerCap</w:t>
            </w:r>
          </w:p>
        </w:tc>
        <w:tc>
          <w:tcPr>
            <w:tcW w:w="1836" w:type="dxa"/>
            <w:noWrap/>
            <w:vAlign w:val="center"/>
          </w:tcPr>
          <w:p w14:paraId="342199A3" w14:textId="77777777" w:rsidR="008D095A" w:rsidRPr="004C1530"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345727">
              <w:rPr>
                <w:rFonts w:eastAsia="Times New Roman"/>
                <w:b/>
                <w:bCs/>
                <w:color w:val="000000"/>
                <w:sz w:val="20"/>
                <w:szCs w:val="20"/>
                <w:lang w:bidi="ar-SA"/>
              </w:rPr>
              <w:t>0.2868</w:t>
            </w:r>
          </w:p>
          <w:p w14:paraId="080FBEB0" w14:textId="77777777" w:rsidR="008D095A" w:rsidRPr="00AB371E"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0.078</w:t>
            </w:r>
            <w:r>
              <w:rPr>
                <w:rFonts w:eastAsia="Times New Roman"/>
                <w:color w:val="000000"/>
                <w:sz w:val="20"/>
                <w:szCs w:val="20"/>
                <w:lang w:bidi="ar-SA"/>
              </w:rPr>
              <w:t>)</w:t>
            </w:r>
          </w:p>
        </w:tc>
        <w:tc>
          <w:tcPr>
            <w:tcW w:w="1836" w:type="dxa"/>
            <w:noWrap/>
            <w:vAlign w:val="center"/>
          </w:tcPr>
          <w:p w14:paraId="5F130974" w14:textId="77777777" w:rsidR="008D095A" w:rsidRPr="004C1530"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345727">
              <w:rPr>
                <w:rFonts w:eastAsia="Times New Roman"/>
                <w:b/>
                <w:bCs/>
                <w:color w:val="000000"/>
                <w:sz w:val="20"/>
                <w:szCs w:val="20"/>
                <w:lang w:bidi="ar-SA"/>
              </w:rPr>
              <w:t>0.3004</w:t>
            </w:r>
          </w:p>
          <w:p w14:paraId="785E84B9" w14:textId="77777777" w:rsidR="008D095A" w:rsidRPr="00AB371E"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0.0777</w:t>
            </w:r>
            <w:r>
              <w:rPr>
                <w:rFonts w:eastAsia="Times New Roman"/>
                <w:color w:val="000000"/>
                <w:sz w:val="20"/>
                <w:szCs w:val="20"/>
                <w:lang w:bidi="ar-SA"/>
              </w:rPr>
              <w:t>)</w:t>
            </w:r>
          </w:p>
        </w:tc>
      </w:tr>
      <w:tr w:rsidR="008D095A" w:rsidRPr="00125107" w14:paraId="3BCF4701" w14:textId="77777777" w:rsidTr="008D095A">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946CF7B"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Intercept</w:t>
            </w:r>
          </w:p>
        </w:tc>
        <w:tc>
          <w:tcPr>
            <w:tcW w:w="1836" w:type="dxa"/>
            <w:noWrap/>
            <w:vAlign w:val="center"/>
            <w:hideMark/>
          </w:tcPr>
          <w:p w14:paraId="464E187B"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c>
          <w:tcPr>
            <w:tcW w:w="1836" w:type="dxa"/>
            <w:noWrap/>
            <w:vAlign w:val="center"/>
            <w:hideMark/>
          </w:tcPr>
          <w:p w14:paraId="3D0DFD27" w14:textId="6ED88FA9" w:rsidR="008D095A" w:rsidRPr="00345727" w:rsidRDefault="00C065C7"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345727">
              <w:rPr>
                <w:rFonts w:eastAsia="Times New Roman"/>
                <w:color w:val="000000"/>
                <w:sz w:val="20"/>
                <w:szCs w:val="20"/>
                <w:lang w:bidi="ar-SA"/>
              </w:rPr>
              <w:t>0.9241</w:t>
            </w:r>
          </w:p>
          <w:p w14:paraId="5CB58C2B"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345727">
              <w:rPr>
                <w:rFonts w:eastAsia="Times New Roman"/>
                <w:color w:val="000000"/>
                <w:sz w:val="20"/>
                <w:szCs w:val="20"/>
                <w:lang w:bidi="ar-SA"/>
              </w:rPr>
              <w:t>1.1684</w:t>
            </w:r>
            <w:r>
              <w:rPr>
                <w:rFonts w:eastAsia="Times New Roman"/>
                <w:color w:val="000000"/>
                <w:sz w:val="20"/>
                <w:szCs w:val="20"/>
                <w:lang w:bidi="ar-SA"/>
              </w:rPr>
              <w:t>)</w:t>
            </w:r>
          </w:p>
        </w:tc>
      </w:tr>
      <w:tr w:rsidR="008D095A" w:rsidRPr="00125107" w14:paraId="448BC3DF"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9E3D518" w14:textId="571CAF2D" w:rsidR="008D095A" w:rsidRPr="00D85A63" w:rsidRDefault="00C065C7"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Estimator</w:t>
            </w:r>
          </w:p>
        </w:tc>
        <w:tc>
          <w:tcPr>
            <w:tcW w:w="1836" w:type="dxa"/>
            <w:noWrap/>
            <w:vAlign w:val="center"/>
            <w:hideMark/>
          </w:tcPr>
          <w:p w14:paraId="6D962E61" w14:textId="7EE4D1D0"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Within</w:t>
            </w:r>
          </w:p>
        </w:tc>
        <w:tc>
          <w:tcPr>
            <w:tcW w:w="1836" w:type="dxa"/>
            <w:noWrap/>
            <w:vAlign w:val="center"/>
            <w:hideMark/>
          </w:tcPr>
          <w:p w14:paraId="357E2CDC" w14:textId="04682418"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Random</w:t>
            </w:r>
          </w:p>
        </w:tc>
      </w:tr>
      <w:tr w:rsidR="008D095A" w:rsidRPr="00125107" w14:paraId="48475BC5"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0E61495"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adj.r.squared</w:t>
            </w:r>
          </w:p>
        </w:tc>
        <w:tc>
          <w:tcPr>
            <w:tcW w:w="1836" w:type="dxa"/>
            <w:noWrap/>
            <w:vAlign w:val="center"/>
          </w:tcPr>
          <w:p w14:paraId="4D31B330" w14:textId="77777777" w:rsidR="008D095A" w:rsidRPr="0034572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0.0857</w:t>
            </w:r>
          </w:p>
        </w:tc>
        <w:tc>
          <w:tcPr>
            <w:tcW w:w="1836" w:type="dxa"/>
            <w:noWrap/>
            <w:vAlign w:val="center"/>
          </w:tcPr>
          <w:p w14:paraId="06B426F6" w14:textId="77777777" w:rsidR="008D095A" w:rsidRPr="0034572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0.1782</w:t>
            </w:r>
          </w:p>
        </w:tc>
      </w:tr>
      <w:tr w:rsidR="008D095A" w:rsidRPr="00125107" w14:paraId="67C00501"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74987B71"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NRMSE</w:t>
            </w:r>
          </w:p>
        </w:tc>
        <w:tc>
          <w:tcPr>
            <w:tcW w:w="1836" w:type="dxa"/>
            <w:tcBorders>
              <w:bottom w:val="single" w:sz="4" w:space="0" w:color="7F7F7F" w:themeColor="text1" w:themeTint="80"/>
            </w:tcBorders>
            <w:noWrap/>
            <w:vAlign w:val="center"/>
          </w:tcPr>
          <w:p w14:paraId="50FF26E9"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0.0405</w:t>
            </w:r>
          </w:p>
        </w:tc>
        <w:tc>
          <w:tcPr>
            <w:tcW w:w="1836" w:type="dxa"/>
            <w:tcBorders>
              <w:bottom w:val="single" w:sz="4" w:space="0" w:color="7F7F7F" w:themeColor="text1" w:themeTint="80"/>
            </w:tcBorders>
            <w:noWrap/>
            <w:vAlign w:val="center"/>
          </w:tcPr>
          <w:p w14:paraId="6784ABCF"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0.0413</w:t>
            </w:r>
          </w:p>
        </w:tc>
      </w:tr>
      <w:tr w:rsidR="008D095A" w:rsidRPr="00125107" w14:paraId="75B6C595"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12" w:space="0" w:color="000000" w:themeColor="text1"/>
            </w:tcBorders>
            <w:vAlign w:val="center"/>
          </w:tcPr>
          <w:p w14:paraId="4C8CEB47" w14:textId="0EA61B17" w:rsidR="008D095A" w:rsidRPr="00D85A63" w:rsidRDefault="00C065C7"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Nobs</w:t>
            </w:r>
          </w:p>
        </w:tc>
        <w:tc>
          <w:tcPr>
            <w:tcW w:w="1836" w:type="dxa"/>
            <w:tcBorders>
              <w:bottom w:val="single" w:sz="12" w:space="0" w:color="000000" w:themeColor="text1"/>
            </w:tcBorders>
            <w:noWrap/>
            <w:vAlign w:val="center"/>
            <w:hideMark/>
          </w:tcPr>
          <w:p w14:paraId="31F6F82E"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505</w:t>
            </w:r>
          </w:p>
        </w:tc>
        <w:tc>
          <w:tcPr>
            <w:tcW w:w="1836" w:type="dxa"/>
            <w:tcBorders>
              <w:bottom w:val="single" w:sz="12" w:space="0" w:color="000000" w:themeColor="text1"/>
            </w:tcBorders>
            <w:noWrap/>
            <w:vAlign w:val="center"/>
            <w:hideMark/>
          </w:tcPr>
          <w:p w14:paraId="6A9BCA8F"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345727">
              <w:rPr>
                <w:rFonts w:eastAsia="Times New Roman"/>
                <w:color w:val="000000"/>
                <w:sz w:val="20"/>
                <w:szCs w:val="20"/>
                <w:lang w:bidi="ar-SA"/>
              </w:rPr>
              <w:t>488</w:t>
            </w:r>
          </w:p>
        </w:tc>
      </w:tr>
    </w:tbl>
    <w:p w14:paraId="7FC6EC12" w14:textId="3CC416E8" w:rsidR="006C09B3" w:rsidRDefault="006C09B3" w:rsidP="00336BCB">
      <w:pPr>
        <w:pStyle w:val="BodyText"/>
        <w:spacing w:before="120"/>
        <w:ind w:left="1890"/>
        <w:rPr>
          <w:sz w:val="18"/>
          <w:szCs w:val="18"/>
        </w:rPr>
      </w:pPr>
      <w:r w:rsidRPr="00824FAE">
        <w:rPr>
          <w:sz w:val="18"/>
          <w:szCs w:val="18"/>
        </w:rPr>
        <w:t xml:space="preserve">Notes: Bolded values indicate that the estimated elasticity is statistically </w:t>
      </w:r>
      <w:r w:rsidR="008D095A">
        <w:rPr>
          <w:sz w:val="18"/>
          <w:szCs w:val="18"/>
        </w:rPr>
        <w:br/>
      </w:r>
      <w:r w:rsidRPr="00824FAE">
        <w:rPr>
          <w:sz w:val="18"/>
          <w:szCs w:val="18"/>
        </w:rPr>
        <w:t>significant at the 10% level. Values in parenthesis are standard errors.</w:t>
      </w:r>
    </w:p>
    <w:p w14:paraId="34806403" w14:textId="77777777" w:rsidR="00336BCB" w:rsidRDefault="00336BCB" w:rsidP="00336BCB">
      <w:pPr>
        <w:pStyle w:val="BodyText"/>
      </w:pPr>
    </w:p>
    <w:p w14:paraId="087D77B9" w14:textId="19A15951" w:rsidR="006C09B3" w:rsidRPr="005E415F" w:rsidRDefault="00336BCB" w:rsidP="00321A44">
      <w:pPr>
        <w:pStyle w:val="AppendixTableCaption"/>
        <w:keepNext/>
        <w:rPr>
          <w:rFonts w:eastAsiaTheme="minorEastAsia"/>
          <w:lang w:eastAsia="zh-TW"/>
        </w:rPr>
      </w:pPr>
      <w:r>
        <w:lastRenderedPageBreak/>
        <w:t xml:space="preserve">Table </w:t>
      </w:r>
      <w:fldSimple w:instr=" STYLEREF 9 \s ">
        <w:r w:rsidR="00EE0BF5">
          <w:rPr>
            <w:noProof/>
          </w:rPr>
          <w:t>H</w:t>
        </w:r>
      </w:fldSimple>
      <w:r>
        <w:t>.</w:t>
      </w:r>
      <w:fldSimple w:instr=" SEQ Table_Apx \* ARABIC \s 9 ">
        <w:r w:rsidR="00EE0BF5">
          <w:rPr>
            <w:noProof/>
          </w:rPr>
          <w:t>7</w:t>
        </w:r>
      </w:fldSimple>
      <w:r w:rsidRPr="00485D84">
        <w:rPr>
          <w:rFonts w:eastAsia="PMingLiU"/>
          <w:lang w:bidi="en-US"/>
        </w:rPr>
        <w:t xml:space="preserve">. </w:t>
      </w:r>
      <w:r w:rsidR="006C09B3" w:rsidRPr="009960B1">
        <w:rPr>
          <w:rFonts w:eastAsiaTheme="minorEastAsia"/>
        </w:rPr>
        <w:t>WAPA-DSW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361025B9"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50669A45"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2B8F5DD9"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1C72D7AF"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24840685"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02A506AE"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0FFDF37E"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093A0E97"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7CC913CF"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353B4D8E" w14:textId="77777777" w:rsidR="008D095A" w:rsidRPr="004C1530"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0.0029</w:t>
            </w:r>
          </w:p>
          <w:p w14:paraId="3F1B1122"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0.029</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0C6D294F" w14:textId="77777777" w:rsidR="008D095A" w:rsidRPr="004C1530"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0.0444</w:t>
            </w:r>
          </w:p>
          <w:p w14:paraId="52D67B03"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0.0309</w:t>
            </w:r>
            <w:r>
              <w:rPr>
                <w:rFonts w:eastAsia="Times New Roman"/>
                <w:color w:val="000000"/>
                <w:sz w:val="20"/>
                <w:szCs w:val="20"/>
                <w:lang w:bidi="ar-SA"/>
              </w:rPr>
              <w:t>)</w:t>
            </w:r>
          </w:p>
        </w:tc>
      </w:tr>
      <w:tr w:rsidR="008D095A" w:rsidRPr="00125107" w14:paraId="761685DF"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34E6AEF"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CDD</w:t>
            </w:r>
          </w:p>
        </w:tc>
        <w:tc>
          <w:tcPr>
            <w:tcW w:w="1836" w:type="dxa"/>
            <w:noWrap/>
            <w:vAlign w:val="center"/>
          </w:tcPr>
          <w:p w14:paraId="7102E8F2" w14:textId="77777777" w:rsidR="008D095A" w:rsidRPr="0022579A"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0.1532</w:t>
            </w:r>
          </w:p>
          <w:p w14:paraId="17AF7BC9"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0.0928</w:t>
            </w:r>
            <w:r>
              <w:rPr>
                <w:rFonts w:eastAsia="Times New Roman"/>
                <w:color w:val="000000"/>
                <w:sz w:val="20"/>
                <w:szCs w:val="20"/>
                <w:lang w:bidi="ar-SA"/>
              </w:rPr>
              <w:t>)</w:t>
            </w:r>
          </w:p>
        </w:tc>
        <w:tc>
          <w:tcPr>
            <w:tcW w:w="1836" w:type="dxa"/>
            <w:noWrap/>
            <w:vAlign w:val="center"/>
          </w:tcPr>
          <w:p w14:paraId="422C88D7" w14:textId="77777777" w:rsidR="008D095A" w:rsidRPr="004C1530"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0.0798</w:t>
            </w:r>
          </w:p>
          <w:p w14:paraId="418A6A23"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0.0721</w:t>
            </w:r>
            <w:r>
              <w:rPr>
                <w:rFonts w:eastAsia="Times New Roman"/>
                <w:color w:val="000000"/>
                <w:sz w:val="20"/>
                <w:szCs w:val="20"/>
                <w:lang w:bidi="ar-SA"/>
              </w:rPr>
              <w:t>)</w:t>
            </w:r>
          </w:p>
        </w:tc>
      </w:tr>
      <w:tr w:rsidR="008D095A" w:rsidRPr="00125107" w14:paraId="6A74CF70"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91AAEF3"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Precipitation</w:t>
            </w:r>
          </w:p>
        </w:tc>
        <w:tc>
          <w:tcPr>
            <w:tcW w:w="1836" w:type="dxa"/>
            <w:noWrap/>
            <w:vAlign w:val="center"/>
          </w:tcPr>
          <w:p w14:paraId="3CD0D801" w14:textId="050C3C8F" w:rsidR="008D095A" w:rsidRPr="004C1530" w:rsidRDefault="00C065C7"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4C1530">
              <w:rPr>
                <w:rFonts w:eastAsia="Times New Roman"/>
                <w:color w:val="000000"/>
                <w:sz w:val="20"/>
                <w:szCs w:val="20"/>
                <w:lang w:bidi="ar-SA"/>
              </w:rPr>
              <w:t>0.0119</w:t>
            </w:r>
          </w:p>
          <w:p w14:paraId="32FB647F"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0.0177</w:t>
            </w:r>
            <w:r>
              <w:rPr>
                <w:rFonts w:eastAsia="Times New Roman"/>
                <w:color w:val="000000"/>
                <w:sz w:val="20"/>
                <w:szCs w:val="20"/>
                <w:lang w:bidi="ar-SA"/>
              </w:rPr>
              <w:t>)</w:t>
            </w:r>
          </w:p>
        </w:tc>
        <w:tc>
          <w:tcPr>
            <w:tcW w:w="1836" w:type="dxa"/>
            <w:noWrap/>
            <w:vAlign w:val="center"/>
          </w:tcPr>
          <w:p w14:paraId="714B3693" w14:textId="417BFEA9" w:rsidR="008D095A" w:rsidRPr="004C1530" w:rsidRDefault="00C065C7"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4C1530">
              <w:rPr>
                <w:rFonts w:eastAsia="Times New Roman"/>
                <w:color w:val="000000"/>
                <w:sz w:val="20"/>
                <w:szCs w:val="20"/>
                <w:lang w:bidi="ar-SA"/>
              </w:rPr>
              <w:t>0.0098</w:t>
            </w:r>
          </w:p>
          <w:p w14:paraId="6D798875"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0.012</w:t>
            </w:r>
            <w:r>
              <w:rPr>
                <w:rFonts w:eastAsia="Times New Roman"/>
                <w:color w:val="000000"/>
                <w:sz w:val="20"/>
                <w:szCs w:val="20"/>
                <w:lang w:bidi="ar-SA"/>
              </w:rPr>
              <w:t>)</w:t>
            </w:r>
          </w:p>
        </w:tc>
      </w:tr>
      <w:tr w:rsidR="008D095A" w:rsidRPr="00125107" w14:paraId="7C5B41D2"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E46DAEC"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Avg_Price</w:t>
            </w:r>
          </w:p>
        </w:tc>
        <w:tc>
          <w:tcPr>
            <w:tcW w:w="1836" w:type="dxa"/>
            <w:noWrap/>
            <w:vAlign w:val="center"/>
          </w:tcPr>
          <w:p w14:paraId="2F439840" w14:textId="4CE56286" w:rsidR="008D095A" w:rsidRPr="0022579A" w:rsidRDefault="00C065C7"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0.8622</w:t>
            </w:r>
          </w:p>
          <w:p w14:paraId="4F349D8D"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0.3179</w:t>
            </w:r>
            <w:r>
              <w:rPr>
                <w:rFonts w:eastAsia="Times New Roman"/>
                <w:color w:val="000000"/>
                <w:sz w:val="20"/>
                <w:szCs w:val="20"/>
                <w:lang w:bidi="ar-SA"/>
              </w:rPr>
              <w:t>)</w:t>
            </w:r>
          </w:p>
        </w:tc>
        <w:tc>
          <w:tcPr>
            <w:tcW w:w="1836" w:type="dxa"/>
            <w:noWrap/>
            <w:vAlign w:val="center"/>
          </w:tcPr>
          <w:p w14:paraId="308CFCF2" w14:textId="17019350" w:rsidR="008D095A" w:rsidRPr="0022579A" w:rsidRDefault="00C065C7"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0.8724</w:t>
            </w:r>
          </w:p>
          <w:p w14:paraId="2BD097C6"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0.3181</w:t>
            </w:r>
            <w:r>
              <w:rPr>
                <w:rFonts w:eastAsia="Times New Roman"/>
                <w:color w:val="000000"/>
                <w:sz w:val="20"/>
                <w:szCs w:val="20"/>
                <w:lang w:bidi="ar-SA"/>
              </w:rPr>
              <w:t>)</w:t>
            </w:r>
          </w:p>
        </w:tc>
      </w:tr>
      <w:tr w:rsidR="008D095A" w:rsidRPr="00125107" w14:paraId="3D7748E6"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3F90CA6"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IncomePerCap</w:t>
            </w:r>
          </w:p>
        </w:tc>
        <w:tc>
          <w:tcPr>
            <w:tcW w:w="1836" w:type="dxa"/>
            <w:noWrap/>
            <w:vAlign w:val="center"/>
          </w:tcPr>
          <w:p w14:paraId="47DF6310" w14:textId="77777777" w:rsidR="008D095A" w:rsidRPr="0022579A"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0.5201</w:t>
            </w:r>
          </w:p>
          <w:p w14:paraId="5FE8323B" w14:textId="77777777" w:rsidR="008D095A" w:rsidRPr="00AB371E"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0.1609</w:t>
            </w:r>
            <w:r>
              <w:rPr>
                <w:rFonts w:eastAsia="Times New Roman"/>
                <w:color w:val="000000"/>
                <w:sz w:val="20"/>
                <w:szCs w:val="20"/>
                <w:lang w:bidi="ar-SA"/>
              </w:rPr>
              <w:t>)</w:t>
            </w:r>
          </w:p>
        </w:tc>
        <w:tc>
          <w:tcPr>
            <w:tcW w:w="1836" w:type="dxa"/>
            <w:noWrap/>
            <w:vAlign w:val="center"/>
          </w:tcPr>
          <w:p w14:paraId="69DBDDF8" w14:textId="77777777" w:rsidR="008D095A" w:rsidRPr="0022579A"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0.5795</w:t>
            </w:r>
          </w:p>
          <w:p w14:paraId="32DF5972" w14:textId="77777777" w:rsidR="008D095A" w:rsidRPr="00AB371E"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0.1667</w:t>
            </w:r>
            <w:r>
              <w:rPr>
                <w:rFonts w:eastAsia="Times New Roman"/>
                <w:color w:val="000000"/>
                <w:sz w:val="20"/>
                <w:szCs w:val="20"/>
                <w:lang w:bidi="ar-SA"/>
              </w:rPr>
              <w:t>)</w:t>
            </w:r>
          </w:p>
        </w:tc>
      </w:tr>
      <w:tr w:rsidR="008D095A" w:rsidRPr="00125107" w14:paraId="37BC30C5" w14:textId="77777777" w:rsidTr="008D095A">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4347B45"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Intercept</w:t>
            </w:r>
          </w:p>
        </w:tc>
        <w:tc>
          <w:tcPr>
            <w:tcW w:w="1836" w:type="dxa"/>
            <w:noWrap/>
            <w:vAlign w:val="center"/>
            <w:hideMark/>
          </w:tcPr>
          <w:p w14:paraId="26BD57A5" w14:textId="327D155E" w:rsidR="008D095A" w:rsidRPr="0022579A" w:rsidRDefault="00C065C7"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5.1083</w:t>
            </w:r>
          </w:p>
          <w:p w14:paraId="48D81561"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2.8589</w:t>
            </w:r>
            <w:r>
              <w:rPr>
                <w:rFonts w:eastAsia="Times New Roman"/>
                <w:color w:val="000000"/>
                <w:sz w:val="20"/>
                <w:szCs w:val="20"/>
                <w:lang w:bidi="ar-SA"/>
              </w:rPr>
              <w:t>)</w:t>
            </w:r>
          </w:p>
        </w:tc>
        <w:tc>
          <w:tcPr>
            <w:tcW w:w="1836" w:type="dxa"/>
            <w:noWrap/>
            <w:vAlign w:val="center"/>
            <w:hideMark/>
          </w:tcPr>
          <w:p w14:paraId="24B90C2C" w14:textId="03A97E8F" w:rsidR="008D095A" w:rsidRPr="0022579A" w:rsidRDefault="00C065C7"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5.4541</w:t>
            </w:r>
          </w:p>
          <w:p w14:paraId="6A14B6F8" w14:textId="77777777" w:rsidR="008D095A" w:rsidRPr="0012510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4C1530">
              <w:rPr>
                <w:rFonts w:eastAsia="Times New Roman"/>
                <w:color w:val="000000"/>
                <w:sz w:val="20"/>
                <w:szCs w:val="20"/>
                <w:lang w:bidi="ar-SA"/>
              </w:rPr>
              <w:t>2.7566</w:t>
            </w:r>
            <w:r>
              <w:rPr>
                <w:rFonts w:eastAsia="Times New Roman"/>
                <w:color w:val="000000"/>
                <w:sz w:val="20"/>
                <w:szCs w:val="20"/>
                <w:lang w:bidi="ar-SA"/>
              </w:rPr>
              <w:t>)</w:t>
            </w:r>
          </w:p>
        </w:tc>
      </w:tr>
      <w:tr w:rsidR="008D095A" w:rsidRPr="00125107" w14:paraId="3FFC272B"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9A7C5E4" w14:textId="1502D424" w:rsidR="008D095A" w:rsidRPr="00D85A63" w:rsidRDefault="00C065C7"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Estimator</w:t>
            </w:r>
          </w:p>
        </w:tc>
        <w:tc>
          <w:tcPr>
            <w:tcW w:w="1836" w:type="dxa"/>
            <w:noWrap/>
            <w:vAlign w:val="center"/>
            <w:hideMark/>
          </w:tcPr>
          <w:p w14:paraId="1059BEE2" w14:textId="6625F589"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Random</w:t>
            </w:r>
          </w:p>
        </w:tc>
        <w:tc>
          <w:tcPr>
            <w:tcW w:w="1836" w:type="dxa"/>
            <w:noWrap/>
            <w:vAlign w:val="center"/>
            <w:hideMark/>
          </w:tcPr>
          <w:p w14:paraId="5DFCA2BD" w14:textId="715B5531"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Random</w:t>
            </w:r>
          </w:p>
        </w:tc>
      </w:tr>
      <w:tr w:rsidR="008D095A" w:rsidRPr="00125107" w14:paraId="3091CDF6"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77775C9"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adj.r.squared</w:t>
            </w:r>
          </w:p>
        </w:tc>
        <w:tc>
          <w:tcPr>
            <w:tcW w:w="1836" w:type="dxa"/>
            <w:noWrap/>
            <w:vAlign w:val="center"/>
          </w:tcPr>
          <w:p w14:paraId="1DA1EA15" w14:textId="77777777" w:rsidR="008D095A" w:rsidRPr="0034572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0.3943</w:t>
            </w:r>
          </w:p>
        </w:tc>
        <w:tc>
          <w:tcPr>
            <w:tcW w:w="1836" w:type="dxa"/>
            <w:noWrap/>
            <w:vAlign w:val="center"/>
          </w:tcPr>
          <w:p w14:paraId="679DECC9" w14:textId="77777777" w:rsidR="008D095A" w:rsidRPr="0034572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0.4005</w:t>
            </w:r>
          </w:p>
        </w:tc>
      </w:tr>
      <w:tr w:rsidR="008D095A" w:rsidRPr="00125107" w14:paraId="2373E57A"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64972245" w14:textId="77777777" w:rsidR="008D095A" w:rsidRPr="00D85A63" w:rsidRDefault="008D095A"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NRMSE</w:t>
            </w:r>
          </w:p>
        </w:tc>
        <w:tc>
          <w:tcPr>
            <w:tcW w:w="1836" w:type="dxa"/>
            <w:tcBorders>
              <w:bottom w:val="single" w:sz="4" w:space="0" w:color="7F7F7F" w:themeColor="text1" w:themeTint="80"/>
            </w:tcBorders>
            <w:noWrap/>
            <w:vAlign w:val="center"/>
          </w:tcPr>
          <w:p w14:paraId="3D074EEC"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0.0598</w:t>
            </w:r>
          </w:p>
        </w:tc>
        <w:tc>
          <w:tcPr>
            <w:tcW w:w="1836" w:type="dxa"/>
            <w:tcBorders>
              <w:bottom w:val="single" w:sz="4" w:space="0" w:color="7F7F7F" w:themeColor="text1" w:themeTint="80"/>
            </w:tcBorders>
            <w:noWrap/>
            <w:vAlign w:val="center"/>
          </w:tcPr>
          <w:p w14:paraId="5C6B8255"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0.0592</w:t>
            </w:r>
          </w:p>
        </w:tc>
      </w:tr>
      <w:tr w:rsidR="008D095A" w:rsidRPr="00125107" w14:paraId="78C3D4FF"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12" w:space="0" w:color="000000" w:themeColor="text1"/>
            </w:tcBorders>
            <w:vAlign w:val="center"/>
          </w:tcPr>
          <w:p w14:paraId="303730B2" w14:textId="4E961CF1" w:rsidR="008D095A" w:rsidRPr="00D85A63" w:rsidRDefault="00C065C7" w:rsidP="00DB5955">
            <w:pPr>
              <w:spacing w:before="0" w:after="0" w:line="240" w:lineRule="auto"/>
              <w:ind w:firstLine="0"/>
              <w:rPr>
                <w:rFonts w:eastAsia="Times New Roman"/>
                <w:b w:val="0"/>
                <w:bCs w:val="0"/>
                <w:color w:val="000000"/>
                <w:sz w:val="20"/>
                <w:szCs w:val="20"/>
                <w:lang w:bidi="ar-SA"/>
              </w:rPr>
            </w:pPr>
            <w:r w:rsidRPr="00D85A63">
              <w:rPr>
                <w:rFonts w:eastAsia="Times New Roman"/>
                <w:b w:val="0"/>
                <w:bCs w:val="0"/>
                <w:color w:val="000000"/>
                <w:sz w:val="20"/>
                <w:szCs w:val="20"/>
                <w:lang w:bidi="ar-SA"/>
              </w:rPr>
              <w:t>Nobs</w:t>
            </w:r>
          </w:p>
        </w:tc>
        <w:tc>
          <w:tcPr>
            <w:tcW w:w="1836" w:type="dxa"/>
            <w:tcBorders>
              <w:bottom w:val="single" w:sz="12" w:space="0" w:color="000000" w:themeColor="text1"/>
            </w:tcBorders>
            <w:noWrap/>
            <w:vAlign w:val="center"/>
            <w:hideMark/>
          </w:tcPr>
          <w:p w14:paraId="09E4C622"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529</w:t>
            </w:r>
          </w:p>
        </w:tc>
        <w:tc>
          <w:tcPr>
            <w:tcW w:w="1836" w:type="dxa"/>
            <w:tcBorders>
              <w:bottom w:val="single" w:sz="12" w:space="0" w:color="000000" w:themeColor="text1"/>
            </w:tcBorders>
            <w:noWrap/>
            <w:vAlign w:val="center"/>
            <w:hideMark/>
          </w:tcPr>
          <w:p w14:paraId="2891B46F"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4C1530">
              <w:rPr>
                <w:rFonts w:eastAsia="Times New Roman"/>
                <w:color w:val="000000"/>
                <w:sz w:val="20"/>
                <w:szCs w:val="20"/>
                <w:lang w:bidi="ar-SA"/>
              </w:rPr>
              <w:t>511</w:t>
            </w:r>
          </w:p>
        </w:tc>
      </w:tr>
    </w:tbl>
    <w:p w14:paraId="0BCF3034" w14:textId="03F0FC03" w:rsidR="006C09B3" w:rsidRDefault="006C09B3" w:rsidP="00336BCB">
      <w:pPr>
        <w:pStyle w:val="BodyText"/>
        <w:spacing w:before="120"/>
        <w:ind w:left="1890"/>
        <w:rPr>
          <w:sz w:val="18"/>
          <w:szCs w:val="18"/>
        </w:rPr>
      </w:pPr>
      <w:r w:rsidRPr="009960B1">
        <w:rPr>
          <w:sz w:val="18"/>
          <w:szCs w:val="18"/>
        </w:rPr>
        <w:t xml:space="preserve">Notes: Bolded values indicate that the estimated elasticity is statistically </w:t>
      </w:r>
      <w:r w:rsidR="008D095A">
        <w:rPr>
          <w:sz w:val="18"/>
          <w:szCs w:val="18"/>
        </w:rPr>
        <w:br/>
      </w:r>
      <w:r w:rsidRPr="009960B1">
        <w:rPr>
          <w:sz w:val="18"/>
          <w:szCs w:val="18"/>
        </w:rPr>
        <w:t>significant at the 10% level. Values in parenthesis are standard errors.</w:t>
      </w:r>
    </w:p>
    <w:p w14:paraId="2678EE38" w14:textId="77777777" w:rsidR="006C09B3" w:rsidRDefault="006C09B3" w:rsidP="006C09B3">
      <w:pPr>
        <w:pStyle w:val="BodyText"/>
        <w:rPr>
          <w:rFonts w:eastAsiaTheme="minorEastAsia"/>
          <w:sz w:val="18"/>
          <w:szCs w:val="18"/>
          <w:lang w:eastAsia="zh-TW"/>
        </w:rPr>
      </w:pPr>
    </w:p>
    <w:p w14:paraId="245846E6" w14:textId="5D4940F1" w:rsidR="006C09B3" w:rsidRPr="00162ECE" w:rsidRDefault="00336BCB" w:rsidP="00336BCB">
      <w:pPr>
        <w:pStyle w:val="AppendixTableCaption"/>
        <w:rPr>
          <w:rFonts w:eastAsiaTheme="minorEastAsia"/>
          <w:lang w:eastAsia="zh-TW"/>
        </w:rPr>
      </w:pPr>
      <w:r>
        <w:t xml:space="preserve">Table </w:t>
      </w:r>
      <w:fldSimple w:instr=" STYLEREF 9 \s ">
        <w:r w:rsidR="00EE0BF5">
          <w:rPr>
            <w:noProof/>
          </w:rPr>
          <w:t>H</w:t>
        </w:r>
      </w:fldSimple>
      <w:r>
        <w:t>.</w:t>
      </w:r>
      <w:fldSimple w:instr=" SEQ Table_Apx \* ARABIC \s 9 ">
        <w:r w:rsidR="00EE0BF5">
          <w:rPr>
            <w:noProof/>
          </w:rPr>
          <w:t>8</w:t>
        </w:r>
      </w:fldSimple>
      <w:r w:rsidRPr="00485D84">
        <w:rPr>
          <w:rFonts w:eastAsia="PMingLiU"/>
          <w:lang w:bidi="en-US"/>
        </w:rPr>
        <w:t xml:space="preserve">. </w:t>
      </w:r>
      <w:r w:rsidR="006C09B3" w:rsidRPr="00D85A63">
        <w:rPr>
          <w:rFonts w:eastAsiaTheme="minorEastAsia"/>
        </w:rPr>
        <w:t>SWPA-Integrated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77FB2F1D"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69A4B307"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1B752438"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4B33B53B"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7A4B6344"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36794B08"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664048BF"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44ED0E6B"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19BC7D37"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3EE9BA0A" w14:textId="77777777" w:rsidR="008D095A" w:rsidRPr="007C7DA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0.0806</w:t>
            </w:r>
          </w:p>
          <w:p w14:paraId="2792F7D6"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0.0172</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4C3A9D4A" w14:textId="77777777" w:rsidR="008D095A" w:rsidRPr="007C7DA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0.0957</w:t>
            </w:r>
          </w:p>
          <w:p w14:paraId="7FB103D5"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0.02</w:t>
            </w:r>
            <w:r>
              <w:rPr>
                <w:rFonts w:eastAsia="Times New Roman"/>
                <w:color w:val="000000"/>
                <w:sz w:val="20"/>
                <w:szCs w:val="20"/>
                <w:lang w:bidi="ar-SA"/>
              </w:rPr>
              <w:t>)</w:t>
            </w:r>
          </w:p>
        </w:tc>
      </w:tr>
      <w:tr w:rsidR="008D095A" w:rsidRPr="00125107" w14:paraId="13C1C187"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54F0B71"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CDD</w:t>
            </w:r>
          </w:p>
        </w:tc>
        <w:tc>
          <w:tcPr>
            <w:tcW w:w="1836" w:type="dxa"/>
            <w:noWrap/>
            <w:vAlign w:val="center"/>
          </w:tcPr>
          <w:p w14:paraId="4BB4F3EC" w14:textId="77777777" w:rsidR="008D095A" w:rsidRPr="007C7DA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0.1553</w:t>
            </w:r>
          </w:p>
          <w:p w14:paraId="77FE8C48"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0.0263</w:t>
            </w:r>
            <w:r>
              <w:rPr>
                <w:rFonts w:eastAsia="Times New Roman"/>
                <w:color w:val="000000"/>
                <w:sz w:val="20"/>
                <w:szCs w:val="20"/>
                <w:lang w:bidi="ar-SA"/>
              </w:rPr>
              <w:t>)</w:t>
            </w:r>
          </w:p>
        </w:tc>
        <w:tc>
          <w:tcPr>
            <w:tcW w:w="1836" w:type="dxa"/>
            <w:noWrap/>
            <w:vAlign w:val="center"/>
          </w:tcPr>
          <w:p w14:paraId="7B58A767" w14:textId="77777777" w:rsidR="008D095A" w:rsidRPr="007C7DA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0.1639</w:t>
            </w:r>
          </w:p>
          <w:p w14:paraId="131B275C"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0.0344</w:t>
            </w:r>
            <w:r>
              <w:rPr>
                <w:rFonts w:eastAsia="Times New Roman"/>
                <w:color w:val="000000"/>
                <w:sz w:val="20"/>
                <w:szCs w:val="20"/>
                <w:lang w:bidi="ar-SA"/>
              </w:rPr>
              <w:t>)</w:t>
            </w:r>
          </w:p>
        </w:tc>
      </w:tr>
      <w:tr w:rsidR="008D095A" w:rsidRPr="00125107" w14:paraId="42996246"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0B2A0800"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Precipitation</w:t>
            </w:r>
          </w:p>
        </w:tc>
        <w:tc>
          <w:tcPr>
            <w:tcW w:w="1836" w:type="dxa"/>
            <w:noWrap/>
            <w:vAlign w:val="center"/>
          </w:tcPr>
          <w:p w14:paraId="625E0287" w14:textId="1868EB66" w:rsidR="008D095A" w:rsidRPr="0022579A" w:rsidRDefault="00C065C7"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22579A">
              <w:rPr>
                <w:rFonts w:eastAsia="Times New Roman"/>
                <w:color w:val="000000"/>
                <w:sz w:val="20"/>
                <w:szCs w:val="20"/>
                <w:lang w:bidi="ar-SA"/>
              </w:rPr>
              <w:t>0.0163</w:t>
            </w:r>
          </w:p>
          <w:p w14:paraId="4B93F0F9"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0.0245</w:t>
            </w:r>
            <w:r>
              <w:rPr>
                <w:rFonts w:eastAsia="Times New Roman"/>
                <w:color w:val="000000"/>
                <w:sz w:val="20"/>
                <w:szCs w:val="20"/>
                <w:lang w:bidi="ar-SA"/>
              </w:rPr>
              <w:t>)</w:t>
            </w:r>
          </w:p>
        </w:tc>
        <w:tc>
          <w:tcPr>
            <w:tcW w:w="1836" w:type="dxa"/>
            <w:noWrap/>
            <w:vAlign w:val="center"/>
          </w:tcPr>
          <w:p w14:paraId="05906AEF" w14:textId="77777777" w:rsidR="008D095A" w:rsidRPr="0022579A"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22579A">
              <w:rPr>
                <w:rFonts w:eastAsia="Times New Roman"/>
                <w:color w:val="000000"/>
                <w:sz w:val="20"/>
                <w:szCs w:val="20"/>
                <w:lang w:bidi="ar-SA"/>
              </w:rPr>
              <w:t>0.0026</w:t>
            </w:r>
          </w:p>
          <w:p w14:paraId="10630A93"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0.0271</w:t>
            </w:r>
            <w:r>
              <w:rPr>
                <w:rFonts w:eastAsia="Times New Roman"/>
                <w:color w:val="000000"/>
                <w:sz w:val="20"/>
                <w:szCs w:val="20"/>
                <w:lang w:bidi="ar-SA"/>
              </w:rPr>
              <w:t>)</w:t>
            </w:r>
          </w:p>
        </w:tc>
      </w:tr>
      <w:tr w:rsidR="008D095A" w:rsidRPr="00125107" w14:paraId="7A69AB5C"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15BEC1A"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Avg_Price</w:t>
            </w:r>
          </w:p>
        </w:tc>
        <w:tc>
          <w:tcPr>
            <w:tcW w:w="1836" w:type="dxa"/>
            <w:noWrap/>
            <w:vAlign w:val="center"/>
          </w:tcPr>
          <w:p w14:paraId="7301D535" w14:textId="0C1B6B6B" w:rsidR="008D095A" w:rsidRPr="007C7DA7" w:rsidRDefault="00C065C7"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0.2337</w:t>
            </w:r>
          </w:p>
          <w:p w14:paraId="285D4738"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0.1251</w:t>
            </w:r>
            <w:r>
              <w:rPr>
                <w:rFonts w:eastAsia="Times New Roman"/>
                <w:color w:val="000000"/>
                <w:sz w:val="20"/>
                <w:szCs w:val="20"/>
                <w:lang w:bidi="ar-SA"/>
              </w:rPr>
              <w:t>)</w:t>
            </w:r>
          </w:p>
        </w:tc>
        <w:tc>
          <w:tcPr>
            <w:tcW w:w="1836" w:type="dxa"/>
            <w:noWrap/>
            <w:vAlign w:val="center"/>
          </w:tcPr>
          <w:p w14:paraId="1D81F7A7" w14:textId="12F4A6AA" w:rsidR="008D095A" w:rsidRPr="007C7DA7" w:rsidRDefault="00C065C7"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22579A">
              <w:rPr>
                <w:rFonts w:eastAsia="Times New Roman"/>
                <w:b/>
                <w:bCs/>
                <w:color w:val="000000"/>
                <w:sz w:val="20"/>
                <w:szCs w:val="20"/>
                <w:lang w:bidi="ar-SA"/>
              </w:rPr>
              <w:t>0.2282</w:t>
            </w:r>
          </w:p>
          <w:p w14:paraId="1E068003"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0.1231</w:t>
            </w:r>
            <w:r>
              <w:rPr>
                <w:rFonts w:eastAsia="Times New Roman"/>
                <w:color w:val="000000"/>
                <w:sz w:val="20"/>
                <w:szCs w:val="20"/>
                <w:lang w:bidi="ar-SA"/>
              </w:rPr>
              <w:t>)</w:t>
            </w:r>
          </w:p>
        </w:tc>
      </w:tr>
      <w:tr w:rsidR="008D095A" w:rsidRPr="00125107" w14:paraId="69089B80"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2DFD212"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IncomePerCap</w:t>
            </w:r>
          </w:p>
        </w:tc>
        <w:tc>
          <w:tcPr>
            <w:tcW w:w="1836" w:type="dxa"/>
            <w:noWrap/>
            <w:vAlign w:val="center"/>
          </w:tcPr>
          <w:p w14:paraId="5F40D507" w14:textId="77777777" w:rsidR="008D095A" w:rsidRPr="007C7DA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0.3042</w:t>
            </w:r>
          </w:p>
          <w:p w14:paraId="55395744" w14:textId="77777777" w:rsidR="008D095A" w:rsidRPr="00AB371E"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0.0979</w:t>
            </w:r>
            <w:r>
              <w:rPr>
                <w:rFonts w:eastAsia="Times New Roman"/>
                <w:color w:val="000000"/>
                <w:sz w:val="20"/>
                <w:szCs w:val="20"/>
                <w:lang w:bidi="ar-SA"/>
              </w:rPr>
              <w:t>)</w:t>
            </w:r>
          </w:p>
        </w:tc>
        <w:tc>
          <w:tcPr>
            <w:tcW w:w="1836" w:type="dxa"/>
            <w:noWrap/>
            <w:vAlign w:val="center"/>
          </w:tcPr>
          <w:p w14:paraId="13D5B0DC" w14:textId="77777777" w:rsidR="008D095A" w:rsidRPr="007C7DA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22579A">
              <w:rPr>
                <w:rFonts w:eastAsia="Times New Roman"/>
                <w:b/>
                <w:bCs/>
                <w:color w:val="000000"/>
                <w:sz w:val="20"/>
                <w:szCs w:val="20"/>
                <w:lang w:bidi="ar-SA"/>
              </w:rPr>
              <w:t>0.3091</w:t>
            </w:r>
          </w:p>
          <w:p w14:paraId="07EEA3A5" w14:textId="77777777" w:rsidR="008D095A" w:rsidRPr="00AB371E"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22579A">
              <w:rPr>
                <w:rFonts w:eastAsia="Times New Roman"/>
                <w:color w:val="000000"/>
                <w:sz w:val="20"/>
                <w:szCs w:val="20"/>
                <w:lang w:bidi="ar-SA"/>
              </w:rPr>
              <w:t>0.097</w:t>
            </w:r>
            <w:r>
              <w:rPr>
                <w:rFonts w:eastAsia="Times New Roman"/>
                <w:color w:val="000000"/>
                <w:sz w:val="20"/>
                <w:szCs w:val="20"/>
                <w:lang w:bidi="ar-SA"/>
              </w:rPr>
              <w:t>)</w:t>
            </w:r>
          </w:p>
        </w:tc>
      </w:tr>
      <w:tr w:rsidR="008D095A" w:rsidRPr="00125107" w14:paraId="6C33B450"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0A425DF0" w14:textId="1132BFF8"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Estimator</w:t>
            </w:r>
          </w:p>
        </w:tc>
        <w:tc>
          <w:tcPr>
            <w:tcW w:w="1836" w:type="dxa"/>
            <w:noWrap/>
            <w:vAlign w:val="center"/>
            <w:hideMark/>
          </w:tcPr>
          <w:p w14:paraId="10A57A25" w14:textId="5C089149"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22579A">
              <w:rPr>
                <w:rFonts w:eastAsia="Times New Roman"/>
                <w:color w:val="000000"/>
                <w:sz w:val="20"/>
                <w:szCs w:val="20"/>
                <w:lang w:bidi="ar-SA"/>
              </w:rPr>
              <w:t>Within</w:t>
            </w:r>
          </w:p>
        </w:tc>
        <w:tc>
          <w:tcPr>
            <w:tcW w:w="1836" w:type="dxa"/>
            <w:noWrap/>
            <w:vAlign w:val="center"/>
            <w:hideMark/>
          </w:tcPr>
          <w:p w14:paraId="374BA633" w14:textId="442500AF"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22579A">
              <w:rPr>
                <w:rFonts w:eastAsia="Times New Roman"/>
                <w:color w:val="000000"/>
                <w:sz w:val="20"/>
                <w:szCs w:val="20"/>
                <w:lang w:bidi="ar-SA"/>
              </w:rPr>
              <w:t>Within</w:t>
            </w:r>
          </w:p>
        </w:tc>
      </w:tr>
      <w:tr w:rsidR="008D095A" w:rsidRPr="00125107" w14:paraId="1960435E"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16994D56"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adj.r.squared</w:t>
            </w:r>
          </w:p>
        </w:tc>
        <w:tc>
          <w:tcPr>
            <w:tcW w:w="1836" w:type="dxa"/>
            <w:tcBorders>
              <w:bottom w:val="single" w:sz="4" w:space="0" w:color="7F7F7F" w:themeColor="text1" w:themeTint="80"/>
            </w:tcBorders>
            <w:noWrap/>
            <w:vAlign w:val="center"/>
          </w:tcPr>
          <w:p w14:paraId="773055E1" w14:textId="77777777" w:rsidR="008D095A" w:rsidRPr="00C065C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C065C7">
              <w:rPr>
                <w:rFonts w:eastAsia="Times New Roman"/>
                <w:color w:val="000000"/>
                <w:sz w:val="20"/>
                <w:szCs w:val="20"/>
                <w:lang w:bidi="ar-SA"/>
              </w:rPr>
              <w:t>0.2504</w:t>
            </w:r>
          </w:p>
        </w:tc>
        <w:tc>
          <w:tcPr>
            <w:tcW w:w="1836" w:type="dxa"/>
            <w:tcBorders>
              <w:bottom w:val="single" w:sz="4" w:space="0" w:color="7F7F7F" w:themeColor="text1" w:themeTint="80"/>
            </w:tcBorders>
            <w:noWrap/>
            <w:vAlign w:val="center"/>
          </w:tcPr>
          <w:p w14:paraId="145B9B44" w14:textId="77777777" w:rsidR="008D095A" w:rsidRPr="00C065C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C065C7">
              <w:rPr>
                <w:rFonts w:eastAsia="Times New Roman"/>
                <w:color w:val="000000"/>
                <w:sz w:val="20"/>
                <w:szCs w:val="20"/>
                <w:lang w:bidi="ar-SA"/>
              </w:rPr>
              <w:t>0.2559</w:t>
            </w:r>
          </w:p>
        </w:tc>
      </w:tr>
      <w:tr w:rsidR="008D095A" w:rsidRPr="00125107" w14:paraId="68358940"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D052173"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NRMSE</w:t>
            </w:r>
          </w:p>
        </w:tc>
        <w:tc>
          <w:tcPr>
            <w:tcW w:w="1836" w:type="dxa"/>
            <w:noWrap/>
            <w:vAlign w:val="center"/>
          </w:tcPr>
          <w:p w14:paraId="70EB50F4" w14:textId="77777777" w:rsidR="008D095A" w:rsidRPr="00C065C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C065C7">
              <w:rPr>
                <w:rFonts w:eastAsia="Times New Roman"/>
                <w:color w:val="000000"/>
                <w:sz w:val="20"/>
                <w:szCs w:val="20"/>
                <w:lang w:bidi="ar-SA"/>
              </w:rPr>
              <w:t>0.0465</w:t>
            </w:r>
          </w:p>
        </w:tc>
        <w:tc>
          <w:tcPr>
            <w:tcW w:w="1836" w:type="dxa"/>
            <w:noWrap/>
            <w:vAlign w:val="center"/>
          </w:tcPr>
          <w:p w14:paraId="0E8D9263" w14:textId="77777777" w:rsidR="008D095A" w:rsidRPr="00C065C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C065C7">
              <w:rPr>
                <w:rFonts w:eastAsia="Times New Roman"/>
                <w:color w:val="000000"/>
                <w:sz w:val="20"/>
                <w:szCs w:val="20"/>
                <w:lang w:bidi="ar-SA"/>
              </w:rPr>
              <w:t>0.0463</w:t>
            </w:r>
          </w:p>
        </w:tc>
      </w:tr>
      <w:tr w:rsidR="008D095A" w:rsidRPr="00125107" w14:paraId="2389296D" w14:textId="77777777" w:rsidTr="008D095A">
        <w:trPr>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4" w:space="0" w:color="7F7F7F" w:themeColor="text1" w:themeTint="80"/>
              <w:bottom w:val="single" w:sz="12" w:space="0" w:color="000000" w:themeColor="text1"/>
            </w:tcBorders>
            <w:vAlign w:val="center"/>
          </w:tcPr>
          <w:p w14:paraId="68DF394F" w14:textId="4883148A"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Nobs</w:t>
            </w:r>
          </w:p>
        </w:tc>
        <w:tc>
          <w:tcPr>
            <w:tcW w:w="1836" w:type="dxa"/>
            <w:tcBorders>
              <w:top w:val="single" w:sz="4" w:space="0" w:color="7F7F7F" w:themeColor="text1" w:themeTint="80"/>
              <w:bottom w:val="single" w:sz="12" w:space="0" w:color="000000" w:themeColor="text1"/>
            </w:tcBorders>
            <w:noWrap/>
            <w:vAlign w:val="center"/>
            <w:hideMark/>
          </w:tcPr>
          <w:p w14:paraId="7B91BAC4" w14:textId="7610643E"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22579A">
              <w:rPr>
                <w:rFonts w:eastAsia="Times New Roman"/>
                <w:color w:val="000000"/>
                <w:sz w:val="20"/>
                <w:szCs w:val="20"/>
                <w:lang w:bidi="ar-SA"/>
              </w:rPr>
              <w:t>1</w:t>
            </w:r>
            <w:r w:rsidR="00C065C7">
              <w:rPr>
                <w:rFonts w:eastAsia="Times New Roman"/>
                <w:color w:val="000000"/>
                <w:sz w:val="20"/>
                <w:szCs w:val="20"/>
                <w:lang w:bidi="ar-SA"/>
              </w:rPr>
              <w:t>,</w:t>
            </w:r>
            <w:r w:rsidRPr="0022579A">
              <w:rPr>
                <w:rFonts w:eastAsia="Times New Roman"/>
                <w:color w:val="000000"/>
                <w:sz w:val="20"/>
                <w:szCs w:val="20"/>
                <w:lang w:bidi="ar-SA"/>
              </w:rPr>
              <w:t>020</w:t>
            </w:r>
          </w:p>
        </w:tc>
        <w:tc>
          <w:tcPr>
            <w:tcW w:w="1836" w:type="dxa"/>
            <w:tcBorders>
              <w:top w:val="single" w:sz="4" w:space="0" w:color="7F7F7F" w:themeColor="text1" w:themeTint="80"/>
              <w:bottom w:val="single" w:sz="12" w:space="0" w:color="000000" w:themeColor="text1"/>
            </w:tcBorders>
            <w:noWrap/>
            <w:vAlign w:val="center"/>
            <w:hideMark/>
          </w:tcPr>
          <w:p w14:paraId="20B6E558" w14:textId="77777777"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22579A">
              <w:rPr>
                <w:rFonts w:eastAsia="Times New Roman"/>
                <w:color w:val="000000"/>
                <w:sz w:val="20"/>
                <w:szCs w:val="20"/>
                <w:lang w:bidi="ar-SA"/>
              </w:rPr>
              <w:t>986</w:t>
            </w:r>
          </w:p>
        </w:tc>
      </w:tr>
    </w:tbl>
    <w:p w14:paraId="600706DF" w14:textId="10EE6AA1" w:rsidR="006C09B3" w:rsidRDefault="006C09B3" w:rsidP="00336BCB">
      <w:pPr>
        <w:pStyle w:val="BodyText"/>
        <w:spacing w:before="120"/>
        <w:ind w:left="1890"/>
        <w:rPr>
          <w:rFonts w:eastAsiaTheme="minorEastAsia"/>
          <w:lang w:eastAsia="zh-TW"/>
        </w:rPr>
      </w:pPr>
      <w:r w:rsidRPr="00125107">
        <w:rPr>
          <w:sz w:val="20"/>
          <w:szCs w:val="20"/>
        </w:rPr>
        <w:t xml:space="preserve">Notes: Bolded </w:t>
      </w:r>
      <w:r w:rsidRPr="00AB6D9E">
        <w:rPr>
          <w:sz w:val="20"/>
          <w:szCs w:val="20"/>
        </w:rPr>
        <w:t xml:space="preserve">values indicate that the estimated elasticity is statistically </w:t>
      </w:r>
      <w:r w:rsidR="008D095A">
        <w:rPr>
          <w:sz w:val="20"/>
          <w:szCs w:val="20"/>
        </w:rPr>
        <w:br/>
      </w:r>
      <w:r w:rsidRPr="00AB6D9E">
        <w:rPr>
          <w:sz w:val="20"/>
          <w:szCs w:val="20"/>
        </w:rPr>
        <w:t>significant at the 10% level</w:t>
      </w:r>
      <w:r>
        <w:rPr>
          <w:sz w:val="20"/>
          <w:szCs w:val="20"/>
        </w:rPr>
        <w:t>. Values in parenthesis are standard errors.</w:t>
      </w:r>
    </w:p>
    <w:p w14:paraId="089F95C5" w14:textId="1D0B4EDB" w:rsidR="006C09B3" w:rsidRDefault="006C09B3" w:rsidP="006C09B3">
      <w:pPr>
        <w:pStyle w:val="BodyText"/>
        <w:rPr>
          <w:rFonts w:eastAsiaTheme="minorEastAsia"/>
          <w:lang w:eastAsia="zh-TW"/>
        </w:rPr>
      </w:pPr>
    </w:p>
    <w:p w14:paraId="55DCF33C" w14:textId="77777777" w:rsidR="00336BCB" w:rsidRDefault="00336BCB" w:rsidP="006C09B3">
      <w:pPr>
        <w:pStyle w:val="BodyText"/>
        <w:rPr>
          <w:rFonts w:eastAsiaTheme="minorEastAsia"/>
          <w:lang w:eastAsia="zh-TW"/>
        </w:rPr>
      </w:pPr>
    </w:p>
    <w:p w14:paraId="01A36D17" w14:textId="537CFB1D" w:rsidR="006C09B3" w:rsidRPr="00162ECE" w:rsidRDefault="00336BCB" w:rsidP="00336BCB">
      <w:pPr>
        <w:pStyle w:val="AppendixTableCaption"/>
        <w:rPr>
          <w:rFonts w:eastAsiaTheme="minorEastAsia"/>
          <w:lang w:eastAsia="zh-TW"/>
        </w:rPr>
      </w:pPr>
      <w:r>
        <w:lastRenderedPageBreak/>
        <w:t xml:space="preserve">Table </w:t>
      </w:r>
      <w:fldSimple w:instr=" STYLEREF 9 \s ">
        <w:r w:rsidR="00EE0BF5">
          <w:rPr>
            <w:noProof/>
          </w:rPr>
          <w:t>H</w:t>
        </w:r>
      </w:fldSimple>
      <w:r>
        <w:t>.</w:t>
      </w:r>
      <w:fldSimple w:instr=" SEQ Table_Apx \* ARABIC \s 9 ">
        <w:r w:rsidR="00EE0BF5">
          <w:rPr>
            <w:noProof/>
          </w:rPr>
          <w:t>9</w:t>
        </w:r>
      </w:fldSimple>
      <w:r w:rsidRPr="00485D84">
        <w:rPr>
          <w:rFonts w:eastAsia="PMingLiU"/>
          <w:lang w:bidi="en-US"/>
        </w:rPr>
        <w:t xml:space="preserve">. </w:t>
      </w:r>
      <w:r w:rsidR="006C09B3" w:rsidRPr="00D85A63">
        <w:rPr>
          <w:rFonts w:eastAsiaTheme="minorEastAsia"/>
        </w:rPr>
        <w:t>SEPA-Cumberland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04C523CD"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759CC86B"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13E9A0A9"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0236FD83"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19FB2FFD"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7B8A45A0"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029DFE72"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66416801"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12A83082"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100DFC31" w14:textId="77777777" w:rsidR="008D095A" w:rsidRPr="007C7DA7"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0.0825</w:t>
            </w:r>
          </w:p>
          <w:p w14:paraId="03909D33" w14:textId="77777777" w:rsidR="008D095A" w:rsidRPr="00125107"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0.007</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5DEB663F" w14:textId="77777777" w:rsidR="008D095A" w:rsidRPr="007C7DA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0.0837</w:t>
            </w:r>
          </w:p>
          <w:p w14:paraId="2ABE6BFC"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0.0074</w:t>
            </w:r>
            <w:r>
              <w:rPr>
                <w:rFonts w:eastAsia="Times New Roman"/>
                <w:color w:val="000000"/>
                <w:sz w:val="20"/>
                <w:szCs w:val="20"/>
                <w:lang w:bidi="ar-SA"/>
              </w:rPr>
              <w:t>)</w:t>
            </w:r>
          </w:p>
        </w:tc>
      </w:tr>
      <w:tr w:rsidR="008D095A" w:rsidRPr="00125107" w14:paraId="417B3B10"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63FD6CF"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CDD</w:t>
            </w:r>
          </w:p>
        </w:tc>
        <w:tc>
          <w:tcPr>
            <w:tcW w:w="1836" w:type="dxa"/>
            <w:noWrap/>
            <w:vAlign w:val="center"/>
          </w:tcPr>
          <w:p w14:paraId="1DF7C42E" w14:textId="77777777" w:rsidR="008D095A" w:rsidRPr="007C7DA7" w:rsidRDefault="008D095A" w:rsidP="00C065C7">
            <w:pPr>
              <w:tabs>
                <w:tab w:val="decimal" w:pos="69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0.0781</w:t>
            </w:r>
          </w:p>
          <w:p w14:paraId="452DEAAF" w14:textId="77777777" w:rsidR="008D095A" w:rsidRPr="00125107" w:rsidRDefault="008D095A" w:rsidP="00C065C7">
            <w:pPr>
              <w:tabs>
                <w:tab w:val="decimal" w:pos="69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0.0085</w:t>
            </w:r>
            <w:r>
              <w:rPr>
                <w:rFonts w:eastAsia="Times New Roman"/>
                <w:color w:val="000000"/>
                <w:sz w:val="20"/>
                <w:szCs w:val="20"/>
                <w:lang w:bidi="ar-SA"/>
              </w:rPr>
              <w:t>)</w:t>
            </w:r>
          </w:p>
        </w:tc>
        <w:tc>
          <w:tcPr>
            <w:tcW w:w="1836" w:type="dxa"/>
            <w:noWrap/>
            <w:vAlign w:val="center"/>
          </w:tcPr>
          <w:p w14:paraId="0D910A7A" w14:textId="77777777" w:rsidR="008D095A" w:rsidRPr="007C7DA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0.0802</w:t>
            </w:r>
          </w:p>
          <w:p w14:paraId="104BA811"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0.0083</w:t>
            </w:r>
            <w:r>
              <w:rPr>
                <w:rFonts w:eastAsia="Times New Roman"/>
                <w:color w:val="000000"/>
                <w:sz w:val="20"/>
                <w:szCs w:val="20"/>
                <w:lang w:bidi="ar-SA"/>
              </w:rPr>
              <w:t>)</w:t>
            </w:r>
          </w:p>
        </w:tc>
      </w:tr>
      <w:tr w:rsidR="008D095A" w:rsidRPr="00125107" w14:paraId="6FACCA4C"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F95B911"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Precipitation</w:t>
            </w:r>
          </w:p>
        </w:tc>
        <w:tc>
          <w:tcPr>
            <w:tcW w:w="1836" w:type="dxa"/>
            <w:noWrap/>
            <w:vAlign w:val="center"/>
          </w:tcPr>
          <w:p w14:paraId="43399D9B" w14:textId="4EAA837A" w:rsidR="008D095A" w:rsidRPr="007C7DA7" w:rsidRDefault="00C065C7"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7C7DA7">
              <w:rPr>
                <w:rFonts w:eastAsia="Times New Roman"/>
                <w:b/>
                <w:bCs/>
                <w:color w:val="000000"/>
                <w:sz w:val="20"/>
                <w:szCs w:val="20"/>
                <w:lang w:bidi="ar-SA"/>
              </w:rPr>
              <w:t>0.0261</w:t>
            </w:r>
          </w:p>
          <w:p w14:paraId="14601C07" w14:textId="77777777" w:rsidR="008D095A" w:rsidRPr="00125107"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0.0084</w:t>
            </w:r>
            <w:r>
              <w:rPr>
                <w:rFonts w:eastAsia="Times New Roman"/>
                <w:color w:val="000000"/>
                <w:sz w:val="20"/>
                <w:szCs w:val="20"/>
                <w:lang w:bidi="ar-SA"/>
              </w:rPr>
              <w:t>)</w:t>
            </w:r>
          </w:p>
        </w:tc>
        <w:tc>
          <w:tcPr>
            <w:tcW w:w="1836" w:type="dxa"/>
            <w:noWrap/>
            <w:vAlign w:val="center"/>
          </w:tcPr>
          <w:p w14:paraId="461FEE6B" w14:textId="7E82B03D" w:rsidR="008D095A" w:rsidRPr="007C7DA7" w:rsidRDefault="00C065C7"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008D095A" w:rsidRPr="007C7DA7">
              <w:rPr>
                <w:rFonts w:eastAsia="Times New Roman"/>
                <w:color w:val="000000"/>
                <w:sz w:val="20"/>
                <w:szCs w:val="20"/>
                <w:lang w:bidi="ar-SA"/>
              </w:rPr>
              <w:t>0.0083</w:t>
            </w:r>
          </w:p>
          <w:p w14:paraId="520A4959" w14:textId="77777777" w:rsidR="008D095A" w:rsidRPr="0012510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0.0077</w:t>
            </w:r>
            <w:r>
              <w:rPr>
                <w:rFonts w:eastAsia="Times New Roman"/>
                <w:color w:val="000000"/>
                <w:sz w:val="20"/>
                <w:szCs w:val="20"/>
                <w:lang w:bidi="ar-SA"/>
              </w:rPr>
              <w:t>)</w:t>
            </w:r>
          </w:p>
        </w:tc>
      </w:tr>
      <w:tr w:rsidR="008D095A" w:rsidRPr="00125107" w14:paraId="1E29840B"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2D9C62F"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Avg_Price</w:t>
            </w:r>
          </w:p>
        </w:tc>
        <w:tc>
          <w:tcPr>
            <w:tcW w:w="1836" w:type="dxa"/>
            <w:noWrap/>
            <w:vAlign w:val="center"/>
          </w:tcPr>
          <w:p w14:paraId="2B9F050C" w14:textId="76B01AF4" w:rsidR="008D095A" w:rsidRPr="006B7E47" w:rsidRDefault="00C065C7" w:rsidP="00C065C7">
            <w:pPr>
              <w:tabs>
                <w:tab w:val="decimal" w:pos="69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7C7DA7">
              <w:rPr>
                <w:rFonts w:eastAsia="Times New Roman"/>
                <w:b/>
                <w:bCs/>
                <w:color w:val="000000"/>
                <w:sz w:val="20"/>
                <w:szCs w:val="20"/>
                <w:lang w:bidi="ar-SA"/>
              </w:rPr>
              <w:t>0.5099</w:t>
            </w:r>
          </w:p>
          <w:p w14:paraId="0E916418" w14:textId="77777777" w:rsidR="008D095A" w:rsidRPr="00125107" w:rsidRDefault="008D095A" w:rsidP="00C065C7">
            <w:pPr>
              <w:tabs>
                <w:tab w:val="decimal" w:pos="69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0.0406</w:t>
            </w:r>
            <w:r>
              <w:rPr>
                <w:rFonts w:eastAsia="Times New Roman"/>
                <w:color w:val="000000"/>
                <w:sz w:val="20"/>
                <w:szCs w:val="20"/>
                <w:lang w:bidi="ar-SA"/>
              </w:rPr>
              <w:t>)</w:t>
            </w:r>
          </w:p>
        </w:tc>
        <w:tc>
          <w:tcPr>
            <w:tcW w:w="1836" w:type="dxa"/>
            <w:noWrap/>
            <w:vAlign w:val="center"/>
          </w:tcPr>
          <w:p w14:paraId="7AB9B22D" w14:textId="5D06FA26" w:rsidR="008D095A" w:rsidRPr="006B7E47" w:rsidRDefault="00C065C7"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7C7DA7">
              <w:rPr>
                <w:rFonts w:eastAsia="Times New Roman"/>
                <w:b/>
                <w:bCs/>
                <w:color w:val="000000"/>
                <w:sz w:val="20"/>
                <w:szCs w:val="20"/>
                <w:lang w:bidi="ar-SA"/>
              </w:rPr>
              <w:t>0.5057</w:t>
            </w:r>
          </w:p>
          <w:p w14:paraId="40F550CC"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0.0385</w:t>
            </w:r>
            <w:r>
              <w:rPr>
                <w:rFonts w:eastAsia="Times New Roman"/>
                <w:color w:val="000000"/>
                <w:sz w:val="20"/>
                <w:szCs w:val="20"/>
                <w:lang w:bidi="ar-SA"/>
              </w:rPr>
              <w:t>)</w:t>
            </w:r>
          </w:p>
        </w:tc>
      </w:tr>
      <w:tr w:rsidR="008D095A" w:rsidRPr="00125107" w14:paraId="008205E9"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39BB5CFC"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IncomePerCap</w:t>
            </w:r>
          </w:p>
        </w:tc>
        <w:tc>
          <w:tcPr>
            <w:tcW w:w="1836" w:type="dxa"/>
            <w:noWrap/>
            <w:vAlign w:val="center"/>
          </w:tcPr>
          <w:p w14:paraId="4895A3CF" w14:textId="77777777" w:rsidR="008D095A" w:rsidRPr="006B7E47"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0.4004</w:t>
            </w:r>
          </w:p>
          <w:p w14:paraId="2FBA08C7" w14:textId="77777777" w:rsidR="008D095A" w:rsidRPr="00AB371E"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0.0287</w:t>
            </w:r>
            <w:r>
              <w:rPr>
                <w:rFonts w:eastAsia="Times New Roman"/>
                <w:color w:val="000000"/>
                <w:sz w:val="20"/>
                <w:szCs w:val="20"/>
                <w:lang w:bidi="ar-SA"/>
              </w:rPr>
              <w:t>)</w:t>
            </w:r>
          </w:p>
        </w:tc>
        <w:tc>
          <w:tcPr>
            <w:tcW w:w="1836" w:type="dxa"/>
            <w:noWrap/>
            <w:vAlign w:val="center"/>
          </w:tcPr>
          <w:p w14:paraId="0EEF8633" w14:textId="77777777" w:rsidR="008D095A" w:rsidRPr="006B7E4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7C7DA7">
              <w:rPr>
                <w:rFonts w:eastAsia="Times New Roman"/>
                <w:b/>
                <w:bCs/>
                <w:color w:val="000000"/>
                <w:sz w:val="20"/>
                <w:szCs w:val="20"/>
                <w:lang w:bidi="ar-SA"/>
              </w:rPr>
              <w:t>0.4072</w:t>
            </w:r>
          </w:p>
          <w:p w14:paraId="15FC0615" w14:textId="77777777" w:rsidR="008D095A" w:rsidRPr="00AB371E"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7C7DA7">
              <w:rPr>
                <w:rFonts w:eastAsia="Times New Roman"/>
                <w:color w:val="000000"/>
                <w:sz w:val="20"/>
                <w:szCs w:val="20"/>
                <w:lang w:bidi="ar-SA"/>
              </w:rPr>
              <w:t>0.0276</w:t>
            </w:r>
            <w:r>
              <w:rPr>
                <w:rFonts w:eastAsia="Times New Roman"/>
                <w:color w:val="000000"/>
                <w:sz w:val="20"/>
                <w:szCs w:val="20"/>
                <w:lang w:bidi="ar-SA"/>
              </w:rPr>
              <w:t>)</w:t>
            </w:r>
          </w:p>
        </w:tc>
      </w:tr>
      <w:tr w:rsidR="008D095A" w:rsidRPr="00125107" w14:paraId="1C4A2E79"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17296A8D" w14:textId="357C3DD1"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Estimator</w:t>
            </w:r>
          </w:p>
        </w:tc>
        <w:tc>
          <w:tcPr>
            <w:tcW w:w="1836" w:type="dxa"/>
            <w:noWrap/>
            <w:vAlign w:val="center"/>
            <w:hideMark/>
          </w:tcPr>
          <w:p w14:paraId="6BE3BEFC" w14:textId="3EF105A2"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Within</w:t>
            </w:r>
          </w:p>
        </w:tc>
        <w:tc>
          <w:tcPr>
            <w:tcW w:w="1836" w:type="dxa"/>
            <w:noWrap/>
            <w:vAlign w:val="center"/>
            <w:hideMark/>
          </w:tcPr>
          <w:p w14:paraId="1B22ACC1" w14:textId="0E60C6DC"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Within</w:t>
            </w:r>
          </w:p>
        </w:tc>
      </w:tr>
      <w:tr w:rsidR="008D095A" w:rsidRPr="00125107" w14:paraId="775A9110"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64E5A0EF"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adj.r.squared</w:t>
            </w:r>
          </w:p>
        </w:tc>
        <w:tc>
          <w:tcPr>
            <w:tcW w:w="1836" w:type="dxa"/>
            <w:tcBorders>
              <w:bottom w:val="single" w:sz="4" w:space="0" w:color="7F7F7F" w:themeColor="text1" w:themeTint="80"/>
            </w:tcBorders>
            <w:noWrap/>
            <w:vAlign w:val="center"/>
          </w:tcPr>
          <w:p w14:paraId="76A296F6" w14:textId="77777777" w:rsidR="008D095A" w:rsidRPr="0034572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0.2826</w:t>
            </w:r>
          </w:p>
        </w:tc>
        <w:tc>
          <w:tcPr>
            <w:tcW w:w="1836" w:type="dxa"/>
            <w:tcBorders>
              <w:bottom w:val="single" w:sz="4" w:space="0" w:color="7F7F7F" w:themeColor="text1" w:themeTint="80"/>
            </w:tcBorders>
            <w:noWrap/>
            <w:vAlign w:val="center"/>
          </w:tcPr>
          <w:p w14:paraId="56864038" w14:textId="77777777" w:rsidR="008D095A" w:rsidRPr="00345727"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0.2917</w:t>
            </w:r>
          </w:p>
        </w:tc>
      </w:tr>
      <w:tr w:rsidR="008D095A" w:rsidRPr="00125107" w14:paraId="6ED63446"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687C0227"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NRMSE</w:t>
            </w:r>
          </w:p>
        </w:tc>
        <w:tc>
          <w:tcPr>
            <w:tcW w:w="1836" w:type="dxa"/>
            <w:noWrap/>
            <w:vAlign w:val="center"/>
          </w:tcPr>
          <w:p w14:paraId="223B10FD"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0.0255</w:t>
            </w:r>
          </w:p>
        </w:tc>
        <w:tc>
          <w:tcPr>
            <w:tcW w:w="1836" w:type="dxa"/>
            <w:noWrap/>
            <w:vAlign w:val="center"/>
          </w:tcPr>
          <w:p w14:paraId="4F078716" w14:textId="77777777" w:rsidR="008D095A" w:rsidRPr="00125107"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0.0250</w:t>
            </w:r>
          </w:p>
        </w:tc>
      </w:tr>
      <w:tr w:rsidR="008D095A" w:rsidRPr="00125107" w14:paraId="3ECE6427" w14:textId="77777777" w:rsidTr="008D095A">
        <w:trPr>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4" w:space="0" w:color="7F7F7F" w:themeColor="text1" w:themeTint="80"/>
              <w:bottom w:val="single" w:sz="12" w:space="0" w:color="000000" w:themeColor="text1"/>
            </w:tcBorders>
            <w:vAlign w:val="center"/>
          </w:tcPr>
          <w:p w14:paraId="2AA0671A" w14:textId="76862160"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Nobs</w:t>
            </w:r>
          </w:p>
        </w:tc>
        <w:tc>
          <w:tcPr>
            <w:tcW w:w="1836" w:type="dxa"/>
            <w:tcBorders>
              <w:top w:val="single" w:sz="4" w:space="0" w:color="7F7F7F" w:themeColor="text1" w:themeTint="80"/>
              <w:bottom w:val="single" w:sz="12" w:space="0" w:color="000000" w:themeColor="text1"/>
            </w:tcBorders>
            <w:noWrap/>
            <w:vAlign w:val="center"/>
            <w:hideMark/>
          </w:tcPr>
          <w:p w14:paraId="78DE9290" w14:textId="31B99E7E"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4</w:t>
            </w:r>
            <w:r w:rsidR="00C065C7">
              <w:rPr>
                <w:rFonts w:eastAsia="Times New Roman"/>
                <w:color w:val="000000"/>
                <w:sz w:val="20"/>
                <w:szCs w:val="20"/>
                <w:lang w:bidi="ar-SA"/>
              </w:rPr>
              <w:t>,</w:t>
            </w:r>
            <w:r w:rsidRPr="007C7DA7">
              <w:rPr>
                <w:rFonts w:eastAsia="Times New Roman"/>
                <w:color w:val="000000"/>
                <w:sz w:val="20"/>
                <w:szCs w:val="20"/>
                <w:lang w:bidi="ar-SA"/>
              </w:rPr>
              <w:t>860</w:t>
            </w:r>
          </w:p>
        </w:tc>
        <w:tc>
          <w:tcPr>
            <w:tcW w:w="1836" w:type="dxa"/>
            <w:tcBorders>
              <w:top w:val="single" w:sz="4" w:space="0" w:color="7F7F7F" w:themeColor="text1" w:themeTint="80"/>
              <w:bottom w:val="single" w:sz="12" w:space="0" w:color="000000" w:themeColor="text1"/>
            </w:tcBorders>
            <w:noWrap/>
            <w:vAlign w:val="center"/>
            <w:hideMark/>
          </w:tcPr>
          <w:p w14:paraId="0DA99BE5" w14:textId="390226EF"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7C7DA7">
              <w:rPr>
                <w:rFonts w:eastAsia="Times New Roman"/>
                <w:color w:val="000000"/>
                <w:sz w:val="20"/>
                <w:szCs w:val="20"/>
                <w:lang w:bidi="ar-SA"/>
              </w:rPr>
              <w:t>4</w:t>
            </w:r>
            <w:r w:rsidR="00C065C7">
              <w:rPr>
                <w:rFonts w:eastAsia="Times New Roman"/>
                <w:color w:val="000000"/>
                <w:sz w:val="20"/>
                <w:szCs w:val="20"/>
                <w:lang w:bidi="ar-SA"/>
              </w:rPr>
              <w:t>,</w:t>
            </w:r>
            <w:r w:rsidRPr="007C7DA7">
              <w:rPr>
                <w:rFonts w:eastAsia="Times New Roman"/>
                <w:color w:val="000000"/>
                <w:sz w:val="20"/>
                <w:szCs w:val="20"/>
                <w:lang w:bidi="ar-SA"/>
              </w:rPr>
              <w:t>698</w:t>
            </w:r>
          </w:p>
        </w:tc>
      </w:tr>
    </w:tbl>
    <w:p w14:paraId="0EE4FC58" w14:textId="0CE91CCB" w:rsidR="006C09B3" w:rsidRDefault="006C09B3" w:rsidP="00336BCB">
      <w:pPr>
        <w:pStyle w:val="BodyText"/>
        <w:spacing w:before="120"/>
        <w:ind w:left="1890"/>
        <w:rPr>
          <w:rFonts w:eastAsiaTheme="minorEastAsia"/>
          <w:sz w:val="18"/>
          <w:szCs w:val="18"/>
          <w:lang w:eastAsia="zh-TW"/>
        </w:rPr>
      </w:pPr>
      <w:r w:rsidRPr="00D85A63">
        <w:rPr>
          <w:sz w:val="18"/>
          <w:szCs w:val="18"/>
        </w:rPr>
        <w:t xml:space="preserve">Notes: </w:t>
      </w:r>
      <w:r w:rsidRPr="00336BCB">
        <w:rPr>
          <w:sz w:val="20"/>
          <w:szCs w:val="20"/>
        </w:rPr>
        <w:t>Bolded</w:t>
      </w:r>
      <w:r w:rsidRPr="00D85A63">
        <w:rPr>
          <w:sz w:val="18"/>
          <w:szCs w:val="18"/>
        </w:rPr>
        <w:t xml:space="preserve"> values indicate that the estimated elasticity is statistically </w:t>
      </w:r>
      <w:r w:rsidR="008D095A">
        <w:rPr>
          <w:sz w:val="18"/>
          <w:szCs w:val="18"/>
        </w:rPr>
        <w:br/>
      </w:r>
      <w:r w:rsidRPr="00D85A63">
        <w:rPr>
          <w:sz w:val="18"/>
          <w:szCs w:val="18"/>
        </w:rPr>
        <w:t>significant at the 10% level. Values in parenthesis are standard errors.</w:t>
      </w:r>
    </w:p>
    <w:p w14:paraId="1118628D" w14:textId="77777777" w:rsidR="006C09B3" w:rsidRPr="00D85A63" w:rsidRDefault="006C09B3" w:rsidP="006C09B3">
      <w:pPr>
        <w:pStyle w:val="BodyText"/>
        <w:rPr>
          <w:rFonts w:eastAsiaTheme="minorEastAsia"/>
          <w:sz w:val="18"/>
          <w:szCs w:val="18"/>
          <w:lang w:eastAsia="zh-TW"/>
        </w:rPr>
      </w:pPr>
    </w:p>
    <w:p w14:paraId="6F897F7B" w14:textId="377227AB" w:rsidR="006C09B3" w:rsidRPr="00162ECE" w:rsidRDefault="00336BCB" w:rsidP="00336BCB">
      <w:pPr>
        <w:pStyle w:val="AppendixTableCaption"/>
        <w:rPr>
          <w:rFonts w:eastAsiaTheme="minorEastAsia"/>
          <w:lang w:eastAsia="zh-TW"/>
        </w:rPr>
      </w:pPr>
      <w:r>
        <w:t xml:space="preserve">Table </w:t>
      </w:r>
      <w:fldSimple w:instr=" STYLEREF 9 \s ">
        <w:r w:rsidR="00EE0BF5">
          <w:rPr>
            <w:noProof/>
          </w:rPr>
          <w:t>H</w:t>
        </w:r>
      </w:fldSimple>
      <w:r>
        <w:t>.</w:t>
      </w:r>
      <w:fldSimple w:instr=" SEQ Table_Apx \* ARABIC \s 9 ">
        <w:r w:rsidR="00EE0BF5">
          <w:rPr>
            <w:noProof/>
          </w:rPr>
          <w:t>10</w:t>
        </w:r>
      </w:fldSimple>
      <w:r w:rsidRPr="00485D84">
        <w:rPr>
          <w:rFonts w:eastAsia="PMingLiU"/>
          <w:lang w:bidi="en-US"/>
        </w:rPr>
        <w:t xml:space="preserve">. </w:t>
      </w:r>
      <w:r w:rsidR="006C09B3" w:rsidRPr="002C4B81">
        <w:rPr>
          <w:rFonts w:eastAsiaTheme="minorEastAsia"/>
        </w:rPr>
        <w:t>SEPA Kerr-Philpott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2278BEA2"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08EC94BD"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251B46D2"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25417841"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0D360640"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02459D43"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43AED580"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750FF2FD"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5BAF1D8B"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02C39CC3" w14:textId="77777777" w:rsidR="008D095A" w:rsidRPr="00A20143"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0.1526</w:t>
            </w:r>
          </w:p>
          <w:p w14:paraId="256185A9"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0.0173</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29516D4E" w14:textId="77777777" w:rsidR="008D095A" w:rsidRPr="00A20143" w:rsidRDefault="008D095A"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0.1403</w:t>
            </w:r>
          </w:p>
          <w:p w14:paraId="33DB09B3" w14:textId="77777777" w:rsidR="008D095A" w:rsidRPr="00125107" w:rsidRDefault="008D095A"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0.0174</w:t>
            </w:r>
            <w:r>
              <w:rPr>
                <w:rFonts w:eastAsia="Times New Roman"/>
                <w:color w:val="000000"/>
                <w:sz w:val="20"/>
                <w:szCs w:val="20"/>
                <w:lang w:bidi="ar-SA"/>
              </w:rPr>
              <w:t>)</w:t>
            </w:r>
          </w:p>
        </w:tc>
      </w:tr>
      <w:tr w:rsidR="008D095A" w:rsidRPr="00125107" w14:paraId="000202B5"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FE9C160"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CDD</w:t>
            </w:r>
          </w:p>
        </w:tc>
        <w:tc>
          <w:tcPr>
            <w:tcW w:w="1836" w:type="dxa"/>
            <w:noWrap/>
            <w:vAlign w:val="center"/>
          </w:tcPr>
          <w:p w14:paraId="5F6070D0" w14:textId="77777777" w:rsidR="008D095A" w:rsidRPr="00A20143"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0.0464</w:t>
            </w:r>
          </w:p>
          <w:p w14:paraId="11D4C2BE"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0.0168</w:t>
            </w:r>
            <w:r>
              <w:rPr>
                <w:rFonts w:eastAsia="Times New Roman"/>
                <w:color w:val="000000"/>
                <w:sz w:val="20"/>
                <w:szCs w:val="20"/>
                <w:lang w:bidi="ar-SA"/>
              </w:rPr>
              <w:t>)</w:t>
            </w:r>
          </w:p>
        </w:tc>
        <w:tc>
          <w:tcPr>
            <w:tcW w:w="1836" w:type="dxa"/>
            <w:noWrap/>
            <w:vAlign w:val="center"/>
          </w:tcPr>
          <w:p w14:paraId="2A3FAB12" w14:textId="77777777" w:rsidR="008D095A" w:rsidRPr="00A20143" w:rsidRDefault="008D095A" w:rsidP="00C065C7">
            <w:pPr>
              <w:tabs>
                <w:tab w:val="decimal" w:pos="66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0.0605</w:t>
            </w:r>
          </w:p>
          <w:p w14:paraId="6792A648" w14:textId="77777777" w:rsidR="008D095A" w:rsidRPr="00125107" w:rsidRDefault="008D095A" w:rsidP="00C065C7">
            <w:pPr>
              <w:tabs>
                <w:tab w:val="decimal" w:pos="66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0.0179</w:t>
            </w:r>
            <w:r>
              <w:rPr>
                <w:rFonts w:eastAsia="Times New Roman"/>
                <w:color w:val="000000"/>
                <w:sz w:val="20"/>
                <w:szCs w:val="20"/>
                <w:lang w:bidi="ar-SA"/>
              </w:rPr>
              <w:t>)</w:t>
            </w:r>
          </w:p>
        </w:tc>
      </w:tr>
      <w:tr w:rsidR="008D095A" w:rsidRPr="00125107" w14:paraId="129DF872"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682E9877"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Precipitation</w:t>
            </w:r>
          </w:p>
        </w:tc>
        <w:tc>
          <w:tcPr>
            <w:tcW w:w="1836" w:type="dxa"/>
            <w:noWrap/>
            <w:vAlign w:val="center"/>
          </w:tcPr>
          <w:p w14:paraId="4757321A" w14:textId="6FB77937" w:rsidR="008D095A" w:rsidRPr="00A20143" w:rsidRDefault="00C065C7"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A20143">
              <w:rPr>
                <w:rFonts w:eastAsia="Times New Roman"/>
                <w:b/>
                <w:bCs/>
                <w:color w:val="000000"/>
                <w:sz w:val="20"/>
                <w:szCs w:val="20"/>
                <w:lang w:bidi="ar-SA"/>
              </w:rPr>
              <w:t>0.0286</w:t>
            </w:r>
          </w:p>
          <w:p w14:paraId="7729FD70" w14:textId="77777777" w:rsidR="008D095A" w:rsidRPr="00125107"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0.0126</w:t>
            </w:r>
            <w:r>
              <w:rPr>
                <w:rFonts w:eastAsia="Times New Roman"/>
                <w:color w:val="000000"/>
                <w:sz w:val="20"/>
                <w:szCs w:val="20"/>
                <w:lang w:bidi="ar-SA"/>
              </w:rPr>
              <w:t>)</w:t>
            </w:r>
          </w:p>
        </w:tc>
        <w:tc>
          <w:tcPr>
            <w:tcW w:w="1836" w:type="dxa"/>
            <w:noWrap/>
            <w:vAlign w:val="center"/>
          </w:tcPr>
          <w:p w14:paraId="20ECA468" w14:textId="6CB22505" w:rsidR="008D095A" w:rsidRPr="00A20143" w:rsidRDefault="00C065C7"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A20143">
              <w:rPr>
                <w:rFonts w:eastAsia="Times New Roman"/>
                <w:b/>
                <w:bCs/>
                <w:color w:val="000000"/>
                <w:sz w:val="20"/>
                <w:szCs w:val="20"/>
                <w:lang w:bidi="ar-SA"/>
              </w:rPr>
              <w:t>0.0219</w:t>
            </w:r>
          </w:p>
          <w:p w14:paraId="316BE0DB" w14:textId="77777777" w:rsidR="008D095A" w:rsidRPr="00125107" w:rsidRDefault="008D095A"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0.0118</w:t>
            </w:r>
            <w:r>
              <w:rPr>
                <w:rFonts w:eastAsia="Times New Roman"/>
                <w:color w:val="000000"/>
                <w:sz w:val="20"/>
                <w:szCs w:val="20"/>
                <w:lang w:bidi="ar-SA"/>
              </w:rPr>
              <w:t>)</w:t>
            </w:r>
          </w:p>
        </w:tc>
      </w:tr>
      <w:tr w:rsidR="008D095A" w:rsidRPr="00125107" w14:paraId="635F4879"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150DA72"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Avg_Price</w:t>
            </w:r>
          </w:p>
        </w:tc>
        <w:tc>
          <w:tcPr>
            <w:tcW w:w="1836" w:type="dxa"/>
            <w:noWrap/>
            <w:vAlign w:val="center"/>
          </w:tcPr>
          <w:p w14:paraId="77011E20" w14:textId="09431C58" w:rsidR="008D095A" w:rsidRPr="00A20143" w:rsidRDefault="00C065C7"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A20143">
              <w:rPr>
                <w:rFonts w:eastAsia="Times New Roman"/>
                <w:b/>
                <w:bCs/>
                <w:color w:val="000000"/>
                <w:sz w:val="20"/>
                <w:szCs w:val="20"/>
                <w:lang w:bidi="ar-SA"/>
              </w:rPr>
              <w:t>0.3517</w:t>
            </w:r>
          </w:p>
          <w:p w14:paraId="00EDB13B" w14:textId="77777777" w:rsidR="008D095A" w:rsidRPr="00125107" w:rsidRDefault="008D095A" w:rsidP="00C065C7">
            <w:pPr>
              <w:tabs>
                <w:tab w:val="decimal" w:pos="72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0.0898</w:t>
            </w:r>
            <w:r>
              <w:rPr>
                <w:rFonts w:eastAsia="Times New Roman"/>
                <w:color w:val="000000"/>
                <w:sz w:val="20"/>
                <w:szCs w:val="20"/>
                <w:lang w:bidi="ar-SA"/>
              </w:rPr>
              <w:t>)</w:t>
            </w:r>
          </w:p>
        </w:tc>
        <w:tc>
          <w:tcPr>
            <w:tcW w:w="1836" w:type="dxa"/>
            <w:noWrap/>
            <w:vAlign w:val="center"/>
          </w:tcPr>
          <w:p w14:paraId="39B4E4CC" w14:textId="6EA30241" w:rsidR="008D095A" w:rsidRPr="00A20143" w:rsidRDefault="00C065C7" w:rsidP="00C065C7">
            <w:pPr>
              <w:tabs>
                <w:tab w:val="decimal" w:pos="66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A20143">
              <w:rPr>
                <w:rFonts w:eastAsia="Times New Roman"/>
                <w:b/>
                <w:bCs/>
                <w:color w:val="000000"/>
                <w:sz w:val="20"/>
                <w:szCs w:val="20"/>
                <w:lang w:bidi="ar-SA"/>
              </w:rPr>
              <w:t>0.355</w:t>
            </w:r>
          </w:p>
          <w:p w14:paraId="6BBA4112" w14:textId="77777777" w:rsidR="008D095A" w:rsidRPr="00125107" w:rsidRDefault="008D095A" w:rsidP="00C065C7">
            <w:pPr>
              <w:tabs>
                <w:tab w:val="decimal" w:pos="66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0.0862</w:t>
            </w:r>
            <w:r>
              <w:rPr>
                <w:rFonts w:eastAsia="Times New Roman"/>
                <w:color w:val="000000"/>
                <w:sz w:val="20"/>
                <w:szCs w:val="20"/>
                <w:lang w:bidi="ar-SA"/>
              </w:rPr>
              <w:t>)</w:t>
            </w:r>
          </w:p>
        </w:tc>
      </w:tr>
      <w:tr w:rsidR="008D095A" w:rsidRPr="00125107" w14:paraId="3617D99A"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96C2A63"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IncomePerCap</w:t>
            </w:r>
          </w:p>
        </w:tc>
        <w:tc>
          <w:tcPr>
            <w:tcW w:w="1836" w:type="dxa"/>
            <w:noWrap/>
            <w:vAlign w:val="center"/>
          </w:tcPr>
          <w:p w14:paraId="1491E8A2" w14:textId="77777777" w:rsidR="008D095A" w:rsidRPr="00A20143"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0.3329</w:t>
            </w:r>
          </w:p>
          <w:p w14:paraId="3C9654E9" w14:textId="77777777" w:rsidR="008D095A" w:rsidRPr="00AB371E" w:rsidRDefault="008D095A" w:rsidP="00C065C7">
            <w:pPr>
              <w:tabs>
                <w:tab w:val="decimal" w:pos="72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0.0402</w:t>
            </w:r>
            <w:r>
              <w:rPr>
                <w:rFonts w:eastAsia="Times New Roman"/>
                <w:color w:val="000000"/>
                <w:sz w:val="20"/>
                <w:szCs w:val="20"/>
                <w:lang w:bidi="ar-SA"/>
              </w:rPr>
              <w:t>)</w:t>
            </w:r>
          </w:p>
        </w:tc>
        <w:tc>
          <w:tcPr>
            <w:tcW w:w="1836" w:type="dxa"/>
            <w:noWrap/>
            <w:vAlign w:val="center"/>
          </w:tcPr>
          <w:p w14:paraId="6E44421D" w14:textId="77777777" w:rsidR="008D095A" w:rsidRPr="00A20143" w:rsidRDefault="008D095A"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A20143">
              <w:rPr>
                <w:rFonts w:eastAsia="Times New Roman"/>
                <w:b/>
                <w:bCs/>
                <w:color w:val="000000"/>
                <w:sz w:val="20"/>
                <w:szCs w:val="20"/>
                <w:lang w:bidi="ar-SA"/>
              </w:rPr>
              <w:t>0.3414</w:t>
            </w:r>
          </w:p>
          <w:p w14:paraId="4BA939B6" w14:textId="77777777" w:rsidR="008D095A" w:rsidRPr="00AB371E" w:rsidRDefault="008D095A" w:rsidP="00C065C7">
            <w:pPr>
              <w:tabs>
                <w:tab w:val="decimal" w:pos="66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A20143">
              <w:rPr>
                <w:rFonts w:eastAsia="Times New Roman"/>
                <w:color w:val="000000"/>
                <w:sz w:val="20"/>
                <w:szCs w:val="20"/>
                <w:lang w:bidi="ar-SA"/>
              </w:rPr>
              <w:t>0.0393</w:t>
            </w:r>
            <w:r>
              <w:rPr>
                <w:rFonts w:eastAsia="Times New Roman"/>
                <w:color w:val="000000"/>
                <w:sz w:val="20"/>
                <w:szCs w:val="20"/>
                <w:lang w:bidi="ar-SA"/>
              </w:rPr>
              <w:t>)</w:t>
            </w:r>
          </w:p>
        </w:tc>
      </w:tr>
      <w:tr w:rsidR="008D095A" w:rsidRPr="00125107" w14:paraId="7F7D6DBF"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C03C4A8" w14:textId="2BE6FA1E"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Estimator</w:t>
            </w:r>
          </w:p>
        </w:tc>
        <w:tc>
          <w:tcPr>
            <w:tcW w:w="1836" w:type="dxa"/>
            <w:noWrap/>
            <w:vAlign w:val="center"/>
            <w:hideMark/>
          </w:tcPr>
          <w:p w14:paraId="0C8BE699" w14:textId="056D2920"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Within</w:t>
            </w:r>
          </w:p>
        </w:tc>
        <w:tc>
          <w:tcPr>
            <w:tcW w:w="1836" w:type="dxa"/>
            <w:noWrap/>
            <w:vAlign w:val="center"/>
            <w:hideMark/>
          </w:tcPr>
          <w:p w14:paraId="6E1A3C05" w14:textId="799672BF" w:rsidR="008D095A" w:rsidRPr="00125107" w:rsidRDefault="00C065C7"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Within</w:t>
            </w:r>
          </w:p>
        </w:tc>
      </w:tr>
      <w:tr w:rsidR="008D095A" w:rsidRPr="00125107" w14:paraId="6DBAA09B"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09E821D1"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adj.r.squared</w:t>
            </w:r>
          </w:p>
        </w:tc>
        <w:tc>
          <w:tcPr>
            <w:tcW w:w="1836" w:type="dxa"/>
            <w:tcBorders>
              <w:bottom w:val="single" w:sz="4" w:space="0" w:color="7F7F7F" w:themeColor="text1" w:themeTint="80"/>
            </w:tcBorders>
            <w:noWrap/>
            <w:vAlign w:val="center"/>
          </w:tcPr>
          <w:p w14:paraId="30087ACD" w14:textId="77777777" w:rsidR="008D095A" w:rsidRPr="00345727" w:rsidRDefault="008D095A" w:rsidP="00C065C7">
            <w:pPr>
              <w:tabs>
                <w:tab w:val="decimal" w:pos="69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0.3737</w:t>
            </w:r>
          </w:p>
        </w:tc>
        <w:tc>
          <w:tcPr>
            <w:tcW w:w="1836" w:type="dxa"/>
            <w:tcBorders>
              <w:bottom w:val="single" w:sz="4" w:space="0" w:color="7F7F7F" w:themeColor="text1" w:themeTint="80"/>
            </w:tcBorders>
            <w:noWrap/>
            <w:vAlign w:val="center"/>
          </w:tcPr>
          <w:p w14:paraId="505BD301" w14:textId="77777777" w:rsidR="008D095A" w:rsidRPr="00345727" w:rsidRDefault="008D095A" w:rsidP="00C065C7">
            <w:pPr>
              <w:tabs>
                <w:tab w:val="decimal" w:pos="64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0.3899</w:t>
            </w:r>
          </w:p>
        </w:tc>
      </w:tr>
      <w:tr w:rsidR="008D095A" w:rsidRPr="00125107" w14:paraId="170E1D58"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2BB052F2" w14:textId="77777777" w:rsidR="008D095A" w:rsidRPr="00491DE7" w:rsidRDefault="008D095A"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NRMSE</w:t>
            </w:r>
          </w:p>
        </w:tc>
        <w:tc>
          <w:tcPr>
            <w:tcW w:w="1836" w:type="dxa"/>
            <w:noWrap/>
            <w:vAlign w:val="center"/>
          </w:tcPr>
          <w:p w14:paraId="44BF8776" w14:textId="77777777" w:rsidR="008D095A" w:rsidRPr="00125107" w:rsidRDefault="008D095A" w:rsidP="00C065C7">
            <w:pPr>
              <w:tabs>
                <w:tab w:val="decimal" w:pos="69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0.0277</w:t>
            </w:r>
          </w:p>
        </w:tc>
        <w:tc>
          <w:tcPr>
            <w:tcW w:w="1836" w:type="dxa"/>
            <w:noWrap/>
            <w:vAlign w:val="center"/>
          </w:tcPr>
          <w:p w14:paraId="02BC90DD" w14:textId="77777777" w:rsidR="008D095A" w:rsidRPr="00125107" w:rsidRDefault="008D095A" w:rsidP="00C065C7">
            <w:pPr>
              <w:tabs>
                <w:tab w:val="decimal" w:pos="64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0.0273</w:t>
            </w:r>
          </w:p>
        </w:tc>
      </w:tr>
      <w:tr w:rsidR="008D095A" w:rsidRPr="00125107" w14:paraId="6B0BC174" w14:textId="77777777" w:rsidTr="008D095A">
        <w:trPr>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4" w:space="0" w:color="7F7F7F" w:themeColor="text1" w:themeTint="80"/>
              <w:bottom w:val="single" w:sz="12" w:space="0" w:color="000000" w:themeColor="text1"/>
            </w:tcBorders>
            <w:vAlign w:val="center"/>
          </w:tcPr>
          <w:p w14:paraId="13886F26" w14:textId="7637DAB7" w:rsidR="008D095A" w:rsidRPr="00491DE7" w:rsidRDefault="00C065C7" w:rsidP="00DB5955">
            <w:pPr>
              <w:spacing w:before="0" w:after="0" w:line="240" w:lineRule="auto"/>
              <w:ind w:firstLine="0"/>
              <w:rPr>
                <w:rFonts w:eastAsia="Times New Roman"/>
                <w:b w:val="0"/>
                <w:bCs w:val="0"/>
                <w:color w:val="000000"/>
                <w:sz w:val="20"/>
                <w:szCs w:val="20"/>
                <w:lang w:bidi="ar-SA"/>
              </w:rPr>
            </w:pPr>
            <w:r w:rsidRPr="00491DE7">
              <w:rPr>
                <w:rFonts w:eastAsia="Times New Roman"/>
                <w:b w:val="0"/>
                <w:bCs w:val="0"/>
                <w:color w:val="000000"/>
                <w:sz w:val="20"/>
                <w:szCs w:val="20"/>
                <w:lang w:bidi="ar-SA"/>
              </w:rPr>
              <w:t>Nobs</w:t>
            </w:r>
          </w:p>
        </w:tc>
        <w:tc>
          <w:tcPr>
            <w:tcW w:w="1836" w:type="dxa"/>
            <w:tcBorders>
              <w:top w:val="single" w:sz="4" w:space="0" w:color="7F7F7F" w:themeColor="text1" w:themeTint="80"/>
              <w:bottom w:val="single" w:sz="12" w:space="0" w:color="000000" w:themeColor="text1"/>
            </w:tcBorders>
            <w:noWrap/>
            <w:vAlign w:val="center"/>
            <w:hideMark/>
          </w:tcPr>
          <w:p w14:paraId="3BB2AD8F" w14:textId="1BBCEFBE"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1</w:t>
            </w:r>
            <w:r w:rsidR="00C065C7">
              <w:rPr>
                <w:rFonts w:eastAsia="Times New Roman"/>
                <w:color w:val="000000"/>
                <w:sz w:val="20"/>
                <w:szCs w:val="20"/>
                <w:lang w:bidi="ar-SA"/>
              </w:rPr>
              <w:t>,</w:t>
            </w:r>
            <w:r w:rsidRPr="00A20143">
              <w:rPr>
                <w:rFonts w:eastAsia="Times New Roman"/>
                <w:color w:val="000000"/>
                <w:sz w:val="20"/>
                <w:szCs w:val="20"/>
                <w:lang w:bidi="ar-SA"/>
              </w:rPr>
              <w:t>882</w:t>
            </w:r>
          </w:p>
        </w:tc>
        <w:tc>
          <w:tcPr>
            <w:tcW w:w="1836" w:type="dxa"/>
            <w:tcBorders>
              <w:top w:val="single" w:sz="4" w:space="0" w:color="7F7F7F" w:themeColor="text1" w:themeTint="80"/>
              <w:bottom w:val="single" w:sz="12" w:space="0" w:color="000000" w:themeColor="text1"/>
            </w:tcBorders>
            <w:noWrap/>
            <w:vAlign w:val="center"/>
            <w:hideMark/>
          </w:tcPr>
          <w:p w14:paraId="50B92D4D" w14:textId="3A46044C" w:rsidR="008D095A" w:rsidRPr="00125107" w:rsidRDefault="008D095A"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A20143">
              <w:rPr>
                <w:rFonts w:eastAsia="Times New Roman"/>
                <w:color w:val="000000"/>
                <w:sz w:val="20"/>
                <w:szCs w:val="20"/>
                <w:lang w:bidi="ar-SA"/>
              </w:rPr>
              <w:t>1</w:t>
            </w:r>
            <w:r w:rsidR="00C065C7">
              <w:rPr>
                <w:rFonts w:eastAsia="Times New Roman"/>
                <w:color w:val="000000"/>
                <w:sz w:val="20"/>
                <w:szCs w:val="20"/>
                <w:lang w:bidi="ar-SA"/>
              </w:rPr>
              <w:t>,</w:t>
            </w:r>
            <w:r w:rsidRPr="00A20143">
              <w:rPr>
                <w:rFonts w:eastAsia="Times New Roman"/>
                <w:color w:val="000000"/>
                <w:sz w:val="20"/>
                <w:szCs w:val="20"/>
                <w:lang w:bidi="ar-SA"/>
              </w:rPr>
              <w:t>819</w:t>
            </w:r>
          </w:p>
        </w:tc>
      </w:tr>
    </w:tbl>
    <w:p w14:paraId="3D098137" w14:textId="604BDD4F" w:rsidR="006C09B3" w:rsidRPr="002C4B81" w:rsidRDefault="006C09B3" w:rsidP="00336BCB">
      <w:pPr>
        <w:pStyle w:val="BodyText"/>
        <w:spacing w:before="120"/>
        <w:ind w:left="1890"/>
        <w:rPr>
          <w:rFonts w:eastAsiaTheme="minorEastAsia"/>
          <w:sz w:val="18"/>
          <w:szCs w:val="18"/>
          <w:lang w:eastAsia="zh-TW"/>
        </w:rPr>
      </w:pPr>
      <w:r w:rsidRPr="002C4B81">
        <w:rPr>
          <w:sz w:val="18"/>
          <w:szCs w:val="18"/>
        </w:rPr>
        <w:t xml:space="preserve">Notes: Bolded values indicate that the estimated elasticity is statistically </w:t>
      </w:r>
      <w:r w:rsidR="008D095A">
        <w:rPr>
          <w:sz w:val="18"/>
          <w:szCs w:val="18"/>
        </w:rPr>
        <w:br/>
      </w:r>
      <w:r w:rsidRPr="002C4B81">
        <w:rPr>
          <w:sz w:val="18"/>
          <w:szCs w:val="18"/>
        </w:rPr>
        <w:t>significant at the 10% level. Values in parenthesis are standard errors.</w:t>
      </w:r>
    </w:p>
    <w:p w14:paraId="30AF0169" w14:textId="77777777" w:rsidR="006C09B3" w:rsidRDefault="006C09B3" w:rsidP="006C09B3">
      <w:pPr>
        <w:pStyle w:val="BodyText"/>
        <w:rPr>
          <w:rFonts w:eastAsiaTheme="minorEastAsia"/>
          <w:lang w:eastAsia="zh-TW"/>
        </w:rPr>
      </w:pPr>
    </w:p>
    <w:p w14:paraId="44D5D83C" w14:textId="77777777" w:rsidR="006C09B3" w:rsidRDefault="006C09B3" w:rsidP="006C09B3">
      <w:pPr>
        <w:pStyle w:val="BodyText"/>
        <w:rPr>
          <w:rFonts w:eastAsiaTheme="minorEastAsia"/>
          <w:lang w:eastAsia="zh-TW"/>
        </w:rPr>
      </w:pPr>
    </w:p>
    <w:p w14:paraId="5AD54D63" w14:textId="77777777" w:rsidR="006C09B3" w:rsidRDefault="006C09B3" w:rsidP="006C09B3">
      <w:pPr>
        <w:pStyle w:val="BodyText"/>
        <w:rPr>
          <w:rFonts w:eastAsiaTheme="minorEastAsia"/>
          <w:lang w:eastAsia="zh-TW"/>
        </w:rPr>
      </w:pPr>
    </w:p>
    <w:p w14:paraId="4406B5C4" w14:textId="3ACDC335" w:rsidR="006C09B3" w:rsidRPr="00162ECE" w:rsidRDefault="00336BCB" w:rsidP="00336BCB">
      <w:pPr>
        <w:pStyle w:val="AppendixTableCaption"/>
        <w:rPr>
          <w:rFonts w:eastAsiaTheme="minorEastAsia"/>
          <w:lang w:eastAsia="zh-TW"/>
        </w:rPr>
      </w:pPr>
      <w:r>
        <w:lastRenderedPageBreak/>
        <w:t xml:space="preserve">Table </w:t>
      </w:r>
      <w:fldSimple w:instr=" STYLEREF 9 \s ">
        <w:r w:rsidR="00EE0BF5">
          <w:rPr>
            <w:noProof/>
          </w:rPr>
          <w:t>H</w:t>
        </w:r>
      </w:fldSimple>
      <w:r>
        <w:t>.</w:t>
      </w:r>
      <w:fldSimple w:instr=" SEQ Table_Apx \* ARABIC \s 9 ">
        <w:r w:rsidR="00EE0BF5">
          <w:rPr>
            <w:noProof/>
          </w:rPr>
          <w:t>11</w:t>
        </w:r>
      </w:fldSimple>
      <w:r w:rsidRPr="00485D84">
        <w:rPr>
          <w:rFonts w:eastAsia="PMingLiU"/>
          <w:lang w:bidi="en-US"/>
        </w:rPr>
        <w:t xml:space="preserve">. </w:t>
      </w:r>
      <w:r w:rsidR="006C09B3" w:rsidRPr="002C4B81">
        <w:rPr>
          <w:rFonts w:eastAsiaTheme="minorEastAsia"/>
        </w:rPr>
        <w:t>SEPA-GA</w:t>
      </w:r>
      <w:r w:rsidR="006C09B3">
        <w:rPr>
          <w:rFonts w:eastAsiaTheme="minorEastAsia"/>
        </w:rPr>
        <w:t>/</w:t>
      </w:r>
      <w:r w:rsidR="006C09B3" w:rsidRPr="002C4B81">
        <w:rPr>
          <w:rFonts w:eastAsiaTheme="minorEastAsia"/>
        </w:rPr>
        <w:t>AL</w:t>
      </w:r>
      <w:r w:rsidR="006C09B3">
        <w:rPr>
          <w:rFonts w:eastAsiaTheme="minorEastAsia"/>
        </w:rPr>
        <w:t>/</w:t>
      </w:r>
      <w:r w:rsidR="006C09B3" w:rsidRPr="002C4B81">
        <w:rPr>
          <w:rFonts w:eastAsiaTheme="minorEastAsia"/>
        </w:rPr>
        <w:t>SC</w:t>
      </w:r>
      <w:r w:rsidR="006C09B3">
        <w:rPr>
          <w:rFonts w:eastAsiaTheme="minorEastAsia"/>
        </w:rPr>
        <w:t>/</w:t>
      </w:r>
      <w:r w:rsidR="006C09B3" w:rsidRPr="002C4B81">
        <w:rPr>
          <w:rFonts w:eastAsiaTheme="minorEastAsia"/>
        </w:rPr>
        <w:t>JW Electricity Sales Estimated Equations</w:t>
      </w:r>
    </w:p>
    <w:tbl>
      <w:tblPr>
        <w:tblStyle w:val="PlainTable2"/>
        <w:tblW w:w="5508" w:type="dxa"/>
        <w:jc w:val="center"/>
        <w:tblLayout w:type="fixed"/>
        <w:tblCellMar>
          <w:left w:w="58" w:type="dxa"/>
          <w:right w:w="58" w:type="dxa"/>
        </w:tblCellMar>
        <w:tblLook w:val="04A0" w:firstRow="1" w:lastRow="0" w:firstColumn="1" w:lastColumn="0" w:noHBand="0" w:noVBand="1"/>
      </w:tblPr>
      <w:tblGrid>
        <w:gridCol w:w="1836"/>
        <w:gridCol w:w="1836"/>
        <w:gridCol w:w="1836"/>
      </w:tblGrid>
      <w:tr w:rsidR="008D095A" w:rsidRPr="00125107" w14:paraId="23208BB7" w14:textId="77777777" w:rsidTr="008D095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val="restart"/>
            <w:tcBorders>
              <w:top w:val="single" w:sz="12" w:space="0" w:color="000000" w:themeColor="text1"/>
            </w:tcBorders>
            <w:vAlign w:val="center"/>
          </w:tcPr>
          <w:p w14:paraId="50780222" w14:textId="77777777" w:rsidR="008D095A" w:rsidRPr="00125107" w:rsidRDefault="008D095A" w:rsidP="00DB5955">
            <w:pPr>
              <w:spacing w:before="0" w:after="0" w:line="240" w:lineRule="auto"/>
              <w:ind w:firstLine="0"/>
              <w:rPr>
                <w:rFonts w:eastAsia="Times New Roman"/>
                <w:color w:val="000000"/>
                <w:sz w:val="20"/>
                <w:szCs w:val="20"/>
                <w:lang w:bidi="ar-SA"/>
              </w:rPr>
            </w:pPr>
          </w:p>
        </w:tc>
        <w:tc>
          <w:tcPr>
            <w:tcW w:w="3672" w:type="dxa"/>
            <w:gridSpan w:val="2"/>
            <w:tcBorders>
              <w:top w:val="single" w:sz="12" w:space="0" w:color="000000" w:themeColor="text1"/>
            </w:tcBorders>
            <w:noWrap/>
            <w:vAlign w:val="center"/>
            <w:hideMark/>
          </w:tcPr>
          <w:p w14:paraId="628BAAB3" w14:textId="77777777" w:rsidR="008D095A" w:rsidRPr="00125107" w:rsidRDefault="008D095A" w:rsidP="00DB5955">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Total sales</w:t>
            </w:r>
          </w:p>
        </w:tc>
      </w:tr>
      <w:tr w:rsidR="008D095A" w:rsidRPr="00125107" w14:paraId="0F9D3778"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vMerge/>
            <w:tcBorders>
              <w:bottom w:val="single" w:sz="12" w:space="0" w:color="000000" w:themeColor="text1"/>
            </w:tcBorders>
            <w:vAlign w:val="center"/>
          </w:tcPr>
          <w:p w14:paraId="329CBA88" w14:textId="77777777" w:rsidR="008D095A" w:rsidRPr="006148E2" w:rsidRDefault="008D095A" w:rsidP="00DB5955">
            <w:pPr>
              <w:spacing w:before="0" w:after="0" w:line="240" w:lineRule="auto"/>
              <w:ind w:firstLine="0"/>
              <w:rPr>
                <w:rFonts w:eastAsia="Times New Roman"/>
                <w:b w:val="0"/>
                <w:bCs w:val="0"/>
                <w:color w:val="000000"/>
                <w:sz w:val="20"/>
                <w:szCs w:val="20"/>
                <w:lang w:bidi="ar-SA"/>
              </w:rPr>
            </w:pPr>
          </w:p>
        </w:tc>
        <w:tc>
          <w:tcPr>
            <w:tcW w:w="1836" w:type="dxa"/>
            <w:tcBorders>
              <w:bottom w:val="single" w:sz="12" w:space="0" w:color="000000" w:themeColor="text1"/>
            </w:tcBorders>
            <w:noWrap/>
            <w:vAlign w:val="center"/>
            <w:hideMark/>
          </w:tcPr>
          <w:p w14:paraId="6D0E0900"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Daymet</w:t>
            </w:r>
          </w:p>
        </w:tc>
        <w:tc>
          <w:tcPr>
            <w:tcW w:w="1836" w:type="dxa"/>
            <w:tcBorders>
              <w:bottom w:val="single" w:sz="12" w:space="0" w:color="000000" w:themeColor="text1"/>
            </w:tcBorders>
            <w:noWrap/>
            <w:vAlign w:val="center"/>
            <w:hideMark/>
          </w:tcPr>
          <w:p w14:paraId="4E7C3F82" w14:textId="77777777"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125107">
              <w:rPr>
                <w:rFonts w:eastAsia="Times New Roman"/>
                <w:color w:val="000000"/>
                <w:sz w:val="20"/>
                <w:szCs w:val="20"/>
                <w:lang w:bidi="ar-SA"/>
              </w:rPr>
              <w:t>Livneh</w:t>
            </w:r>
          </w:p>
        </w:tc>
      </w:tr>
      <w:tr w:rsidR="008D095A" w:rsidRPr="00125107" w14:paraId="3B20F4F7" w14:textId="77777777" w:rsidTr="008D095A">
        <w:trPr>
          <w:trHeight w:val="305"/>
          <w:jc w:val="center"/>
        </w:trPr>
        <w:tc>
          <w:tcPr>
            <w:cnfStyle w:val="001000000000" w:firstRow="0" w:lastRow="0" w:firstColumn="1" w:lastColumn="0" w:oddVBand="0" w:evenVBand="0" w:oddHBand="0" w:evenHBand="0" w:firstRowFirstColumn="0" w:firstRowLastColumn="0" w:lastRowFirstColumn="0" w:lastRowLastColumn="0"/>
            <w:tcW w:w="1836" w:type="dxa"/>
            <w:tcBorders>
              <w:top w:val="single" w:sz="12" w:space="0" w:color="000000" w:themeColor="text1"/>
            </w:tcBorders>
            <w:vAlign w:val="center"/>
          </w:tcPr>
          <w:p w14:paraId="1D65B6E2"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HDD</w:t>
            </w:r>
          </w:p>
        </w:tc>
        <w:tc>
          <w:tcPr>
            <w:tcW w:w="1836" w:type="dxa"/>
            <w:tcBorders>
              <w:top w:val="single" w:sz="12" w:space="0" w:color="000000" w:themeColor="text1"/>
            </w:tcBorders>
            <w:noWrap/>
            <w:vAlign w:val="center"/>
            <w:hideMark/>
          </w:tcPr>
          <w:p w14:paraId="43EA50AC" w14:textId="77777777" w:rsidR="008D095A" w:rsidRPr="00BB5A75" w:rsidRDefault="008D095A"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BB5A75">
              <w:rPr>
                <w:rFonts w:eastAsia="Times New Roman"/>
                <w:b/>
                <w:bCs/>
                <w:color w:val="000000"/>
                <w:sz w:val="20"/>
                <w:szCs w:val="20"/>
                <w:lang w:bidi="ar-SA"/>
              </w:rPr>
              <w:t>0.1003</w:t>
            </w:r>
          </w:p>
          <w:p w14:paraId="0F259E7E" w14:textId="77777777" w:rsidR="008D095A" w:rsidRPr="00125107" w:rsidRDefault="008D095A"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0.0085</w:t>
            </w:r>
            <w:r>
              <w:rPr>
                <w:rFonts w:eastAsia="Times New Roman"/>
                <w:color w:val="000000"/>
                <w:sz w:val="20"/>
                <w:szCs w:val="20"/>
                <w:lang w:bidi="ar-SA"/>
              </w:rPr>
              <w:t>)</w:t>
            </w:r>
          </w:p>
        </w:tc>
        <w:tc>
          <w:tcPr>
            <w:tcW w:w="1836" w:type="dxa"/>
            <w:tcBorders>
              <w:top w:val="single" w:sz="12" w:space="0" w:color="000000" w:themeColor="text1"/>
            </w:tcBorders>
            <w:noWrap/>
            <w:vAlign w:val="center"/>
            <w:hideMark/>
          </w:tcPr>
          <w:p w14:paraId="313E109B" w14:textId="77777777" w:rsidR="008D095A" w:rsidRPr="00BB5A75"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0.0935</w:t>
            </w:r>
          </w:p>
          <w:p w14:paraId="350FD311" w14:textId="77777777" w:rsidR="008D095A" w:rsidRPr="00125107"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0.0094</w:t>
            </w:r>
            <w:r>
              <w:rPr>
                <w:rFonts w:eastAsia="Times New Roman"/>
                <w:color w:val="000000"/>
                <w:sz w:val="20"/>
                <w:szCs w:val="20"/>
                <w:lang w:bidi="ar-SA"/>
              </w:rPr>
              <w:t>)</w:t>
            </w:r>
          </w:p>
        </w:tc>
      </w:tr>
      <w:tr w:rsidR="008D095A" w:rsidRPr="00125107" w14:paraId="6B8F9252" w14:textId="77777777" w:rsidTr="008D095A">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A626DA3"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CDD</w:t>
            </w:r>
          </w:p>
        </w:tc>
        <w:tc>
          <w:tcPr>
            <w:tcW w:w="1836" w:type="dxa"/>
            <w:noWrap/>
            <w:vAlign w:val="center"/>
          </w:tcPr>
          <w:p w14:paraId="6AAF9C0E" w14:textId="77777777" w:rsidR="008D095A" w:rsidRPr="00BB5A75" w:rsidRDefault="008D095A"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BB5A75">
              <w:rPr>
                <w:rFonts w:eastAsia="Times New Roman"/>
                <w:b/>
                <w:bCs/>
                <w:color w:val="000000"/>
                <w:sz w:val="20"/>
                <w:szCs w:val="20"/>
                <w:lang w:bidi="ar-SA"/>
              </w:rPr>
              <w:t>0.0873</w:t>
            </w:r>
          </w:p>
          <w:p w14:paraId="6E02A66A" w14:textId="77777777" w:rsidR="008D095A" w:rsidRPr="00125107" w:rsidRDefault="008D095A"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0.0188</w:t>
            </w:r>
            <w:r>
              <w:rPr>
                <w:rFonts w:eastAsia="Times New Roman"/>
                <w:color w:val="000000"/>
                <w:sz w:val="20"/>
                <w:szCs w:val="20"/>
                <w:lang w:bidi="ar-SA"/>
              </w:rPr>
              <w:t>)</w:t>
            </w:r>
          </w:p>
        </w:tc>
        <w:tc>
          <w:tcPr>
            <w:tcW w:w="1836" w:type="dxa"/>
            <w:noWrap/>
            <w:vAlign w:val="center"/>
          </w:tcPr>
          <w:p w14:paraId="76B72ED5" w14:textId="77777777" w:rsidR="008D095A" w:rsidRPr="00BB5A75"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sidRPr="00BB5A75">
              <w:rPr>
                <w:rFonts w:eastAsia="Times New Roman"/>
                <w:b/>
                <w:bCs/>
                <w:color w:val="000000"/>
                <w:sz w:val="20"/>
                <w:szCs w:val="20"/>
                <w:lang w:bidi="ar-SA"/>
              </w:rPr>
              <w:t>0.105</w:t>
            </w:r>
          </w:p>
          <w:p w14:paraId="6C8CAB2B" w14:textId="77777777" w:rsidR="008D095A" w:rsidRPr="00125107"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0.0214</w:t>
            </w:r>
            <w:r>
              <w:rPr>
                <w:rFonts w:eastAsia="Times New Roman"/>
                <w:color w:val="000000"/>
                <w:sz w:val="20"/>
                <w:szCs w:val="20"/>
                <w:lang w:bidi="ar-SA"/>
              </w:rPr>
              <w:t>)</w:t>
            </w:r>
          </w:p>
        </w:tc>
      </w:tr>
      <w:tr w:rsidR="008D095A" w:rsidRPr="00125107" w14:paraId="6FA32193" w14:textId="77777777" w:rsidTr="008D095A">
        <w:trPr>
          <w:trHeight w:val="52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DED3DCF"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Precipitation</w:t>
            </w:r>
          </w:p>
        </w:tc>
        <w:tc>
          <w:tcPr>
            <w:tcW w:w="1836" w:type="dxa"/>
            <w:noWrap/>
            <w:vAlign w:val="center"/>
          </w:tcPr>
          <w:p w14:paraId="24150A7F" w14:textId="7E9A70D8" w:rsidR="008D095A" w:rsidRPr="00BB5A75" w:rsidRDefault="00C065C7"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BB5A75">
              <w:rPr>
                <w:rFonts w:eastAsia="Times New Roman"/>
                <w:b/>
                <w:bCs/>
                <w:color w:val="000000"/>
                <w:sz w:val="20"/>
                <w:szCs w:val="20"/>
                <w:lang w:bidi="ar-SA"/>
              </w:rPr>
              <w:t>0.0619</w:t>
            </w:r>
          </w:p>
          <w:p w14:paraId="5640687A" w14:textId="77777777" w:rsidR="008D095A" w:rsidRPr="00125107" w:rsidRDefault="008D095A"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0.0117</w:t>
            </w:r>
            <w:r>
              <w:rPr>
                <w:rFonts w:eastAsia="Times New Roman"/>
                <w:color w:val="000000"/>
                <w:sz w:val="20"/>
                <w:szCs w:val="20"/>
                <w:lang w:bidi="ar-SA"/>
              </w:rPr>
              <w:t>)</w:t>
            </w:r>
          </w:p>
        </w:tc>
        <w:tc>
          <w:tcPr>
            <w:tcW w:w="1836" w:type="dxa"/>
            <w:noWrap/>
            <w:vAlign w:val="center"/>
          </w:tcPr>
          <w:p w14:paraId="7FF505F4" w14:textId="46D00E22" w:rsidR="008D095A" w:rsidRPr="00BB5A75" w:rsidRDefault="00C065C7"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BB5A75">
              <w:rPr>
                <w:rFonts w:eastAsia="Times New Roman"/>
                <w:b/>
                <w:bCs/>
                <w:color w:val="000000"/>
                <w:sz w:val="20"/>
                <w:szCs w:val="20"/>
                <w:lang w:bidi="ar-SA"/>
              </w:rPr>
              <w:t>0.0612</w:t>
            </w:r>
          </w:p>
          <w:p w14:paraId="75F26895" w14:textId="77777777" w:rsidR="008D095A" w:rsidRPr="00125107"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0.0122</w:t>
            </w:r>
            <w:r>
              <w:rPr>
                <w:rFonts w:eastAsia="Times New Roman"/>
                <w:color w:val="000000"/>
                <w:sz w:val="20"/>
                <w:szCs w:val="20"/>
                <w:lang w:bidi="ar-SA"/>
              </w:rPr>
              <w:t>)</w:t>
            </w:r>
          </w:p>
        </w:tc>
      </w:tr>
      <w:tr w:rsidR="008D095A" w:rsidRPr="00125107" w14:paraId="0429A168" w14:textId="77777777" w:rsidTr="008D095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604BF192"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Avg_Price</w:t>
            </w:r>
          </w:p>
        </w:tc>
        <w:tc>
          <w:tcPr>
            <w:tcW w:w="1836" w:type="dxa"/>
            <w:noWrap/>
            <w:vAlign w:val="center"/>
          </w:tcPr>
          <w:p w14:paraId="04A281A3" w14:textId="36BB1A79" w:rsidR="008D095A" w:rsidRPr="00BB5A75" w:rsidRDefault="00C065C7"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BB5A75">
              <w:rPr>
                <w:rFonts w:eastAsia="Times New Roman"/>
                <w:b/>
                <w:bCs/>
                <w:color w:val="000000"/>
                <w:sz w:val="20"/>
                <w:szCs w:val="20"/>
                <w:lang w:bidi="ar-SA"/>
              </w:rPr>
              <w:t>0.4077</w:t>
            </w:r>
          </w:p>
          <w:p w14:paraId="6954070E" w14:textId="77777777" w:rsidR="008D095A" w:rsidRPr="00125107" w:rsidRDefault="008D095A"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0.075</w:t>
            </w:r>
            <w:r>
              <w:rPr>
                <w:rFonts w:eastAsia="Times New Roman"/>
                <w:color w:val="000000"/>
                <w:sz w:val="20"/>
                <w:szCs w:val="20"/>
                <w:lang w:bidi="ar-SA"/>
              </w:rPr>
              <w:t>)</w:t>
            </w:r>
          </w:p>
        </w:tc>
        <w:tc>
          <w:tcPr>
            <w:tcW w:w="1836" w:type="dxa"/>
            <w:noWrap/>
            <w:vAlign w:val="center"/>
          </w:tcPr>
          <w:p w14:paraId="579F90CE" w14:textId="42F371EB" w:rsidR="008D095A" w:rsidRPr="00BB5A75" w:rsidRDefault="00C065C7"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BB5A75">
              <w:rPr>
                <w:rFonts w:eastAsia="Times New Roman"/>
                <w:b/>
                <w:bCs/>
                <w:color w:val="000000"/>
                <w:sz w:val="20"/>
                <w:szCs w:val="20"/>
                <w:lang w:bidi="ar-SA"/>
              </w:rPr>
              <w:t>0.3872</w:t>
            </w:r>
          </w:p>
          <w:p w14:paraId="1F831E2F" w14:textId="77777777" w:rsidR="008D095A" w:rsidRPr="00125107"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0.0755</w:t>
            </w:r>
            <w:r>
              <w:rPr>
                <w:rFonts w:eastAsia="Times New Roman"/>
                <w:color w:val="000000"/>
                <w:sz w:val="20"/>
                <w:szCs w:val="20"/>
                <w:lang w:bidi="ar-SA"/>
              </w:rPr>
              <w:t>)</w:t>
            </w:r>
          </w:p>
        </w:tc>
      </w:tr>
      <w:tr w:rsidR="008D095A" w:rsidRPr="00125107" w14:paraId="2935056A" w14:textId="77777777" w:rsidTr="008D095A">
        <w:trPr>
          <w:trHeight w:val="431"/>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4C21CC53"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IncomePerCap</w:t>
            </w:r>
          </w:p>
        </w:tc>
        <w:tc>
          <w:tcPr>
            <w:tcW w:w="1836" w:type="dxa"/>
            <w:noWrap/>
            <w:vAlign w:val="center"/>
          </w:tcPr>
          <w:p w14:paraId="11702388" w14:textId="77777777" w:rsidR="008D095A" w:rsidRPr="00BB5A75" w:rsidRDefault="008D095A"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BB5A75">
              <w:rPr>
                <w:rFonts w:eastAsia="Times New Roman"/>
                <w:b/>
                <w:bCs/>
                <w:color w:val="000000"/>
                <w:sz w:val="20"/>
                <w:szCs w:val="20"/>
                <w:lang w:bidi="ar-SA"/>
              </w:rPr>
              <w:t>0.4849</w:t>
            </w:r>
          </w:p>
          <w:p w14:paraId="160FD134" w14:textId="77777777" w:rsidR="008D095A" w:rsidRPr="00AB371E" w:rsidRDefault="008D095A" w:rsidP="00C065C7">
            <w:pPr>
              <w:tabs>
                <w:tab w:val="decimal" w:pos="70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0.0431</w:t>
            </w:r>
            <w:r>
              <w:rPr>
                <w:rFonts w:eastAsia="Times New Roman"/>
                <w:color w:val="000000"/>
                <w:sz w:val="20"/>
                <w:szCs w:val="20"/>
                <w:lang w:bidi="ar-SA"/>
              </w:rPr>
              <w:t>)</w:t>
            </w:r>
          </w:p>
        </w:tc>
        <w:tc>
          <w:tcPr>
            <w:tcW w:w="1836" w:type="dxa"/>
            <w:noWrap/>
            <w:vAlign w:val="center"/>
          </w:tcPr>
          <w:p w14:paraId="77D98597" w14:textId="77777777" w:rsidR="008D095A" w:rsidRPr="00BB5A75"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sidRPr="00BB5A75">
              <w:rPr>
                <w:rFonts w:eastAsia="Times New Roman"/>
                <w:b/>
                <w:bCs/>
                <w:color w:val="000000"/>
                <w:sz w:val="20"/>
                <w:szCs w:val="20"/>
                <w:lang w:bidi="ar-SA"/>
              </w:rPr>
              <w:t>0.4814</w:t>
            </w:r>
          </w:p>
          <w:p w14:paraId="6EE6D98E" w14:textId="77777777" w:rsidR="008D095A" w:rsidRPr="00AB371E"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0.0447</w:t>
            </w:r>
            <w:r>
              <w:rPr>
                <w:rFonts w:eastAsia="Times New Roman"/>
                <w:color w:val="000000"/>
                <w:sz w:val="20"/>
                <w:szCs w:val="20"/>
                <w:lang w:bidi="ar-SA"/>
              </w:rPr>
              <w:t>)</w:t>
            </w:r>
          </w:p>
        </w:tc>
      </w:tr>
      <w:tr w:rsidR="008D095A" w:rsidRPr="00125107" w14:paraId="6EB5EA8F"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721D6B7A"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Intercept</w:t>
            </w:r>
          </w:p>
        </w:tc>
        <w:tc>
          <w:tcPr>
            <w:tcW w:w="1836" w:type="dxa"/>
            <w:noWrap/>
            <w:vAlign w:val="center"/>
          </w:tcPr>
          <w:p w14:paraId="00D1AA82" w14:textId="106615AC" w:rsidR="008D095A" w:rsidRPr="00BB5A75" w:rsidRDefault="00C065C7"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bidi="ar-SA"/>
              </w:rPr>
            </w:pPr>
            <w:r>
              <w:rPr>
                <w:rFonts w:eastAsia="Times New Roman"/>
                <w:b/>
                <w:bCs/>
                <w:color w:val="000000"/>
                <w:sz w:val="20"/>
                <w:szCs w:val="20"/>
                <w:lang w:bidi="ar-SA"/>
              </w:rPr>
              <w:t>−</w:t>
            </w:r>
            <w:r w:rsidR="008D095A" w:rsidRPr="00BB5A75">
              <w:rPr>
                <w:rFonts w:eastAsia="Times New Roman"/>
                <w:b/>
                <w:bCs/>
                <w:color w:val="000000"/>
                <w:sz w:val="20"/>
                <w:szCs w:val="20"/>
                <w:lang w:bidi="ar-SA"/>
              </w:rPr>
              <w:t>3.872</w:t>
            </w:r>
          </w:p>
          <w:p w14:paraId="0686F43A" w14:textId="77777777" w:rsidR="008D095A" w:rsidRPr="00A20143" w:rsidRDefault="008D095A" w:rsidP="00C065C7">
            <w:pPr>
              <w:tabs>
                <w:tab w:val="decimal" w:pos="70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w:t>
            </w:r>
            <w:r w:rsidRPr="00BB5A75">
              <w:rPr>
                <w:rFonts w:eastAsia="Times New Roman"/>
                <w:color w:val="000000"/>
                <w:sz w:val="20"/>
                <w:szCs w:val="20"/>
                <w:lang w:bidi="ar-SA"/>
              </w:rPr>
              <w:t>0.5956</w:t>
            </w:r>
            <w:r>
              <w:rPr>
                <w:rFonts w:eastAsia="Times New Roman"/>
                <w:color w:val="000000"/>
                <w:sz w:val="20"/>
                <w:szCs w:val="20"/>
                <w:lang w:bidi="ar-SA"/>
              </w:rPr>
              <w:t>)</w:t>
            </w:r>
          </w:p>
        </w:tc>
        <w:tc>
          <w:tcPr>
            <w:tcW w:w="1836" w:type="dxa"/>
            <w:noWrap/>
            <w:vAlign w:val="center"/>
          </w:tcPr>
          <w:p w14:paraId="025414FD" w14:textId="77777777" w:rsidR="008D095A" w:rsidRPr="00A20143"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p>
        </w:tc>
      </w:tr>
      <w:tr w:rsidR="008D095A" w:rsidRPr="00125107" w14:paraId="26D22CCF"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53F456CE" w14:textId="3D7393A7" w:rsidR="008D095A" w:rsidRPr="002C4B81" w:rsidRDefault="00C065C7" w:rsidP="00DB5955">
            <w:pPr>
              <w:spacing w:before="0" w:after="0" w:line="240" w:lineRule="auto"/>
              <w:ind w:firstLine="0"/>
              <w:rPr>
                <w:rFonts w:eastAsia="Times New Roman"/>
                <w:b w:val="0"/>
                <w:bCs w:val="0"/>
                <w:color w:val="000000"/>
                <w:sz w:val="20"/>
                <w:szCs w:val="20"/>
                <w:lang w:bidi="ar-SA"/>
              </w:rPr>
            </w:pPr>
            <w:r>
              <w:rPr>
                <w:rFonts w:eastAsia="Times New Roman"/>
                <w:b w:val="0"/>
                <w:bCs w:val="0"/>
                <w:color w:val="000000"/>
                <w:sz w:val="20"/>
                <w:szCs w:val="20"/>
                <w:lang w:bidi="ar-SA"/>
              </w:rPr>
              <w:t>E</w:t>
            </w:r>
            <w:r w:rsidR="008D095A" w:rsidRPr="002C4B81">
              <w:rPr>
                <w:rFonts w:eastAsia="Times New Roman"/>
                <w:b w:val="0"/>
                <w:bCs w:val="0"/>
                <w:color w:val="000000"/>
                <w:sz w:val="20"/>
                <w:szCs w:val="20"/>
                <w:lang w:bidi="ar-SA"/>
              </w:rPr>
              <w:t>stimator</w:t>
            </w:r>
          </w:p>
        </w:tc>
        <w:tc>
          <w:tcPr>
            <w:tcW w:w="1836" w:type="dxa"/>
            <w:noWrap/>
            <w:vAlign w:val="center"/>
            <w:hideMark/>
          </w:tcPr>
          <w:p w14:paraId="0588F3B6" w14:textId="56A4A0B1"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Random</w:t>
            </w:r>
          </w:p>
        </w:tc>
        <w:tc>
          <w:tcPr>
            <w:tcW w:w="1836" w:type="dxa"/>
            <w:noWrap/>
            <w:vAlign w:val="center"/>
            <w:hideMark/>
          </w:tcPr>
          <w:p w14:paraId="71FA350D" w14:textId="43B0E35A" w:rsidR="008D095A" w:rsidRPr="00125107" w:rsidRDefault="00C065C7" w:rsidP="00DB5955">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Within</w:t>
            </w:r>
          </w:p>
        </w:tc>
      </w:tr>
      <w:tr w:rsidR="008D095A" w:rsidRPr="00125107" w14:paraId="5841A57A" w14:textId="77777777" w:rsidTr="008D095A">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14:paraId="680DC90E"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adj.r.squared</w:t>
            </w:r>
          </w:p>
        </w:tc>
        <w:tc>
          <w:tcPr>
            <w:tcW w:w="1836" w:type="dxa"/>
            <w:noWrap/>
            <w:vAlign w:val="center"/>
          </w:tcPr>
          <w:p w14:paraId="1B452236" w14:textId="77777777" w:rsidR="008D095A" w:rsidRPr="00345727" w:rsidRDefault="008D095A" w:rsidP="00C065C7">
            <w:pPr>
              <w:tabs>
                <w:tab w:val="decimal" w:pos="675"/>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0.4798</w:t>
            </w:r>
          </w:p>
        </w:tc>
        <w:tc>
          <w:tcPr>
            <w:tcW w:w="1836" w:type="dxa"/>
            <w:noWrap/>
            <w:vAlign w:val="center"/>
          </w:tcPr>
          <w:p w14:paraId="463E1F40" w14:textId="77777777" w:rsidR="008D095A" w:rsidRPr="00345727" w:rsidRDefault="008D095A" w:rsidP="00C065C7">
            <w:pPr>
              <w:tabs>
                <w:tab w:val="decimal" w:pos="630"/>
              </w:tabs>
              <w:spacing w:before="0" w:after="0"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0.4927</w:t>
            </w:r>
          </w:p>
        </w:tc>
      </w:tr>
      <w:tr w:rsidR="008D095A" w:rsidRPr="00125107" w14:paraId="3DFB5A43" w14:textId="77777777" w:rsidTr="008D095A">
        <w:trPr>
          <w:trHeight w:val="278"/>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4" w:space="0" w:color="7F7F7F" w:themeColor="text1" w:themeTint="80"/>
            </w:tcBorders>
            <w:vAlign w:val="center"/>
          </w:tcPr>
          <w:p w14:paraId="6976213E" w14:textId="77777777" w:rsidR="008D095A" w:rsidRPr="002C4B81" w:rsidRDefault="008D095A"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NRMSE</w:t>
            </w:r>
          </w:p>
        </w:tc>
        <w:tc>
          <w:tcPr>
            <w:tcW w:w="1836" w:type="dxa"/>
            <w:tcBorders>
              <w:bottom w:val="single" w:sz="4" w:space="0" w:color="7F7F7F" w:themeColor="text1" w:themeTint="80"/>
            </w:tcBorders>
            <w:noWrap/>
            <w:vAlign w:val="center"/>
          </w:tcPr>
          <w:p w14:paraId="47498999" w14:textId="77777777" w:rsidR="008D095A" w:rsidRPr="00125107" w:rsidRDefault="008D095A" w:rsidP="00C065C7">
            <w:pPr>
              <w:tabs>
                <w:tab w:val="decimal" w:pos="675"/>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0.0324</w:t>
            </w:r>
          </w:p>
        </w:tc>
        <w:tc>
          <w:tcPr>
            <w:tcW w:w="1836" w:type="dxa"/>
            <w:tcBorders>
              <w:bottom w:val="single" w:sz="4" w:space="0" w:color="7F7F7F" w:themeColor="text1" w:themeTint="80"/>
            </w:tcBorders>
            <w:noWrap/>
            <w:vAlign w:val="center"/>
          </w:tcPr>
          <w:p w14:paraId="6B307B69" w14:textId="77777777" w:rsidR="008D095A" w:rsidRPr="00125107" w:rsidRDefault="008D095A" w:rsidP="00C065C7">
            <w:pPr>
              <w:tabs>
                <w:tab w:val="decimal" w:pos="630"/>
              </w:tabs>
              <w:spacing w:before="0" w:after="0"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bidi="ar-SA"/>
              </w:rPr>
            </w:pPr>
            <w:r>
              <w:rPr>
                <w:rFonts w:eastAsia="Times New Roman"/>
                <w:color w:val="000000"/>
                <w:sz w:val="20"/>
                <w:szCs w:val="20"/>
                <w:lang w:bidi="ar-SA"/>
              </w:rPr>
              <w:t>0.0304</w:t>
            </w:r>
          </w:p>
        </w:tc>
      </w:tr>
      <w:tr w:rsidR="008D095A" w:rsidRPr="00125107" w14:paraId="6259941B" w14:textId="77777777" w:rsidTr="008D09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6" w:type="dxa"/>
            <w:tcBorders>
              <w:bottom w:val="single" w:sz="12" w:space="0" w:color="000000" w:themeColor="text1"/>
            </w:tcBorders>
            <w:vAlign w:val="center"/>
          </w:tcPr>
          <w:p w14:paraId="6EC2A490" w14:textId="3F74BB3D" w:rsidR="008D095A" w:rsidRPr="002C4B81" w:rsidRDefault="00C065C7" w:rsidP="00DB5955">
            <w:pPr>
              <w:spacing w:before="0" w:after="0" w:line="240" w:lineRule="auto"/>
              <w:ind w:firstLine="0"/>
              <w:rPr>
                <w:rFonts w:eastAsia="Times New Roman"/>
                <w:b w:val="0"/>
                <w:bCs w:val="0"/>
                <w:color w:val="000000"/>
                <w:sz w:val="20"/>
                <w:szCs w:val="20"/>
                <w:lang w:bidi="ar-SA"/>
              </w:rPr>
            </w:pPr>
            <w:r w:rsidRPr="002C4B81">
              <w:rPr>
                <w:rFonts w:eastAsia="Times New Roman"/>
                <w:b w:val="0"/>
                <w:bCs w:val="0"/>
                <w:color w:val="000000"/>
                <w:sz w:val="20"/>
                <w:szCs w:val="20"/>
                <w:lang w:bidi="ar-SA"/>
              </w:rPr>
              <w:t>Nobs</w:t>
            </w:r>
          </w:p>
        </w:tc>
        <w:tc>
          <w:tcPr>
            <w:tcW w:w="1836" w:type="dxa"/>
            <w:tcBorders>
              <w:bottom w:val="single" w:sz="12" w:space="0" w:color="000000" w:themeColor="text1"/>
            </w:tcBorders>
            <w:noWrap/>
            <w:vAlign w:val="center"/>
            <w:hideMark/>
          </w:tcPr>
          <w:p w14:paraId="6E7A012B" w14:textId="14E1E454"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2</w:t>
            </w:r>
            <w:r w:rsidR="00C065C7">
              <w:rPr>
                <w:rFonts w:eastAsia="Times New Roman"/>
                <w:color w:val="000000"/>
                <w:sz w:val="20"/>
                <w:szCs w:val="20"/>
                <w:lang w:bidi="ar-SA"/>
              </w:rPr>
              <w:t>,</w:t>
            </w:r>
            <w:r w:rsidRPr="00BB5A75">
              <w:rPr>
                <w:rFonts w:eastAsia="Times New Roman"/>
                <w:color w:val="000000"/>
                <w:sz w:val="20"/>
                <w:szCs w:val="20"/>
                <w:lang w:bidi="ar-SA"/>
              </w:rPr>
              <w:t>481</w:t>
            </w:r>
          </w:p>
        </w:tc>
        <w:tc>
          <w:tcPr>
            <w:tcW w:w="1836" w:type="dxa"/>
            <w:tcBorders>
              <w:bottom w:val="single" w:sz="12" w:space="0" w:color="000000" w:themeColor="text1"/>
            </w:tcBorders>
            <w:noWrap/>
            <w:vAlign w:val="center"/>
            <w:hideMark/>
          </w:tcPr>
          <w:p w14:paraId="598BC6E1" w14:textId="39011B4B" w:rsidR="008D095A" w:rsidRPr="00125107" w:rsidRDefault="008D095A" w:rsidP="00DB5955">
            <w:pPr>
              <w:spacing w:before="0"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bidi="ar-SA"/>
              </w:rPr>
            </w:pPr>
            <w:r w:rsidRPr="00BB5A75">
              <w:rPr>
                <w:rFonts w:eastAsia="Times New Roman"/>
                <w:color w:val="000000"/>
                <w:sz w:val="20"/>
                <w:szCs w:val="20"/>
                <w:lang w:bidi="ar-SA"/>
              </w:rPr>
              <w:t>2</w:t>
            </w:r>
            <w:r w:rsidR="00C065C7">
              <w:rPr>
                <w:rFonts w:eastAsia="Times New Roman"/>
                <w:color w:val="000000"/>
                <w:sz w:val="20"/>
                <w:szCs w:val="20"/>
                <w:lang w:bidi="ar-SA"/>
              </w:rPr>
              <w:t>,</w:t>
            </w:r>
            <w:r w:rsidRPr="00BB5A75">
              <w:rPr>
                <w:rFonts w:eastAsia="Times New Roman"/>
                <w:color w:val="000000"/>
                <w:sz w:val="20"/>
                <w:szCs w:val="20"/>
                <w:lang w:bidi="ar-SA"/>
              </w:rPr>
              <w:t>398</w:t>
            </w:r>
          </w:p>
        </w:tc>
      </w:tr>
    </w:tbl>
    <w:p w14:paraId="04585143" w14:textId="5D767E28" w:rsidR="007E69F2" w:rsidRDefault="006C09B3" w:rsidP="00336BCB">
      <w:pPr>
        <w:pStyle w:val="BodyText"/>
        <w:spacing w:before="120"/>
        <w:ind w:left="1890"/>
        <w:rPr>
          <w:snapToGrid/>
        </w:rPr>
      </w:pPr>
      <w:r w:rsidRPr="002C4B81">
        <w:rPr>
          <w:sz w:val="18"/>
          <w:szCs w:val="18"/>
        </w:rPr>
        <w:t xml:space="preserve">Notes: Bolded values indicate that the estimated elasticity is statistically </w:t>
      </w:r>
      <w:r w:rsidR="008D095A">
        <w:rPr>
          <w:sz w:val="18"/>
          <w:szCs w:val="18"/>
        </w:rPr>
        <w:br/>
      </w:r>
      <w:r w:rsidRPr="002C4B81">
        <w:rPr>
          <w:sz w:val="18"/>
          <w:szCs w:val="18"/>
        </w:rPr>
        <w:t>significant at the 10% level. Values in parenthesis are standard errors</w:t>
      </w:r>
    </w:p>
    <w:p w14:paraId="4B32317C" w14:textId="77777777" w:rsidR="007E69F2" w:rsidRDefault="007E69F2" w:rsidP="007E69F2">
      <w:pPr>
        <w:pStyle w:val="BodyText"/>
        <w:rPr>
          <w:snapToGrid/>
        </w:rPr>
      </w:pPr>
    </w:p>
    <w:p w14:paraId="5FA13A16" w14:textId="77777777" w:rsidR="007E69F2" w:rsidRDefault="007E69F2" w:rsidP="007E69F2">
      <w:pPr>
        <w:pStyle w:val="BodyText"/>
        <w:rPr>
          <w:snapToGrid/>
        </w:rPr>
      </w:pPr>
    </w:p>
    <w:p w14:paraId="473E483E" w14:textId="77777777" w:rsidR="007E69F2" w:rsidRDefault="007E69F2" w:rsidP="007E69F2">
      <w:pPr>
        <w:pStyle w:val="BodyText"/>
        <w:rPr>
          <w:snapToGrid/>
        </w:rPr>
        <w:sectPr w:rsidR="007E69F2" w:rsidSect="00CC3514">
          <w:footerReference w:type="default" r:id="rId501"/>
          <w:pgSz w:w="12240" w:h="15840" w:code="1"/>
          <w:pgMar w:top="1440" w:right="1440" w:bottom="1440" w:left="1440" w:header="720" w:footer="720" w:gutter="0"/>
          <w:pgNumType w:start="1" w:chapStyle="9"/>
          <w:cols w:space="720"/>
          <w:docGrid w:linePitch="360"/>
        </w:sectPr>
      </w:pPr>
    </w:p>
    <w:p w14:paraId="28DA572B" w14:textId="181D4CB4" w:rsidR="007E69F2" w:rsidRPr="00737A01" w:rsidRDefault="00B70C80" w:rsidP="007E69F2">
      <w:pPr>
        <w:pStyle w:val="Heading9"/>
      </w:pPr>
      <w:bookmarkStart w:id="633" w:name="_Ref106977813"/>
      <w:bookmarkStart w:id="634" w:name="_Ref106977828"/>
      <w:bookmarkStart w:id="635" w:name="_Toc113380862"/>
      <w:r w:rsidRPr="00B70C80">
        <w:lastRenderedPageBreak/>
        <w:t>VIC AND PRMS PERFORMANCE</w:t>
      </w:r>
      <w:bookmarkEnd w:id="633"/>
      <w:bookmarkEnd w:id="634"/>
      <w:bookmarkEnd w:id="635"/>
    </w:p>
    <w:p w14:paraId="5B4ED467" w14:textId="2BEC9559" w:rsidR="007E69F2" w:rsidRDefault="00B70C80" w:rsidP="007E69F2">
      <w:pPr>
        <w:pStyle w:val="BodyText"/>
        <w:rPr>
          <w:snapToGrid/>
        </w:rPr>
      </w:pPr>
      <w:r>
        <w:rPr>
          <w:snapToGrid/>
        </w:rPr>
        <w:t xml:space="preserve">Further analysis for HUC8s within PMA regions is presented. </w:t>
      </w:r>
      <w:r w:rsidR="00321A44">
        <w:rPr>
          <w:snapToGrid/>
        </w:rPr>
        <w:t>M</w:t>
      </w:r>
      <w:r>
        <w:rPr>
          <w:snapToGrid/>
        </w:rPr>
        <w:t>onthly NSE and monthly mean absolute error for simulated runoff for both VIC and PRMS driven by Daymet and Livneh meteorological forcing</w:t>
      </w:r>
      <w:r w:rsidR="00321A44">
        <w:rPr>
          <w:snapToGrid/>
        </w:rPr>
        <w:t xml:space="preserve"> were calculated</w:t>
      </w:r>
      <w:r>
        <w:rPr>
          <w:snapToGrid/>
        </w:rPr>
        <w:t xml:space="preserve">. </w:t>
      </w:r>
      <w:r w:rsidR="00321A44">
        <w:rPr>
          <w:snapToGrid/>
        </w:rPr>
        <w:t xml:space="preserve">The </w:t>
      </w:r>
      <w:r>
        <w:rPr>
          <w:snapToGrid/>
        </w:rPr>
        <w:t xml:space="preserve">first finding indicates that for all four set of simulations, HUC8s with lower annual WaterWatch runoff tend to demonstrate lower NSE values. This suggests that VIC and PRMS both performed better for wetter HUC8s compared </w:t>
      </w:r>
      <w:r w:rsidR="00321A44">
        <w:t>with</w:t>
      </w:r>
      <w:r>
        <w:rPr>
          <w:snapToGrid/>
        </w:rPr>
        <w:t xml:space="preserve"> HUC8s in arid conditions. Second, despite a poor monthly NSE, these HUC8s also show low </w:t>
      </w:r>
      <w:r w:rsidR="00321A44">
        <w:rPr>
          <w:snapToGrid/>
        </w:rPr>
        <w:t>mean absolute errors</w:t>
      </w:r>
      <w:r>
        <w:rPr>
          <w:snapToGrid/>
        </w:rPr>
        <w:t xml:space="preserve"> and therefore</w:t>
      </w:r>
      <w:r w:rsidR="00321A44">
        <w:rPr>
          <w:snapToGrid/>
        </w:rPr>
        <w:t>,</w:t>
      </w:r>
      <w:r>
        <w:rPr>
          <w:snapToGrid/>
        </w:rPr>
        <w:t xml:space="preserve"> the influence on the overall water budget may be reduced.</w:t>
      </w:r>
    </w:p>
    <w:p w14:paraId="0CE78029" w14:textId="63DE1F74" w:rsidR="00B70C80" w:rsidRDefault="00B70C80" w:rsidP="004F6FC8">
      <w:pPr>
        <w:pStyle w:val="FIGUREposition"/>
        <w:rPr>
          <w:snapToGrid/>
        </w:rPr>
      </w:pPr>
      <w:r>
        <w:rPr>
          <w:noProof/>
          <w:snapToGrid/>
        </w:rPr>
        <w:drawing>
          <wp:inline distT="0" distB="0" distL="0" distR="0" wp14:anchorId="5B699AED" wp14:editId="7D69649D">
            <wp:extent cx="4572000" cy="4572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78044B9E" w14:textId="735F8FDE" w:rsidR="00B70C80" w:rsidRPr="006869CA" w:rsidRDefault="004F6FC8" w:rsidP="00B70C80">
      <w:pPr>
        <w:pStyle w:val="AppendixFigureCaption"/>
      </w:pPr>
      <w:r>
        <w:t xml:space="preserve">Figure </w:t>
      </w:r>
      <w:fldSimple w:instr=" STYLEREF 9 \s ">
        <w:r w:rsidR="00EE0BF5">
          <w:rPr>
            <w:noProof/>
          </w:rPr>
          <w:t>I</w:t>
        </w:r>
      </w:fldSimple>
      <w:r>
        <w:t>.</w:t>
      </w:r>
      <w:fldSimple w:instr=" SEQ Figure_Apx \* ARABIC \s 9 ">
        <w:r w:rsidR="00EE0BF5">
          <w:rPr>
            <w:noProof/>
          </w:rPr>
          <w:t>1</w:t>
        </w:r>
      </w:fldSimple>
      <w:r w:rsidRPr="006869CA">
        <w:rPr>
          <w:lang w:eastAsia="zh-TW"/>
        </w:rPr>
        <w:t xml:space="preserve">. </w:t>
      </w:r>
      <w:r w:rsidR="00B70C80">
        <w:rPr>
          <w:lang w:eastAsia="zh-TW"/>
        </w:rPr>
        <w:t>Monthly performance metrics in terms of NSE and mean absolute error for HUC8s</w:t>
      </w:r>
      <w:r w:rsidR="00321A44">
        <w:rPr>
          <w:lang w:eastAsia="zh-TW"/>
        </w:rPr>
        <w:t> </w:t>
      </w:r>
      <w:r w:rsidR="00B70C80">
        <w:rPr>
          <w:lang w:eastAsia="zh-TW"/>
        </w:rPr>
        <w:t>within</w:t>
      </w:r>
      <w:r w:rsidR="00321A44">
        <w:rPr>
          <w:lang w:eastAsia="zh-TW"/>
        </w:rPr>
        <w:t> </w:t>
      </w:r>
      <w:r w:rsidR="00B70C80">
        <w:rPr>
          <w:lang w:eastAsia="zh-TW"/>
        </w:rPr>
        <w:t>PMA</w:t>
      </w:r>
      <w:r w:rsidR="00321A44">
        <w:rPr>
          <w:lang w:eastAsia="zh-TW"/>
        </w:rPr>
        <w:t> </w:t>
      </w:r>
      <w:r w:rsidR="00B70C80">
        <w:rPr>
          <w:lang w:eastAsia="zh-TW"/>
        </w:rPr>
        <w:t>regions</w:t>
      </w:r>
      <w:r w:rsidR="00B70C80" w:rsidRPr="00706985">
        <w:rPr>
          <w:lang w:eastAsia="zh-TW"/>
        </w:rPr>
        <w:t>.</w:t>
      </w:r>
    </w:p>
    <w:p w14:paraId="474451D3" w14:textId="2303D84E" w:rsidR="00B70C80" w:rsidRDefault="00B70C80" w:rsidP="007E69F2">
      <w:pPr>
        <w:pStyle w:val="BodyText"/>
        <w:rPr>
          <w:snapToGrid/>
        </w:rPr>
      </w:pPr>
    </w:p>
    <w:p w14:paraId="0FE49B98" w14:textId="77777777" w:rsidR="004C7E17" w:rsidRDefault="004C7E17" w:rsidP="007E69F2">
      <w:pPr>
        <w:pStyle w:val="BodyText"/>
        <w:rPr>
          <w:snapToGrid/>
        </w:rPr>
        <w:sectPr w:rsidR="004C7E17" w:rsidSect="00CC3514">
          <w:footerReference w:type="default" r:id="rId503"/>
          <w:pgSz w:w="12240" w:h="15840" w:code="1"/>
          <w:pgMar w:top="1440" w:right="1440" w:bottom="1440" w:left="1440" w:header="720" w:footer="720" w:gutter="0"/>
          <w:pgNumType w:start="1" w:chapStyle="9"/>
          <w:cols w:space="720"/>
          <w:docGrid w:linePitch="360"/>
        </w:sectPr>
      </w:pPr>
    </w:p>
    <w:p w14:paraId="0444FC51" w14:textId="77777777" w:rsidR="004C7E17" w:rsidRDefault="004C7E17" w:rsidP="004C7E17">
      <w:pPr>
        <w:tabs>
          <w:tab w:val="left" w:pos="2145"/>
        </w:tabs>
        <w:spacing w:before="0" w:after="0"/>
        <w:ind w:firstLine="0"/>
        <w:jc w:val="center"/>
      </w:pPr>
      <w:r>
        <w:lastRenderedPageBreak/>
        <w:t>(This page intentionally left blank)</w:t>
      </w:r>
    </w:p>
    <w:p w14:paraId="36ACEDE0" w14:textId="77777777" w:rsidR="007E69F2" w:rsidRDefault="007E69F2" w:rsidP="007E69F2">
      <w:pPr>
        <w:pStyle w:val="BodyText"/>
        <w:rPr>
          <w:snapToGrid/>
        </w:rPr>
      </w:pPr>
    </w:p>
    <w:p w14:paraId="232E6B0A" w14:textId="77777777" w:rsidR="007E69F2" w:rsidRDefault="007E69F2" w:rsidP="007E69F2">
      <w:pPr>
        <w:pStyle w:val="BodyText"/>
        <w:rPr>
          <w:snapToGrid/>
        </w:rPr>
        <w:sectPr w:rsidR="007E69F2" w:rsidSect="004C7E17">
          <w:pgSz w:w="12240" w:h="15840" w:code="1"/>
          <w:pgMar w:top="1440" w:right="1440" w:bottom="1440" w:left="1440" w:header="720" w:footer="720" w:gutter="0"/>
          <w:pgNumType w:chapStyle="9"/>
          <w:cols w:space="720"/>
          <w:vAlign w:val="center"/>
          <w:docGrid w:linePitch="360"/>
        </w:sectPr>
      </w:pPr>
    </w:p>
    <w:p w14:paraId="168C848C" w14:textId="61E2F976" w:rsidR="007E69F2" w:rsidRPr="00737A01" w:rsidRDefault="002C0EC9" w:rsidP="007E69F2">
      <w:pPr>
        <w:pStyle w:val="Heading9"/>
      </w:pPr>
      <w:bookmarkStart w:id="636" w:name="_Toc452987735"/>
      <w:bookmarkStart w:id="637" w:name="_Toc113380863"/>
      <w:r w:rsidRPr="00E77EC8">
        <w:lastRenderedPageBreak/>
        <w:t>SUMMARY OF RESPONSE TO KEY REVIEW COMMENTS</w:t>
      </w:r>
      <w:bookmarkEnd w:id="636"/>
      <w:bookmarkEnd w:id="637"/>
    </w:p>
    <w:p w14:paraId="72C3CFBC" w14:textId="65275DEB" w:rsidR="002C0EC9" w:rsidRDefault="005606E5" w:rsidP="002C0EC9">
      <w:pPr>
        <w:pStyle w:val="BodyText"/>
      </w:pPr>
      <w:r>
        <w:t xml:space="preserve">To </w:t>
      </w:r>
      <w:r w:rsidR="002C0EC9">
        <w:t xml:space="preserve">ensure the accuracy and quality of this study, an extensive external peer review was conducted in </w:t>
      </w:r>
      <w:r w:rsidR="00691E7F">
        <w:t>October 2021</w:t>
      </w:r>
      <w:r w:rsidR="002C0EC9">
        <w:t xml:space="preserve">. </w:t>
      </w:r>
      <w:r w:rsidR="00930433">
        <w:t xml:space="preserve">More than </w:t>
      </w:r>
      <w:r w:rsidR="002C0EC9">
        <w:t xml:space="preserve">40 external reviewers, including </w:t>
      </w:r>
      <w:r w:rsidR="002C0EC9" w:rsidRPr="00E33F6D">
        <w:t>federal and state power and water resource managers, climate and hydrologic researchers, and policy analysts</w:t>
      </w:r>
      <w:r w:rsidR="002C0EC9">
        <w:t>, were invited to provide comments and feedback on this study.</w:t>
      </w:r>
      <w:r w:rsidR="002C0EC9" w:rsidRPr="00DF7728">
        <w:t xml:space="preserve"> </w:t>
      </w:r>
      <w:r w:rsidR="002C0EC9">
        <w:t xml:space="preserve">The main review comments, as well as the detailed responses </w:t>
      </w:r>
      <w:r w:rsidR="00805545">
        <w:t xml:space="preserve">from </w:t>
      </w:r>
      <w:r w:rsidR="002C0EC9">
        <w:t xml:space="preserve">the research team, are </w:t>
      </w:r>
      <w:r w:rsidR="00805545">
        <w:t xml:space="preserve">provided </w:t>
      </w:r>
      <w:r w:rsidR="00930433">
        <w:t>here</w:t>
      </w:r>
      <w:r w:rsidR="002C0EC9">
        <w:t>. S</w:t>
      </w:r>
      <w:r w:rsidR="002C0EC9" w:rsidRPr="00CF5AA0">
        <w:t>tatements in italics are the reviewer comments; they are followed by a description of revisions made to the final report.</w:t>
      </w:r>
    </w:p>
    <w:p w14:paraId="3113CFEC" w14:textId="77777777" w:rsidR="002C0EC9" w:rsidRDefault="002C0EC9" w:rsidP="002C0EC9">
      <w:pPr>
        <w:pStyle w:val="BodyText"/>
      </w:pPr>
      <w:r w:rsidRPr="00DA1CA8">
        <w:rPr>
          <w:b/>
        </w:rPr>
        <w:t xml:space="preserve">Reviewer </w:t>
      </w:r>
      <w:r>
        <w:rPr>
          <w:b/>
        </w:rPr>
        <w:t>1</w:t>
      </w:r>
    </w:p>
    <w:p w14:paraId="1D81CC34" w14:textId="519E0685" w:rsidR="00677032" w:rsidRDefault="00677032" w:rsidP="00677032">
      <w:pPr>
        <w:pStyle w:val="BodyText"/>
        <w:spacing w:after="0"/>
      </w:pPr>
      <w:r>
        <w:rPr>
          <w:i/>
        </w:rPr>
        <w:t xml:space="preserve">1.1 </w:t>
      </w:r>
      <w:r w:rsidR="00357780" w:rsidRPr="00357780">
        <w:rPr>
          <w:i/>
        </w:rPr>
        <w:t xml:space="preserve">Suggest a clearer response in Executive </w:t>
      </w:r>
      <w:r w:rsidR="00805545" w:rsidRPr="00357780">
        <w:rPr>
          <w:i/>
        </w:rPr>
        <w:t xml:space="preserve">Summary </w:t>
      </w:r>
      <w:r w:rsidR="00357780" w:rsidRPr="00357780">
        <w:rPr>
          <w:i/>
        </w:rPr>
        <w:t xml:space="preserve">regarding findings of multi-data set, multimodel, multi-downscaling effort. For so much effort, </w:t>
      </w:r>
      <w:r w:rsidR="00805545">
        <w:rPr>
          <w:i/>
        </w:rPr>
        <w:t xml:space="preserve">the </w:t>
      </w:r>
      <w:r w:rsidR="00357780" w:rsidRPr="00357780">
        <w:rPr>
          <w:i/>
        </w:rPr>
        <w:t>result</w:t>
      </w:r>
      <w:r w:rsidR="00805545">
        <w:rPr>
          <w:i/>
        </w:rPr>
        <w:t>s</w:t>
      </w:r>
      <w:r w:rsidR="00357780" w:rsidRPr="00357780">
        <w:rPr>
          <w:i/>
        </w:rPr>
        <w:t xml:space="preserve"> </w:t>
      </w:r>
      <w:r w:rsidR="00805545">
        <w:rPr>
          <w:i/>
        </w:rPr>
        <w:t xml:space="preserve">didn’t </w:t>
      </w:r>
      <w:r w:rsidR="00357780" w:rsidRPr="00357780">
        <w:rPr>
          <w:i/>
        </w:rPr>
        <w:t xml:space="preserve">clearly </w:t>
      </w:r>
      <w:r w:rsidR="00805545">
        <w:rPr>
          <w:i/>
        </w:rPr>
        <w:t xml:space="preserve">specify that </w:t>
      </w:r>
      <w:r w:rsidR="00357780" w:rsidRPr="00357780">
        <w:rPr>
          <w:i/>
        </w:rPr>
        <w:t>the climate models dominate the uncertainty in projections.</w:t>
      </w:r>
    </w:p>
    <w:p w14:paraId="1783A3BC" w14:textId="2AADE7E8" w:rsidR="00677032" w:rsidRDefault="00677032" w:rsidP="00677032">
      <w:pPr>
        <w:pStyle w:val="BodyText"/>
        <w:ind w:left="360" w:hanging="360"/>
      </w:pPr>
      <w:r>
        <w:t>-</w:t>
      </w:r>
      <w:r>
        <w:tab/>
      </w:r>
      <w:r w:rsidR="00357780" w:rsidRPr="00357780">
        <w:t>Thank you for the recommendation. We included it as a key finding in the result</w:t>
      </w:r>
      <w:r w:rsidR="00930433">
        <w:t>s</w:t>
      </w:r>
      <w:r w:rsidR="00357780" w:rsidRPr="00357780">
        <w:t xml:space="preserve"> </w:t>
      </w:r>
      <w:r w:rsidR="00930433">
        <w:t xml:space="preserve">described in the </w:t>
      </w:r>
      <w:r w:rsidR="00357780" w:rsidRPr="00357780">
        <w:t xml:space="preserve">Executive </w:t>
      </w:r>
      <w:r w:rsidR="00930433">
        <w:t>S</w:t>
      </w:r>
      <w:r w:rsidR="00357780" w:rsidRPr="00357780">
        <w:t>ummary</w:t>
      </w:r>
      <w:r w:rsidR="00930433">
        <w:t>:</w:t>
      </w:r>
      <w:r w:rsidR="00357780" w:rsidRPr="00357780">
        <w:t xml:space="preserve"> </w:t>
      </w:r>
      <w:r w:rsidR="00930433">
        <w:t>“</w:t>
      </w:r>
      <w:r w:rsidR="00357780" w:rsidRPr="00357780">
        <w:t xml:space="preserve">Specifically for runoff and generation, the selection of climate model remains the dominant factor in many parts of the CONUS, but the role of </w:t>
      </w:r>
      <w:r w:rsidR="008C3834">
        <w:t xml:space="preserve">HMs </w:t>
      </w:r>
      <w:r w:rsidR="00357780" w:rsidRPr="00357780">
        <w:t xml:space="preserve">and </w:t>
      </w:r>
      <w:r w:rsidR="008C3834">
        <w:rPr>
          <w:snapToGrid/>
        </w:rPr>
        <w:t>PM</w:t>
      </w:r>
      <w:r w:rsidR="00357780" w:rsidRPr="00357780">
        <w:t>s (along with other factors) can be more important in some locations and seasons. This analysis addresses the needs for a comprehensive evaluation across all components in the modeling chain for a more informed hydroclimate impact assessment.</w:t>
      </w:r>
      <w:r w:rsidR="00930433">
        <w:t>”</w:t>
      </w:r>
    </w:p>
    <w:p w14:paraId="601C5EF5" w14:textId="6CA68658" w:rsidR="002C0EC9" w:rsidRDefault="002C0EC9" w:rsidP="002C0EC9">
      <w:pPr>
        <w:pStyle w:val="BodyText"/>
        <w:spacing w:after="0"/>
      </w:pPr>
      <w:r>
        <w:rPr>
          <w:i/>
        </w:rPr>
        <w:t>1.</w:t>
      </w:r>
      <w:r w:rsidR="00677032">
        <w:rPr>
          <w:i/>
        </w:rPr>
        <w:t>2</w:t>
      </w:r>
      <w:r>
        <w:rPr>
          <w:i/>
        </w:rPr>
        <w:t xml:space="preserve"> </w:t>
      </w:r>
      <w:r w:rsidR="00E41942" w:rsidRPr="00E41942">
        <w:rPr>
          <w:i/>
        </w:rPr>
        <w:t xml:space="preserve">Consider consistency in reporting scaling of information in degrees with </w:t>
      </w:r>
      <w:r w:rsidR="00805545">
        <w:rPr>
          <w:i/>
        </w:rPr>
        <w:t xml:space="preserve">kilometers </w:t>
      </w:r>
      <w:r w:rsidR="00E41942" w:rsidRPr="00E41942">
        <w:rPr>
          <w:i/>
        </w:rPr>
        <w:t>in parentheses in all cases, not just some</w:t>
      </w:r>
      <w:r w:rsidRPr="00863080">
        <w:rPr>
          <w:i/>
        </w:rPr>
        <w:t>.</w:t>
      </w:r>
    </w:p>
    <w:p w14:paraId="3B73CF1F" w14:textId="5E0A81AF" w:rsidR="002C0EC9" w:rsidRDefault="002C0EC9" w:rsidP="002C0EC9">
      <w:pPr>
        <w:pStyle w:val="BodyText"/>
        <w:ind w:left="360" w:hanging="360"/>
      </w:pPr>
      <w:r>
        <w:t>-</w:t>
      </w:r>
      <w:r>
        <w:tab/>
      </w:r>
      <w:r w:rsidR="00E41942" w:rsidRPr="00E41942">
        <w:t>We appreciate this suggestion. Since there is no unique transformation between degree</w:t>
      </w:r>
      <w:r w:rsidR="00805545">
        <w:t>s</w:t>
      </w:r>
      <w:r w:rsidR="00E41942" w:rsidRPr="00E41942">
        <w:t xml:space="preserve"> and </w:t>
      </w:r>
      <w:r w:rsidR="00805545">
        <w:t>kilometers</w:t>
      </w:r>
      <w:r w:rsidR="00E41942" w:rsidRPr="00E41942">
        <w:t xml:space="preserve">, we </w:t>
      </w:r>
      <w:r w:rsidR="00805545">
        <w:t xml:space="preserve">could not </w:t>
      </w:r>
      <w:r w:rsidR="00E41942" w:rsidRPr="00E41942">
        <w:t xml:space="preserve">report </w:t>
      </w:r>
      <w:r w:rsidR="00805545">
        <w:t xml:space="preserve">kilometers </w:t>
      </w:r>
      <w:r w:rsidR="00E41942" w:rsidRPr="00E41942">
        <w:t>in all places. We only report</w:t>
      </w:r>
      <w:r w:rsidR="00805545">
        <w:t>ed</w:t>
      </w:r>
      <w:r w:rsidR="00E41942" w:rsidRPr="00E41942">
        <w:t xml:space="preserve"> </w:t>
      </w:r>
      <w:r w:rsidR="00805545">
        <w:t xml:space="preserve">kilometers </w:t>
      </w:r>
      <w:r w:rsidR="00EA61E9">
        <w:t>in places that could otherwise be misleading</w:t>
      </w:r>
      <w:r w:rsidR="00E41942" w:rsidRPr="00E41942">
        <w:t>.</w:t>
      </w:r>
    </w:p>
    <w:p w14:paraId="6DDA5D7C" w14:textId="320A53AF" w:rsidR="007A4E23" w:rsidRDefault="007A4E23" w:rsidP="007A4E23">
      <w:pPr>
        <w:pStyle w:val="BodyText"/>
      </w:pPr>
      <w:r w:rsidRPr="00DA1CA8">
        <w:rPr>
          <w:b/>
        </w:rPr>
        <w:t xml:space="preserve">Reviewer </w:t>
      </w:r>
      <w:r>
        <w:rPr>
          <w:b/>
        </w:rPr>
        <w:t>2</w:t>
      </w:r>
    </w:p>
    <w:p w14:paraId="6D4162E4" w14:textId="1829259C" w:rsidR="007A4E23" w:rsidRDefault="003A4CA8" w:rsidP="007A4E23">
      <w:pPr>
        <w:pStyle w:val="BodyText"/>
        <w:spacing w:after="0"/>
      </w:pPr>
      <w:r>
        <w:rPr>
          <w:i/>
        </w:rPr>
        <w:t>2</w:t>
      </w:r>
      <w:r w:rsidR="007A4E23">
        <w:rPr>
          <w:i/>
        </w:rPr>
        <w:t xml:space="preserve">.1 </w:t>
      </w:r>
      <w:r>
        <w:rPr>
          <w:i/>
        </w:rPr>
        <w:t xml:space="preserve">Regarding </w:t>
      </w:r>
      <w:r w:rsidRPr="003A4CA8">
        <w:rPr>
          <w:i/>
        </w:rPr>
        <w:t>the correlations between PRMS/VIC and Daymet/Livneh at SNOTEL points</w:t>
      </w:r>
      <w:r>
        <w:rPr>
          <w:i/>
        </w:rPr>
        <w:t xml:space="preserve">, </w:t>
      </w:r>
      <w:r w:rsidR="00805545">
        <w:rPr>
          <w:i/>
        </w:rPr>
        <w:t xml:space="preserve">although </w:t>
      </w:r>
      <w:r w:rsidRPr="003A4CA8">
        <w:rPr>
          <w:i/>
        </w:rPr>
        <w:t xml:space="preserve">an overall analysis is sufficient for this section of the report, it would be beneficial for the report to sample points near the reservoirs/basins of interest to understand local/regional differences. With snowfall a big factor in </w:t>
      </w:r>
      <w:r w:rsidR="005606E5">
        <w:rPr>
          <w:i/>
        </w:rPr>
        <w:t xml:space="preserve">the </w:t>
      </w:r>
      <w:r w:rsidRPr="003A4CA8">
        <w:rPr>
          <w:i/>
        </w:rPr>
        <w:t xml:space="preserve">western </w:t>
      </w:r>
      <w:r w:rsidR="005606E5">
        <w:rPr>
          <w:i/>
        </w:rPr>
        <w:t>United States</w:t>
      </w:r>
      <w:r w:rsidRPr="003A4CA8">
        <w:rPr>
          <w:i/>
        </w:rPr>
        <w:t>, correctly simulating snow/SWE is obviously very important. Small differences in annual snowfall in the control period can lead to large differences in future simulations</w:t>
      </w:r>
      <w:r w:rsidR="007A4E23" w:rsidRPr="00357780">
        <w:rPr>
          <w:i/>
        </w:rPr>
        <w:t>.</w:t>
      </w:r>
    </w:p>
    <w:p w14:paraId="007BC6FC" w14:textId="6E7A7E9F" w:rsidR="007A4E23" w:rsidRDefault="007A4E23" w:rsidP="007A4E23">
      <w:pPr>
        <w:pStyle w:val="BodyText"/>
        <w:ind w:left="360" w:hanging="360"/>
      </w:pPr>
      <w:r>
        <w:t>-</w:t>
      </w:r>
      <w:r>
        <w:tab/>
      </w:r>
      <w:r w:rsidR="003A4CA8" w:rsidRPr="003A4CA8">
        <w:t>Given that majority of the SNOTEL sites fall within PMA watersheds, we have not sampled the points explicitly. However, we provide</w:t>
      </w:r>
      <w:r w:rsidR="00805545">
        <w:t>d</w:t>
      </w:r>
      <w:r w:rsidR="003A4CA8" w:rsidRPr="003A4CA8">
        <w:t xml:space="preserve"> PMA boundaries (basin of interest) on the map for a clearer identification. Given that the SWE is summarized at </w:t>
      </w:r>
      <w:r w:rsidR="00805545">
        <w:t xml:space="preserve">the </w:t>
      </w:r>
      <w:r w:rsidR="003A4CA8" w:rsidRPr="003A4CA8">
        <w:t>HUC8 level, a clear relationship between the reservoir and nearby SNOTEL may not be directly established.</w:t>
      </w:r>
    </w:p>
    <w:p w14:paraId="278D524B" w14:textId="1235E34C" w:rsidR="007A4E23" w:rsidRDefault="003A4CA8" w:rsidP="007A4E23">
      <w:pPr>
        <w:pStyle w:val="BodyText"/>
        <w:spacing w:after="0"/>
      </w:pPr>
      <w:r>
        <w:rPr>
          <w:i/>
        </w:rPr>
        <w:t>2</w:t>
      </w:r>
      <w:r w:rsidR="007A4E23">
        <w:rPr>
          <w:i/>
        </w:rPr>
        <w:t>.</w:t>
      </w:r>
      <w:r w:rsidR="00456C63">
        <w:rPr>
          <w:i/>
        </w:rPr>
        <w:t>2</w:t>
      </w:r>
      <w:r w:rsidR="007A4E23">
        <w:rPr>
          <w:i/>
        </w:rPr>
        <w:t xml:space="preserve"> </w:t>
      </w:r>
      <w:r w:rsidR="00456C63" w:rsidRPr="00456C63">
        <w:rPr>
          <w:i/>
        </w:rPr>
        <w:t>The last section might benefit from a section relating regional/sub-regional PMAs to the greater interconnections and hydropower</w:t>
      </w:r>
      <w:r w:rsidR="00805545">
        <w:rPr>
          <w:i/>
        </w:rPr>
        <w:t>’</w:t>
      </w:r>
      <w:r w:rsidR="00456C63" w:rsidRPr="00456C63">
        <w:rPr>
          <w:i/>
        </w:rPr>
        <w:t xml:space="preserve">s impacts on a future grid. This of course might be speculative, </w:t>
      </w:r>
      <w:r w:rsidR="00805545">
        <w:rPr>
          <w:i/>
        </w:rPr>
        <w:t xml:space="preserve">but </w:t>
      </w:r>
      <w:r w:rsidR="00456C63" w:rsidRPr="00456C63">
        <w:rPr>
          <w:i/>
        </w:rPr>
        <w:t>discussing future hydropower in the context of grid stability could be a future endeavor for this report</w:t>
      </w:r>
      <w:r w:rsidR="007A4E23" w:rsidRPr="00863080">
        <w:rPr>
          <w:i/>
        </w:rPr>
        <w:t>.</w:t>
      </w:r>
    </w:p>
    <w:p w14:paraId="739AC92E" w14:textId="27C004C1" w:rsidR="007A4E23" w:rsidRDefault="007A4E23" w:rsidP="007A4E23">
      <w:pPr>
        <w:pStyle w:val="BodyText"/>
        <w:ind w:left="360" w:hanging="360"/>
      </w:pPr>
      <w:r>
        <w:t>-</w:t>
      </w:r>
      <w:r>
        <w:tab/>
      </w:r>
      <w:r w:rsidR="00456C63" w:rsidRPr="00456C63">
        <w:t>Thank you for the suggestion. We have included it as a potential future work and discussed in Section</w:t>
      </w:r>
      <w:r w:rsidR="00805545">
        <w:t> </w:t>
      </w:r>
      <w:r w:rsidR="00456C63" w:rsidRPr="00456C63">
        <w:t>8.3</w:t>
      </w:r>
      <w:r w:rsidR="00930433">
        <w:t>:</w:t>
      </w:r>
      <w:r w:rsidR="00456C63" w:rsidRPr="00456C63">
        <w:t xml:space="preserve"> </w:t>
      </w:r>
      <w:r w:rsidR="00930433">
        <w:t>“</w:t>
      </w:r>
      <w:r w:rsidR="00456C63" w:rsidRPr="00456C63">
        <w:t>The representation of hydropower operations must be enhanced to support the operation of future grids. For example, enhancement to a weekly time step, and representation of storage targets and daily fluctuations range and ramping, would be needed to further integrate the hydropower projections into unit commitment production cost models. This enhancement would allow for evaluating the impact of climate change on the ability for hydropower resources to sustain grid resilience under extreme events conditions, as well as under new power grid infrastructure and generation portfolio with new markets and net load profiles. The water management model would also be enhanced with the ability to add or remove reservoirs.</w:t>
      </w:r>
      <w:r w:rsidR="00930433">
        <w:t>”</w:t>
      </w:r>
    </w:p>
    <w:p w14:paraId="10E198F7" w14:textId="728E7231" w:rsidR="008B78A8" w:rsidRDefault="008B78A8" w:rsidP="008B78A8">
      <w:pPr>
        <w:pStyle w:val="BodyText"/>
        <w:spacing w:after="0"/>
      </w:pPr>
      <w:r>
        <w:rPr>
          <w:i/>
        </w:rPr>
        <w:lastRenderedPageBreak/>
        <w:t>2.3 W</w:t>
      </w:r>
      <w:r w:rsidRPr="008B78A8">
        <w:rPr>
          <w:i/>
        </w:rPr>
        <w:t>hat is intensification of hydrologic cycle? In what way?</w:t>
      </w:r>
    </w:p>
    <w:p w14:paraId="39B6041D" w14:textId="75B7CABF" w:rsidR="008B78A8" w:rsidRDefault="008B78A8" w:rsidP="008B78A8">
      <w:pPr>
        <w:pStyle w:val="BodyText"/>
        <w:ind w:left="360" w:hanging="360"/>
      </w:pPr>
      <w:r>
        <w:t>-</w:t>
      </w:r>
      <w:r>
        <w:tab/>
      </w:r>
      <w:r w:rsidRPr="008B78A8">
        <w:t>It means that there will be stronger mass and energy exchange in the hydrologic cycle, which may result in increasing intensity and frequency of extreme hydrologic events (for both droughts and floods).</w:t>
      </w:r>
    </w:p>
    <w:p w14:paraId="781BBD3A" w14:textId="48267437" w:rsidR="004B5D96" w:rsidRDefault="004B5D96" w:rsidP="004B5D96">
      <w:pPr>
        <w:pStyle w:val="BodyText"/>
        <w:spacing w:after="0"/>
      </w:pPr>
      <w:r>
        <w:rPr>
          <w:i/>
        </w:rPr>
        <w:t xml:space="preserve">2.4 </w:t>
      </w:r>
      <w:r w:rsidRPr="004B5D96">
        <w:rPr>
          <w:i/>
        </w:rPr>
        <w:t>Explain what Tier</w:t>
      </w:r>
      <w:r w:rsidR="00805545">
        <w:rPr>
          <w:i/>
        </w:rPr>
        <w:t xml:space="preserve"> </w:t>
      </w:r>
      <w:r w:rsidRPr="004B5D96">
        <w:rPr>
          <w:i/>
        </w:rPr>
        <w:t>1 means in the context of SPP and RCP</w:t>
      </w:r>
      <w:r w:rsidR="00805545">
        <w:rPr>
          <w:i/>
        </w:rPr>
        <w:t>.</w:t>
      </w:r>
    </w:p>
    <w:p w14:paraId="5B3746DD" w14:textId="3169F902" w:rsidR="004B5D96" w:rsidRDefault="004B5D96" w:rsidP="004B5D96">
      <w:pPr>
        <w:pStyle w:val="BodyText"/>
        <w:ind w:left="360" w:hanging="360"/>
      </w:pPr>
      <w:r>
        <w:t>-</w:t>
      </w:r>
      <w:r>
        <w:tab/>
      </w:r>
      <w:r w:rsidRPr="004B5D96">
        <w:t>Tier 1 represents four high</w:t>
      </w:r>
      <w:r w:rsidR="00805545">
        <w:t>-</w:t>
      </w:r>
      <w:r w:rsidRPr="004B5D96">
        <w:t xml:space="preserve">priority scenarios. The text has been updated to clarify this term. The revised text states, </w:t>
      </w:r>
      <w:r w:rsidR="00930433">
        <w:t>“</w:t>
      </w:r>
      <w:r w:rsidRPr="004B5D96">
        <w:t>GCMs are physics-based tools to study Earth system response to natural climate variability and changes arising from climatic changes arising from anthropogenically driven increases in greenhouse gas emission and radiative forcing.</w:t>
      </w:r>
      <w:r w:rsidR="00930433">
        <w:t>”</w:t>
      </w:r>
    </w:p>
    <w:p w14:paraId="472D0479" w14:textId="6397DCC5" w:rsidR="00B641DC" w:rsidRDefault="00B641DC" w:rsidP="00B641DC">
      <w:pPr>
        <w:pStyle w:val="BodyText"/>
        <w:spacing w:after="0"/>
      </w:pPr>
      <w:r>
        <w:rPr>
          <w:i/>
        </w:rPr>
        <w:t xml:space="preserve">2.5 </w:t>
      </w:r>
      <w:r w:rsidRPr="00B641DC">
        <w:rPr>
          <w:i/>
        </w:rPr>
        <w:t>What has been done to mitigate dependence between CMIP scenarios/models? How significant is this dependence on bias?</w:t>
      </w:r>
    </w:p>
    <w:p w14:paraId="251164EF" w14:textId="2EA3C13B" w:rsidR="00B641DC" w:rsidRDefault="00B641DC" w:rsidP="00B641DC">
      <w:pPr>
        <w:pStyle w:val="BodyText"/>
        <w:ind w:left="360" w:hanging="360"/>
      </w:pPr>
      <w:r>
        <w:t>-</w:t>
      </w:r>
      <w:r>
        <w:tab/>
      </w:r>
      <w:r w:rsidRPr="00B641DC">
        <w:t>The GCM evaluation is based on the historical simulations, which have no relation</w:t>
      </w:r>
      <w:r w:rsidR="00805545">
        <w:t>ship</w:t>
      </w:r>
      <w:r w:rsidRPr="00B641DC">
        <w:t xml:space="preserve"> with the future scenarios. </w:t>
      </w:r>
      <w:r w:rsidR="005606E5">
        <w:t>B</w:t>
      </w:r>
      <w:r w:rsidRPr="00B641DC">
        <w:t>iases are with respect to observations or reanalysis that only are available in the historical period. All scenario simulations represent the future projection period where no reference observations exist.</w:t>
      </w:r>
    </w:p>
    <w:p w14:paraId="616CE1EC" w14:textId="49D9783A" w:rsidR="009804F2" w:rsidRDefault="009804F2" w:rsidP="009804F2">
      <w:pPr>
        <w:pStyle w:val="BodyText"/>
        <w:spacing w:after="0"/>
      </w:pPr>
      <w:r>
        <w:rPr>
          <w:i/>
        </w:rPr>
        <w:t xml:space="preserve">2.6 </w:t>
      </w:r>
      <w:r w:rsidRPr="009804F2">
        <w:rPr>
          <w:i/>
        </w:rPr>
        <w:t xml:space="preserve">Add a few lines or </w:t>
      </w:r>
      <w:r w:rsidR="00805545">
        <w:rPr>
          <w:i/>
        </w:rPr>
        <w:t xml:space="preserve">an </w:t>
      </w:r>
      <w:r w:rsidRPr="009804F2">
        <w:rPr>
          <w:i/>
        </w:rPr>
        <w:t>appendix explaining potential impacts on omitting groundwater component or perhaps assurance that the basins evaluated for hydropower concerns are less impacted</w:t>
      </w:r>
      <w:r w:rsidR="00805545">
        <w:rPr>
          <w:i/>
        </w:rPr>
        <w:t>.</w:t>
      </w:r>
    </w:p>
    <w:p w14:paraId="292416E4" w14:textId="0B87FD65" w:rsidR="009804F2" w:rsidRDefault="009804F2" w:rsidP="009804F2">
      <w:pPr>
        <w:pStyle w:val="BodyText"/>
        <w:ind w:left="360" w:hanging="360"/>
      </w:pPr>
      <w:r>
        <w:t>-</w:t>
      </w:r>
      <w:r>
        <w:tab/>
      </w:r>
      <w:r w:rsidRPr="009804F2">
        <w:t xml:space="preserve">In </w:t>
      </w:r>
      <w:r w:rsidR="00805545">
        <w:t xml:space="preserve">this </w:t>
      </w:r>
      <w:r w:rsidRPr="009804F2">
        <w:t>study, we estimate</w:t>
      </w:r>
      <w:r w:rsidR="00805545">
        <w:t>d</w:t>
      </w:r>
      <w:r w:rsidRPr="009804F2">
        <w:t xml:space="preserve"> climate projections by evaluating hydrologic response in </w:t>
      </w:r>
      <w:r w:rsidR="00805545">
        <w:t xml:space="preserve">the </w:t>
      </w:r>
      <w:r w:rsidRPr="009804F2">
        <w:t>future time period in reference to the hydrologic response in the baseline period of the same set of models. Given the lack of coupled surface water and groundwater interactions in both of these time periods, any deficiencies in the hydrologic process representation are expected to reduce the impacts on the signal of climate change.</w:t>
      </w:r>
    </w:p>
    <w:p w14:paraId="6801CE49" w14:textId="6BD2614B" w:rsidR="007A4E23" w:rsidRDefault="007A4E23" w:rsidP="007A4E23">
      <w:pPr>
        <w:pStyle w:val="BodyText"/>
      </w:pPr>
      <w:r w:rsidRPr="00DA1CA8">
        <w:rPr>
          <w:b/>
        </w:rPr>
        <w:t xml:space="preserve">Reviewer </w:t>
      </w:r>
      <w:r w:rsidR="00A175FD">
        <w:rPr>
          <w:b/>
        </w:rPr>
        <w:t>3</w:t>
      </w:r>
    </w:p>
    <w:p w14:paraId="2853AE5F" w14:textId="70EE6FC9" w:rsidR="007A4E23" w:rsidRDefault="00257C6C" w:rsidP="007A4E23">
      <w:pPr>
        <w:pStyle w:val="BodyText"/>
        <w:spacing w:after="0"/>
      </w:pPr>
      <w:r>
        <w:rPr>
          <w:i/>
        </w:rPr>
        <w:t>3</w:t>
      </w:r>
      <w:r w:rsidR="007A4E23">
        <w:rPr>
          <w:i/>
        </w:rPr>
        <w:t xml:space="preserve">.1 </w:t>
      </w:r>
      <w:r w:rsidR="00805545">
        <w:rPr>
          <w:i/>
        </w:rPr>
        <w:t>It w</w:t>
      </w:r>
      <w:r w:rsidRPr="00257C6C">
        <w:rPr>
          <w:i/>
        </w:rPr>
        <w:t xml:space="preserve">ould have been nice to see more evaluation of metrics like CAPE, Shear, IVT, or </w:t>
      </w:r>
      <w:r w:rsidR="00805545">
        <w:rPr>
          <w:i/>
        </w:rPr>
        <w:t xml:space="preserve">the </w:t>
      </w:r>
      <w:r w:rsidRPr="00257C6C">
        <w:rPr>
          <w:i/>
        </w:rPr>
        <w:t>North American Monsoon in the analysis of GCMs</w:t>
      </w:r>
      <w:r w:rsidR="00805545">
        <w:rPr>
          <w:i/>
        </w:rPr>
        <w:t>;</w:t>
      </w:r>
      <w:r w:rsidRPr="00257C6C">
        <w:rPr>
          <w:i/>
        </w:rPr>
        <w:t xml:space="preserve"> not sure there is much to do about it at this point.</w:t>
      </w:r>
    </w:p>
    <w:p w14:paraId="2D5542E9" w14:textId="6AB07C2F" w:rsidR="007A4E23" w:rsidRDefault="007A4E23" w:rsidP="007A4E23">
      <w:pPr>
        <w:pStyle w:val="BodyText"/>
        <w:ind w:left="360" w:hanging="360"/>
      </w:pPr>
      <w:r>
        <w:t>-</w:t>
      </w:r>
      <w:r>
        <w:tab/>
      </w:r>
      <w:r w:rsidR="007F3392" w:rsidRPr="007F3392">
        <w:t xml:space="preserve">We primarily focused on the metrics that are relevant for all CONUS regions. The suggested metrics are indeed useful but </w:t>
      </w:r>
      <w:r w:rsidR="00805545">
        <w:t xml:space="preserve">are </w:t>
      </w:r>
      <w:r w:rsidR="007F3392" w:rsidRPr="007F3392">
        <w:t xml:space="preserve">more geared toward regional climate characteristics. We have added text </w:t>
      </w:r>
      <w:r w:rsidR="00805545">
        <w:t xml:space="preserve">to </w:t>
      </w:r>
      <w:r w:rsidR="007F3392" w:rsidRPr="007F3392">
        <w:t>highlight this point</w:t>
      </w:r>
      <w:r w:rsidR="00930433">
        <w:t>:</w:t>
      </w:r>
      <w:r w:rsidR="007F3392" w:rsidRPr="007F3392">
        <w:t xml:space="preserve"> </w:t>
      </w:r>
      <w:r w:rsidR="00930433">
        <w:t>“</w:t>
      </w:r>
      <w:r w:rsidR="007F3392" w:rsidRPr="007F3392">
        <w:t xml:space="preserve">Note that our selection of metrics represents a wide range of spatiotemporal climate characteristics that are common across the CONUS and does not include those features that are unique to specific regions, such as integrated water vapor transport through atmospheric rivers in the western </w:t>
      </w:r>
      <w:r w:rsidR="005606E5">
        <w:t>United States</w:t>
      </w:r>
      <w:r w:rsidR="007F3392" w:rsidRPr="007F3392">
        <w:t>, the monsoonal climate in the southwest and tornadic environment in the central and eastern United States.</w:t>
      </w:r>
      <w:r w:rsidR="00930433">
        <w:t>”</w:t>
      </w:r>
    </w:p>
    <w:p w14:paraId="3AF4BAAA" w14:textId="3823EA51" w:rsidR="007A4E23" w:rsidRDefault="007F3392" w:rsidP="007A4E23">
      <w:pPr>
        <w:pStyle w:val="BodyText"/>
        <w:spacing w:after="0"/>
      </w:pPr>
      <w:r>
        <w:rPr>
          <w:i/>
        </w:rPr>
        <w:t>3</w:t>
      </w:r>
      <w:r w:rsidR="007A4E23">
        <w:rPr>
          <w:i/>
        </w:rPr>
        <w:t xml:space="preserve">.2 </w:t>
      </w:r>
      <w:r w:rsidRPr="007F3392">
        <w:rPr>
          <w:i/>
        </w:rPr>
        <w:t>Can you provide some context with respect to recent historical variability? I think WAPA is pretty worried about declines in Colorado River basin flows recently. Can you say with confidence that that is truly random variability?</w:t>
      </w:r>
    </w:p>
    <w:p w14:paraId="59A9D350" w14:textId="13BB20B4" w:rsidR="007A4E23" w:rsidRDefault="007A4E23" w:rsidP="007A4E23">
      <w:pPr>
        <w:pStyle w:val="BodyText"/>
        <w:ind w:left="360" w:hanging="360"/>
      </w:pPr>
      <w:r>
        <w:t>-</w:t>
      </w:r>
      <w:r>
        <w:tab/>
      </w:r>
      <w:r w:rsidR="004C18FC" w:rsidRPr="004C18FC">
        <w:t xml:space="preserve">Given the nature of GCM modeling and simulations, the projections cannot be directly compared </w:t>
      </w:r>
      <w:r w:rsidR="00321A44">
        <w:t>with</w:t>
      </w:r>
      <w:r w:rsidR="004C18FC" w:rsidRPr="004C18FC">
        <w:t xml:space="preserve"> the historical variability. </w:t>
      </w:r>
      <w:r w:rsidR="00805545">
        <w:t>However, r</w:t>
      </w:r>
      <w:r w:rsidR="004C18FC" w:rsidRPr="004C18FC">
        <w:t>ecent trends in the historic period do indicate an ongoing drought condition in the Colorado River Basin</w:t>
      </w:r>
      <w:r w:rsidR="004C18FC">
        <w:t xml:space="preserve"> (e.g., Williams et al., 2021)</w:t>
      </w:r>
      <w:r w:rsidR="004C18FC" w:rsidRPr="004C18FC">
        <w:t>.</w:t>
      </w:r>
    </w:p>
    <w:p w14:paraId="7B4BE9BD" w14:textId="639BE75F" w:rsidR="004D63A5" w:rsidRDefault="004D63A5" w:rsidP="004D63A5">
      <w:pPr>
        <w:pStyle w:val="BodyText"/>
        <w:spacing w:after="0"/>
      </w:pPr>
      <w:r>
        <w:rPr>
          <w:i/>
        </w:rPr>
        <w:t xml:space="preserve">3.3 </w:t>
      </w:r>
      <w:r w:rsidRPr="00063557">
        <w:rPr>
          <w:i/>
        </w:rPr>
        <w:t xml:space="preserve">We have seen really large sensitivities in VIC to the representation of vegetation in the Colorado </w:t>
      </w:r>
      <w:r w:rsidR="00805545" w:rsidRPr="00063557">
        <w:rPr>
          <w:i/>
        </w:rPr>
        <w:t xml:space="preserve">River </w:t>
      </w:r>
      <w:r w:rsidRPr="00063557">
        <w:rPr>
          <w:i/>
        </w:rPr>
        <w:t>basin (changing increases in flows to decreases in flows)</w:t>
      </w:r>
      <w:r w:rsidR="00805545">
        <w:rPr>
          <w:i/>
        </w:rPr>
        <w:t>.</w:t>
      </w:r>
      <w:r w:rsidRPr="00063557">
        <w:rPr>
          <w:i/>
        </w:rPr>
        <w:t xml:space="preserve"> The new VIC vegetation maps are much more realistic and result in streamflow trends </w:t>
      </w:r>
      <w:r w:rsidR="00805545">
        <w:rPr>
          <w:i/>
        </w:rPr>
        <w:t xml:space="preserve">that </w:t>
      </w:r>
      <w:r w:rsidRPr="00063557">
        <w:rPr>
          <w:i/>
        </w:rPr>
        <w:t>are more consistent with recent observations</w:t>
      </w:r>
      <w:r w:rsidRPr="00257C6C">
        <w:rPr>
          <w:i/>
        </w:rPr>
        <w:t>.</w:t>
      </w:r>
    </w:p>
    <w:p w14:paraId="2A52F7CA" w14:textId="5670D18C" w:rsidR="004D63A5" w:rsidRDefault="004D63A5" w:rsidP="004D63A5">
      <w:pPr>
        <w:pStyle w:val="BodyText"/>
        <w:ind w:left="360" w:hanging="360"/>
      </w:pPr>
      <w:r>
        <w:t>-</w:t>
      </w:r>
      <w:r>
        <w:tab/>
      </w:r>
      <w:r w:rsidRPr="004D63A5">
        <w:t xml:space="preserve">Thank you for sharing </w:t>
      </w:r>
      <w:r w:rsidR="00805545">
        <w:t>this</w:t>
      </w:r>
      <w:r w:rsidRPr="004D63A5">
        <w:t xml:space="preserve">. </w:t>
      </w:r>
      <w:r w:rsidR="005606E5">
        <w:t xml:space="preserve">Our </w:t>
      </w:r>
      <w:r w:rsidRPr="004D63A5">
        <w:t xml:space="preserve">VIC vegetation maps were derived from MODIS and </w:t>
      </w:r>
      <w:r w:rsidR="00805545">
        <w:t xml:space="preserve">are </w:t>
      </w:r>
      <w:r w:rsidRPr="004D63A5">
        <w:t xml:space="preserve">different </w:t>
      </w:r>
      <w:r w:rsidR="00805545">
        <w:t xml:space="preserve">from </w:t>
      </w:r>
      <w:r w:rsidRPr="004D63A5">
        <w:t>other commonly used 6</w:t>
      </w:r>
      <w:r w:rsidR="005606E5">
        <w:t xml:space="preserve"> </w:t>
      </w:r>
      <w:r w:rsidRPr="004D63A5">
        <w:t>km version</w:t>
      </w:r>
      <w:r w:rsidR="00805545">
        <w:t>s</w:t>
      </w:r>
      <w:r w:rsidRPr="004D63A5">
        <w:t xml:space="preserve"> (e.g., used </w:t>
      </w:r>
      <w:r w:rsidR="00805545">
        <w:t xml:space="preserve">by </w:t>
      </w:r>
      <w:r w:rsidRPr="004D63A5">
        <w:t>Livneh et al., 2015). Nevertheless, our VIC parameters are still under the time-invariant assumption</w:t>
      </w:r>
      <w:r w:rsidR="00805545">
        <w:t>,</w:t>
      </w:r>
      <w:r w:rsidRPr="004D63A5">
        <w:t xml:space="preserve"> </w:t>
      </w:r>
      <w:r w:rsidR="00805545">
        <w:t xml:space="preserve">which </w:t>
      </w:r>
      <w:r w:rsidRPr="004D63A5">
        <w:t xml:space="preserve">is one modeling </w:t>
      </w:r>
      <w:r w:rsidR="00805545">
        <w:t xml:space="preserve">subject </w:t>
      </w:r>
      <w:r w:rsidRPr="004D63A5">
        <w:t xml:space="preserve">that should be </w:t>
      </w:r>
      <w:r w:rsidR="00805545">
        <w:lastRenderedPageBreak/>
        <w:t xml:space="preserve">examined </w:t>
      </w:r>
      <w:r w:rsidRPr="004D63A5">
        <w:t>in future effort</w:t>
      </w:r>
      <w:r w:rsidR="00805545">
        <w:t>s</w:t>
      </w:r>
      <w:r w:rsidRPr="004D63A5">
        <w:t>. We will be glad to conduct further model inter-comparison to identify a defensible way to enhance the representation of vegetation in VIC.</w:t>
      </w:r>
    </w:p>
    <w:p w14:paraId="7098CFC4" w14:textId="1459215B" w:rsidR="00F757D5" w:rsidRDefault="00F757D5" w:rsidP="00F757D5">
      <w:pPr>
        <w:pStyle w:val="BodyText"/>
        <w:spacing w:after="0"/>
      </w:pPr>
      <w:r>
        <w:rPr>
          <w:i/>
        </w:rPr>
        <w:t>3.</w:t>
      </w:r>
      <w:r w:rsidR="004D63A5">
        <w:rPr>
          <w:i/>
        </w:rPr>
        <w:t>4</w:t>
      </w:r>
      <w:r>
        <w:rPr>
          <w:i/>
        </w:rPr>
        <w:t xml:space="preserve"> </w:t>
      </w:r>
      <w:r w:rsidR="00332FED" w:rsidRPr="00332FED">
        <w:rPr>
          <w:i/>
        </w:rPr>
        <w:t>Since the GCMs are such an important factor, but you only have 6, can you provide more analysis of the other 20+ GCMs based only on changes in precip</w:t>
      </w:r>
      <w:r w:rsidR="00805545">
        <w:rPr>
          <w:i/>
        </w:rPr>
        <w:t>itation</w:t>
      </w:r>
      <w:r w:rsidR="00332FED" w:rsidRPr="00332FED">
        <w:rPr>
          <w:i/>
        </w:rPr>
        <w:t xml:space="preserve"> and temperature in each of the major regions?</w:t>
      </w:r>
    </w:p>
    <w:p w14:paraId="316796AD" w14:textId="140431F9" w:rsidR="00F757D5" w:rsidRDefault="00F757D5" w:rsidP="00F757D5">
      <w:pPr>
        <w:pStyle w:val="BodyText"/>
        <w:ind w:left="360" w:hanging="360"/>
      </w:pPr>
      <w:r>
        <w:t>-</w:t>
      </w:r>
      <w:r>
        <w:tab/>
      </w:r>
      <w:r w:rsidR="0067519E">
        <w:fldChar w:fldCharType="begin"/>
      </w:r>
      <w:r w:rsidR="0067519E">
        <w:instrText xml:space="preserve"> REF _Ref81894709 \h </w:instrText>
      </w:r>
      <w:r w:rsidR="0067519E">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7</w:t>
      </w:r>
      <w:r w:rsidR="0067519E">
        <w:fldChar w:fldCharType="end"/>
      </w:r>
      <w:r w:rsidR="0067519E" w:rsidRPr="0067519E">
        <w:t xml:space="preserve"> provides a comparison of selected GCMs </w:t>
      </w:r>
      <w:r w:rsidR="002E383A">
        <w:t xml:space="preserve">vs. </w:t>
      </w:r>
      <w:r w:rsidR="0067519E" w:rsidRPr="0067519E">
        <w:t>the rest.</w:t>
      </w:r>
    </w:p>
    <w:p w14:paraId="2757848C" w14:textId="39D41CED" w:rsidR="00844990" w:rsidRDefault="00844990" w:rsidP="00844990">
      <w:pPr>
        <w:pStyle w:val="BodyText"/>
        <w:spacing w:after="0"/>
      </w:pPr>
      <w:r>
        <w:rPr>
          <w:i/>
        </w:rPr>
        <w:t xml:space="preserve">3.5 </w:t>
      </w:r>
      <w:r w:rsidRPr="00844990">
        <w:rPr>
          <w:i/>
        </w:rPr>
        <w:t>Why aren</w:t>
      </w:r>
      <w:r w:rsidR="00805545">
        <w:rPr>
          <w:i/>
        </w:rPr>
        <w:t>’</w:t>
      </w:r>
      <w:r w:rsidRPr="00844990">
        <w:rPr>
          <w:i/>
        </w:rPr>
        <w:t>t the bias</w:t>
      </w:r>
      <w:r w:rsidR="00FB7A82">
        <w:rPr>
          <w:i/>
        </w:rPr>
        <w:t>-</w:t>
      </w:r>
      <w:r w:rsidRPr="00844990">
        <w:rPr>
          <w:i/>
        </w:rPr>
        <w:t>corrected metrics perfect (bias</w:t>
      </w:r>
      <w:r w:rsidR="002E383A">
        <w:rPr>
          <w:i/>
        </w:rPr>
        <w:t xml:space="preserve"> </w:t>
      </w:r>
      <w:r w:rsidRPr="00844990">
        <w:rPr>
          <w:i/>
        </w:rPr>
        <w:t>=</w:t>
      </w:r>
      <w:r w:rsidR="002E383A">
        <w:rPr>
          <w:i/>
        </w:rPr>
        <w:t xml:space="preserve"> </w:t>
      </w:r>
      <w:r w:rsidRPr="00844990">
        <w:rPr>
          <w:i/>
        </w:rPr>
        <w:t>0,</w:t>
      </w:r>
      <w:r>
        <w:rPr>
          <w:i/>
        </w:rPr>
        <w:t xml:space="preserve"> </w:t>
      </w:r>
      <w:r w:rsidRPr="00844990">
        <w:rPr>
          <w:i/>
        </w:rPr>
        <w:t>correlation</w:t>
      </w:r>
      <w:r w:rsidR="002E383A">
        <w:rPr>
          <w:i/>
        </w:rPr>
        <w:t xml:space="preserve"> </w:t>
      </w:r>
      <w:r w:rsidRPr="00844990">
        <w:rPr>
          <w:i/>
        </w:rPr>
        <w:t>=</w:t>
      </w:r>
      <w:r w:rsidR="002E383A">
        <w:rPr>
          <w:i/>
        </w:rPr>
        <w:t xml:space="preserve"> </w:t>
      </w:r>
      <w:r w:rsidRPr="00844990">
        <w:rPr>
          <w:i/>
        </w:rPr>
        <w:t>1,</w:t>
      </w:r>
      <w:r>
        <w:rPr>
          <w:i/>
        </w:rPr>
        <w:t xml:space="preserve"> </w:t>
      </w:r>
      <w:r w:rsidRPr="00844990">
        <w:rPr>
          <w:i/>
        </w:rPr>
        <w:t>etc</w:t>
      </w:r>
      <w:r w:rsidR="005606E5">
        <w:rPr>
          <w:i/>
        </w:rPr>
        <w:t>.</w:t>
      </w:r>
      <w:r w:rsidRPr="00844990">
        <w:rPr>
          <w:i/>
        </w:rPr>
        <w:t>)</w:t>
      </w:r>
      <w:r w:rsidR="00805545">
        <w:rPr>
          <w:i/>
        </w:rPr>
        <w:t>?</w:t>
      </w:r>
      <w:r w:rsidRPr="00844990">
        <w:rPr>
          <w:i/>
        </w:rPr>
        <w:t xml:space="preserve"> </w:t>
      </w:r>
      <w:r w:rsidR="00805545">
        <w:rPr>
          <w:i/>
        </w:rPr>
        <w:t>W</w:t>
      </w:r>
      <w:r w:rsidRPr="00844990">
        <w:rPr>
          <w:i/>
        </w:rPr>
        <w:t>as there a training and validation separation? (I didn</w:t>
      </w:r>
      <w:r w:rsidR="00805545">
        <w:rPr>
          <w:i/>
        </w:rPr>
        <w:t>’</w:t>
      </w:r>
      <w:r w:rsidRPr="00844990">
        <w:rPr>
          <w:i/>
        </w:rPr>
        <w:t>t see it mentioned</w:t>
      </w:r>
      <w:r w:rsidR="00805545">
        <w:rPr>
          <w:i/>
        </w:rPr>
        <w:t>.</w:t>
      </w:r>
      <w:r w:rsidRPr="00844990">
        <w:rPr>
          <w:i/>
        </w:rPr>
        <w:t>)</w:t>
      </w:r>
    </w:p>
    <w:p w14:paraId="6384B5F7" w14:textId="0A9266D5" w:rsidR="00844990" w:rsidRDefault="00844990" w:rsidP="00844990">
      <w:pPr>
        <w:pStyle w:val="BodyText"/>
        <w:ind w:left="360" w:hanging="360"/>
      </w:pPr>
      <w:r>
        <w:t>-</w:t>
      </w:r>
      <w:r>
        <w:tab/>
      </w:r>
      <w:r w:rsidRPr="00844990">
        <w:t>To the best of our knowledge, there is no perfect bias</w:t>
      </w:r>
      <w:r w:rsidR="003B2B16">
        <w:t xml:space="preserve"> </w:t>
      </w:r>
      <w:r w:rsidRPr="00844990">
        <w:t xml:space="preserve">correction approach that can preserve all metrics. For our application, as evident from </w:t>
      </w:r>
      <w:r>
        <w:fldChar w:fldCharType="begin"/>
      </w:r>
      <w:r>
        <w:instrText xml:space="preserve"> REF _Ref72825934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9</w:t>
      </w:r>
      <w:r>
        <w:fldChar w:fldCharType="end"/>
      </w:r>
      <w:r>
        <w:t xml:space="preserve">, </w:t>
      </w:r>
      <w:r>
        <w:fldChar w:fldCharType="begin"/>
      </w:r>
      <w:r>
        <w:instrText xml:space="preserve"> REF _Ref95316429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10</w:t>
      </w:r>
      <w:r>
        <w:fldChar w:fldCharType="end"/>
      </w:r>
      <w:r>
        <w:t xml:space="preserve">, and </w:t>
      </w:r>
      <w:r>
        <w:fldChar w:fldCharType="begin"/>
      </w:r>
      <w:r>
        <w:instrText xml:space="preserve"> REF _Ref95316434 \h </w:instrText>
      </w:r>
      <w:r>
        <w:fldChar w:fldCharType="separate"/>
      </w:r>
      <w:r w:rsidR="00EE0BF5">
        <w:rPr>
          <w:lang w:eastAsia="zh-TW"/>
        </w:rPr>
        <w:t>Figure</w:t>
      </w:r>
      <w:r w:rsidR="00EE0BF5" w:rsidRPr="006869CA">
        <w:rPr>
          <w:lang w:eastAsia="zh-TW"/>
        </w:rPr>
        <w:t xml:space="preserve"> </w:t>
      </w:r>
      <w:r w:rsidR="00EE0BF5">
        <w:rPr>
          <w:noProof/>
          <w:lang w:eastAsia="zh-TW"/>
        </w:rPr>
        <w:t>2</w:t>
      </w:r>
      <w:r w:rsidR="00EE0BF5">
        <w:rPr>
          <w:lang w:eastAsia="zh-TW"/>
        </w:rPr>
        <w:t>.</w:t>
      </w:r>
      <w:r w:rsidR="00EE0BF5">
        <w:rPr>
          <w:noProof/>
          <w:lang w:eastAsia="zh-TW"/>
        </w:rPr>
        <w:t>11</w:t>
      </w:r>
      <w:r>
        <w:fldChar w:fldCharType="end"/>
      </w:r>
      <w:r w:rsidRPr="00844990">
        <w:t>, the bias</w:t>
      </w:r>
      <w:r w:rsidR="00FB7A82">
        <w:t>-</w:t>
      </w:r>
      <w:r w:rsidRPr="00844990">
        <w:t xml:space="preserve">corrected output is </w:t>
      </w:r>
      <w:r w:rsidR="00805545">
        <w:t xml:space="preserve">reasonably </w:t>
      </w:r>
      <w:r w:rsidRPr="00844990">
        <w:t xml:space="preserve">close to observations at </w:t>
      </w:r>
      <w:r w:rsidR="00805545">
        <w:t xml:space="preserve">the </w:t>
      </w:r>
      <w:r w:rsidRPr="00844990">
        <w:t>monthly averaged scale. However, the biases in extremes that are derived from daily data still exist.</w:t>
      </w:r>
    </w:p>
    <w:p w14:paraId="575B13D0" w14:textId="11D1468C" w:rsidR="00844990" w:rsidRDefault="00844990" w:rsidP="00844990">
      <w:pPr>
        <w:pStyle w:val="BodyText"/>
        <w:spacing w:after="0"/>
      </w:pPr>
      <w:r>
        <w:rPr>
          <w:i/>
        </w:rPr>
        <w:t xml:space="preserve">3.6 </w:t>
      </w:r>
      <w:r w:rsidRPr="00844990">
        <w:rPr>
          <w:i/>
        </w:rPr>
        <w:t>Temporal frequency of PDO</w:t>
      </w:r>
      <w:r w:rsidR="00893BE4">
        <w:rPr>
          <w:i/>
        </w:rPr>
        <w:t xml:space="preserve">, </w:t>
      </w:r>
      <w:r w:rsidRPr="00844990">
        <w:rPr>
          <w:i/>
        </w:rPr>
        <w:t>ENSO</w:t>
      </w:r>
      <w:r w:rsidR="00893BE4">
        <w:rPr>
          <w:i/>
        </w:rPr>
        <w:t xml:space="preserve">, and </w:t>
      </w:r>
      <w:r w:rsidRPr="00844990">
        <w:rPr>
          <w:i/>
        </w:rPr>
        <w:t>NAO are also useful in addition to pattern correlation</w:t>
      </w:r>
      <w:r w:rsidRPr="00257C6C">
        <w:rPr>
          <w:i/>
        </w:rPr>
        <w:t>.</w:t>
      </w:r>
    </w:p>
    <w:p w14:paraId="5C13F372" w14:textId="2F1681AF" w:rsidR="00844990" w:rsidRDefault="00844990" w:rsidP="00844990">
      <w:pPr>
        <w:pStyle w:val="BodyText"/>
        <w:ind w:left="360" w:hanging="360"/>
      </w:pPr>
      <w:r>
        <w:t>-</w:t>
      </w:r>
      <w:r>
        <w:tab/>
      </w:r>
      <w:r w:rsidR="00893BE4">
        <w:t xml:space="preserve">Although </w:t>
      </w:r>
      <w:r w:rsidRPr="00844990">
        <w:t>greenhouse gas concentrations are aligned in the observations and historical CMIP6 GCMs simulations, the natural modes of climate variability, such as PDO, NAO, ENSO, are not. Therefore, lack of correspondence in temporal frequency of these modes between simulations and observations cannot be confidently used as a measure for model validation, as it is not straightforward to distinguish between the inconsistency arising from internal climate variability and that arising from model deficiencies.</w:t>
      </w:r>
    </w:p>
    <w:p w14:paraId="59C5D9AE" w14:textId="20853070" w:rsidR="007A4E23" w:rsidRDefault="007A4E23" w:rsidP="007A4E23">
      <w:pPr>
        <w:pStyle w:val="BodyText"/>
      </w:pPr>
      <w:r w:rsidRPr="00DA1CA8">
        <w:rPr>
          <w:b/>
        </w:rPr>
        <w:t xml:space="preserve">Reviewer </w:t>
      </w:r>
      <w:r w:rsidR="00844990">
        <w:rPr>
          <w:b/>
        </w:rPr>
        <w:t>4</w:t>
      </w:r>
    </w:p>
    <w:p w14:paraId="163CCE1E" w14:textId="0D8C01D3" w:rsidR="007A4E23" w:rsidRDefault="00F64BAA" w:rsidP="007A4E23">
      <w:pPr>
        <w:pStyle w:val="BodyText"/>
        <w:spacing w:after="0"/>
      </w:pPr>
      <w:r>
        <w:rPr>
          <w:i/>
        </w:rPr>
        <w:t>4</w:t>
      </w:r>
      <w:r w:rsidR="007A4E23">
        <w:rPr>
          <w:i/>
        </w:rPr>
        <w:t xml:space="preserve">.1 </w:t>
      </w:r>
      <w:r w:rsidR="0094433C" w:rsidRPr="0094433C">
        <w:rPr>
          <w:i/>
        </w:rPr>
        <w:t>It may be worthwhile to provide summary tables/statistics of the key differences of results from this report vs. the previous report (not just the approach as in line 67</w:t>
      </w:r>
      <w:r w:rsidR="00893BE4">
        <w:rPr>
          <w:i/>
        </w:rPr>
        <w:t>–</w:t>
      </w:r>
      <w:r w:rsidR="0094433C" w:rsidRPr="0094433C">
        <w:rPr>
          <w:i/>
        </w:rPr>
        <w:t>91 and key findings (404</w:t>
      </w:r>
      <w:r w:rsidR="00893BE4">
        <w:rPr>
          <w:i/>
        </w:rPr>
        <w:t>–</w:t>
      </w:r>
      <w:r w:rsidR="0094433C" w:rsidRPr="0094433C">
        <w:rPr>
          <w:i/>
        </w:rPr>
        <w:t>429). The format could then be included in future reports</w:t>
      </w:r>
      <w:r w:rsidR="00893BE4">
        <w:rPr>
          <w:i/>
        </w:rPr>
        <w:t>,</w:t>
      </w:r>
      <w:r w:rsidR="0094433C" w:rsidRPr="0094433C">
        <w:rPr>
          <w:i/>
        </w:rPr>
        <w:t xml:space="preserve"> as well</w:t>
      </w:r>
      <w:r w:rsidR="00893BE4">
        <w:rPr>
          <w:i/>
        </w:rPr>
        <w:t>,</w:t>
      </w:r>
      <w:r w:rsidR="0094433C" w:rsidRPr="0094433C">
        <w:rPr>
          <w:i/>
        </w:rPr>
        <w:t xml:space="preserve"> to maintain a consistent way of comparing previous results.</w:t>
      </w:r>
    </w:p>
    <w:p w14:paraId="35BC0993" w14:textId="42BD6741" w:rsidR="007A4E23" w:rsidRDefault="007A4E23" w:rsidP="007A4E23">
      <w:pPr>
        <w:pStyle w:val="BodyText"/>
        <w:ind w:left="360" w:hanging="360"/>
      </w:pPr>
      <w:r>
        <w:t>-</w:t>
      </w:r>
      <w:r>
        <w:tab/>
      </w:r>
      <w:r w:rsidR="0094433C" w:rsidRPr="0094433C">
        <w:t xml:space="preserve">Thank you for the suggestion. However, given the large differences among CMIP3, CMIP5, and CMIP6, and other differences in temporal periods, emission scenarios, </w:t>
      </w:r>
      <w:r w:rsidR="00E80222">
        <w:t>DS</w:t>
      </w:r>
      <w:r w:rsidR="0094433C" w:rsidRPr="0094433C">
        <w:t>s</w:t>
      </w:r>
      <w:r w:rsidR="00F7469B">
        <w:t>,</w:t>
      </w:r>
      <w:r w:rsidR="0094433C" w:rsidRPr="0094433C">
        <w:t xml:space="preserve"> and </w:t>
      </w:r>
      <w:r w:rsidR="008C3834">
        <w:t>HMs</w:t>
      </w:r>
      <w:r w:rsidR="0094433C" w:rsidRPr="0094433C">
        <w:t>/</w:t>
      </w:r>
      <w:r w:rsidR="008C3834">
        <w:t>PMs</w:t>
      </w:r>
      <w:r w:rsidR="0094433C" w:rsidRPr="0094433C">
        <w:t xml:space="preserve">, a direct numerical comparison with previous assessments </w:t>
      </w:r>
      <w:r w:rsidR="00893BE4">
        <w:t xml:space="preserve">would </w:t>
      </w:r>
      <w:r w:rsidR="0094433C" w:rsidRPr="0094433C">
        <w:t>not be fair and can be misleading. We opt</w:t>
      </w:r>
      <w:r w:rsidR="00F7469B">
        <w:t>ed</w:t>
      </w:r>
      <w:r w:rsidR="0094433C" w:rsidRPr="0094433C">
        <w:t xml:space="preserve"> to keep our current high-level discussion </w:t>
      </w:r>
      <w:r w:rsidR="00893BE4">
        <w:t xml:space="preserve">focused </w:t>
      </w:r>
      <w:r w:rsidR="0094433C" w:rsidRPr="0094433C">
        <w:t>on the main findings.</w:t>
      </w:r>
    </w:p>
    <w:p w14:paraId="09C81A7B" w14:textId="772F0C91" w:rsidR="007A4E23" w:rsidRDefault="00F64BAA" w:rsidP="007A4E23">
      <w:pPr>
        <w:pStyle w:val="BodyText"/>
        <w:spacing w:after="0"/>
      </w:pPr>
      <w:r>
        <w:rPr>
          <w:i/>
        </w:rPr>
        <w:t>4</w:t>
      </w:r>
      <w:r w:rsidR="007A4E23">
        <w:rPr>
          <w:i/>
        </w:rPr>
        <w:t xml:space="preserve">.2 </w:t>
      </w:r>
      <w:r w:rsidR="0005642D" w:rsidRPr="0005642D">
        <w:rPr>
          <w:i/>
        </w:rPr>
        <w:t>An intensive workflow for the bias correction and overall analysis was established. Now that it is established, does this mean that it can be applied again when the next round of CMIP scenarios come out and that more time/effort could be devoted to other analysis aspects (given that such a rigorous methodology was established here)? If so, this should be stated as it is a major accomplishment/outcome of the work</w:t>
      </w:r>
      <w:r w:rsidR="00893BE4">
        <w:rPr>
          <w:i/>
        </w:rPr>
        <w:t>.</w:t>
      </w:r>
    </w:p>
    <w:p w14:paraId="5CAC9E7F" w14:textId="6301FC5A" w:rsidR="007A4E23" w:rsidRDefault="007A4E23" w:rsidP="007A4E23">
      <w:pPr>
        <w:pStyle w:val="BodyText"/>
        <w:ind w:left="360" w:hanging="360"/>
      </w:pPr>
      <w:r>
        <w:t>-</w:t>
      </w:r>
      <w:r>
        <w:tab/>
      </w:r>
      <w:r w:rsidR="00FF2D9E" w:rsidRPr="00FF2D9E">
        <w:t xml:space="preserve">Thank you. Yes, this established workflow and capabilities can be applied to other current and future CMIP GCMs. Model enhancement may still be needed with the availability of more future observations, but should not be less demanding. We will highlight the value of this workflow in the upcoming </w:t>
      </w:r>
      <w:r w:rsidR="00893BE4">
        <w:t>r</w:t>
      </w:r>
      <w:r w:rsidR="00FF2D9E" w:rsidRPr="00FF2D9E">
        <w:t>eport to Congress.</w:t>
      </w:r>
    </w:p>
    <w:p w14:paraId="28EA8491" w14:textId="16E0131D" w:rsidR="0094433C" w:rsidRDefault="0094433C" w:rsidP="0094433C">
      <w:pPr>
        <w:pStyle w:val="BodyText"/>
        <w:spacing w:after="0"/>
      </w:pPr>
      <w:r>
        <w:rPr>
          <w:i/>
        </w:rPr>
        <w:t>4.</w:t>
      </w:r>
      <w:r w:rsidR="00F765C7">
        <w:rPr>
          <w:i/>
        </w:rPr>
        <w:t>3</w:t>
      </w:r>
      <w:r>
        <w:rPr>
          <w:i/>
        </w:rPr>
        <w:t xml:space="preserve"> </w:t>
      </w:r>
      <w:r w:rsidR="00893BE4">
        <w:rPr>
          <w:i/>
        </w:rPr>
        <w:t xml:space="preserve">In </w:t>
      </w:r>
      <w:r w:rsidR="00F765C7" w:rsidRPr="00F765C7">
        <w:rPr>
          <w:i/>
        </w:rPr>
        <w:t>Section 2.4.4</w:t>
      </w:r>
      <w:r w:rsidR="00893BE4">
        <w:rPr>
          <w:i/>
        </w:rPr>
        <w:t>,</w:t>
      </w:r>
      <w:r w:rsidR="00F765C7" w:rsidRPr="00F765C7">
        <w:rPr>
          <w:i/>
        </w:rPr>
        <w:t xml:space="preserve"> to the extent possible, it would be helpful to connect the projection limitations to implications for hydropower estimates.</w:t>
      </w:r>
    </w:p>
    <w:p w14:paraId="47EC74A9" w14:textId="2D49F81C" w:rsidR="0094433C" w:rsidRDefault="0094433C" w:rsidP="0094433C">
      <w:pPr>
        <w:pStyle w:val="BodyText"/>
        <w:ind w:left="360" w:hanging="360"/>
      </w:pPr>
      <w:r>
        <w:t>-</w:t>
      </w:r>
      <w:r>
        <w:tab/>
      </w:r>
      <w:r w:rsidR="00F765C7" w:rsidRPr="00F765C7">
        <w:t>Thank you</w:t>
      </w:r>
      <w:r w:rsidR="00893BE4">
        <w:t>;</w:t>
      </w:r>
      <w:r w:rsidR="00F765C7" w:rsidRPr="00F765C7">
        <w:t xml:space="preserve"> we agree with this suggestion. We have added a new Section 8.2 to summarize the overall assessment limitations and implications.</w:t>
      </w:r>
    </w:p>
    <w:p w14:paraId="554443E5" w14:textId="01C76DBE" w:rsidR="0094433C" w:rsidRDefault="0094433C" w:rsidP="00893BE4">
      <w:pPr>
        <w:pStyle w:val="BodyText"/>
        <w:keepLines/>
        <w:spacing w:after="0"/>
      </w:pPr>
      <w:r>
        <w:rPr>
          <w:i/>
        </w:rPr>
        <w:lastRenderedPageBreak/>
        <w:t>4.</w:t>
      </w:r>
      <w:r w:rsidR="00B71695">
        <w:rPr>
          <w:i/>
        </w:rPr>
        <w:t>4</w:t>
      </w:r>
      <w:r>
        <w:rPr>
          <w:i/>
        </w:rPr>
        <w:t xml:space="preserve"> </w:t>
      </w:r>
      <w:r w:rsidR="00B71695" w:rsidRPr="00B71695">
        <w:rPr>
          <w:i/>
        </w:rPr>
        <w:t>Some more discussion on why the hydropower generation is simulated at the monthly time step after so much effort in the validation and historic baseline at the daily time</w:t>
      </w:r>
      <w:r w:rsidR="000B6662">
        <w:rPr>
          <w:i/>
        </w:rPr>
        <w:t xml:space="preserve"> </w:t>
      </w:r>
      <w:r w:rsidR="00B71695" w:rsidRPr="00B71695">
        <w:rPr>
          <w:i/>
        </w:rPr>
        <w:t>step might be needed. If hydropower is only estimated at the monthly scale, why not do the validation at that scale</w:t>
      </w:r>
      <w:r w:rsidR="00893BE4">
        <w:rPr>
          <w:i/>
        </w:rPr>
        <w:t>,</w:t>
      </w:r>
      <w:r w:rsidR="00B71695" w:rsidRPr="00B71695">
        <w:rPr>
          <w:i/>
        </w:rPr>
        <w:t xml:space="preserve"> too? Would that change anything?</w:t>
      </w:r>
    </w:p>
    <w:p w14:paraId="36ED937D" w14:textId="223C2903" w:rsidR="0094433C" w:rsidRDefault="0094433C" w:rsidP="0094433C">
      <w:pPr>
        <w:pStyle w:val="BodyText"/>
        <w:ind w:left="360" w:hanging="360"/>
      </w:pPr>
      <w:r>
        <w:t>-</w:t>
      </w:r>
      <w:r>
        <w:tab/>
      </w:r>
      <w:r w:rsidR="00B31C24" w:rsidRPr="00B31C24">
        <w:t xml:space="preserve">Hydropower was estimated at </w:t>
      </w:r>
      <w:r w:rsidR="00893BE4">
        <w:t xml:space="preserve">the </w:t>
      </w:r>
      <w:r w:rsidR="00B31C24" w:rsidRPr="00B31C24">
        <w:t>daily time scale</w:t>
      </w:r>
      <w:r w:rsidR="00893BE4">
        <w:t>,</w:t>
      </w:r>
      <w:r w:rsidR="00B31C24" w:rsidRPr="00B31C24">
        <w:t xml:space="preserve"> but calibration </w:t>
      </w:r>
      <w:r w:rsidR="00893BE4">
        <w:t xml:space="preserve">was </w:t>
      </w:r>
      <w:r w:rsidR="00B31C24" w:rsidRPr="00B31C24">
        <w:t xml:space="preserve">performed at a monthly time scale. </w:t>
      </w:r>
      <w:r w:rsidR="00893BE4">
        <w:t xml:space="preserve">No </w:t>
      </w:r>
      <w:r w:rsidR="00B31C24" w:rsidRPr="00B31C24">
        <w:t>existing daily hydropower</w:t>
      </w:r>
      <w:r w:rsidR="005606E5">
        <w:t xml:space="preserve"> data set </w:t>
      </w:r>
      <w:r w:rsidR="00B31C24" w:rsidRPr="00B31C24">
        <w:t xml:space="preserve">(turbined flow, spills) </w:t>
      </w:r>
      <w:r w:rsidR="00893BE4">
        <w:t xml:space="preserve">covers </w:t>
      </w:r>
      <w:r w:rsidR="00B31C24" w:rsidRPr="00B31C24">
        <w:t xml:space="preserve">the </w:t>
      </w:r>
      <w:r w:rsidR="00AE000D">
        <w:t>CONUS</w:t>
      </w:r>
      <w:r w:rsidR="00893BE4">
        <w:t xml:space="preserve">, </w:t>
      </w:r>
      <w:r w:rsidR="00B31C24" w:rsidRPr="00B31C24">
        <w:t>and the current water management model does not represent the complex daily hydropower operations in response to load and price variations. However</w:t>
      </w:r>
      <w:r w:rsidR="00893BE4">
        <w:t>,</w:t>
      </w:r>
      <w:r w:rsidR="00B31C24" w:rsidRPr="00B31C24">
        <w:t xml:space="preserve"> the monthly hydropower generation is dominated by water availability and long</w:t>
      </w:r>
      <w:r w:rsidR="00893BE4">
        <w:t>-</w:t>
      </w:r>
      <w:r w:rsidR="00B31C24" w:rsidRPr="00B31C24">
        <w:t>term water management rules</w:t>
      </w:r>
      <w:r w:rsidR="00893BE4">
        <w:t>,</w:t>
      </w:r>
      <w:r w:rsidR="00B31C24" w:rsidRPr="00B31C24">
        <w:t xml:space="preserve"> which is why we </w:t>
      </w:r>
      <w:r w:rsidR="00893BE4">
        <w:t xml:space="preserve">kept </w:t>
      </w:r>
      <w:r w:rsidR="00B31C24" w:rsidRPr="00B31C24">
        <w:t>the hydropower projection at a monthly time scale for now.</w:t>
      </w:r>
    </w:p>
    <w:p w14:paraId="53400072" w14:textId="73376E2B" w:rsidR="0094433C" w:rsidRDefault="0094433C" w:rsidP="0094433C">
      <w:pPr>
        <w:pStyle w:val="BodyText"/>
        <w:spacing w:after="0"/>
      </w:pPr>
      <w:r>
        <w:rPr>
          <w:i/>
        </w:rPr>
        <w:t>4.</w:t>
      </w:r>
      <w:r w:rsidR="00B31C24">
        <w:rPr>
          <w:i/>
        </w:rPr>
        <w:t>5</w:t>
      </w:r>
      <w:r>
        <w:rPr>
          <w:i/>
        </w:rPr>
        <w:t xml:space="preserve"> </w:t>
      </w:r>
      <w:r w:rsidR="00B31C24" w:rsidRPr="00B31C24">
        <w:rPr>
          <w:i/>
        </w:rPr>
        <w:t>What is the potential significance of not including non-powered dams in the WRES method, if any?</w:t>
      </w:r>
    </w:p>
    <w:p w14:paraId="595DEDAE" w14:textId="59BDBCE7" w:rsidR="0094433C" w:rsidRDefault="0094433C" w:rsidP="0094433C">
      <w:pPr>
        <w:pStyle w:val="BodyText"/>
        <w:ind w:left="360" w:hanging="360"/>
      </w:pPr>
      <w:r>
        <w:t>-</w:t>
      </w:r>
      <w:r>
        <w:tab/>
      </w:r>
      <w:r w:rsidR="00AE000D">
        <w:t xml:space="preserve">Since </w:t>
      </w:r>
      <w:r w:rsidR="00B31C24" w:rsidRPr="00B31C24">
        <w:t>WRES is a lumped model</w:t>
      </w:r>
      <w:r w:rsidR="00AE000D">
        <w:t>,</w:t>
      </w:r>
      <w:r w:rsidR="00B31C24" w:rsidRPr="00B31C24">
        <w:t xml:space="preserve"> </w:t>
      </w:r>
      <w:r w:rsidR="00AE000D">
        <w:t>a</w:t>
      </w:r>
      <w:r w:rsidR="00B31C24" w:rsidRPr="00B31C24">
        <w:t xml:space="preserve">s long as the collective operation of the majority of reservoirs in a region </w:t>
      </w:r>
      <w:r w:rsidR="00893BE4">
        <w:t xml:space="preserve">do not </w:t>
      </w:r>
      <w:r w:rsidR="00B31C24" w:rsidRPr="00B31C24">
        <w:t>change substantially, WRES can still function reasonably well.</w:t>
      </w:r>
    </w:p>
    <w:p w14:paraId="03740501" w14:textId="26B270EC" w:rsidR="0094433C" w:rsidRDefault="0094433C" w:rsidP="0094433C">
      <w:pPr>
        <w:pStyle w:val="BodyText"/>
        <w:spacing w:after="0"/>
      </w:pPr>
      <w:r>
        <w:rPr>
          <w:i/>
        </w:rPr>
        <w:t>4.</w:t>
      </w:r>
      <w:r w:rsidR="00F46960">
        <w:rPr>
          <w:i/>
        </w:rPr>
        <w:t>6</w:t>
      </w:r>
      <w:r>
        <w:rPr>
          <w:i/>
        </w:rPr>
        <w:t xml:space="preserve"> </w:t>
      </w:r>
      <w:r w:rsidR="00F46960" w:rsidRPr="00F46960">
        <w:rPr>
          <w:i/>
        </w:rPr>
        <w:t>Why not focus only on hydropower regions for selecting best GCMs and evaluating model performance, given that is the most important aspect of the work?</w:t>
      </w:r>
    </w:p>
    <w:p w14:paraId="14F0B435" w14:textId="13F1F53A" w:rsidR="0094433C" w:rsidRDefault="0094433C" w:rsidP="0094433C">
      <w:pPr>
        <w:pStyle w:val="BodyText"/>
        <w:ind w:left="360" w:hanging="360"/>
      </w:pPr>
      <w:r>
        <w:t>-</w:t>
      </w:r>
      <w:r>
        <w:tab/>
      </w:r>
      <w:r w:rsidR="00F46960" w:rsidRPr="00F46960">
        <w:t>There are two main reason</w:t>
      </w:r>
      <w:r w:rsidR="00F46960">
        <w:t>s</w:t>
      </w:r>
      <w:r w:rsidR="00F46960" w:rsidRPr="00F46960">
        <w:t xml:space="preserve">: (1) given the nature of GCM modeling and climate science, the evaluation of GCMs should not be too narrowed for smaller watersheds (in this case, head water basins above the hydropower plants), and (2) DOE </w:t>
      </w:r>
      <w:r w:rsidR="008D4A17">
        <w:t xml:space="preserve">WPTO </w:t>
      </w:r>
      <w:r w:rsidR="00F46960" w:rsidRPr="00F46960">
        <w:t>would eventually like to share the downscaled hydroclimate projections to support the broader nonfederal hydropower stakeholders, and hence would like to select GCMs with reasonable performance at the CONUS scale.</w:t>
      </w:r>
    </w:p>
    <w:p w14:paraId="713E1B9C" w14:textId="02D565FF" w:rsidR="0094433C" w:rsidRDefault="0094433C" w:rsidP="0094433C">
      <w:pPr>
        <w:pStyle w:val="BodyText"/>
        <w:spacing w:after="0"/>
      </w:pPr>
      <w:r>
        <w:rPr>
          <w:i/>
        </w:rPr>
        <w:t>4.</w:t>
      </w:r>
      <w:r w:rsidR="00517CFC">
        <w:rPr>
          <w:i/>
        </w:rPr>
        <w:t>7</w:t>
      </w:r>
      <w:r>
        <w:rPr>
          <w:i/>
        </w:rPr>
        <w:t xml:space="preserve"> </w:t>
      </w:r>
      <w:r w:rsidR="00517CFC" w:rsidRPr="00517CFC">
        <w:rPr>
          <w:i/>
        </w:rPr>
        <w:t>There is a lot of detail in the results sections and readers could get a little lost or find it difficult to understand the importance of some of the information. It might be helpful to add 1</w:t>
      </w:r>
      <w:r w:rsidR="00893BE4">
        <w:rPr>
          <w:i/>
        </w:rPr>
        <w:t>–</w:t>
      </w:r>
      <w:r w:rsidR="00517CFC" w:rsidRPr="00517CFC">
        <w:rPr>
          <w:i/>
        </w:rPr>
        <w:t>2 key takeaway messages up-front in each regional subsection and/or a regional summary (1</w:t>
      </w:r>
      <w:r w:rsidR="00893BE4">
        <w:rPr>
          <w:i/>
        </w:rPr>
        <w:t>–</w:t>
      </w:r>
      <w:r w:rsidR="00517CFC" w:rsidRPr="00517CFC">
        <w:rPr>
          <w:i/>
        </w:rPr>
        <w:t>2 paragraphs) at the start of each regional section</w:t>
      </w:r>
      <w:r w:rsidR="00893BE4">
        <w:rPr>
          <w:i/>
        </w:rPr>
        <w:t>,</w:t>
      </w:r>
      <w:r w:rsidR="00517CFC" w:rsidRPr="00517CFC">
        <w:rPr>
          <w:i/>
        </w:rPr>
        <w:t xml:space="preserve"> </w:t>
      </w:r>
      <w:r w:rsidR="00893BE4">
        <w:rPr>
          <w:i/>
        </w:rPr>
        <w:t>e</w:t>
      </w:r>
      <w:r w:rsidR="00517CFC" w:rsidRPr="00517CFC">
        <w:rPr>
          <w:i/>
        </w:rPr>
        <w:t xml:space="preserve">specially </w:t>
      </w:r>
      <w:r w:rsidR="00893BE4">
        <w:rPr>
          <w:i/>
        </w:rPr>
        <w:t xml:space="preserve">since </w:t>
      </w:r>
      <w:r w:rsidR="00517CFC" w:rsidRPr="00517CFC">
        <w:rPr>
          <w:i/>
        </w:rPr>
        <w:t>much of the technical detail is repetitive across regions.</w:t>
      </w:r>
    </w:p>
    <w:p w14:paraId="76B61F03" w14:textId="603D30A5" w:rsidR="0094433C" w:rsidRDefault="0094433C" w:rsidP="0094433C">
      <w:pPr>
        <w:pStyle w:val="BodyText"/>
        <w:ind w:left="360" w:hanging="360"/>
      </w:pPr>
      <w:r>
        <w:t>-</w:t>
      </w:r>
      <w:r>
        <w:tab/>
      </w:r>
      <w:r w:rsidR="00517CFC" w:rsidRPr="00517CFC">
        <w:t>Thank you for the suggestion. We have provided a general overview of the federal hydropower fleet and PMAs in Section 1.2.1, and specifically discussed the different PMA electricity marketing practices in Section 1.2.2. We have also included PMA-specific discussion</w:t>
      </w:r>
      <w:r w:rsidR="00893BE4">
        <w:t>s</w:t>
      </w:r>
      <w:r w:rsidR="00517CFC" w:rsidRPr="00517CFC">
        <w:t xml:space="preserve"> in Sections 3.1, 4.1, 5.1, and 6.1 to describe the differences/similarities in the hydrology, customer base they serve, topography, </w:t>
      </w:r>
      <w:r w:rsidR="005606E5">
        <w:t>and so on</w:t>
      </w:r>
      <w:r w:rsidR="00517CFC" w:rsidRPr="00517CFC">
        <w:t>. Section 7 highlight</w:t>
      </w:r>
      <w:r w:rsidR="00893BE4">
        <w:t>s</w:t>
      </w:r>
      <w:r w:rsidR="00517CFC" w:rsidRPr="00517CFC">
        <w:t xml:space="preserve"> the important climate change results across the CONUS. We also present bulleted findings in Section 8.1 to highlight the key messages and reiterate the important results from this assessment</w:t>
      </w:r>
      <w:r w:rsidRPr="00E41942">
        <w:t>.</w:t>
      </w:r>
    </w:p>
    <w:p w14:paraId="43D0B34C" w14:textId="5CD675F4" w:rsidR="0094433C" w:rsidRDefault="0094433C" w:rsidP="0094433C">
      <w:pPr>
        <w:pStyle w:val="BodyText"/>
        <w:spacing w:after="0"/>
      </w:pPr>
      <w:r>
        <w:rPr>
          <w:i/>
        </w:rPr>
        <w:t>4.</w:t>
      </w:r>
      <w:r w:rsidR="00BF65AB">
        <w:rPr>
          <w:i/>
        </w:rPr>
        <w:t>8</w:t>
      </w:r>
      <w:r>
        <w:rPr>
          <w:i/>
        </w:rPr>
        <w:t xml:space="preserve"> </w:t>
      </w:r>
      <w:r w:rsidR="00BF65AB" w:rsidRPr="00BF65AB">
        <w:rPr>
          <w:i/>
        </w:rPr>
        <w:t>Is there a significance or effect of using a 40</w:t>
      </w:r>
      <w:r w:rsidR="00893BE4">
        <w:rPr>
          <w:i/>
        </w:rPr>
        <w:t>-</w:t>
      </w:r>
      <w:r w:rsidR="00BF65AB" w:rsidRPr="00BF65AB">
        <w:rPr>
          <w:i/>
        </w:rPr>
        <w:t>y</w:t>
      </w:r>
      <w:r w:rsidR="006900AF">
        <w:rPr>
          <w:i/>
        </w:rPr>
        <w:t>ea</w:t>
      </w:r>
      <w:r w:rsidR="00BF65AB" w:rsidRPr="00BF65AB">
        <w:rPr>
          <w:i/>
        </w:rPr>
        <w:t xml:space="preserve">r baseline period vs. </w:t>
      </w:r>
      <w:r w:rsidR="00893BE4">
        <w:rPr>
          <w:i/>
        </w:rPr>
        <w:t xml:space="preserve">a </w:t>
      </w:r>
      <w:r w:rsidR="00BF65AB" w:rsidRPr="00BF65AB">
        <w:rPr>
          <w:i/>
        </w:rPr>
        <w:t>20</w:t>
      </w:r>
      <w:r w:rsidR="00893BE4">
        <w:rPr>
          <w:i/>
        </w:rPr>
        <w:t>-</w:t>
      </w:r>
      <w:r w:rsidR="00BF65AB" w:rsidRPr="00BF65AB">
        <w:rPr>
          <w:i/>
        </w:rPr>
        <w:t>y</w:t>
      </w:r>
      <w:r w:rsidR="006900AF">
        <w:rPr>
          <w:i/>
        </w:rPr>
        <w:t>ea</w:t>
      </w:r>
      <w:r w:rsidR="00BF65AB" w:rsidRPr="00BF65AB">
        <w:rPr>
          <w:i/>
        </w:rPr>
        <w:t>r future period in the hydropower analyses? And, if so, is using 1980</w:t>
      </w:r>
      <w:r w:rsidR="00893BE4">
        <w:rPr>
          <w:i/>
        </w:rPr>
        <w:t>–</w:t>
      </w:r>
      <w:r w:rsidR="00BF65AB" w:rsidRPr="00BF65AB">
        <w:rPr>
          <w:i/>
        </w:rPr>
        <w:t>2000 skewing results in any way for the baseline</w:t>
      </w:r>
      <w:r w:rsidR="00893BE4">
        <w:rPr>
          <w:i/>
        </w:rPr>
        <w:t>,</w:t>
      </w:r>
      <w:r w:rsidR="00BF65AB" w:rsidRPr="00BF65AB">
        <w:rPr>
          <w:i/>
        </w:rPr>
        <w:t xml:space="preserve"> given the accelerating effects of climate change and recent chronic droughts?</w:t>
      </w:r>
    </w:p>
    <w:p w14:paraId="387B322B" w14:textId="261F4FB8" w:rsidR="0094433C" w:rsidRDefault="0094433C" w:rsidP="0094433C">
      <w:pPr>
        <w:pStyle w:val="BodyText"/>
        <w:ind w:left="360" w:hanging="360"/>
      </w:pPr>
      <w:r>
        <w:t>-</w:t>
      </w:r>
      <w:r>
        <w:tab/>
      </w:r>
      <w:r w:rsidR="00BF65AB" w:rsidRPr="00BF65AB">
        <w:t xml:space="preserve">The length of the reference period will </w:t>
      </w:r>
      <w:r w:rsidR="00893BE4">
        <w:t xml:space="preserve">affect </w:t>
      </w:r>
      <w:r w:rsidR="00BF65AB" w:rsidRPr="00BF65AB">
        <w:t xml:space="preserve">the magnitude of future changes, but its substantial </w:t>
      </w:r>
      <w:r w:rsidR="00893BE4">
        <w:t xml:space="preserve">effect </w:t>
      </w:r>
      <w:r w:rsidR="00BF65AB" w:rsidRPr="00BF65AB">
        <w:t xml:space="preserve">on the projected trajectory is unlikely. The inclusion of a more recent historical period may reduce the strength of the projected future changes. However, the overall trajectory is unlikely to </w:t>
      </w:r>
      <w:r w:rsidR="00893BE4">
        <w:t>be affected</w:t>
      </w:r>
      <w:r w:rsidR="00BF65AB" w:rsidRPr="00BF65AB">
        <w:t>.</w:t>
      </w:r>
    </w:p>
    <w:p w14:paraId="69406101" w14:textId="7D5C8C10" w:rsidR="0094433C" w:rsidRDefault="0094433C" w:rsidP="0094433C">
      <w:pPr>
        <w:pStyle w:val="BodyText"/>
        <w:spacing w:after="0"/>
      </w:pPr>
      <w:r>
        <w:rPr>
          <w:i/>
        </w:rPr>
        <w:t>4.</w:t>
      </w:r>
      <w:r w:rsidR="00027153">
        <w:rPr>
          <w:i/>
        </w:rPr>
        <w:t>9</w:t>
      </w:r>
      <w:r>
        <w:rPr>
          <w:i/>
        </w:rPr>
        <w:t xml:space="preserve"> </w:t>
      </w:r>
      <w:r w:rsidR="00027153" w:rsidRPr="00027153">
        <w:rPr>
          <w:i/>
        </w:rPr>
        <w:t>I expected the discussion on demand vs. hydropower generation to be a little more extensive. Lines 2489</w:t>
      </w:r>
      <w:r w:rsidR="00893BE4">
        <w:rPr>
          <w:i/>
        </w:rPr>
        <w:t>–</w:t>
      </w:r>
      <w:r w:rsidR="00027153" w:rsidRPr="00027153">
        <w:rPr>
          <w:i/>
        </w:rPr>
        <w:t>2493 are an important (probably the most important) part of the overall analysis, bringing together both demand and supply, which is essential at understanding system vulnerabilities and hydropower</w:t>
      </w:r>
      <w:r w:rsidR="00805545">
        <w:rPr>
          <w:i/>
        </w:rPr>
        <w:t>’</w:t>
      </w:r>
      <w:r w:rsidR="00027153" w:rsidRPr="00027153">
        <w:rPr>
          <w:i/>
        </w:rPr>
        <w:t>s potential role/contribution. Some more discussion around this would be helpful vs. discussion on the energy demand on its own. This is the same for all regional discussions.</w:t>
      </w:r>
    </w:p>
    <w:p w14:paraId="65D644D8" w14:textId="6E53F0EC" w:rsidR="0094433C" w:rsidRDefault="0094433C" w:rsidP="0094433C">
      <w:pPr>
        <w:pStyle w:val="BodyText"/>
        <w:ind w:left="360" w:hanging="360"/>
      </w:pPr>
      <w:r>
        <w:t>-</w:t>
      </w:r>
      <w:r>
        <w:tab/>
      </w:r>
      <w:r w:rsidR="00027153" w:rsidRPr="00027153">
        <w:t xml:space="preserve">We agree that this is a limitation of the modeling framework. The hydropower operations are presently responsive to water availability and water management rules. The modeling framework does not yet integrate water and power system operations in the hydropower scheduling. The </w:t>
      </w:r>
      <w:r w:rsidR="00027153" w:rsidRPr="00027153">
        <w:lastRenderedPageBreak/>
        <w:t>hydropower scheduling would be responsive to both load and prices signal, which require power grid modeling under future scenarios to provide this information (load assigned to hydropower and locational marginal prices). This was beyond the scope of this work.</w:t>
      </w:r>
    </w:p>
    <w:p w14:paraId="681BF85E" w14:textId="6372680E" w:rsidR="0094433C" w:rsidRDefault="0094433C" w:rsidP="0094433C">
      <w:pPr>
        <w:pStyle w:val="BodyText"/>
        <w:spacing w:after="0"/>
      </w:pPr>
      <w:r>
        <w:rPr>
          <w:i/>
        </w:rPr>
        <w:t>4.</w:t>
      </w:r>
      <w:r w:rsidR="00027153">
        <w:rPr>
          <w:i/>
        </w:rPr>
        <w:t>10</w:t>
      </w:r>
      <w:r>
        <w:rPr>
          <w:i/>
        </w:rPr>
        <w:t xml:space="preserve"> </w:t>
      </w:r>
      <w:r w:rsidR="00027153" w:rsidRPr="00027153">
        <w:rPr>
          <w:i/>
        </w:rPr>
        <w:t>Date and installed capacity graph for each region to understand aging infrastructure issue could be helpful.</w:t>
      </w:r>
    </w:p>
    <w:p w14:paraId="14142F8D" w14:textId="2170E990" w:rsidR="0094433C" w:rsidRDefault="0094433C" w:rsidP="0094433C">
      <w:pPr>
        <w:pStyle w:val="BodyText"/>
        <w:ind w:left="360" w:hanging="360"/>
      </w:pPr>
      <w:r>
        <w:t>-</w:t>
      </w:r>
      <w:r>
        <w:tab/>
      </w:r>
      <w:r w:rsidR="00893BE4">
        <w:t xml:space="preserve">We </w:t>
      </w:r>
      <w:r w:rsidR="00027153" w:rsidRPr="00027153">
        <w:t xml:space="preserve">appreciate this suggestion, </w:t>
      </w:r>
      <w:r w:rsidR="00893BE4">
        <w:t xml:space="preserve">but this </w:t>
      </w:r>
      <w:r w:rsidR="00027153" w:rsidRPr="00027153">
        <w:t>is outside the scope of this study. The issues of aging infrastructure are discussed in other efforts (</w:t>
      </w:r>
      <w:hyperlink r:id="rId504" w:history="1">
        <w:r w:rsidR="00027153" w:rsidRPr="00F777C8">
          <w:rPr>
            <w:rStyle w:val="Hyperlink"/>
          </w:rPr>
          <w:t>https://www.ornl.gov/project/annual-markets-and-trends-report</w:t>
        </w:r>
      </w:hyperlink>
      <w:r w:rsidR="00027153" w:rsidRPr="00027153">
        <w:t>)</w:t>
      </w:r>
      <w:r w:rsidRPr="00E41942">
        <w:t>.</w:t>
      </w:r>
    </w:p>
    <w:p w14:paraId="6571024C" w14:textId="4BEE3566" w:rsidR="0094433C" w:rsidRDefault="0094433C" w:rsidP="0094433C">
      <w:pPr>
        <w:pStyle w:val="BodyText"/>
        <w:spacing w:after="0"/>
      </w:pPr>
      <w:r>
        <w:rPr>
          <w:i/>
        </w:rPr>
        <w:t>4.</w:t>
      </w:r>
      <w:r w:rsidR="004E0FE0">
        <w:rPr>
          <w:i/>
        </w:rPr>
        <w:t>11</w:t>
      </w:r>
      <w:r>
        <w:rPr>
          <w:i/>
        </w:rPr>
        <w:t xml:space="preserve"> </w:t>
      </w:r>
      <w:r w:rsidR="00893BE4">
        <w:rPr>
          <w:i/>
        </w:rPr>
        <w:t>It m</w:t>
      </w:r>
      <w:r w:rsidR="004E0FE0" w:rsidRPr="004E0FE0">
        <w:rPr>
          <w:i/>
        </w:rPr>
        <w:t>ight be helpful to discuss storage levels a little more and some graphics associated with that so we can understand the effects of reservoir rules/operations</w:t>
      </w:r>
      <w:r w:rsidRPr="00863080">
        <w:rPr>
          <w:i/>
        </w:rPr>
        <w:t>.</w:t>
      </w:r>
    </w:p>
    <w:p w14:paraId="3B7201CA" w14:textId="4C921E20" w:rsidR="0094433C" w:rsidRDefault="0094433C" w:rsidP="0094433C">
      <w:pPr>
        <w:pStyle w:val="BodyText"/>
        <w:ind w:left="360" w:hanging="360"/>
      </w:pPr>
      <w:r>
        <w:t>-</w:t>
      </w:r>
      <w:r>
        <w:tab/>
      </w:r>
      <w:r w:rsidR="004E0FE0" w:rsidRPr="004E0FE0">
        <w:t>The water management part of WMP has been evaluated in previous publications (</w:t>
      </w:r>
      <w:r w:rsidR="00893BE4">
        <w:t xml:space="preserve">e.g., </w:t>
      </w:r>
      <w:r w:rsidR="004E0FE0" w:rsidRPr="004E0FE0">
        <w:t xml:space="preserve">Voisin et al., 2013) for the seasonal variations in release and storage, which are mentioned in </w:t>
      </w:r>
      <w:r w:rsidR="00893BE4" w:rsidRPr="004E0FE0">
        <w:t xml:space="preserve">Section </w:t>
      </w:r>
      <w:r w:rsidR="004E0FE0" w:rsidRPr="004E0FE0">
        <w:t>2.</w:t>
      </w:r>
    </w:p>
    <w:p w14:paraId="1FBB769B" w14:textId="01F925AA" w:rsidR="0094433C" w:rsidRDefault="0094433C" w:rsidP="0094433C">
      <w:pPr>
        <w:pStyle w:val="BodyText"/>
        <w:spacing w:after="0"/>
      </w:pPr>
      <w:r>
        <w:rPr>
          <w:i/>
        </w:rPr>
        <w:t>4.</w:t>
      </w:r>
      <w:r w:rsidR="003608E6">
        <w:rPr>
          <w:i/>
        </w:rPr>
        <w:t>1</w:t>
      </w:r>
      <w:r>
        <w:rPr>
          <w:i/>
        </w:rPr>
        <w:t xml:space="preserve">2 </w:t>
      </w:r>
      <w:r w:rsidR="003608E6" w:rsidRPr="003608E6">
        <w:rPr>
          <w:i/>
        </w:rPr>
        <w:t>It would be of value to separate or explain the differences between the two hydropower methods and their respective results in the regional discussions. Grouping them together in the same graph makes it difficult to see if the two methods span the same range or not, or the extent of their effect on hydropower generation estimates.</w:t>
      </w:r>
    </w:p>
    <w:p w14:paraId="75C1D213" w14:textId="4C401364" w:rsidR="0094433C" w:rsidRDefault="0094433C" w:rsidP="0094433C">
      <w:pPr>
        <w:pStyle w:val="BodyText"/>
        <w:ind w:left="360" w:hanging="360"/>
      </w:pPr>
      <w:r>
        <w:t>-</w:t>
      </w:r>
      <w:r>
        <w:tab/>
      </w:r>
      <w:r w:rsidR="003608E6" w:rsidRPr="003608E6">
        <w:t>We agree with the needs to explore the differences further. We are conducting further evaluation that will be published in a subsequent study.</w:t>
      </w:r>
    </w:p>
    <w:p w14:paraId="28698AD1" w14:textId="3A6D2EEE" w:rsidR="003608E6" w:rsidRDefault="003608E6" w:rsidP="003608E6">
      <w:pPr>
        <w:pStyle w:val="BodyText"/>
        <w:spacing w:after="0"/>
      </w:pPr>
      <w:r>
        <w:rPr>
          <w:i/>
        </w:rPr>
        <w:t>4.</w:t>
      </w:r>
      <w:r w:rsidR="00EF5D30">
        <w:rPr>
          <w:i/>
        </w:rPr>
        <w:t>13</w:t>
      </w:r>
      <w:r>
        <w:rPr>
          <w:i/>
        </w:rPr>
        <w:t xml:space="preserve"> </w:t>
      </w:r>
      <w:r w:rsidR="00EF5D30" w:rsidRPr="00EF5D30">
        <w:rPr>
          <w:i/>
        </w:rPr>
        <w:t>It may be of interest to discuss changes in evapotranspiration rates and how they may reduce runoff under future climates</w:t>
      </w:r>
      <w:r w:rsidR="00893BE4">
        <w:rPr>
          <w:i/>
        </w:rPr>
        <w:t>,</w:t>
      </w:r>
      <w:r w:rsidR="00EF5D30" w:rsidRPr="00EF5D30">
        <w:rPr>
          <w:i/>
        </w:rPr>
        <w:t xml:space="preserve"> especially when an increase in rainfall does not result in an increase in runoff (if that happens) over a season.</w:t>
      </w:r>
    </w:p>
    <w:p w14:paraId="73FF3E7A" w14:textId="148C5B9C" w:rsidR="003608E6" w:rsidRDefault="003608E6" w:rsidP="003608E6">
      <w:pPr>
        <w:pStyle w:val="BodyText"/>
        <w:ind w:left="360" w:hanging="360"/>
      </w:pPr>
      <w:r>
        <w:t>-</w:t>
      </w:r>
      <w:r>
        <w:tab/>
      </w:r>
      <w:r w:rsidR="00EF5D30" w:rsidRPr="00EF5D30">
        <w:t xml:space="preserve">Thank you for the recommendation. </w:t>
      </w:r>
      <w:r w:rsidR="00893BE4">
        <w:t xml:space="preserve">Although </w:t>
      </w:r>
      <w:r w:rsidR="00EF5D30" w:rsidRPr="00EF5D30">
        <w:t xml:space="preserve">not showed in this report, we analyzed evapotranspiration rates and the general findings are similar to what we reported in the previous 9505 assessment (Kao et al., 2016). To avoid </w:t>
      </w:r>
      <w:r w:rsidR="00893BE4">
        <w:t xml:space="preserve">confusion </w:t>
      </w:r>
      <w:r w:rsidR="00EF5D30" w:rsidRPr="00EF5D30">
        <w:t>about different types of evaporation, we focused discussing the direct reservoir evaporation in this assessment.</w:t>
      </w:r>
    </w:p>
    <w:p w14:paraId="220CC442" w14:textId="5E087166" w:rsidR="003608E6" w:rsidRDefault="003608E6" w:rsidP="003608E6">
      <w:pPr>
        <w:pStyle w:val="BodyText"/>
        <w:spacing w:after="0"/>
      </w:pPr>
      <w:r>
        <w:rPr>
          <w:i/>
        </w:rPr>
        <w:t>4.</w:t>
      </w:r>
      <w:r w:rsidR="00DE3432">
        <w:rPr>
          <w:i/>
        </w:rPr>
        <w:t>14</w:t>
      </w:r>
      <w:r>
        <w:rPr>
          <w:i/>
        </w:rPr>
        <w:t xml:space="preserve"> </w:t>
      </w:r>
      <w:r w:rsidR="00DE3432" w:rsidRPr="00DE3432">
        <w:rPr>
          <w:i/>
        </w:rPr>
        <w:t xml:space="preserve">The overall approach to the electricity demand analysis is a little confusing and at times seems out of place. For instance, in the regional sections, the electricity demand analysis is not necessary for some of the concluding statements that relate hydropower to demand, such as </w:t>
      </w:r>
      <w:r w:rsidR="00930433">
        <w:rPr>
          <w:i/>
        </w:rPr>
        <w:t>“</w:t>
      </w:r>
      <w:r w:rsidR="00DE3432" w:rsidRPr="00DE3432">
        <w:rPr>
          <w:i/>
        </w:rPr>
        <w:t>The increase in generation could help curb the trend of increased replacement power purchases experienced in recent years and have a positive effect on power rate</w:t>
      </w:r>
      <w:r w:rsidR="00893BE4">
        <w:rPr>
          <w:i/>
        </w:rPr>
        <w:t>.</w:t>
      </w:r>
      <w:r w:rsidR="00930433">
        <w:rPr>
          <w:i/>
        </w:rPr>
        <w:t>”</w:t>
      </w:r>
      <w:r w:rsidR="00DE3432" w:rsidRPr="00DE3432">
        <w:rPr>
          <w:i/>
        </w:rPr>
        <w:t xml:space="preserve"> </w:t>
      </w:r>
      <w:r w:rsidR="00893BE4">
        <w:rPr>
          <w:i/>
        </w:rPr>
        <w:t>T</w:t>
      </w:r>
      <w:r w:rsidR="00DE3432" w:rsidRPr="00DE3432">
        <w:rPr>
          <w:i/>
        </w:rPr>
        <w:t>he integration of the two analyses (hydropower generation and demand) seems like an afterthought and the demand results are not well integrated into the discussion that should really focus on climate impacts on hydropower (or hydropower</w:t>
      </w:r>
      <w:r w:rsidR="00805545">
        <w:rPr>
          <w:i/>
        </w:rPr>
        <w:t>’</w:t>
      </w:r>
      <w:r w:rsidR="00DE3432" w:rsidRPr="00DE3432">
        <w:rPr>
          <w:i/>
        </w:rPr>
        <w:t>s role in the grid). Without a better integration of demand and hydropower generation in the discussion/analyses, and given the simplicity of the demand method, the demand analysis seems like a weakness in the report.</w:t>
      </w:r>
    </w:p>
    <w:p w14:paraId="5ED1EE38" w14:textId="09542010" w:rsidR="003608E6" w:rsidRDefault="003608E6" w:rsidP="003608E6">
      <w:pPr>
        <w:pStyle w:val="BodyText"/>
        <w:ind w:left="360" w:hanging="360"/>
      </w:pPr>
      <w:r>
        <w:t>-</w:t>
      </w:r>
      <w:r>
        <w:tab/>
      </w:r>
      <w:r w:rsidR="00F602F5" w:rsidRPr="00F602F5">
        <w:t xml:space="preserve">Inclusion of the demand analysis is motivated by the idea that risks to power marketing can come from either the supply or </w:t>
      </w:r>
      <w:r w:rsidR="00F50F76">
        <w:t xml:space="preserve">the </w:t>
      </w:r>
      <w:r w:rsidR="00F602F5" w:rsidRPr="00F602F5">
        <w:t xml:space="preserve">demand for federal hydropower. This is particularly true for BPA since </w:t>
      </w:r>
      <w:r w:rsidR="00F50F76">
        <w:t xml:space="preserve">BPA </w:t>
      </w:r>
      <w:r w:rsidR="00F602F5" w:rsidRPr="00F602F5">
        <w:t xml:space="preserve">must supply electricity that follows the load shape of most of their preference customers. For the rest of PMAs, we have modified the title and write-up of these sections to clarify that changes in the demands served by their preference customers do not affect PMA power marketing practices directly. However, we still feel it is valuable to make reference to the potential impacts of climate change on electricity demand in those regions. First, it is informational for the PMA preference customers. Second, how well federal hydropower generation seasonal patterns match the seasonal load patterns of preference customers matters for the competitiveness/value of the federal hydropower allocation for those customers. In acknowledgment that the demand analysis is most relevant for BPA, the report to Congress that </w:t>
      </w:r>
      <w:r w:rsidR="00F50F76">
        <w:t xml:space="preserve">will be </w:t>
      </w:r>
      <w:r w:rsidR="00F602F5" w:rsidRPr="00F602F5">
        <w:t xml:space="preserve">developed out of this report </w:t>
      </w:r>
      <w:r w:rsidR="00F50F76">
        <w:t xml:space="preserve">will </w:t>
      </w:r>
      <w:r w:rsidR="00F602F5" w:rsidRPr="00F602F5">
        <w:t>only mention findings from the demand analysis for BPA.</w:t>
      </w:r>
    </w:p>
    <w:p w14:paraId="36ACB6CE" w14:textId="3102D61E" w:rsidR="003608E6" w:rsidRDefault="003608E6" w:rsidP="003608E6">
      <w:pPr>
        <w:pStyle w:val="BodyText"/>
        <w:spacing w:after="0"/>
      </w:pPr>
      <w:r>
        <w:rPr>
          <w:i/>
        </w:rPr>
        <w:lastRenderedPageBreak/>
        <w:t>4.</w:t>
      </w:r>
      <w:r w:rsidR="00402458">
        <w:rPr>
          <w:i/>
        </w:rPr>
        <w:t>15</w:t>
      </w:r>
      <w:r>
        <w:rPr>
          <w:i/>
        </w:rPr>
        <w:t xml:space="preserve"> </w:t>
      </w:r>
      <w:r w:rsidR="0019677B" w:rsidRPr="0019677B">
        <w:rPr>
          <w:i/>
        </w:rPr>
        <w:t>In the interregional comparison</w:t>
      </w:r>
      <w:r w:rsidR="00F50F76">
        <w:rPr>
          <w:i/>
        </w:rPr>
        <w:t>,</w:t>
      </w:r>
      <w:r w:rsidR="0019677B" w:rsidRPr="0019677B">
        <w:rPr>
          <w:i/>
        </w:rPr>
        <w:t xml:space="preserve"> what is the reason to have the discussion/analysis include regions outside the </w:t>
      </w:r>
      <w:r w:rsidR="00F50F76">
        <w:rPr>
          <w:i/>
        </w:rPr>
        <w:t xml:space="preserve">four </w:t>
      </w:r>
      <w:r w:rsidR="0019677B" w:rsidRPr="0019677B">
        <w:rPr>
          <w:i/>
        </w:rPr>
        <w:t>PMAs? This was a little unexpected and seems like it is outside of the scope of climate impacts on hydropower</w:t>
      </w:r>
      <w:r w:rsidR="00F50F76">
        <w:rPr>
          <w:i/>
        </w:rPr>
        <w:t>,</w:t>
      </w:r>
      <w:r w:rsidR="0019677B" w:rsidRPr="0019677B">
        <w:rPr>
          <w:i/>
        </w:rPr>
        <w:t xml:space="preserve"> unless a better or clearer implication/link can be made. See some of the detailed comments for examples.</w:t>
      </w:r>
    </w:p>
    <w:p w14:paraId="1AEDDC39" w14:textId="4E4B9E73" w:rsidR="003608E6" w:rsidRDefault="003608E6" w:rsidP="003608E6">
      <w:pPr>
        <w:pStyle w:val="BodyText"/>
        <w:ind w:left="360" w:hanging="360"/>
      </w:pPr>
      <w:r>
        <w:t>-</w:t>
      </w:r>
      <w:r>
        <w:tab/>
      </w:r>
      <w:r w:rsidR="0019677B" w:rsidRPr="0019677B">
        <w:t>We foresee that some of the hydroclimate projection data that we developed in this study may also be used to support other nonfederal hydropower stakeholders. Therefore, we expand</w:t>
      </w:r>
      <w:r w:rsidR="00F50F76">
        <w:t>ed</w:t>
      </w:r>
      <w:r w:rsidR="0019677B" w:rsidRPr="0019677B">
        <w:t xml:space="preserve"> the geographical scope of the interregional comparison section to highlight the broader climate change impacts outside of the four PMA regions.</w:t>
      </w:r>
    </w:p>
    <w:p w14:paraId="322632F3" w14:textId="356B2041" w:rsidR="003608E6" w:rsidRDefault="003608E6" w:rsidP="003608E6">
      <w:pPr>
        <w:pStyle w:val="BodyText"/>
        <w:spacing w:after="0"/>
      </w:pPr>
      <w:r>
        <w:rPr>
          <w:i/>
        </w:rPr>
        <w:t>4.</w:t>
      </w:r>
      <w:r w:rsidR="00D160D3">
        <w:rPr>
          <w:i/>
        </w:rPr>
        <w:t>16</w:t>
      </w:r>
      <w:r>
        <w:rPr>
          <w:i/>
        </w:rPr>
        <w:t xml:space="preserve"> </w:t>
      </w:r>
      <w:r w:rsidR="00D160D3" w:rsidRPr="00D160D3">
        <w:rPr>
          <w:i/>
        </w:rPr>
        <w:t>Can the loss in evaporation at reservoirs be translated into loss of power?</w:t>
      </w:r>
    </w:p>
    <w:p w14:paraId="7E7D6F9D" w14:textId="1FCDEFA9" w:rsidR="003608E6" w:rsidRDefault="003608E6" w:rsidP="003608E6">
      <w:pPr>
        <w:pStyle w:val="BodyText"/>
        <w:ind w:left="360" w:hanging="360"/>
      </w:pPr>
      <w:r>
        <w:t>-</w:t>
      </w:r>
      <w:r>
        <w:tab/>
      </w:r>
      <w:r w:rsidR="00F50F76">
        <w:t xml:space="preserve">Although </w:t>
      </w:r>
      <w:r w:rsidR="00D160D3" w:rsidRPr="00D160D3">
        <w:t xml:space="preserve">evaporation loss can decrease the amount of water storage and eventually lead to decrease power, it is </w:t>
      </w:r>
      <w:r w:rsidR="00F50F76">
        <w:t xml:space="preserve">difficult </w:t>
      </w:r>
      <w:r w:rsidR="00D160D3" w:rsidRPr="00D160D3">
        <w:t>to translate because power generation is a decision within the boarder multi-purpose reservoir operation. If the power generation model already has evaporation explicitly included, then this translation can be made by comparing electricity with and without increased evaporative loss.</w:t>
      </w:r>
    </w:p>
    <w:p w14:paraId="2D2FC3FC" w14:textId="103C7F60" w:rsidR="003608E6" w:rsidRDefault="003608E6" w:rsidP="003608E6">
      <w:pPr>
        <w:pStyle w:val="BodyText"/>
        <w:spacing w:after="0"/>
      </w:pPr>
      <w:r>
        <w:rPr>
          <w:i/>
        </w:rPr>
        <w:t>4.</w:t>
      </w:r>
      <w:r w:rsidR="00C61188">
        <w:rPr>
          <w:i/>
        </w:rPr>
        <w:t>17</w:t>
      </w:r>
      <w:r>
        <w:rPr>
          <w:i/>
        </w:rPr>
        <w:t xml:space="preserve"> </w:t>
      </w:r>
      <w:r w:rsidR="00C61188" w:rsidRPr="00C61188">
        <w:rPr>
          <w:i/>
        </w:rPr>
        <w:t>How much of a concern is it that hydropower generation decreases at the same time that electricity demand is increasing</w:t>
      </w:r>
      <w:r w:rsidR="00F50F76">
        <w:rPr>
          <w:i/>
        </w:rPr>
        <w:t>—</w:t>
      </w:r>
      <w:r w:rsidR="00C61188" w:rsidRPr="00C61188">
        <w:rPr>
          <w:i/>
        </w:rPr>
        <w:t>in the summertime</w:t>
      </w:r>
      <w:r w:rsidR="00F50F76">
        <w:rPr>
          <w:i/>
        </w:rPr>
        <w:t>—</w:t>
      </w:r>
      <w:r w:rsidR="00C61188" w:rsidRPr="00C61188">
        <w:rPr>
          <w:i/>
        </w:rPr>
        <w:t>in BPA? Some more discussion on this implication may be of interest to readers and could shows the important of grid management and resource integration.</w:t>
      </w:r>
    </w:p>
    <w:p w14:paraId="1C7E6E65" w14:textId="0CEBF88A" w:rsidR="003608E6" w:rsidRDefault="003608E6" w:rsidP="003608E6">
      <w:pPr>
        <w:pStyle w:val="BodyText"/>
        <w:ind w:left="360" w:hanging="360"/>
      </w:pPr>
      <w:r>
        <w:t>-</w:t>
      </w:r>
      <w:r>
        <w:tab/>
      </w:r>
      <w:r w:rsidR="00B646EF" w:rsidRPr="00B646EF">
        <w:t>We have added some text discussing the implications of the mismatch between hydropower generation availability and electricity load during the summer months in the BPA region</w:t>
      </w:r>
      <w:r w:rsidR="00930433">
        <w:t>:</w:t>
      </w:r>
      <w:r w:rsidR="00B646EF" w:rsidRPr="00B646EF">
        <w:t xml:space="preserve"> </w:t>
      </w:r>
      <w:r w:rsidR="00930433">
        <w:t>“</w:t>
      </w:r>
      <w:r w:rsidR="00B646EF" w:rsidRPr="00B646EF">
        <w:t>The decreased correlation between hydropower generation availability and customer demand will likely result in increased replacement power purchases by the PMA during the summer months. The cost of replacement power purchases must then be passed through to the rates that BPA charges its customers. Finding ways to maximize the value of potential winter generation surpluses and minimize the needs for replacement power during the summer will be important to maintain competitive and affordable rates for BPA and ensure reliability</w:t>
      </w:r>
      <w:r w:rsidR="00F50F76">
        <w:t>.</w:t>
      </w:r>
      <w:r w:rsidR="00930433">
        <w:t>”</w:t>
      </w:r>
    </w:p>
    <w:p w14:paraId="395DD5FC" w14:textId="004CE2E4" w:rsidR="003608E6" w:rsidRDefault="003608E6" w:rsidP="003608E6">
      <w:pPr>
        <w:pStyle w:val="BodyText"/>
        <w:spacing w:after="0"/>
      </w:pPr>
      <w:r>
        <w:rPr>
          <w:i/>
        </w:rPr>
        <w:t>4.</w:t>
      </w:r>
      <w:r w:rsidR="00AE323B">
        <w:rPr>
          <w:i/>
        </w:rPr>
        <w:t>18</w:t>
      </w:r>
      <w:r>
        <w:rPr>
          <w:i/>
        </w:rPr>
        <w:t xml:space="preserve"> </w:t>
      </w:r>
      <w:r w:rsidR="00F50F76">
        <w:rPr>
          <w:i/>
        </w:rPr>
        <w:t xml:space="preserve">In </w:t>
      </w:r>
      <w:r w:rsidR="00AE323B" w:rsidRPr="00AE323B">
        <w:rPr>
          <w:i/>
        </w:rPr>
        <w:t>Fig</w:t>
      </w:r>
      <w:r w:rsidR="00F50F76">
        <w:rPr>
          <w:i/>
        </w:rPr>
        <w:t>ure</w:t>
      </w:r>
      <w:r w:rsidR="00AE323B" w:rsidRPr="00AE323B">
        <w:rPr>
          <w:i/>
        </w:rPr>
        <w:t xml:space="preserve"> 1.1</w:t>
      </w:r>
      <w:r w:rsidR="00F50F76">
        <w:rPr>
          <w:i/>
        </w:rPr>
        <w:t>,</w:t>
      </w:r>
      <w:r w:rsidR="00AE323B">
        <w:rPr>
          <w:i/>
        </w:rPr>
        <w:t xml:space="preserve"> </w:t>
      </w:r>
      <w:r w:rsidR="00AE323B" w:rsidRPr="00AE323B">
        <w:rPr>
          <w:i/>
        </w:rPr>
        <w:t xml:space="preserve">why is the EIA </w:t>
      </w:r>
      <w:r w:rsidR="00F50F76" w:rsidRPr="00AE323B">
        <w:rPr>
          <w:i/>
        </w:rPr>
        <w:t xml:space="preserve">Form </w:t>
      </w:r>
      <w:r w:rsidR="00AE323B" w:rsidRPr="00AE323B">
        <w:rPr>
          <w:i/>
        </w:rPr>
        <w:t>860</w:t>
      </w:r>
      <w:r w:rsidR="005606E5">
        <w:rPr>
          <w:i/>
        </w:rPr>
        <w:t xml:space="preserve"> data set </w:t>
      </w:r>
      <w:r w:rsidR="00AE323B" w:rsidRPr="00AE323B">
        <w:rPr>
          <w:i/>
        </w:rPr>
        <w:t>used and not the EHA database</w:t>
      </w:r>
      <w:r w:rsidR="00F50F76">
        <w:rPr>
          <w:i/>
        </w:rPr>
        <w:t>,</w:t>
      </w:r>
      <w:r w:rsidR="00AE323B" w:rsidRPr="00AE323B">
        <w:rPr>
          <w:i/>
        </w:rPr>
        <w:t xml:space="preserve"> or are they the same for this context? </w:t>
      </w:r>
      <w:r w:rsidR="00F50F76">
        <w:rPr>
          <w:i/>
        </w:rPr>
        <w:t>It m</w:t>
      </w:r>
      <w:r w:rsidR="00AE323B" w:rsidRPr="00AE323B">
        <w:rPr>
          <w:i/>
        </w:rPr>
        <w:t xml:space="preserve">ight be helpful to separate </w:t>
      </w:r>
      <w:r w:rsidR="00F50F76">
        <w:rPr>
          <w:i/>
        </w:rPr>
        <w:t>pumped storage hydropower</w:t>
      </w:r>
      <w:r w:rsidR="00F50F76" w:rsidRPr="00AE323B">
        <w:rPr>
          <w:i/>
        </w:rPr>
        <w:t xml:space="preserve"> </w:t>
      </w:r>
      <w:r w:rsidR="00AE323B" w:rsidRPr="00AE323B">
        <w:rPr>
          <w:i/>
        </w:rPr>
        <w:t>and conventional (square</w:t>
      </w:r>
      <w:r w:rsidR="00F50F76">
        <w:rPr>
          <w:i/>
        </w:rPr>
        <w:t>s</w:t>
      </w:r>
      <w:r w:rsidR="00AE323B" w:rsidRPr="00AE323B">
        <w:rPr>
          <w:i/>
        </w:rPr>
        <w:t xml:space="preserve"> vs. circles on the map).</w:t>
      </w:r>
    </w:p>
    <w:p w14:paraId="5FE6EE5A" w14:textId="5665A5FD" w:rsidR="003608E6" w:rsidRDefault="003608E6" w:rsidP="003608E6">
      <w:pPr>
        <w:pStyle w:val="BodyText"/>
        <w:ind w:left="360" w:hanging="360"/>
      </w:pPr>
      <w:r>
        <w:t>-</w:t>
      </w:r>
      <w:r>
        <w:tab/>
      </w:r>
      <w:r w:rsidR="00AE323B" w:rsidRPr="00AE323B">
        <w:t xml:space="preserve">Yes, they are the same for this context. Regarding </w:t>
      </w:r>
      <w:r w:rsidR="00F50F76" w:rsidRPr="00F50F76">
        <w:t>pumped storage hydropower</w:t>
      </w:r>
      <w:r w:rsidR="00AE323B" w:rsidRPr="00AE323B">
        <w:t xml:space="preserve">, since some of the federal </w:t>
      </w:r>
      <w:r w:rsidR="00F50F76" w:rsidRPr="00F50F76">
        <w:t xml:space="preserve">pumped storage </w:t>
      </w:r>
      <w:r w:rsidR="00AE323B" w:rsidRPr="00AE323B">
        <w:t>turbines were actually operated as conventional hydro</w:t>
      </w:r>
      <w:r w:rsidR="00F50F76">
        <w:t>power</w:t>
      </w:r>
      <w:r w:rsidR="00AE323B" w:rsidRPr="00AE323B">
        <w:t>, the distinction is not clear.</w:t>
      </w:r>
    </w:p>
    <w:p w14:paraId="3952C950" w14:textId="6E0388C4" w:rsidR="003608E6" w:rsidRDefault="003608E6" w:rsidP="003608E6">
      <w:pPr>
        <w:pStyle w:val="BodyText"/>
        <w:spacing w:after="0"/>
      </w:pPr>
      <w:r>
        <w:rPr>
          <w:i/>
        </w:rPr>
        <w:t>4.</w:t>
      </w:r>
      <w:r w:rsidR="00AE323B">
        <w:rPr>
          <w:i/>
        </w:rPr>
        <w:t>19</w:t>
      </w:r>
      <w:r>
        <w:rPr>
          <w:i/>
        </w:rPr>
        <w:t xml:space="preserve"> </w:t>
      </w:r>
      <w:r w:rsidR="00AE323B" w:rsidRPr="00AE323B">
        <w:rPr>
          <w:i/>
        </w:rPr>
        <w:t>Given that not all aspects of uncertainty are considered in this study (</w:t>
      </w:r>
      <w:r w:rsidR="005606E5">
        <w:rPr>
          <w:i/>
        </w:rPr>
        <w:t xml:space="preserve">e.g., </w:t>
      </w:r>
      <w:r w:rsidR="00AE323B" w:rsidRPr="00AE323B">
        <w:rPr>
          <w:i/>
        </w:rPr>
        <w:t>water demands, land use/land cover, reservoir rules), it might be worthwhile to state that GCMs are the greatest source of uncertainty in this particular study</w:t>
      </w:r>
      <w:r w:rsidR="00F50F76">
        <w:rPr>
          <w:i/>
        </w:rPr>
        <w:t>,</w:t>
      </w:r>
      <w:r w:rsidR="00AE323B" w:rsidRPr="00AE323B">
        <w:rPr>
          <w:i/>
        </w:rPr>
        <w:t xml:space="preserve"> </w:t>
      </w:r>
      <w:r w:rsidR="00F50F76">
        <w:rPr>
          <w:i/>
        </w:rPr>
        <w:t>a</w:t>
      </w:r>
      <w:r w:rsidR="00AE323B" w:rsidRPr="00AE323B">
        <w:rPr>
          <w:i/>
        </w:rPr>
        <w:t>nd that other factors may have greater/unquantifiable uncertainties that may have more/less impact on hydropower vs. GCMs.</w:t>
      </w:r>
    </w:p>
    <w:p w14:paraId="3801DB01" w14:textId="6FB59D13" w:rsidR="003608E6" w:rsidRDefault="003608E6" w:rsidP="003608E6">
      <w:pPr>
        <w:pStyle w:val="BodyText"/>
        <w:ind w:left="360" w:hanging="360"/>
      </w:pPr>
      <w:r>
        <w:t>-</w:t>
      </w:r>
      <w:r>
        <w:tab/>
      </w:r>
      <w:r w:rsidR="00FF48A0" w:rsidRPr="00FF48A0">
        <w:t xml:space="preserve">Thank you. This issue </w:t>
      </w:r>
      <w:r w:rsidR="00F50F76">
        <w:t xml:space="preserve">was </w:t>
      </w:r>
      <w:r w:rsidR="00FF48A0" w:rsidRPr="00FF48A0">
        <w:t xml:space="preserve">also </w:t>
      </w:r>
      <w:r w:rsidR="00F50F76">
        <w:t xml:space="preserve">mentioned </w:t>
      </w:r>
      <w:r w:rsidR="00FF48A0" w:rsidRPr="00FF48A0">
        <w:t>by other reviewers. We have clarified and discussed the needs to better understand uncertainty in the future work.</w:t>
      </w:r>
    </w:p>
    <w:p w14:paraId="3A3B8024" w14:textId="6C85DED3" w:rsidR="003608E6" w:rsidRDefault="003608E6" w:rsidP="003608E6">
      <w:pPr>
        <w:pStyle w:val="BodyText"/>
        <w:spacing w:after="0"/>
      </w:pPr>
      <w:r>
        <w:rPr>
          <w:i/>
        </w:rPr>
        <w:t>4.2</w:t>
      </w:r>
      <w:r w:rsidR="00C15C94">
        <w:rPr>
          <w:i/>
        </w:rPr>
        <w:t>0</w:t>
      </w:r>
      <w:r>
        <w:rPr>
          <w:i/>
        </w:rPr>
        <w:t xml:space="preserve"> </w:t>
      </w:r>
      <w:r w:rsidR="00C15C94" w:rsidRPr="00C15C94">
        <w:rPr>
          <w:i/>
        </w:rPr>
        <w:t>What are the potential consequences of using wind speed from a different data</w:t>
      </w:r>
      <w:r w:rsidR="005606E5">
        <w:rPr>
          <w:i/>
        </w:rPr>
        <w:t xml:space="preserve"> </w:t>
      </w:r>
      <w:r w:rsidR="00C15C94" w:rsidRPr="00C15C94">
        <w:rPr>
          <w:i/>
        </w:rPr>
        <w:t>set? Why not use a data source that contains all climate variables of interest?</w:t>
      </w:r>
    </w:p>
    <w:p w14:paraId="17AFC98F" w14:textId="494BEDEC" w:rsidR="003608E6" w:rsidRDefault="003608E6" w:rsidP="003608E6">
      <w:pPr>
        <w:pStyle w:val="BodyText"/>
        <w:ind w:left="360" w:hanging="360"/>
      </w:pPr>
      <w:r>
        <w:t>-</w:t>
      </w:r>
      <w:r>
        <w:tab/>
      </w:r>
      <w:r w:rsidR="00C15C94" w:rsidRPr="00C15C94">
        <w:t xml:space="preserve">The effect varies. In general, wind speed is less sensitive to runoff but is very sensitive to evaporation. </w:t>
      </w:r>
      <w:r w:rsidR="00F50F76">
        <w:t xml:space="preserve">Although </w:t>
      </w:r>
      <w:r w:rsidR="00C15C94" w:rsidRPr="00C15C94">
        <w:t>some data sets do provide wind speed, they are still derived from commonly used reanalysis data sets such as NCEP and NARR. A gridded, station-based wind speed data set is still lacking, to the best of our knowledge.</w:t>
      </w:r>
    </w:p>
    <w:p w14:paraId="4DD43CAE" w14:textId="21198F64" w:rsidR="003608E6" w:rsidRPr="00CC2069" w:rsidRDefault="003608E6" w:rsidP="003608E6">
      <w:pPr>
        <w:pStyle w:val="BodyText"/>
        <w:spacing w:after="0"/>
      </w:pPr>
      <w:r>
        <w:rPr>
          <w:i/>
        </w:rPr>
        <w:lastRenderedPageBreak/>
        <w:t>4.2</w:t>
      </w:r>
      <w:r w:rsidR="00C156D3">
        <w:rPr>
          <w:i/>
        </w:rPr>
        <w:t>1</w:t>
      </w:r>
      <w:r>
        <w:rPr>
          <w:i/>
        </w:rPr>
        <w:t xml:space="preserve"> </w:t>
      </w:r>
      <w:r w:rsidR="00C156D3" w:rsidRPr="00C156D3">
        <w:rPr>
          <w:i/>
        </w:rPr>
        <w:t>Evaluation for four CONUS regions</w:t>
      </w:r>
      <w:r w:rsidR="00F50F76">
        <w:rPr>
          <w:i/>
        </w:rPr>
        <w:t>—</w:t>
      </w:r>
      <w:r w:rsidR="00C156D3" w:rsidRPr="00C156D3">
        <w:rPr>
          <w:i/>
        </w:rPr>
        <w:t xml:space="preserve">why not basin level or have them be specific to the hydropower regions? Figure </w:t>
      </w:r>
      <w:r w:rsidR="00CC2069">
        <w:rPr>
          <w:i/>
        </w:rPr>
        <w:t>C</w:t>
      </w:r>
      <w:r w:rsidR="00F50F76">
        <w:rPr>
          <w:i/>
        </w:rPr>
        <w:t>.</w:t>
      </w:r>
      <w:r w:rsidR="00C156D3" w:rsidRPr="00C156D3">
        <w:rPr>
          <w:i/>
        </w:rPr>
        <w:t>1 includes regions not in the analysis</w:t>
      </w:r>
      <w:r w:rsidR="00F50F76">
        <w:rPr>
          <w:i/>
        </w:rPr>
        <w:t>,</w:t>
      </w:r>
      <w:r w:rsidR="00C156D3" w:rsidRPr="00C156D3">
        <w:rPr>
          <w:i/>
        </w:rPr>
        <w:t xml:space="preserve"> and it is not clear why they should be included in the eval</w:t>
      </w:r>
      <w:r w:rsidR="00C156D3" w:rsidRPr="00CC2069">
        <w:rPr>
          <w:i/>
        </w:rPr>
        <w:t>uation given that GCM performance can vary across those basins/regions.</w:t>
      </w:r>
    </w:p>
    <w:p w14:paraId="6228AEDC" w14:textId="2B3A1350" w:rsidR="003608E6" w:rsidRDefault="003608E6" w:rsidP="003608E6">
      <w:pPr>
        <w:pStyle w:val="BodyText"/>
        <w:ind w:left="360" w:hanging="360"/>
      </w:pPr>
      <w:r w:rsidRPr="00CC2069">
        <w:t>-</w:t>
      </w:r>
      <w:r w:rsidRPr="00CC2069">
        <w:tab/>
      </w:r>
      <w:r w:rsidR="00C156D3" w:rsidRPr="00CC2069">
        <w:t>Given the coarse resolution of GCMs (typical resolution ~200</w:t>
      </w:r>
      <w:r w:rsidR="00F50F76" w:rsidRPr="00CC2069">
        <w:t xml:space="preserve"> </w:t>
      </w:r>
      <w:r w:rsidR="00C156D3" w:rsidRPr="00CC2069">
        <w:t xml:space="preserve">km), we have avoided basin-scale evaluation. Figure </w:t>
      </w:r>
      <w:r w:rsidR="00CC2069" w:rsidRPr="00CC2069">
        <w:t>C</w:t>
      </w:r>
      <w:r w:rsidR="00F50F76" w:rsidRPr="00CC2069">
        <w:t>.</w:t>
      </w:r>
      <w:r w:rsidR="00C156D3" w:rsidRPr="00CC2069">
        <w:t>1 includes all areas that are part of hydrological simulations and assessments. The final GCM selectio</w:t>
      </w:r>
      <w:r w:rsidR="00C156D3" w:rsidRPr="00C156D3">
        <w:t xml:space="preserve">n using their overall performance across CONUS is also motivated by the fact that they have been used as boundary forcing for dynamical downscaling through a regional climate model over a domain that covers </w:t>
      </w:r>
      <w:r w:rsidR="00F50F76">
        <w:t xml:space="preserve">the </w:t>
      </w:r>
      <w:r w:rsidR="00C156D3" w:rsidRPr="00C156D3">
        <w:t>CONUS and parts of Canada and Mexico. Therefore, those GCMs are preferred that display better performance across the CONUS on average.</w:t>
      </w:r>
    </w:p>
    <w:p w14:paraId="4DC90AFB" w14:textId="218BECEE" w:rsidR="003608E6" w:rsidRDefault="003608E6" w:rsidP="003608E6">
      <w:pPr>
        <w:pStyle w:val="BodyText"/>
        <w:spacing w:after="0"/>
      </w:pPr>
      <w:r>
        <w:rPr>
          <w:i/>
        </w:rPr>
        <w:t>4.</w:t>
      </w:r>
      <w:r w:rsidR="00D71663">
        <w:rPr>
          <w:i/>
        </w:rPr>
        <w:t>2</w:t>
      </w:r>
      <w:r>
        <w:rPr>
          <w:i/>
        </w:rPr>
        <w:t xml:space="preserve">2 </w:t>
      </w:r>
      <w:r w:rsidR="00D71663" w:rsidRPr="00D71663">
        <w:rPr>
          <w:i/>
        </w:rPr>
        <w:t xml:space="preserve">The bias correction (max of 150%) is for both negative and positive bias? </w:t>
      </w:r>
      <w:r w:rsidR="00F50F76">
        <w:rPr>
          <w:i/>
        </w:rPr>
        <w:t xml:space="preserve">If </w:t>
      </w:r>
      <w:r w:rsidR="00D71663" w:rsidRPr="00D71663">
        <w:rPr>
          <w:i/>
        </w:rPr>
        <w:t>so</w:t>
      </w:r>
      <w:r w:rsidR="00F50F76">
        <w:rPr>
          <w:i/>
        </w:rPr>
        <w:t>,</w:t>
      </w:r>
      <w:r w:rsidR="00D71663" w:rsidRPr="00D71663">
        <w:rPr>
          <w:i/>
        </w:rPr>
        <w:t xml:space="preserve"> how many instances of each occur?</w:t>
      </w:r>
    </w:p>
    <w:p w14:paraId="34B72FF4" w14:textId="46E6BB9B" w:rsidR="003608E6" w:rsidRDefault="003608E6" w:rsidP="003608E6">
      <w:pPr>
        <w:pStyle w:val="BodyText"/>
        <w:ind w:left="360" w:hanging="360"/>
      </w:pPr>
      <w:r>
        <w:t>-</w:t>
      </w:r>
      <w:r>
        <w:tab/>
      </w:r>
      <w:r w:rsidR="00155B7E" w:rsidRPr="00155B7E">
        <w:t>It</w:t>
      </w:r>
      <w:r w:rsidR="00F50F76">
        <w:t xml:space="preserve"> i</w:t>
      </w:r>
      <w:r w:rsidR="00155B7E" w:rsidRPr="00155B7E">
        <w:t>s a future-to-baseline quantile ratio. This specific rule is rarely implemented. However, it is needed since some GCMs may include very small baseline rainfall values</w:t>
      </w:r>
      <w:r w:rsidR="00F50F76">
        <w:t>,</w:t>
      </w:r>
      <w:r w:rsidR="00155B7E" w:rsidRPr="00155B7E">
        <w:t xml:space="preserve"> which may lead to unreasonably large future-to-baseline ratio.</w:t>
      </w:r>
    </w:p>
    <w:p w14:paraId="7FA27477" w14:textId="107A919F" w:rsidR="00C156D3" w:rsidRDefault="00C156D3" w:rsidP="00C156D3">
      <w:pPr>
        <w:pStyle w:val="BodyText"/>
        <w:spacing w:after="0"/>
      </w:pPr>
      <w:r>
        <w:rPr>
          <w:i/>
        </w:rPr>
        <w:t>4.2</w:t>
      </w:r>
      <w:r w:rsidR="007A7D45">
        <w:rPr>
          <w:i/>
        </w:rPr>
        <w:t>3</w:t>
      </w:r>
      <w:r>
        <w:rPr>
          <w:i/>
        </w:rPr>
        <w:t xml:space="preserve"> </w:t>
      </w:r>
      <w:r w:rsidR="00F50F76">
        <w:rPr>
          <w:i/>
        </w:rPr>
        <w:t xml:space="preserve">In </w:t>
      </w:r>
      <w:r w:rsidR="007A7D45" w:rsidRPr="007A7D45">
        <w:rPr>
          <w:i/>
        </w:rPr>
        <w:t>Figure 2.7</w:t>
      </w:r>
      <w:r w:rsidR="00F50F76">
        <w:rPr>
          <w:i/>
        </w:rPr>
        <w:t>,</w:t>
      </w:r>
      <w:r w:rsidR="007A7D45" w:rsidRPr="007A7D45">
        <w:rPr>
          <w:i/>
        </w:rPr>
        <w:t xml:space="preserve"> </w:t>
      </w:r>
      <w:r w:rsidR="00F50F76">
        <w:rPr>
          <w:i/>
        </w:rPr>
        <w:t>in the a</w:t>
      </w:r>
      <w:r w:rsidR="007A7D45" w:rsidRPr="007A7D45">
        <w:rPr>
          <w:i/>
        </w:rPr>
        <w:t>nnual figure</w:t>
      </w:r>
      <w:r w:rsidR="00F50F76">
        <w:rPr>
          <w:i/>
        </w:rPr>
        <w:t>, it</w:t>
      </w:r>
      <w:r w:rsidR="007A7D45" w:rsidRPr="007A7D45">
        <w:rPr>
          <w:i/>
        </w:rPr>
        <w:t xml:space="preserve"> looks like only 5 (not 6) black diamonds are displayed.</w:t>
      </w:r>
    </w:p>
    <w:p w14:paraId="165AEFD8" w14:textId="0B577B4C" w:rsidR="00C156D3" w:rsidRDefault="00C156D3" w:rsidP="00C156D3">
      <w:pPr>
        <w:pStyle w:val="BodyText"/>
        <w:ind w:left="360" w:hanging="360"/>
      </w:pPr>
      <w:r>
        <w:t>-</w:t>
      </w:r>
      <w:r>
        <w:tab/>
      </w:r>
      <w:r w:rsidR="00B730B1" w:rsidRPr="00B730B1">
        <w:t xml:space="preserve">Thank you. We have verified that there are indeed six data points. Two data points are </w:t>
      </w:r>
      <w:r w:rsidR="00F50F76">
        <w:t xml:space="preserve">very </w:t>
      </w:r>
      <w:r w:rsidR="00B730B1" w:rsidRPr="00B730B1">
        <w:t>close</w:t>
      </w:r>
      <w:r w:rsidRPr="00E41942">
        <w:t>.</w:t>
      </w:r>
    </w:p>
    <w:p w14:paraId="39AFF9A0" w14:textId="66F4DC65" w:rsidR="00C156D3" w:rsidRDefault="00C156D3" w:rsidP="00C156D3">
      <w:pPr>
        <w:pStyle w:val="BodyText"/>
        <w:spacing w:after="0"/>
      </w:pPr>
      <w:r>
        <w:rPr>
          <w:i/>
        </w:rPr>
        <w:t>4.2</w:t>
      </w:r>
      <w:r w:rsidR="00D326A4">
        <w:rPr>
          <w:i/>
        </w:rPr>
        <w:t>4</w:t>
      </w:r>
      <w:r>
        <w:rPr>
          <w:i/>
        </w:rPr>
        <w:t xml:space="preserve"> </w:t>
      </w:r>
      <w:r w:rsidR="00F50F76">
        <w:rPr>
          <w:i/>
        </w:rPr>
        <w:t xml:space="preserve">In </w:t>
      </w:r>
      <w:r w:rsidR="00D326A4" w:rsidRPr="00D326A4">
        <w:rPr>
          <w:i/>
        </w:rPr>
        <w:t>Fig</w:t>
      </w:r>
      <w:r w:rsidR="00F50F76">
        <w:rPr>
          <w:i/>
        </w:rPr>
        <w:t>ure</w:t>
      </w:r>
      <w:r w:rsidR="00D326A4" w:rsidRPr="00D326A4">
        <w:rPr>
          <w:i/>
        </w:rPr>
        <w:t xml:space="preserve"> 2.1</w:t>
      </w:r>
      <w:r w:rsidR="00D326A4">
        <w:rPr>
          <w:i/>
        </w:rPr>
        <w:t>2</w:t>
      </w:r>
      <w:r w:rsidR="00D326A4" w:rsidRPr="00D326A4">
        <w:rPr>
          <w:i/>
        </w:rPr>
        <w:t xml:space="preserve"> and </w:t>
      </w:r>
      <w:r w:rsidR="00F50F76">
        <w:rPr>
          <w:i/>
        </w:rPr>
        <w:t xml:space="preserve">Figure </w:t>
      </w:r>
      <w:r w:rsidR="00D326A4" w:rsidRPr="00D326A4">
        <w:rPr>
          <w:i/>
        </w:rPr>
        <w:t>2.1</w:t>
      </w:r>
      <w:r w:rsidR="00D326A4">
        <w:rPr>
          <w:i/>
        </w:rPr>
        <w:t>3</w:t>
      </w:r>
      <w:r w:rsidR="00F50F76">
        <w:rPr>
          <w:i/>
        </w:rPr>
        <w:t>,</w:t>
      </w:r>
      <w:r w:rsidR="00D326A4" w:rsidRPr="00D326A4">
        <w:rPr>
          <w:i/>
        </w:rPr>
        <w:t xml:space="preserve"> </w:t>
      </w:r>
      <w:r w:rsidR="00F50F76">
        <w:rPr>
          <w:i/>
        </w:rPr>
        <w:t>c</w:t>
      </w:r>
      <w:r w:rsidR="00D326A4" w:rsidRPr="00D326A4">
        <w:rPr>
          <w:i/>
        </w:rPr>
        <w:t>an the NSE/hydrologic model performance be aggregated to the basins where the hydropower analysis is implemented? For instance, the northeast looks great for performance, but no hydropower analysis is done there. On the other hand, the lower WAPA region performs less well</w:t>
      </w:r>
      <w:r w:rsidR="00F50F76">
        <w:rPr>
          <w:i/>
        </w:rPr>
        <w:t>,</w:t>
      </w:r>
      <w:r w:rsidR="00D326A4" w:rsidRPr="00D326A4">
        <w:rPr>
          <w:i/>
        </w:rPr>
        <w:t xml:space="preserve"> but it is hard to see how the basins are aggregated.</w:t>
      </w:r>
    </w:p>
    <w:p w14:paraId="2F0845E5" w14:textId="168B5928" w:rsidR="00C156D3" w:rsidRDefault="00C156D3" w:rsidP="00C156D3">
      <w:pPr>
        <w:pStyle w:val="BodyText"/>
        <w:ind w:left="360" w:hanging="360"/>
      </w:pPr>
      <w:r>
        <w:t>-</w:t>
      </w:r>
      <w:r>
        <w:tab/>
      </w:r>
      <w:r w:rsidR="00D326A4" w:rsidRPr="00D326A4">
        <w:t>We have included additional discussion on model performance to highlight HUC8s within PMA areas in Section 2.5.3.2</w:t>
      </w:r>
      <w:r w:rsidRPr="00E41942">
        <w:t>.</w:t>
      </w:r>
    </w:p>
    <w:p w14:paraId="6B6E22B4" w14:textId="7834B766" w:rsidR="00C156D3" w:rsidRDefault="00C156D3" w:rsidP="00C156D3">
      <w:pPr>
        <w:pStyle w:val="BodyText"/>
        <w:spacing w:after="0"/>
      </w:pPr>
      <w:r>
        <w:rPr>
          <w:i/>
        </w:rPr>
        <w:t>4.2</w:t>
      </w:r>
      <w:r w:rsidR="00CD5B28">
        <w:rPr>
          <w:i/>
        </w:rPr>
        <w:t>5</w:t>
      </w:r>
      <w:r>
        <w:rPr>
          <w:i/>
        </w:rPr>
        <w:t xml:space="preserve"> </w:t>
      </w:r>
      <w:r w:rsidR="00CD5B28" w:rsidRPr="00CD5B28">
        <w:rPr>
          <w:i/>
        </w:rPr>
        <w:t>(1) It is unclear how the daily limits (</w:t>
      </w:r>
      <w:r w:rsidR="00F50F76">
        <w:rPr>
          <w:i/>
        </w:rPr>
        <w:t>“</w:t>
      </w:r>
      <w:r w:rsidR="00CD5B28" w:rsidRPr="00CD5B28">
        <w:rPr>
          <w:i/>
        </w:rPr>
        <w:t>updated daily</w:t>
      </w:r>
      <w:r w:rsidR="00F50F76">
        <w:rPr>
          <w:i/>
        </w:rPr>
        <w:t>”</w:t>
      </w:r>
      <w:r w:rsidR="00CD5B28" w:rsidRPr="00CD5B28">
        <w:rPr>
          <w:i/>
        </w:rPr>
        <w:t xml:space="preserve"> as in the text) are affecting monthly operations</w:t>
      </w:r>
      <w:r w:rsidR="00F50F76">
        <w:rPr>
          <w:i/>
        </w:rPr>
        <w:t>.</w:t>
      </w:r>
      <w:r w:rsidR="00CD5B28" w:rsidRPr="00CD5B28">
        <w:rPr>
          <w:i/>
        </w:rPr>
        <w:t xml:space="preserve"> (2) Also: WM was run daily, but generation is monthly</w:t>
      </w:r>
      <w:r w:rsidR="00F50F76">
        <w:rPr>
          <w:i/>
        </w:rPr>
        <w:t>;</w:t>
      </w:r>
      <w:r w:rsidR="00CD5B28" w:rsidRPr="00CD5B28">
        <w:rPr>
          <w:i/>
        </w:rPr>
        <w:t xml:space="preserve"> more discussion on the reason for this may be helpful</w:t>
      </w:r>
      <w:r w:rsidR="00F50F76">
        <w:rPr>
          <w:i/>
        </w:rPr>
        <w:t>—</w:t>
      </w:r>
      <w:r w:rsidR="00CD5B28" w:rsidRPr="00CD5B28">
        <w:rPr>
          <w:i/>
        </w:rPr>
        <w:t>is it because of model performance/comparison purposes or is it just better for the analysis</w:t>
      </w:r>
      <w:r w:rsidR="00F50F76">
        <w:rPr>
          <w:i/>
        </w:rPr>
        <w:t>?</w:t>
      </w:r>
      <w:r w:rsidR="00CD5B28" w:rsidRPr="00CD5B28">
        <w:rPr>
          <w:i/>
        </w:rPr>
        <w:t xml:space="preserve"> </w:t>
      </w:r>
      <w:r w:rsidR="00F50F76">
        <w:rPr>
          <w:i/>
        </w:rPr>
        <w:t>D</w:t>
      </w:r>
      <w:r w:rsidR="00CD5B28" w:rsidRPr="00CD5B28">
        <w:rPr>
          <w:i/>
        </w:rPr>
        <w:t>oes daily hydropower not matter for the analysis and if not</w:t>
      </w:r>
      <w:r w:rsidR="00F50F76">
        <w:rPr>
          <w:i/>
        </w:rPr>
        <w:t>,</w:t>
      </w:r>
      <w:r w:rsidR="00CD5B28" w:rsidRPr="00CD5B28">
        <w:rPr>
          <w:i/>
        </w:rPr>
        <w:t xml:space="preserve"> why</w:t>
      </w:r>
      <w:r w:rsidR="00F50F76">
        <w:rPr>
          <w:i/>
        </w:rPr>
        <w:t xml:space="preserve"> not</w:t>
      </w:r>
      <w:r w:rsidR="00CD5B28" w:rsidRPr="00CD5B28">
        <w:rPr>
          <w:i/>
        </w:rPr>
        <w:t>?</w:t>
      </w:r>
    </w:p>
    <w:p w14:paraId="7B363C49" w14:textId="1BE7CE09" w:rsidR="00C156D3" w:rsidRDefault="00C156D3" w:rsidP="00C156D3">
      <w:pPr>
        <w:pStyle w:val="BodyText"/>
        <w:ind w:left="360" w:hanging="360"/>
      </w:pPr>
      <w:r>
        <w:t>-</w:t>
      </w:r>
      <w:r>
        <w:tab/>
      </w:r>
      <w:r w:rsidR="00CD5B28" w:rsidRPr="00CD5B28">
        <w:t>We have updated this. WM simulates the operations at a daily time scale, which allows to perform the needed water balance and river routing. The daily operations are aggregated to a monthly time scale and reported as monthly in the report. At this time, the monthly estimates are more accurate since WM does not represent the complex daily hydropower operations that respond to the power grid needs. At a monthly time scale, the estimates are reasonable because there are driven by water availability and water management rules. The monthly time scale allows us to focus on the multimodel comparison for the uncertainty quantification.</w:t>
      </w:r>
    </w:p>
    <w:p w14:paraId="6AB3C81C" w14:textId="6684BE8F" w:rsidR="00C156D3" w:rsidRDefault="00C156D3" w:rsidP="00C156D3">
      <w:pPr>
        <w:pStyle w:val="BodyText"/>
        <w:spacing w:after="0"/>
      </w:pPr>
      <w:r>
        <w:rPr>
          <w:i/>
        </w:rPr>
        <w:t>4.2</w:t>
      </w:r>
      <w:r w:rsidR="00CD5B28">
        <w:rPr>
          <w:i/>
        </w:rPr>
        <w:t>6</w:t>
      </w:r>
      <w:r>
        <w:rPr>
          <w:i/>
        </w:rPr>
        <w:t xml:space="preserve"> </w:t>
      </w:r>
      <w:r w:rsidR="00CD5B28" w:rsidRPr="00CD5B28">
        <w:rPr>
          <w:i/>
        </w:rPr>
        <w:t xml:space="preserve">To better understand validation results, the NSE </w:t>
      </w:r>
      <w:r w:rsidR="00F50F76">
        <w:rPr>
          <w:i/>
        </w:rPr>
        <w:t xml:space="preserve">and </w:t>
      </w:r>
      <w:r w:rsidR="00CD5B28" w:rsidRPr="00CD5B28">
        <w:rPr>
          <w:i/>
        </w:rPr>
        <w:t>R values (validation metrics) could be shown at the plant level for the WM method, or the distribution of the results across the plants so that the readers can understand if the performance of the model varies much across facilities.</w:t>
      </w:r>
    </w:p>
    <w:p w14:paraId="0E10C34D" w14:textId="3310A8C8" w:rsidR="00C156D3" w:rsidRDefault="00C156D3" w:rsidP="00C156D3">
      <w:pPr>
        <w:pStyle w:val="BodyText"/>
        <w:ind w:left="360" w:hanging="360"/>
      </w:pPr>
      <w:r>
        <w:t>-</w:t>
      </w:r>
      <w:r>
        <w:tab/>
      </w:r>
      <w:r w:rsidR="000C10FE" w:rsidRPr="000C10FE">
        <w:t>For consistency throughout the report, we focus</w:t>
      </w:r>
      <w:r w:rsidR="00F50F76">
        <w:t>ed</w:t>
      </w:r>
      <w:r w:rsidR="000C10FE" w:rsidRPr="000C10FE">
        <w:t xml:space="preserve"> on the multimodel approach</w:t>
      </w:r>
      <w:r w:rsidR="00470C04">
        <w:t>,</w:t>
      </w:r>
      <w:r w:rsidR="000C10FE" w:rsidRPr="000C10FE">
        <w:t xml:space="preserve"> which requires a monthly resolution and sub</w:t>
      </w:r>
      <w:r w:rsidR="00470C04">
        <w:t>-</w:t>
      </w:r>
      <w:r w:rsidR="000C10FE" w:rsidRPr="000C10FE">
        <w:t>region domain approach. This is also the resolution of the PMA data that we obtained. We will provide plant-level details in future publications</w:t>
      </w:r>
      <w:r w:rsidRPr="00E41942">
        <w:t>.</w:t>
      </w:r>
    </w:p>
    <w:p w14:paraId="34210E61" w14:textId="1CFC3EE8" w:rsidR="00C156D3" w:rsidRDefault="00C156D3" w:rsidP="00C156D3">
      <w:pPr>
        <w:pStyle w:val="BodyText"/>
        <w:spacing w:after="0"/>
      </w:pPr>
      <w:r>
        <w:rPr>
          <w:i/>
        </w:rPr>
        <w:t>4.2</w:t>
      </w:r>
      <w:r w:rsidR="005B21F7">
        <w:rPr>
          <w:i/>
        </w:rPr>
        <w:t>7</w:t>
      </w:r>
      <w:r>
        <w:rPr>
          <w:i/>
        </w:rPr>
        <w:t xml:space="preserve"> </w:t>
      </w:r>
      <w:r w:rsidR="005B21F7" w:rsidRPr="005B21F7">
        <w:rPr>
          <w:i/>
        </w:rPr>
        <w:t>What about the limitation of spatial resolution? At the resolution modeled, are some plants aggregated together as well as their capacities. Are there any issues with that?</w:t>
      </w:r>
    </w:p>
    <w:p w14:paraId="73317BEC" w14:textId="5A2FBC72" w:rsidR="00C156D3" w:rsidRDefault="00C156D3" w:rsidP="00C156D3">
      <w:pPr>
        <w:pStyle w:val="BodyText"/>
        <w:ind w:left="360" w:hanging="360"/>
      </w:pPr>
      <w:r>
        <w:t>-</w:t>
      </w:r>
      <w:r>
        <w:tab/>
      </w:r>
      <w:r w:rsidR="005B21F7" w:rsidRPr="005B21F7">
        <w:t xml:space="preserve">WMP currently runs at a 1/8th degree spatial resolution with one reservoir per grid cell. For a limited number of power plants, some need to be consolidated in which the reservoir capacity is accumulated. For this report, there </w:t>
      </w:r>
      <w:r w:rsidR="00470C04">
        <w:t xml:space="preserve">were </w:t>
      </w:r>
      <w:r w:rsidR="005B21F7" w:rsidRPr="005B21F7">
        <w:t xml:space="preserve">no cases </w:t>
      </w:r>
      <w:r w:rsidR="00470C04">
        <w:t xml:space="preserve">in which </w:t>
      </w:r>
      <w:r w:rsidR="005B21F7" w:rsidRPr="005B21F7">
        <w:t>we needed to aggregate power plants.</w:t>
      </w:r>
    </w:p>
    <w:p w14:paraId="4C6C0106" w14:textId="4F03A40A" w:rsidR="00C156D3" w:rsidRDefault="00C156D3" w:rsidP="00C156D3">
      <w:pPr>
        <w:pStyle w:val="BodyText"/>
        <w:spacing w:after="0"/>
      </w:pPr>
      <w:r>
        <w:rPr>
          <w:i/>
        </w:rPr>
        <w:lastRenderedPageBreak/>
        <w:t>4.2</w:t>
      </w:r>
      <w:r w:rsidR="00560B23">
        <w:rPr>
          <w:i/>
        </w:rPr>
        <w:t>8</w:t>
      </w:r>
      <w:r>
        <w:rPr>
          <w:i/>
        </w:rPr>
        <w:t xml:space="preserve"> </w:t>
      </w:r>
      <w:r w:rsidR="00560B23" w:rsidRPr="00560B23">
        <w:rPr>
          <w:i/>
        </w:rPr>
        <w:t>Reservoir evaporation losses are considered</w:t>
      </w:r>
      <w:r w:rsidR="00470C04">
        <w:rPr>
          <w:i/>
        </w:rPr>
        <w:t>,</w:t>
      </w:r>
      <w:r w:rsidR="00560B23" w:rsidRPr="00560B23">
        <w:rPr>
          <w:i/>
        </w:rPr>
        <w:t xml:space="preserve"> but are they simulated at individual plants? It is a little confusing how the link between storage calculated for the reservoir/hydropower is linked to the evaporation estimates. I expected to see two evaporation estimates based on the WRES and WM models. Is this a third storage estimate or based only on the WM estimate?</w:t>
      </w:r>
    </w:p>
    <w:p w14:paraId="6670196C" w14:textId="10B5F627" w:rsidR="00C156D3" w:rsidRDefault="00C156D3" w:rsidP="00C156D3">
      <w:pPr>
        <w:pStyle w:val="BodyText"/>
        <w:ind w:left="360" w:hanging="360"/>
      </w:pPr>
      <w:r>
        <w:t>-</w:t>
      </w:r>
      <w:r>
        <w:tab/>
      </w:r>
      <w:r w:rsidR="00560B23" w:rsidRPr="00560B23">
        <w:t xml:space="preserve">The evaporation loss estimation </w:t>
      </w:r>
      <w:r w:rsidR="00470C04">
        <w:t xml:space="preserve">was </w:t>
      </w:r>
      <w:r w:rsidR="00560B23" w:rsidRPr="00560B23">
        <w:t xml:space="preserve">made independent from WRES and WM. There </w:t>
      </w:r>
      <w:r w:rsidR="00470C04">
        <w:t xml:space="preserve">were </w:t>
      </w:r>
      <w:r w:rsidR="00560B23" w:rsidRPr="00560B23">
        <w:t>no evaporation losses estimated from WRES and WM.</w:t>
      </w:r>
    </w:p>
    <w:p w14:paraId="758C20B1" w14:textId="719DECCB" w:rsidR="00C156D3" w:rsidRDefault="00C156D3" w:rsidP="00C156D3">
      <w:pPr>
        <w:pStyle w:val="BodyText"/>
        <w:spacing w:after="0"/>
      </w:pPr>
      <w:r>
        <w:rPr>
          <w:i/>
        </w:rPr>
        <w:t>4.2</w:t>
      </w:r>
      <w:r w:rsidR="00235673">
        <w:rPr>
          <w:i/>
        </w:rPr>
        <w:t>9</w:t>
      </w:r>
      <w:r>
        <w:rPr>
          <w:i/>
        </w:rPr>
        <w:t xml:space="preserve"> </w:t>
      </w:r>
      <w:r w:rsidR="00235673" w:rsidRPr="00235673">
        <w:rPr>
          <w:i/>
        </w:rPr>
        <w:t>Wind speed effect is mentioned explicitly</w:t>
      </w:r>
      <w:r w:rsidR="00470C04">
        <w:rPr>
          <w:i/>
        </w:rPr>
        <w:t>;</w:t>
      </w:r>
      <w:r w:rsidR="00235673" w:rsidRPr="00235673">
        <w:rPr>
          <w:i/>
        </w:rPr>
        <w:t xml:space="preserve"> what is the effect of the other variables</w:t>
      </w:r>
      <w:r w:rsidR="00470C04">
        <w:rPr>
          <w:i/>
        </w:rPr>
        <w:t>,</w:t>
      </w:r>
      <w:r w:rsidR="00235673" w:rsidRPr="00235673">
        <w:rPr>
          <w:i/>
        </w:rPr>
        <w:t xml:space="preserve"> </w:t>
      </w:r>
      <w:r w:rsidR="00470C04">
        <w:rPr>
          <w:i/>
        </w:rPr>
        <w:t xml:space="preserve">or </w:t>
      </w:r>
      <w:r w:rsidR="00235673" w:rsidRPr="00235673">
        <w:rPr>
          <w:i/>
        </w:rPr>
        <w:t>even just the maximum?</w:t>
      </w:r>
    </w:p>
    <w:p w14:paraId="1BCF2C0D" w14:textId="3E4230F5" w:rsidR="00C156D3" w:rsidRDefault="00C156D3" w:rsidP="00C156D3">
      <w:pPr>
        <w:pStyle w:val="BodyText"/>
        <w:ind w:left="360" w:hanging="360"/>
      </w:pPr>
      <w:r>
        <w:t>-</w:t>
      </w:r>
      <w:r>
        <w:tab/>
      </w:r>
      <w:r w:rsidR="001343DE" w:rsidRPr="001343DE">
        <w:t xml:space="preserve">We conducted sensitivity analysis to quantify the relative importance of each variable (i.e., by fixing three variables and change the </w:t>
      </w:r>
      <w:r w:rsidR="00470C04">
        <w:t xml:space="preserve">fourth </w:t>
      </w:r>
      <w:r w:rsidR="001343DE" w:rsidRPr="001343DE">
        <w:t>one from one forcing</w:t>
      </w:r>
      <w:r w:rsidR="005606E5">
        <w:t xml:space="preserve"> data set </w:t>
      </w:r>
      <w:r w:rsidR="001343DE" w:rsidRPr="001343DE">
        <w:t xml:space="preserve">to another). The results suggest that wind speed is the </w:t>
      </w:r>
      <w:r w:rsidR="005367C2">
        <w:t xml:space="preserve">most dominant </w:t>
      </w:r>
      <w:r w:rsidR="001343DE" w:rsidRPr="001343DE">
        <w:t>contributor to the evaporation rate differences. We also compared wind speed from these two</w:t>
      </w:r>
      <w:r w:rsidR="00D64187">
        <w:t xml:space="preserve"> </w:t>
      </w:r>
      <w:r w:rsidR="005606E5">
        <w:t>data sets</w:t>
      </w:r>
      <w:r w:rsidR="00D64187">
        <w:t xml:space="preserve"> </w:t>
      </w:r>
      <w:r w:rsidR="001343DE" w:rsidRPr="001343DE">
        <w:t xml:space="preserve">with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rsidR="001343DE" w:rsidRPr="001343DE">
        <w:t xml:space="preserve"> observations at Lake Mead and Lake Mohave. Results suggest that the NARR wind speed (used by Daymet) is more accurate than that from NCEP1 (used by Livneh). We have updated the description in the revised report.</w:t>
      </w:r>
    </w:p>
    <w:p w14:paraId="75D9AB09" w14:textId="5718B01C" w:rsidR="00C156D3" w:rsidRDefault="00C156D3" w:rsidP="00C156D3">
      <w:pPr>
        <w:pStyle w:val="BodyText"/>
        <w:spacing w:after="0"/>
      </w:pPr>
      <w:r>
        <w:rPr>
          <w:i/>
        </w:rPr>
        <w:t>4.</w:t>
      </w:r>
      <w:r w:rsidR="00ED5DE2">
        <w:rPr>
          <w:i/>
        </w:rPr>
        <w:t>30</w:t>
      </w:r>
      <w:r>
        <w:rPr>
          <w:i/>
        </w:rPr>
        <w:t xml:space="preserve"> </w:t>
      </w:r>
      <w:r w:rsidR="00ED5DE2" w:rsidRPr="00ED5DE2">
        <w:rPr>
          <w:i/>
        </w:rPr>
        <w:t>Is it the precipitation, evapotranspiration</w:t>
      </w:r>
      <w:r w:rsidR="00470C04">
        <w:rPr>
          <w:i/>
        </w:rPr>
        <w:t>,</w:t>
      </w:r>
      <w:r w:rsidR="00ED5DE2" w:rsidRPr="00ED5DE2">
        <w:rPr>
          <w:i/>
        </w:rPr>
        <w:t xml:space="preserve"> or another driver that is causing the difference in runoff? It is a little difficult to decipher the driver causing the difference because runoff is the result, not the driver. Not sure if it is possible to highlight this as it is likely a bigger effort.</w:t>
      </w:r>
    </w:p>
    <w:p w14:paraId="3A8380F0" w14:textId="72689A64" w:rsidR="00C156D3" w:rsidRDefault="00C156D3" w:rsidP="00C156D3">
      <w:pPr>
        <w:pStyle w:val="BodyText"/>
        <w:ind w:left="360" w:hanging="360"/>
      </w:pPr>
      <w:r>
        <w:t>-</w:t>
      </w:r>
      <w:r>
        <w:tab/>
      </w:r>
      <w:r w:rsidR="00ED5DE2" w:rsidRPr="00ED5DE2">
        <w:t>We appreciate the interesting question. Here</w:t>
      </w:r>
      <w:r w:rsidR="00470C04">
        <w:t>,</w:t>
      </w:r>
      <w:r w:rsidR="00ED5DE2" w:rsidRPr="00ED5DE2">
        <w:t xml:space="preserve"> we provide </w:t>
      </w:r>
      <w:r w:rsidR="00470C04">
        <w:t xml:space="preserve">a </w:t>
      </w:r>
      <w:r w:rsidR="00ED5DE2" w:rsidRPr="00ED5DE2">
        <w:t xml:space="preserve">preliminary understanding of differences in runoff arising </w:t>
      </w:r>
      <w:r w:rsidR="00470C04">
        <w:t xml:space="preserve">from </w:t>
      </w:r>
      <w:r w:rsidR="00ED5DE2" w:rsidRPr="00ED5DE2">
        <w:t xml:space="preserve">different methodological choices </w:t>
      </w:r>
      <w:r w:rsidR="005606E5">
        <w:t>(</w:t>
      </w:r>
      <w:r w:rsidR="00ED5DE2" w:rsidRPr="00ED5DE2">
        <w:t>i.e., CM, MetF, DS</w:t>
      </w:r>
      <w:r w:rsidR="005606E5">
        <w:t>,</w:t>
      </w:r>
      <w:r w:rsidR="00ED5DE2" w:rsidRPr="00ED5DE2">
        <w:t xml:space="preserve"> and HM</w:t>
      </w:r>
      <w:r w:rsidR="005606E5">
        <w:t>)</w:t>
      </w:r>
      <w:r w:rsidR="00ED5DE2" w:rsidRPr="00ED5DE2">
        <w:t>. Further</w:t>
      </w:r>
      <w:r w:rsidR="005606E5">
        <w:t>more</w:t>
      </w:r>
      <w:r w:rsidR="00ED5DE2" w:rsidRPr="00ED5DE2">
        <w:t xml:space="preserve">, resolving the individual impacts of different hydrologic process can definitely help us understand whether the differences are arising </w:t>
      </w:r>
      <w:r w:rsidR="00470C04">
        <w:t xml:space="preserve">from </w:t>
      </w:r>
      <w:r w:rsidR="00ED5DE2" w:rsidRPr="00ED5DE2">
        <w:t xml:space="preserve">precipitation, evaporation, or other processes. However, this will require additional comparisons/sensitivity experiments </w:t>
      </w:r>
      <w:r w:rsidR="00470C04">
        <w:t xml:space="preserve">that </w:t>
      </w:r>
      <w:r w:rsidR="00ED5DE2" w:rsidRPr="00ED5DE2">
        <w:t>are beyond the scope of the current report.</w:t>
      </w:r>
    </w:p>
    <w:p w14:paraId="61F65D03" w14:textId="337B5565" w:rsidR="00C156D3" w:rsidRDefault="00C156D3" w:rsidP="00C156D3">
      <w:pPr>
        <w:pStyle w:val="BodyText"/>
        <w:spacing w:after="0"/>
      </w:pPr>
      <w:r>
        <w:rPr>
          <w:i/>
        </w:rPr>
        <w:t>4.</w:t>
      </w:r>
      <w:r w:rsidR="000B3304">
        <w:rPr>
          <w:i/>
        </w:rPr>
        <w:t>31</w:t>
      </w:r>
      <w:r>
        <w:rPr>
          <w:i/>
        </w:rPr>
        <w:t xml:space="preserve"> </w:t>
      </w:r>
      <w:r w:rsidR="000B3304" w:rsidRPr="000B3304">
        <w:rPr>
          <w:i/>
        </w:rPr>
        <w:t xml:space="preserve">In </w:t>
      </w:r>
      <w:r w:rsidR="007A39BF" w:rsidRPr="000B3304">
        <w:rPr>
          <w:i/>
        </w:rPr>
        <w:t xml:space="preserve">Table </w:t>
      </w:r>
      <w:r w:rsidR="000B3304" w:rsidRPr="000B3304">
        <w:rPr>
          <w:i/>
        </w:rPr>
        <w:t xml:space="preserve">3.1, it may be of interest to note the type of dams </w:t>
      </w:r>
      <w:r w:rsidR="005606E5">
        <w:rPr>
          <w:i/>
        </w:rPr>
        <w:t xml:space="preserve">(e.g., </w:t>
      </w:r>
      <w:r w:rsidR="00470C04">
        <w:rPr>
          <w:i/>
        </w:rPr>
        <w:t>ROR</w:t>
      </w:r>
      <w:r w:rsidR="000B3304" w:rsidRPr="000B3304">
        <w:rPr>
          <w:i/>
        </w:rPr>
        <w:t>, primary purpose</w:t>
      </w:r>
      <w:r w:rsidR="005606E5">
        <w:rPr>
          <w:i/>
        </w:rPr>
        <w:t>)</w:t>
      </w:r>
      <w:r w:rsidR="000B3304" w:rsidRPr="000B3304">
        <w:rPr>
          <w:i/>
        </w:rPr>
        <w:t xml:space="preserve"> dams with multiple purposes subject to multiple stressors that while not addressed here could be important to simply note. Could be added to</w:t>
      </w:r>
      <w:r w:rsidR="00470C04">
        <w:rPr>
          <w:i/>
        </w:rPr>
        <w:t xml:space="preserve"> an</w:t>
      </w:r>
      <w:r w:rsidR="000B3304" w:rsidRPr="000B3304">
        <w:rPr>
          <w:i/>
        </w:rPr>
        <w:t xml:space="preserve"> appendix if not </w:t>
      </w:r>
      <w:r w:rsidR="00470C04">
        <w:rPr>
          <w:i/>
        </w:rPr>
        <w:t>the main report</w:t>
      </w:r>
      <w:r w:rsidR="000B3304" w:rsidRPr="000B3304">
        <w:rPr>
          <w:i/>
        </w:rPr>
        <w:t>. It would also provide a nice regional contrast</w:t>
      </w:r>
      <w:r w:rsidR="00470C04">
        <w:rPr>
          <w:i/>
        </w:rPr>
        <w:t>;</w:t>
      </w:r>
      <w:r w:rsidR="000B3304" w:rsidRPr="000B3304">
        <w:rPr>
          <w:i/>
        </w:rPr>
        <w:t xml:space="preserve"> some regions may have more multipurpose dams than others.</w:t>
      </w:r>
    </w:p>
    <w:p w14:paraId="435B3686" w14:textId="13F217EF" w:rsidR="00C156D3" w:rsidRDefault="00C156D3" w:rsidP="00C156D3">
      <w:pPr>
        <w:pStyle w:val="BodyText"/>
        <w:ind w:left="360" w:hanging="360"/>
      </w:pPr>
      <w:r>
        <w:t>-</w:t>
      </w:r>
      <w:r>
        <w:tab/>
      </w:r>
      <w:r w:rsidR="000B3304" w:rsidRPr="000B3304">
        <w:t xml:space="preserve">The information in Table 3.1 </w:t>
      </w:r>
      <w:r w:rsidR="00470C04">
        <w:t xml:space="preserve">and </w:t>
      </w:r>
      <w:r w:rsidR="00470C04">
        <w:fldChar w:fldCharType="begin"/>
      </w:r>
      <w:r w:rsidR="00470C04">
        <w:instrText xml:space="preserve"> REF _Ref75948519 \r \h </w:instrText>
      </w:r>
      <w:r w:rsidR="00470C04">
        <w:fldChar w:fldCharType="separate"/>
      </w:r>
      <w:r w:rsidR="00EE0BF5">
        <w:t>APPENDIX B</w:t>
      </w:r>
      <w:r w:rsidR="00470C04">
        <w:fldChar w:fldCharType="end"/>
      </w:r>
      <w:r w:rsidR="000B3304" w:rsidRPr="000B3304">
        <w:t xml:space="preserve"> is at the plant</w:t>
      </w:r>
      <w:r w:rsidR="00470C04">
        <w:t xml:space="preserve"> </w:t>
      </w:r>
      <w:r w:rsidR="000B3304" w:rsidRPr="000B3304">
        <w:t>level. There were two steps involved in linking federal hydropower plants to their corresponding dams. First, linkage between plant data and NID ID (using ORNL</w:t>
      </w:r>
      <w:r w:rsidR="00805545">
        <w:t>’</w:t>
      </w:r>
      <w:r w:rsidR="000B3304" w:rsidRPr="000B3304">
        <w:t>s Existing Hydropower Assets</w:t>
      </w:r>
      <w:r w:rsidR="005606E5">
        <w:t xml:space="preserve"> data set</w:t>
      </w:r>
      <w:r w:rsidR="00470C04">
        <w:t>,</w:t>
      </w:r>
      <w:r w:rsidR="005606E5">
        <w:t xml:space="preserve"> </w:t>
      </w:r>
      <w:hyperlink r:id="rId505" w:history="1">
        <w:r w:rsidR="00470C04" w:rsidRPr="00E07E0E">
          <w:rPr>
            <w:rStyle w:val="Hyperlink"/>
          </w:rPr>
          <w:t>https://hydrosource.ornl.gov/dataset/EHA2021</w:t>
        </w:r>
      </w:hyperlink>
      <w:r w:rsidR="000B3304" w:rsidRPr="000B3304">
        <w:t>)</w:t>
      </w:r>
      <w:r w:rsidR="00470C04">
        <w:t>, and</w:t>
      </w:r>
      <w:r w:rsidR="000B3304" w:rsidRPr="000B3304">
        <w:t xml:space="preserve"> </w:t>
      </w:r>
      <w:r w:rsidR="00470C04">
        <w:t>s</w:t>
      </w:r>
      <w:r w:rsidR="000B3304" w:rsidRPr="000B3304">
        <w:t xml:space="preserve">econd, linkage with the </w:t>
      </w:r>
      <w:r w:rsidR="00556766">
        <w:t>NID</w:t>
      </w:r>
      <w:r w:rsidR="000B3304" w:rsidRPr="000B3304">
        <w:t xml:space="preserve"> data</w:t>
      </w:r>
      <w:r w:rsidR="005606E5">
        <w:t xml:space="preserve"> </w:t>
      </w:r>
      <w:r w:rsidR="000B3304" w:rsidRPr="000B3304">
        <w:t xml:space="preserve">set. For 35 of the 132 federal hydropower plants, there is no unique correspondence between a plant and a dam (i.e., there are multiple dam structures for the NID ID identified as corresponding to the plant and, in some cases, the listed purposes for the multiple dam entries are different). For mode of operation (e.g., </w:t>
      </w:r>
      <w:r w:rsidR="00470C04">
        <w:t>ROR</w:t>
      </w:r>
      <w:r w:rsidR="000B3304" w:rsidRPr="000B3304">
        <w:t>, peaking), the data we have show</w:t>
      </w:r>
      <w:r w:rsidR="00356F09">
        <w:t>n</w:t>
      </w:r>
      <w:r w:rsidR="000B3304" w:rsidRPr="000B3304">
        <w:t xml:space="preserve"> </w:t>
      </w:r>
      <w:r w:rsidR="00803741">
        <w:t>are not available</w:t>
      </w:r>
      <w:r w:rsidR="00803741" w:rsidRPr="000B3304">
        <w:t xml:space="preserve"> </w:t>
      </w:r>
      <w:r w:rsidR="000B3304" w:rsidRPr="000B3304">
        <w:t xml:space="preserve">for 17 of the 132 hydropower plants. </w:t>
      </w:r>
      <w:r w:rsidR="00470C04">
        <w:t xml:space="preserve">Because of </w:t>
      </w:r>
      <w:r w:rsidR="000B3304" w:rsidRPr="000B3304">
        <w:t xml:space="preserve">these data issues and the fact that this extra information is not crucial to the main topic of the report, we </w:t>
      </w:r>
      <w:r w:rsidR="00470C04">
        <w:t>did not include</w:t>
      </w:r>
      <w:r w:rsidR="000B3304" w:rsidRPr="000B3304">
        <w:t xml:space="preserve"> these extra variables.</w:t>
      </w:r>
    </w:p>
    <w:p w14:paraId="1D4784E1" w14:textId="51CA22A5" w:rsidR="00C156D3" w:rsidRDefault="00C156D3" w:rsidP="00C156D3">
      <w:pPr>
        <w:pStyle w:val="BodyText"/>
        <w:spacing w:after="0"/>
      </w:pPr>
      <w:r>
        <w:rPr>
          <w:i/>
        </w:rPr>
        <w:t>4.</w:t>
      </w:r>
      <w:r w:rsidR="00EB664A">
        <w:rPr>
          <w:i/>
        </w:rPr>
        <w:t>32</w:t>
      </w:r>
      <w:r>
        <w:rPr>
          <w:i/>
        </w:rPr>
        <w:t xml:space="preserve"> </w:t>
      </w:r>
      <w:r w:rsidR="00470C04">
        <w:rPr>
          <w:i/>
        </w:rPr>
        <w:t>Was l</w:t>
      </w:r>
      <w:r w:rsidR="00EB664A" w:rsidRPr="00EB664A">
        <w:rPr>
          <w:i/>
        </w:rPr>
        <w:t>and cover incorporated in the model or observed? This applies to any time land cover is mentioned.</w:t>
      </w:r>
    </w:p>
    <w:p w14:paraId="5BC1692E" w14:textId="2D8AEEF7" w:rsidR="00C156D3" w:rsidRDefault="00C156D3" w:rsidP="00C156D3">
      <w:pPr>
        <w:pStyle w:val="BodyText"/>
        <w:ind w:left="360" w:hanging="360"/>
      </w:pPr>
      <w:r>
        <w:t>-</w:t>
      </w:r>
      <w:r>
        <w:tab/>
      </w:r>
      <w:r w:rsidR="00EB664A" w:rsidRPr="00EB664A">
        <w:t xml:space="preserve">Land cover </w:t>
      </w:r>
      <w:r w:rsidR="00470C04">
        <w:t xml:space="preserve">was </w:t>
      </w:r>
      <w:r w:rsidR="00EB664A" w:rsidRPr="00EB664A">
        <w:t>captured in the parameters of hydrologic models (VIC and PRMS).</w:t>
      </w:r>
    </w:p>
    <w:p w14:paraId="7F03F88E" w14:textId="699C55F8" w:rsidR="00EB664A" w:rsidRDefault="00EB664A" w:rsidP="00EB664A">
      <w:pPr>
        <w:pStyle w:val="BodyText"/>
        <w:spacing w:after="0"/>
      </w:pPr>
      <w:r>
        <w:rPr>
          <w:i/>
        </w:rPr>
        <w:t>4.</w:t>
      </w:r>
      <w:r w:rsidR="00887411">
        <w:rPr>
          <w:i/>
        </w:rPr>
        <w:t>33</w:t>
      </w:r>
      <w:r>
        <w:rPr>
          <w:i/>
        </w:rPr>
        <w:t xml:space="preserve"> </w:t>
      </w:r>
      <w:r w:rsidR="00470C04">
        <w:rPr>
          <w:i/>
        </w:rPr>
        <w:t xml:space="preserve">In </w:t>
      </w:r>
      <w:r w:rsidR="00887411" w:rsidRPr="00887411">
        <w:rPr>
          <w:i/>
        </w:rPr>
        <w:t>Figure 3.14</w:t>
      </w:r>
      <w:r w:rsidR="00470C04">
        <w:rPr>
          <w:i/>
        </w:rPr>
        <w:t>,</w:t>
      </w:r>
      <w:r w:rsidR="00887411" w:rsidRPr="00887411">
        <w:rPr>
          <w:i/>
        </w:rPr>
        <w:t xml:space="preserve"> is the figure showing both hydropower generation methods? If so, these should be separated or there should be some discussion on whether there is a difference between them or whether they span the same ranges</w:t>
      </w:r>
      <w:r w:rsidR="00470C04">
        <w:rPr>
          <w:i/>
        </w:rPr>
        <w:t>,</w:t>
      </w:r>
      <w:r w:rsidR="00887411" w:rsidRPr="00887411">
        <w:rPr>
          <w:i/>
        </w:rPr>
        <w:t xml:space="preserve"> </w:t>
      </w:r>
      <w:r w:rsidR="00470C04">
        <w:rPr>
          <w:i/>
        </w:rPr>
        <w:t>e</w:t>
      </w:r>
      <w:r w:rsidR="00887411" w:rsidRPr="00887411">
        <w:rPr>
          <w:i/>
        </w:rPr>
        <w:t>specially as the uncertainty discussion later in the section points to this as a major source of uncertainty.</w:t>
      </w:r>
    </w:p>
    <w:p w14:paraId="56635C7E" w14:textId="1BBDD658" w:rsidR="00EB664A" w:rsidRDefault="00EB664A" w:rsidP="00EB664A">
      <w:pPr>
        <w:pStyle w:val="BodyText"/>
        <w:ind w:left="360" w:hanging="360"/>
      </w:pPr>
      <w:r>
        <w:t>-</w:t>
      </w:r>
      <w:r>
        <w:tab/>
      </w:r>
      <w:r w:rsidR="00E01BF9" w:rsidRPr="00E01BF9">
        <w:t xml:space="preserve">The differences between the methods are evaluated in </w:t>
      </w:r>
      <w:r w:rsidR="00470C04">
        <w:t xml:space="preserve">Section </w:t>
      </w:r>
      <w:r w:rsidR="00E01BF9" w:rsidRPr="00E01BF9">
        <w:t xml:space="preserve">2. In </w:t>
      </w:r>
      <w:r w:rsidR="00470C04">
        <w:t xml:space="preserve">Section </w:t>
      </w:r>
      <w:r w:rsidR="00E01BF9" w:rsidRPr="00E01BF9">
        <w:t xml:space="preserve">3 and after, we treat the hydropower projections as a multimodel ensemble where the focus is on the structural uncertainty. </w:t>
      </w:r>
      <w:r w:rsidR="00E01BF9" w:rsidRPr="00E01BF9">
        <w:lastRenderedPageBreak/>
        <w:t>Fig</w:t>
      </w:r>
      <w:r w:rsidR="00470C04">
        <w:t>ure</w:t>
      </w:r>
      <w:r w:rsidR="00E01BF9" w:rsidRPr="00E01BF9">
        <w:t xml:space="preserve"> 3.14 is a combination of CM</w:t>
      </w:r>
      <w:r w:rsidR="00470C04">
        <w:t>s</w:t>
      </w:r>
      <w:r w:rsidR="00E01BF9" w:rsidRPr="00E01BF9">
        <w:t>, HM</w:t>
      </w:r>
      <w:r w:rsidR="00470C04">
        <w:t>s</w:t>
      </w:r>
      <w:r w:rsidR="00E01BF9" w:rsidRPr="00E01BF9">
        <w:t>, PM</w:t>
      </w:r>
      <w:r w:rsidR="00470C04">
        <w:t>s,</w:t>
      </w:r>
      <w:r w:rsidR="00E01BF9" w:rsidRPr="00E01BF9">
        <w:t xml:space="preserve"> </w:t>
      </w:r>
      <w:r w:rsidR="005606E5">
        <w:t>data sets</w:t>
      </w:r>
      <w:r w:rsidR="00470C04">
        <w:t>,</w:t>
      </w:r>
      <w:r w:rsidR="00D64187">
        <w:t xml:space="preserve"> </w:t>
      </w:r>
      <w:r w:rsidR="00E01BF9" w:rsidRPr="00E01BF9">
        <w:t>and downscaling approaches. In a couple regions, the PM difference</w:t>
      </w:r>
      <w:r w:rsidR="00470C04">
        <w:t>s</w:t>
      </w:r>
      <w:r w:rsidR="00E01BF9" w:rsidRPr="00E01BF9">
        <w:t xml:space="preserve"> become a substantial contributor to the overall uncertainty after climate models. The objective </w:t>
      </w:r>
      <w:r w:rsidR="00470C04">
        <w:t xml:space="preserve">of the </w:t>
      </w:r>
      <w:r w:rsidR="00470C04" w:rsidRPr="00E01BF9">
        <w:t xml:space="preserve">ANOVA </w:t>
      </w:r>
      <w:r w:rsidR="00E01BF9" w:rsidRPr="00E01BF9">
        <w:t xml:space="preserve">is to discuss the contributions of each of those components in </w:t>
      </w:r>
      <w:r w:rsidR="00470C04" w:rsidRPr="00E01BF9">
        <w:t>Fig</w:t>
      </w:r>
      <w:r w:rsidR="00470C04">
        <w:t>ure </w:t>
      </w:r>
      <w:r w:rsidR="00E01BF9" w:rsidRPr="00E01BF9">
        <w:t>3.14. We refer to Zhou et al. (2018) for an evaluation of WMP with respect to a statistical approach specifically.</w:t>
      </w:r>
    </w:p>
    <w:p w14:paraId="3CE01FD2" w14:textId="0A9F0627" w:rsidR="00EB664A" w:rsidRDefault="00EB664A" w:rsidP="00EB664A">
      <w:pPr>
        <w:pStyle w:val="BodyText"/>
        <w:spacing w:after="0"/>
      </w:pPr>
      <w:r>
        <w:rPr>
          <w:i/>
        </w:rPr>
        <w:t>4.</w:t>
      </w:r>
      <w:r w:rsidR="00A969F3">
        <w:rPr>
          <w:i/>
        </w:rPr>
        <w:t>34</w:t>
      </w:r>
      <w:r>
        <w:rPr>
          <w:i/>
        </w:rPr>
        <w:t xml:space="preserve"> </w:t>
      </w:r>
      <w:r w:rsidR="00743C11">
        <w:rPr>
          <w:i/>
        </w:rPr>
        <w:t xml:space="preserve">Regarding </w:t>
      </w:r>
      <w:r w:rsidR="00A969F3" w:rsidRPr="00A969F3">
        <w:rPr>
          <w:i/>
        </w:rPr>
        <w:t>WAPA</w:t>
      </w:r>
      <w:r w:rsidR="00743C11">
        <w:rPr>
          <w:i/>
        </w:rPr>
        <w:t>-</w:t>
      </w:r>
      <w:r w:rsidR="00A969F3" w:rsidRPr="00A969F3">
        <w:rPr>
          <w:i/>
        </w:rPr>
        <w:t xml:space="preserve">2, </w:t>
      </w:r>
      <w:r w:rsidR="00743C11">
        <w:rPr>
          <w:i/>
        </w:rPr>
        <w:t>WAPA-</w:t>
      </w:r>
      <w:r w:rsidR="00A969F3" w:rsidRPr="00A969F3">
        <w:rPr>
          <w:i/>
        </w:rPr>
        <w:t xml:space="preserve">3, </w:t>
      </w:r>
      <w:r w:rsidR="00743C11">
        <w:rPr>
          <w:i/>
        </w:rPr>
        <w:t>and WAPA-</w:t>
      </w:r>
      <w:r w:rsidR="00A969F3" w:rsidRPr="00A969F3">
        <w:rPr>
          <w:i/>
        </w:rPr>
        <w:t>4 results</w:t>
      </w:r>
      <w:r w:rsidR="00743C11">
        <w:rPr>
          <w:i/>
        </w:rPr>
        <w:t>,</w:t>
      </w:r>
      <w:r w:rsidR="00A969F3" w:rsidRPr="00A969F3">
        <w:rPr>
          <w:i/>
        </w:rPr>
        <w:t xml:space="preserve"> readers may struggle relating this projected increase to current conditions in the Colorado </w:t>
      </w:r>
      <w:r w:rsidR="00743C11" w:rsidRPr="00A969F3">
        <w:rPr>
          <w:i/>
        </w:rPr>
        <w:t xml:space="preserve">River </w:t>
      </w:r>
      <w:r w:rsidR="00A969F3" w:rsidRPr="00A969F3">
        <w:rPr>
          <w:i/>
        </w:rPr>
        <w:t>basin</w:t>
      </w:r>
      <w:r w:rsidR="00743C11">
        <w:rPr>
          <w:i/>
        </w:rPr>
        <w:t>,</w:t>
      </w:r>
      <w:r w:rsidR="00A969F3" w:rsidRPr="00A969F3">
        <w:rPr>
          <w:i/>
        </w:rPr>
        <w:t xml:space="preserve"> and some discussion on this may be helpful. This also applies generally to the findings of the entire report that show an overall increase in hydropower</w:t>
      </w:r>
      <w:r w:rsidR="00743C11">
        <w:rPr>
          <w:i/>
        </w:rPr>
        <w:t>;</w:t>
      </w:r>
      <w:r w:rsidR="00A969F3" w:rsidRPr="00A969F3">
        <w:rPr>
          <w:i/>
        </w:rPr>
        <w:t xml:space="preserve"> readers might find it difficult to see existing climate effects and expect an increase in water/hydropower availability</w:t>
      </w:r>
      <w:r w:rsidR="00743C11">
        <w:rPr>
          <w:i/>
        </w:rPr>
        <w:t>,</w:t>
      </w:r>
      <w:r w:rsidR="00A969F3" w:rsidRPr="00A969F3">
        <w:rPr>
          <w:i/>
        </w:rPr>
        <w:t xml:space="preserve"> so some discussion on the explanation of this may be helpful.</w:t>
      </w:r>
    </w:p>
    <w:p w14:paraId="7D319127" w14:textId="60E7C89F" w:rsidR="00EB664A" w:rsidRDefault="00EB664A" w:rsidP="00EB664A">
      <w:pPr>
        <w:pStyle w:val="BodyText"/>
        <w:ind w:left="360" w:hanging="360"/>
      </w:pPr>
      <w:r>
        <w:t>-</w:t>
      </w:r>
      <w:r>
        <w:tab/>
      </w:r>
      <w:r w:rsidR="00A969F3" w:rsidRPr="00A969F3">
        <w:t>Thank you for the suggestion. We have added additional discussion and references in the revised report. In particular, the increase of inflows will not be steady and will likely accompany more extreme hydrologic events (i.e., both floods and droughts). Also, the results are mainly long-term averages computed over 40 years and do not capture extreme hydrologic events, sub-seasonal variations, or complex hydrologic processes over mountainous terrain</w:t>
      </w:r>
      <w:r w:rsidR="00743C11">
        <w:t>,</w:t>
      </w:r>
      <w:r w:rsidR="00A969F3" w:rsidRPr="00A969F3">
        <w:t xml:space="preserve"> which dominate water availability and hydropower generation in the </w:t>
      </w:r>
      <w:r w:rsidR="006C6778">
        <w:t>w</w:t>
      </w:r>
      <w:r w:rsidR="00A969F3" w:rsidRPr="00A969F3">
        <w:t xml:space="preserve">estern </w:t>
      </w:r>
      <w:r w:rsidR="006C6778">
        <w:t>United States</w:t>
      </w:r>
      <w:r w:rsidR="00A969F3" w:rsidRPr="00A969F3">
        <w:t>.</w:t>
      </w:r>
    </w:p>
    <w:p w14:paraId="719A8B83" w14:textId="096D09E6" w:rsidR="00EB664A" w:rsidRDefault="00EB664A" w:rsidP="00EB664A">
      <w:pPr>
        <w:pStyle w:val="BodyText"/>
        <w:spacing w:after="0"/>
      </w:pPr>
      <w:r>
        <w:rPr>
          <w:i/>
        </w:rPr>
        <w:t>4.</w:t>
      </w:r>
      <w:r w:rsidR="00575A74">
        <w:rPr>
          <w:i/>
        </w:rPr>
        <w:t>35</w:t>
      </w:r>
      <w:r>
        <w:rPr>
          <w:i/>
        </w:rPr>
        <w:t xml:space="preserve"> </w:t>
      </w:r>
      <w:r w:rsidR="00575A74" w:rsidRPr="00575A74">
        <w:rPr>
          <w:i/>
        </w:rPr>
        <w:t>As with BPA, this concluding remark could be expanded. The entire section focuses on technical details of electricity demand, but it is most relevant in the context of hydropower, which is only given a couple sentences at the end and seems insufficient to really provide meaningful insight.</w:t>
      </w:r>
    </w:p>
    <w:p w14:paraId="50E714A7" w14:textId="6C67A351" w:rsidR="00EB664A" w:rsidRDefault="00EB664A" w:rsidP="00EB664A">
      <w:pPr>
        <w:pStyle w:val="BodyText"/>
        <w:ind w:left="360" w:hanging="360"/>
      </w:pPr>
      <w:r>
        <w:t>-</w:t>
      </w:r>
      <w:r>
        <w:tab/>
      </w:r>
      <w:r w:rsidR="00D81132" w:rsidRPr="00D81132">
        <w:t xml:space="preserve">For WAPA, SWPA, and SEPA, the section has been renamed as </w:t>
      </w:r>
      <w:r w:rsidR="00930433">
        <w:t>“</w:t>
      </w:r>
      <w:r w:rsidR="00D81132" w:rsidRPr="00D81132">
        <w:t>Climate Change Impacts in Regional Electricity Demand</w:t>
      </w:r>
      <w:r w:rsidR="00930433">
        <w:t>.”</w:t>
      </w:r>
      <w:r w:rsidR="00D81132" w:rsidRPr="00D81132">
        <w:t xml:space="preserve"> For these </w:t>
      </w:r>
      <w:r w:rsidR="00743C11">
        <w:t xml:space="preserve">three </w:t>
      </w:r>
      <w:r w:rsidR="00D81132" w:rsidRPr="00D81132">
        <w:t>PMAs, the federal hydropower allocation that preference customers receive from the PMA is only a fraction of the portfolio of generation resources they use to serve their end-use customers. Any load growth projected by preference customers of these PMAs due to climate trends or other drivers would have to be met through generation sources other than federal hydropower. Therefore, for these PMAs, the effect of climate-driven changes in load only comes through potential requests from the preference customers to change the fraction of the federal hydropower allocation that they receive during each season (and the PMAs will only consider those requests if they are compatible with all other operational constraints). In short, changes in demand matter most to BPA and that</w:t>
      </w:r>
      <w:r w:rsidR="00743C11">
        <w:t xml:space="preserve"> i</w:t>
      </w:r>
      <w:r w:rsidR="00D81132" w:rsidRPr="00D81132">
        <w:t xml:space="preserve">s why, in this new version, they are discussed in a bit more detail for BPA than </w:t>
      </w:r>
      <w:r w:rsidR="00743C11">
        <w:t xml:space="preserve">for </w:t>
      </w:r>
      <w:r w:rsidR="00D81132" w:rsidRPr="00D81132">
        <w:t>the other PMAs.</w:t>
      </w:r>
    </w:p>
    <w:p w14:paraId="4C103271" w14:textId="0820A277" w:rsidR="00EB664A" w:rsidRDefault="00EB664A" w:rsidP="00EB664A">
      <w:pPr>
        <w:pStyle w:val="BodyText"/>
        <w:spacing w:after="0"/>
      </w:pPr>
      <w:r>
        <w:rPr>
          <w:i/>
        </w:rPr>
        <w:t>4.</w:t>
      </w:r>
      <w:r w:rsidR="005D77F7">
        <w:rPr>
          <w:i/>
        </w:rPr>
        <w:t>36</w:t>
      </w:r>
      <w:r>
        <w:rPr>
          <w:i/>
        </w:rPr>
        <w:t xml:space="preserve"> </w:t>
      </w:r>
      <w:r w:rsidR="005D77F7" w:rsidRPr="005D77F7">
        <w:rPr>
          <w:i/>
        </w:rPr>
        <w:t>The impact of future infrastructures may also be of interest (use of capacity expansion models, not just production cost models)</w:t>
      </w:r>
      <w:r w:rsidR="00743C11">
        <w:rPr>
          <w:i/>
        </w:rPr>
        <w:t>;</w:t>
      </w:r>
      <w:r w:rsidR="005D77F7" w:rsidRPr="005D77F7">
        <w:rPr>
          <w:i/>
        </w:rPr>
        <w:t xml:space="preserve"> for instance</w:t>
      </w:r>
      <w:r w:rsidR="00743C11">
        <w:rPr>
          <w:i/>
        </w:rPr>
        <w:t>,</w:t>
      </w:r>
      <w:r w:rsidR="005D77F7" w:rsidRPr="005D77F7">
        <w:rPr>
          <w:i/>
        </w:rPr>
        <w:t xml:space="preserve"> high electrification scenarios may change the way that hydropower is used in the grid.</w:t>
      </w:r>
    </w:p>
    <w:p w14:paraId="246C08D9" w14:textId="6FF105F0" w:rsidR="00EB664A" w:rsidRDefault="00EB664A" w:rsidP="00EB664A">
      <w:pPr>
        <w:pStyle w:val="BodyText"/>
        <w:ind w:left="360" w:hanging="360"/>
      </w:pPr>
      <w:r>
        <w:t>-</w:t>
      </w:r>
      <w:r>
        <w:tab/>
      </w:r>
      <w:r w:rsidR="00743C11">
        <w:t xml:space="preserve">Although </w:t>
      </w:r>
      <w:r w:rsidR="00356ADC" w:rsidRPr="00356ADC">
        <w:t>we agree with the needs, the focus of this study is more on understanding the impacts of climate change on existing infrastructures, not the new ones (i.e., through capacity expansion model). The future hydrologic projections can</w:t>
      </w:r>
      <w:r w:rsidR="00743C11">
        <w:t>,</w:t>
      </w:r>
      <w:r w:rsidR="00356ADC" w:rsidRPr="00356ADC">
        <w:t xml:space="preserve"> however</w:t>
      </w:r>
      <w:r w:rsidR="00743C11">
        <w:t>,</w:t>
      </w:r>
      <w:r w:rsidR="00356ADC" w:rsidRPr="00356ADC">
        <w:t xml:space="preserve"> provide scenarios of future water availability to support the understanding of future energy market and grid.</w:t>
      </w:r>
    </w:p>
    <w:p w14:paraId="5F9C209B" w14:textId="3C20ED6B" w:rsidR="00EB664A" w:rsidRDefault="00EB664A" w:rsidP="00EB664A">
      <w:pPr>
        <w:pStyle w:val="BodyText"/>
        <w:spacing w:after="0"/>
      </w:pPr>
      <w:r>
        <w:rPr>
          <w:i/>
        </w:rPr>
        <w:t>4.</w:t>
      </w:r>
      <w:r w:rsidR="00B860E8">
        <w:rPr>
          <w:i/>
        </w:rPr>
        <w:t>37</w:t>
      </w:r>
      <w:r>
        <w:rPr>
          <w:i/>
        </w:rPr>
        <w:t xml:space="preserve"> </w:t>
      </w:r>
      <w:r w:rsidR="00B860E8" w:rsidRPr="00B860E8">
        <w:rPr>
          <w:i/>
        </w:rPr>
        <w:t>Uncertainty/sensitivity of runoff calculations may also be of interest</w:t>
      </w:r>
      <w:r w:rsidR="003B2B16">
        <w:rPr>
          <w:i/>
        </w:rPr>
        <w:t>—</w:t>
      </w:r>
      <w:r w:rsidR="00B860E8" w:rsidRPr="00B860E8">
        <w:rPr>
          <w:i/>
        </w:rPr>
        <w:t>using different evapotranspiration functions and land use/land cover assumptions could affect hydropower estimates but do not seem to have been included in this report.</w:t>
      </w:r>
    </w:p>
    <w:p w14:paraId="039BC7DC" w14:textId="196F9710" w:rsidR="00EB664A" w:rsidRDefault="00EB664A" w:rsidP="00EB664A">
      <w:pPr>
        <w:pStyle w:val="BodyText"/>
        <w:ind w:left="360" w:hanging="360"/>
      </w:pPr>
      <w:r>
        <w:t>-</w:t>
      </w:r>
      <w:r>
        <w:tab/>
      </w:r>
      <w:r w:rsidR="002B3512" w:rsidRPr="002B3512">
        <w:t>We agree that sensitivity of runoff simulations to transient factors should be of interest. However, the hydrologic models in this study use an assumption of stationary land use/land cover in the future period. Future assessments may explore the use of projected land use/land cover types</w:t>
      </w:r>
      <w:r w:rsidR="003B2B16">
        <w:t>,</w:t>
      </w:r>
      <w:r w:rsidR="002B3512" w:rsidRPr="002B3512">
        <w:t xml:space="preserve"> which may help develop a more realistic representation of runoff/streamflow projections. We have added this discussion </w:t>
      </w:r>
      <w:r w:rsidR="003B2B16">
        <w:t xml:space="preserve">in </w:t>
      </w:r>
      <w:r w:rsidR="002B3512" w:rsidRPr="002B3512">
        <w:t>Section</w:t>
      </w:r>
      <w:r w:rsidR="003B2B16">
        <w:t>s</w:t>
      </w:r>
      <w:r w:rsidR="002B3512" w:rsidRPr="002B3512">
        <w:t xml:space="preserve"> 2.5.5 and 8.3</w:t>
      </w:r>
      <w:r w:rsidRPr="00E41942">
        <w:t>.</w:t>
      </w:r>
    </w:p>
    <w:p w14:paraId="4C433AFA" w14:textId="78D239B1" w:rsidR="007A4E23" w:rsidRDefault="007A4E23" w:rsidP="005606E5">
      <w:pPr>
        <w:pStyle w:val="BodyText"/>
        <w:keepNext/>
      </w:pPr>
      <w:r w:rsidRPr="00DA1CA8">
        <w:rPr>
          <w:b/>
        </w:rPr>
        <w:lastRenderedPageBreak/>
        <w:t xml:space="preserve">Reviewer </w:t>
      </w:r>
      <w:r w:rsidR="00283260">
        <w:rPr>
          <w:b/>
        </w:rPr>
        <w:t>5</w:t>
      </w:r>
    </w:p>
    <w:p w14:paraId="4A3A6462" w14:textId="20C96AC4" w:rsidR="007A4E23" w:rsidRDefault="006725E8" w:rsidP="007A4E23">
      <w:pPr>
        <w:pStyle w:val="BodyText"/>
        <w:spacing w:after="0"/>
      </w:pPr>
      <w:r>
        <w:rPr>
          <w:i/>
        </w:rPr>
        <w:t>5</w:t>
      </w:r>
      <w:r w:rsidR="007A4E23">
        <w:rPr>
          <w:i/>
        </w:rPr>
        <w:t xml:space="preserve">.1 </w:t>
      </w:r>
      <w:r w:rsidRPr="006725E8">
        <w:rPr>
          <w:i/>
        </w:rPr>
        <w:t>Defining 20</w:t>
      </w:r>
      <w:r w:rsidR="003B2B16">
        <w:rPr>
          <w:i/>
        </w:rPr>
        <w:t>-</w:t>
      </w:r>
      <w:r w:rsidRPr="006725E8">
        <w:rPr>
          <w:i/>
        </w:rPr>
        <w:t>year projection time periods means that internal variability will be a larger portion of the projection signal than would be using a longer averaging period. Thus</w:t>
      </w:r>
      <w:r w:rsidR="003B2B16">
        <w:rPr>
          <w:i/>
        </w:rPr>
        <w:t>,</w:t>
      </w:r>
      <w:r w:rsidRPr="006725E8">
        <w:rPr>
          <w:i/>
        </w:rPr>
        <w:t xml:space="preserve"> there will be more noise in the projections that should be discussed somewhere. It</w:t>
      </w:r>
      <w:r w:rsidR="00805545">
        <w:rPr>
          <w:i/>
        </w:rPr>
        <w:t>’</w:t>
      </w:r>
      <w:r w:rsidRPr="006725E8">
        <w:rPr>
          <w:i/>
        </w:rPr>
        <w:t>s not a limitation of the GCMs, but of how you</w:t>
      </w:r>
      <w:r w:rsidR="00805545">
        <w:rPr>
          <w:i/>
        </w:rPr>
        <w:t>’</w:t>
      </w:r>
      <w:r w:rsidRPr="006725E8">
        <w:rPr>
          <w:i/>
        </w:rPr>
        <w:t>re defining the future periods.</w:t>
      </w:r>
    </w:p>
    <w:p w14:paraId="3D29DC18" w14:textId="3C972C48" w:rsidR="007A4E23" w:rsidRDefault="007A4E23" w:rsidP="007A4E23">
      <w:pPr>
        <w:pStyle w:val="BodyText"/>
        <w:ind w:left="360" w:hanging="360"/>
      </w:pPr>
      <w:r>
        <w:t>-</w:t>
      </w:r>
      <w:r>
        <w:tab/>
      </w:r>
      <w:r w:rsidR="006725E8" w:rsidRPr="006725E8">
        <w:t>We agree with this view. Overall, we select</w:t>
      </w:r>
      <w:r w:rsidR="003B2B16">
        <w:t>ed</w:t>
      </w:r>
      <w:r w:rsidR="006725E8" w:rsidRPr="006725E8">
        <w:t xml:space="preserve"> a 40-year future period to reduce the influence of interannual variability. The 20-year window is only used as way to discuss how change may gradually occur during the 40-year period.</w:t>
      </w:r>
    </w:p>
    <w:p w14:paraId="09ED4C0E" w14:textId="0A9803A9" w:rsidR="007A4E23" w:rsidRDefault="00304104" w:rsidP="007A4E23">
      <w:pPr>
        <w:pStyle w:val="BodyText"/>
        <w:spacing w:after="0"/>
      </w:pPr>
      <w:r>
        <w:rPr>
          <w:i/>
        </w:rPr>
        <w:t>5</w:t>
      </w:r>
      <w:r w:rsidR="007A4E23">
        <w:rPr>
          <w:i/>
        </w:rPr>
        <w:t xml:space="preserve">.2 </w:t>
      </w:r>
      <w:r w:rsidRPr="00304104">
        <w:rPr>
          <w:i/>
        </w:rPr>
        <w:t>Performing a relatively coarse dynamic downscaling</w:t>
      </w:r>
      <w:r w:rsidR="003B2B16">
        <w:rPr>
          <w:i/>
        </w:rPr>
        <w:t xml:space="preserve"> and</w:t>
      </w:r>
      <w:r w:rsidRPr="00304104">
        <w:rPr>
          <w:i/>
        </w:rPr>
        <w:t xml:space="preserve"> then doing a statistical bias</w:t>
      </w:r>
      <w:r w:rsidR="003B2B16">
        <w:rPr>
          <w:i/>
        </w:rPr>
        <w:t xml:space="preserve"> </w:t>
      </w:r>
      <w:r w:rsidRPr="00304104">
        <w:rPr>
          <w:i/>
        </w:rPr>
        <w:t xml:space="preserve">correction </w:t>
      </w:r>
      <w:r w:rsidR="003B2B16">
        <w:rPr>
          <w:i/>
        </w:rPr>
        <w:t>and</w:t>
      </w:r>
      <w:r w:rsidRPr="00304104">
        <w:rPr>
          <w:i/>
        </w:rPr>
        <w:t xml:space="preserve"> downscaling seems somewhat unnecessary. I understand that any dynamic downscaling needs bias correction and your resource limitations, but the limited resources could have been used to explore improved hydrologic model calibration, other advanced statistically downscaled methods, </w:t>
      </w:r>
      <w:r w:rsidR="005606E5" w:rsidRPr="005606E5">
        <w:rPr>
          <w:i/>
        </w:rPr>
        <w:t>and so on</w:t>
      </w:r>
      <w:r w:rsidRPr="00304104">
        <w:rPr>
          <w:i/>
        </w:rPr>
        <w:t>. Performing a coarse dynamic downscaling and then a downscaling and bias correction (which is essentially what the daily bias correction really is) could remove a lot of the purported benefit of the dynamic downscaling (e.g.</w:t>
      </w:r>
      <w:r>
        <w:rPr>
          <w:i/>
        </w:rPr>
        <w:t>,</w:t>
      </w:r>
      <w:r w:rsidRPr="00304104">
        <w:rPr>
          <w:i/>
        </w:rPr>
        <w:t xml:space="preserve"> physically consistent covariance across state variables, physically consistent spatial patterns). The idea that bias correction </w:t>
      </w:r>
      <w:r w:rsidR="003B2B16">
        <w:rPr>
          <w:i/>
        </w:rPr>
        <w:t>and</w:t>
      </w:r>
      <w:r w:rsidRPr="00304104">
        <w:rPr>
          <w:i/>
        </w:rPr>
        <w:t xml:space="preserve"> downscaling of a dynamic simulation may change the spatial features and covariance of state variables could also be discussed (I do</w:t>
      </w:r>
      <w:r w:rsidR="003B2B16">
        <w:rPr>
          <w:i/>
        </w:rPr>
        <w:t xml:space="preserve"> </w:t>
      </w:r>
      <w:r w:rsidRPr="00304104">
        <w:rPr>
          <w:i/>
        </w:rPr>
        <w:t>n</w:t>
      </w:r>
      <w:r w:rsidR="003B2B16">
        <w:rPr>
          <w:i/>
        </w:rPr>
        <w:t>o</w:t>
      </w:r>
      <w:r w:rsidRPr="00304104">
        <w:rPr>
          <w:i/>
        </w:rPr>
        <w:t>t believe it is). Some work has even shown that careful bias correction of a dynamically downscaled future may improve the realism of the RCM output.</w:t>
      </w:r>
    </w:p>
    <w:p w14:paraId="6F8B6590" w14:textId="4904815E" w:rsidR="007A4E23" w:rsidRDefault="007A4E23" w:rsidP="007A4E23">
      <w:pPr>
        <w:pStyle w:val="BodyText"/>
        <w:ind w:left="360" w:hanging="360"/>
      </w:pPr>
      <w:r>
        <w:t>-</w:t>
      </w:r>
      <w:r>
        <w:tab/>
      </w:r>
      <w:r w:rsidR="00304104" w:rsidRPr="00304104">
        <w:t xml:space="preserve">We appreciate this insightful comment. </w:t>
      </w:r>
      <w:r w:rsidR="003B2B16">
        <w:t xml:space="preserve">Although </w:t>
      </w:r>
      <w:r w:rsidR="00304104" w:rsidRPr="00304104">
        <w:t xml:space="preserve">there </w:t>
      </w:r>
      <w:r w:rsidR="003B2B16">
        <w:t xml:space="preserve">has </w:t>
      </w:r>
      <w:r w:rsidR="00304104" w:rsidRPr="00304104">
        <w:t xml:space="preserve">been various </w:t>
      </w:r>
      <w:r w:rsidR="00D8676C" w:rsidRPr="00304104">
        <w:t>research</w:t>
      </w:r>
      <w:r w:rsidR="00304104" w:rsidRPr="00304104">
        <w:t xml:space="preserve"> on downscaling, </w:t>
      </w:r>
      <w:r w:rsidR="003B2B16">
        <w:t xml:space="preserve">thus </w:t>
      </w:r>
      <w:r w:rsidR="00304104" w:rsidRPr="00304104">
        <w:t>far</w:t>
      </w:r>
      <w:r w:rsidR="003B2B16">
        <w:t>,</w:t>
      </w:r>
      <w:r w:rsidR="00304104" w:rsidRPr="00304104">
        <w:t xml:space="preserve"> there has not been a consensus on a best way to proceed (specifically, for the purpose of hydroclimate impact assessment). Therefore, instead of selecting a specific way of downscaling, our approach is to include two very different ways (dynamical </w:t>
      </w:r>
      <w:r w:rsidR="003B2B16">
        <w:t>and</w:t>
      </w:r>
      <w:r w:rsidR="00304104" w:rsidRPr="00304104">
        <w:t xml:space="preserve"> statistical) in this framework, and to understand their influences through the ANOVA. We will be glad to provide our model outputs to support further collaborate so that we can better understand the deeper differences and values of different downscaling approaches.</w:t>
      </w:r>
    </w:p>
    <w:p w14:paraId="3985087C" w14:textId="66CA0CE8" w:rsidR="00304104" w:rsidRDefault="00304104" w:rsidP="00304104">
      <w:pPr>
        <w:pStyle w:val="BodyText"/>
        <w:spacing w:after="0"/>
      </w:pPr>
      <w:r>
        <w:rPr>
          <w:i/>
        </w:rPr>
        <w:t>5.</w:t>
      </w:r>
      <w:r w:rsidR="00D8676C">
        <w:rPr>
          <w:i/>
        </w:rPr>
        <w:t>3</w:t>
      </w:r>
      <w:r>
        <w:rPr>
          <w:i/>
        </w:rPr>
        <w:t xml:space="preserve"> </w:t>
      </w:r>
      <w:r w:rsidR="00D8676C" w:rsidRPr="00D8676C">
        <w:rPr>
          <w:i/>
        </w:rPr>
        <w:t>Even with the use of many metrics, the evaluation may still miss the point of identifying good models for process-oriented reasons. For example, what if a model had poor evaluation scores, but those errors are due to biases that are actually easier to correct for than the models selected. One could think selecting this model may be beneficial given process considerations. Models that faithfully represent trends over the globe and CONUS may still be rated poorly using the metrics defined in Table A.1, but those may be the exact models we want to use. The paper by Bukovsky et al. (2019)</w:t>
      </w:r>
      <w:r w:rsidR="003B2B16">
        <w:rPr>
          <w:i/>
        </w:rPr>
        <w:t>,</w:t>
      </w:r>
      <w:r w:rsidR="00D8676C" w:rsidRPr="00D8676C">
        <w:rPr>
          <w:i/>
        </w:rPr>
        <w:t xml:space="preserve"> </w:t>
      </w:r>
      <w:r w:rsidR="003B2B16">
        <w:rPr>
          <w:i/>
        </w:rPr>
        <w:t>“</w:t>
      </w:r>
      <w:r w:rsidR="00D8676C" w:rsidRPr="00D8676C">
        <w:rPr>
          <w:i/>
        </w:rPr>
        <w:t>Weighting a regional climate model ensemble: Does it make a difference? Can it make a difference?</w:t>
      </w:r>
      <w:r w:rsidR="003B2B16">
        <w:rPr>
          <w:i/>
        </w:rPr>
        <w:t>,”</w:t>
      </w:r>
      <w:r w:rsidR="00D8676C" w:rsidRPr="00D8676C">
        <w:rPr>
          <w:i/>
        </w:rPr>
        <w:t xml:space="preserve"> begins to describe some of these issues</w:t>
      </w:r>
      <w:r w:rsidRPr="00863080">
        <w:rPr>
          <w:i/>
        </w:rPr>
        <w:t>.</w:t>
      </w:r>
    </w:p>
    <w:p w14:paraId="3FA34E92" w14:textId="6CA89F7A" w:rsidR="00304104" w:rsidRDefault="00304104" w:rsidP="00304104">
      <w:pPr>
        <w:pStyle w:val="BodyText"/>
        <w:ind w:left="360" w:hanging="360"/>
      </w:pPr>
      <w:r>
        <w:t>-</w:t>
      </w:r>
      <w:r>
        <w:tab/>
      </w:r>
      <w:r w:rsidR="00A67C20" w:rsidRPr="00A67C20">
        <w:t>Thank you for the insightful comment. We agree that in general, model evaluation and selection are still a very open research topic. Even if a model can show good performance across all evaluation metrics, scientifically</w:t>
      </w:r>
      <w:r w:rsidR="003B2B16">
        <w:t>,</w:t>
      </w:r>
      <w:r w:rsidR="00A67C20" w:rsidRPr="00A67C20">
        <w:t xml:space="preserve"> there is still no way to prove that it can also correctly project future conditions. However, considering the large number of CMIP6 models, we believe that the evaluation approach proposed in this study can be an effective way to filter out those relatively poor performing models. We will continue to research and collaborate with experts in the field so that we may enhance our evaluation approaches in the future assessments.</w:t>
      </w:r>
    </w:p>
    <w:p w14:paraId="770A027D" w14:textId="1BFB08E7" w:rsidR="00304104" w:rsidRDefault="00304104" w:rsidP="00304104">
      <w:pPr>
        <w:pStyle w:val="BodyText"/>
        <w:spacing w:after="0"/>
      </w:pPr>
      <w:r>
        <w:rPr>
          <w:i/>
        </w:rPr>
        <w:t>5.</w:t>
      </w:r>
      <w:r w:rsidR="00537876">
        <w:rPr>
          <w:i/>
        </w:rPr>
        <w:t>4</w:t>
      </w:r>
      <w:r>
        <w:rPr>
          <w:i/>
        </w:rPr>
        <w:t xml:space="preserve"> </w:t>
      </w:r>
      <w:r w:rsidR="00292F06" w:rsidRPr="00292F06">
        <w:rPr>
          <w:i/>
        </w:rPr>
        <w:t>Is there any need to explicitly discuss these projection results in the context of the previous two 9505 reports beyond stating what the methods of the previous two reports were. It seems to me that the CMIP6 projections for the WAPA region are trending wetter from CMIP3 to CMIP5 to CMIP6. Other regions may be experiencing similar changes from each projection iteration. What does this mean (if anything) for the US hydropower assessment? Contextual discussion could help stakeholders better understand these new findings</w:t>
      </w:r>
      <w:r w:rsidR="003B2B16">
        <w:rPr>
          <w:i/>
        </w:rPr>
        <w:t>,</w:t>
      </w:r>
      <w:r w:rsidR="00292F06" w:rsidRPr="00292F06">
        <w:rPr>
          <w:i/>
        </w:rPr>
        <w:t xml:space="preserve"> as well. Again, apologies if I missed this discussion in the report.</w:t>
      </w:r>
    </w:p>
    <w:p w14:paraId="560E723D" w14:textId="671516AF" w:rsidR="00304104" w:rsidRDefault="00304104" w:rsidP="00304104">
      <w:pPr>
        <w:pStyle w:val="BodyText"/>
        <w:ind w:left="360" w:hanging="360"/>
      </w:pPr>
      <w:r>
        <w:lastRenderedPageBreak/>
        <w:t>-</w:t>
      </w:r>
      <w:r>
        <w:tab/>
      </w:r>
      <w:r w:rsidR="00516064" w:rsidRPr="00516064">
        <w:t xml:space="preserve">There are substantial differences in the climate projections </w:t>
      </w:r>
      <w:r w:rsidR="003B2B16">
        <w:t xml:space="preserve">among </w:t>
      </w:r>
      <w:r w:rsidR="00516064" w:rsidRPr="00516064">
        <w:t>CMIP3, CMIP5</w:t>
      </w:r>
      <w:r w:rsidR="003B2B16">
        <w:t>,</w:t>
      </w:r>
      <w:r w:rsidR="00516064" w:rsidRPr="00516064">
        <w:t xml:space="preserve"> and CMIP6</w:t>
      </w:r>
      <w:r w:rsidR="003B2B16">
        <w:t>,</w:t>
      </w:r>
      <w:r w:rsidR="00516064" w:rsidRPr="00516064">
        <w:t xml:space="preserve"> which include new models and more complex assumptions on global change. </w:t>
      </w:r>
      <w:r w:rsidR="003B2B16">
        <w:t xml:space="preserve">It </w:t>
      </w:r>
      <w:r w:rsidR="00516064" w:rsidRPr="00516064">
        <w:t xml:space="preserve">is beyond the scope of this report to specifically address </w:t>
      </w:r>
      <w:r w:rsidR="003B2B16">
        <w:t xml:space="preserve">the </w:t>
      </w:r>
      <w:r w:rsidR="00516064" w:rsidRPr="00516064">
        <w:t xml:space="preserve">differences </w:t>
      </w:r>
      <w:r w:rsidR="003B2B16">
        <w:t xml:space="preserve">that </w:t>
      </w:r>
      <w:r w:rsidR="00516064" w:rsidRPr="00516064">
        <w:t xml:space="preserve">are covered in the National Climate Assessment and </w:t>
      </w:r>
      <w:r w:rsidR="00803741" w:rsidRPr="00803741">
        <w:t xml:space="preserve">Intergovernmental Panel on Climate Change </w:t>
      </w:r>
      <w:r w:rsidR="00516064" w:rsidRPr="00516064">
        <w:t>reports. The projection for more hydropower in the WAPA region</w:t>
      </w:r>
      <w:r w:rsidR="003B2B16">
        <w:t>,</w:t>
      </w:r>
      <w:r w:rsidR="00516064" w:rsidRPr="00516064">
        <w:t xml:space="preserve"> </w:t>
      </w:r>
      <w:r w:rsidR="003B2B16">
        <w:t xml:space="preserve">which </w:t>
      </w:r>
      <w:r w:rsidR="00516064" w:rsidRPr="00516064">
        <w:t>is experiencing a multi</w:t>
      </w:r>
      <w:r w:rsidR="00516064">
        <w:t>-</w:t>
      </w:r>
      <w:r w:rsidR="00516064" w:rsidRPr="00516064">
        <w:t>year drought</w:t>
      </w:r>
      <w:r w:rsidR="003B2B16">
        <w:t>,</w:t>
      </w:r>
      <w:r w:rsidR="00516064" w:rsidRPr="00516064">
        <w:t xml:space="preserve"> indeed requires some contextual clarification. We specify in Section 8.</w:t>
      </w:r>
      <w:r w:rsidR="00717CFA">
        <w:t>3</w:t>
      </w:r>
      <w:r w:rsidR="00516064" w:rsidRPr="00516064">
        <w:t xml:space="preserve"> how to interpret projections of hydropower increase amidst ongoing multi</w:t>
      </w:r>
      <w:r w:rsidR="00B83571">
        <w:t>-</w:t>
      </w:r>
      <w:r w:rsidR="00516064" w:rsidRPr="00516064">
        <w:t>year drought conditions and the need to represents water demand scenarios in future work to improve the interpretation of those assessments.</w:t>
      </w:r>
    </w:p>
    <w:p w14:paraId="03417FAE" w14:textId="682D76A3" w:rsidR="00304104" w:rsidRDefault="00304104" w:rsidP="00304104">
      <w:pPr>
        <w:pStyle w:val="BodyText"/>
        <w:spacing w:after="0"/>
      </w:pPr>
      <w:r>
        <w:rPr>
          <w:i/>
        </w:rPr>
        <w:t>5.</w:t>
      </w:r>
      <w:r w:rsidR="00905627">
        <w:rPr>
          <w:i/>
        </w:rPr>
        <w:t>5</w:t>
      </w:r>
      <w:r>
        <w:rPr>
          <w:i/>
        </w:rPr>
        <w:t xml:space="preserve"> </w:t>
      </w:r>
      <w:r w:rsidR="00905627" w:rsidRPr="00905627">
        <w:rPr>
          <w:i/>
        </w:rPr>
        <w:t>I may be misunderstanding the bias correction</w:t>
      </w:r>
      <w:r w:rsidR="003B2B16">
        <w:rPr>
          <w:i/>
        </w:rPr>
        <w:t>,</w:t>
      </w:r>
      <w:r w:rsidR="00905627" w:rsidRPr="00905627">
        <w:rPr>
          <w:i/>
        </w:rPr>
        <w:t xml:space="preserve"> but it seems like many of the evaluation metrics shown in Figure 2.9 should be matched exactly by definition</w:t>
      </w:r>
      <w:r w:rsidR="003B2B16">
        <w:rPr>
          <w:i/>
        </w:rPr>
        <w:t>,</w:t>
      </w:r>
      <w:r w:rsidR="00905627" w:rsidRPr="00905627">
        <w:rPr>
          <w:i/>
        </w:rPr>
        <w:t xml:space="preserve"> </w:t>
      </w:r>
      <w:r w:rsidR="003B2B16">
        <w:rPr>
          <w:i/>
        </w:rPr>
        <w:t>s</w:t>
      </w:r>
      <w:r w:rsidR="00905627" w:rsidRPr="00905627">
        <w:rPr>
          <w:i/>
        </w:rPr>
        <w:t>o this whole section is really just affirming that the downscaling and bias correction methods are working. The real question is</w:t>
      </w:r>
      <w:r w:rsidR="003B2B16">
        <w:rPr>
          <w:i/>
        </w:rPr>
        <w:t>,</w:t>
      </w:r>
      <w:r w:rsidR="00905627" w:rsidRPr="00905627">
        <w:rPr>
          <w:i/>
        </w:rPr>
        <w:t xml:space="preserve"> what do the bias correction/downscaling schemes do to the observed and projected trends from the input</w:t>
      </w:r>
      <w:r w:rsidR="00D64187">
        <w:rPr>
          <w:i/>
        </w:rPr>
        <w:t xml:space="preserve"> </w:t>
      </w:r>
      <w:r w:rsidR="005606E5">
        <w:rPr>
          <w:i/>
        </w:rPr>
        <w:t>data sets</w:t>
      </w:r>
      <w:r w:rsidR="00905627" w:rsidRPr="00905627">
        <w:rPr>
          <w:i/>
        </w:rPr>
        <w:t>?</w:t>
      </w:r>
    </w:p>
    <w:p w14:paraId="02CBF0CF" w14:textId="332D26EE" w:rsidR="00304104" w:rsidRDefault="00304104" w:rsidP="00304104">
      <w:pPr>
        <w:pStyle w:val="BodyText"/>
        <w:ind w:left="360" w:hanging="360"/>
      </w:pPr>
      <w:r>
        <w:t>-</w:t>
      </w:r>
      <w:r>
        <w:tab/>
      </w:r>
      <w:r w:rsidR="00905627" w:rsidRPr="00905627">
        <w:t>Given the nature of our bias</w:t>
      </w:r>
      <w:r w:rsidR="003B2B16">
        <w:t xml:space="preserve"> </w:t>
      </w:r>
      <w:r w:rsidR="00905627" w:rsidRPr="00905627">
        <w:t>correction approach, the trends in the raw GCM and RCM are preserved. Whether if a GCM or RCM produces comparable trends to the historical observations is a more involved question that is not analyzed in this study.</w:t>
      </w:r>
    </w:p>
    <w:p w14:paraId="64E1EA53" w14:textId="66D2058E" w:rsidR="00304104" w:rsidRDefault="00304104" w:rsidP="00304104">
      <w:pPr>
        <w:pStyle w:val="BodyText"/>
        <w:spacing w:after="0"/>
      </w:pPr>
      <w:r>
        <w:rPr>
          <w:i/>
        </w:rPr>
        <w:t>5.</w:t>
      </w:r>
      <w:r w:rsidR="00BE1DA0">
        <w:rPr>
          <w:i/>
        </w:rPr>
        <w:t>6</w:t>
      </w:r>
      <w:r>
        <w:rPr>
          <w:i/>
        </w:rPr>
        <w:t xml:space="preserve"> </w:t>
      </w:r>
      <w:r w:rsidR="003B2B16">
        <w:rPr>
          <w:i/>
        </w:rPr>
        <w:t xml:space="preserve">In </w:t>
      </w:r>
      <w:r w:rsidR="00BE1DA0" w:rsidRPr="00BE1DA0">
        <w:rPr>
          <w:i/>
        </w:rPr>
        <w:t>Section 2.9</w:t>
      </w:r>
      <w:r w:rsidR="003B2B16">
        <w:rPr>
          <w:i/>
        </w:rPr>
        <w:t>,</w:t>
      </w:r>
      <w:r w:rsidR="00BE1DA0" w:rsidRPr="00BE1DA0">
        <w:rPr>
          <w:i/>
        </w:rPr>
        <w:t xml:space="preserve"> </w:t>
      </w:r>
      <w:r w:rsidR="003B2B16">
        <w:rPr>
          <w:i/>
        </w:rPr>
        <w:t>d</w:t>
      </w:r>
      <w:r w:rsidR="00BE1DA0" w:rsidRPr="00BE1DA0">
        <w:rPr>
          <w:i/>
        </w:rPr>
        <w:t xml:space="preserve">id you implement the bootstrapping method discussed </w:t>
      </w:r>
      <w:r w:rsidR="003B2B16">
        <w:rPr>
          <w:i/>
        </w:rPr>
        <w:t xml:space="preserve">by </w:t>
      </w:r>
      <w:r w:rsidR="00BE1DA0" w:rsidRPr="00BE1DA0">
        <w:rPr>
          <w:i/>
        </w:rPr>
        <w:t xml:space="preserve">Bosshard et al. (2013) to remove biases in ANOVA due to different sample sizes across the factors? Here you have </w:t>
      </w:r>
      <w:r w:rsidR="003B2B16">
        <w:rPr>
          <w:i/>
        </w:rPr>
        <w:t>six</w:t>
      </w:r>
      <w:r w:rsidR="00BE1DA0" w:rsidRPr="00BE1DA0">
        <w:rPr>
          <w:i/>
        </w:rPr>
        <w:t xml:space="preserve"> GCMs but only </w:t>
      </w:r>
      <w:r w:rsidR="003B2B16">
        <w:rPr>
          <w:i/>
        </w:rPr>
        <w:t>two</w:t>
      </w:r>
      <w:r w:rsidR="00BE1DA0" w:rsidRPr="00BE1DA0">
        <w:rPr>
          <w:i/>
        </w:rPr>
        <w:t xml:space="preserve"> methods for each of the other factors. By default</w:t>
      </w:r>
      <w:r w:rsidR="003B2B16">
        <w:rPr>
          <w:i/>
        </w:rPr>
        <w:t>,</w:t>
      </w:r>
      <w:r w:rsidR="00BE1DA0" w:rsidRPr="00BE1DA0">
        <w:rPr>
          <w:i/>
        </w:rPr>
        <w:t xml:space="preserve"> this means the variance attributed to the GCMs will be biased high if I remember that paper correctly.</w:t>
      </w:r>
    </w:p>
    <w:p w14:paraId="167B8E87" w14:textId="6267A315" w:rsidR="001A767D" w:rsidRPr="001A767D" w:rsidRDefault="00304104" w:rsidP="001A767D">
      <w:pPr>
        <w:pStyle w:val="BodyText"/>
        <w:ind w:left="360" w:hanging="360"/>
      </w:pPr>
      <w:r w:rsidRPr="001A767D">
        <w:t>-</w:t>
      </w:r>
      <w:r w:rsidRPr="001A767D">
        <w:tab/>
      </w:r>
      <w:r w:rsidR="001A767D" w:rsidRPr="001A767D">
        <w:t>Thank you for this comment. We recognize that the current modeling design inherently under</w:t>
      </w:r>
      <w:r w:rsidR="003B2B16">
        <w:t>-</w:t>
      </w:r>
      <w:r w:rsidR="001A767D" w:rsidRPr="001A767D">
        <w:t xml:space="preserve">samples other modeling choices over GCMs. This can lead to </w:t>
      </w:r>
      <w:r w:rsidR="003B2B16">
        <w:t xml:space="preserve">a </w:t>
      </w:r>
      <w:r w:rsidR="001A767D" w:rsidRPr="001A767D">
        <w:t>biased contribution from GCMs. As an alternat</w:t>
      </w:r>
      <w:r w:rsidR="003B2B16">
        <w:t>iv</w:t>
      </w:r>
      <w:r w:rsidR="001A767D" w:rsidRPr="001A767D">
        <w:t>e approach, the single factor subsampling approach used by Bosshard et al</w:t>
      </w:r>
      <w:r w:rsidR="003B2B16">
        <w:t>.</w:t>
      </w:r>
      <w:r w:rsidR="001A767D" w:rsidRPr="001A767D">
        <w:t xml:space="preserve"> </w:t>
      </w:r>
      <w:r w:rsidR="003B2B16">
        <w:t>(</w:t>
      </w:r>
      <w:r w:rsidR="001A767D" w:rsidRPr="001A767D">
        <w:t>2013</w:t>
      </w:r>
      <w:r w:rsidR="003B2B16">
        <w:t>)</w:t>
      </w:r>
      <w:r w:rsidR="001A767D" w:rsidRPr="001A767D">
        <w:t xml:space="preserve"> can greatly help diminish these biases. However, it can also potentially cause underestimation of the individual contribution of sampled factor (Fan et al., 2020).</w:t>
      </w:r>
      <w:r w:rsidR="001A767D">
        <w:t xml:space="preserve"> </w:t>
      </w:r>
      <w:r w:rsidR="001A767D" w:rsidRPr="001A767D">
        <w:t xml:space="preserve">We have </w:t>
      </w:r>
      <w:r w:rsidR="001A767D">
        <w:t xml:space="preserve">also </w:t>
      </w:r>
      <w:r w:rsidR="001A767D" w:rsidRPr="001A767D">
        <w:t>acknowledged this as a limitation to the study and added more description in Section 2.9, and a potential area of improvement in future assessments/reports.</w:t>
      </w:r>
    </w:p>
    <w:p w14:paraId="49E75AAC" w14:textId="7809B8B4" w:rsidR="00304104" w:rsidRPr="001A767D" w:rsidRDefault="001A767D" w:rsidP="001A767D">
      <w:pPr>
        <w:pStyle w:val="BodyText"/>
        <w:ind w:left="720"/>
      </w:pPr>
      <w:r w:rsidRPr="001A767D">
        <w:t>Fan, Y</w:t>
      </w:r>
      <w:r>
        <w:t>.</w:t>
      </w:r>
      <w:r w:rsidRPr="001A767D">
        <w:t>, K</w:t>
      </w:r>
      <w:r>
        <w:t>.</w:t>
      </w:r>
      <w:r w:rsidRPr="001A767D">
        <w:t xml:space="preserve"> Huang, G</w:t>
      </w:r>
      <w:r>
        <w:t>.</w:t>
      </w:r>
      <w:r w:rsidRPr="001A767D">
        <w:t xml:space="preserve"> Huang, Y</w:t>
      </w:r>
      <w:r>
        <w:t>.</w:t>
      </w:r>
      <w:r w:rsidRPr="001A767D">
        <w:t xml:space="preserve"> Li, and F</w:t>
      </w:r>
      <w:r>
        <w:t>.</w:t>
      </w:r>
      <w:r w:rsidRPr="001A767D">
        <w:t xml:space="preserve"> Wang</w:t>
      </w:r>
      <w:r>
        <w:t xml:space="preserve"> (2020), </w:t>
      </w:r>
      <w:r w:rsidRPr="001A767D">
        <w:t xml:space="preserve">An </w:t>
      </w:r>
      <w:r>
        <w:t>U</w:t>
      </w:r>
      <w:r w:rsidRPr="001A767D">
        <w:t xml:space="preserve">ncertainty </w:t>
      </w:r>
      <w:r>
        <w:t>P</w:t>
      </w:r>
      <w:r w:rsidRPr="001A767D">
        <w:t xml:space="preserve">artition </w:t>
      </w:r>
      <w:r>
        <w:t>A</w:t>
      </w:r>
      <w:r w:rsidRPr="001A767D">
        <w:t xml:space="preserve">pproach for </w:t>
      </w:r>
      <w:r>
        <w:t>I</w:t>
      </w:r>
      <w:r w:rsidRPr="001A767D">
        <w:t xml:space="preserve">nferring </w:t>
      </w:r>
      <w:r>
        <w:t>I</w:t>
      </w:r>
      <w:r w:rsidRPr="001A767D">
        <w:t xml:space="preserve">nteractive </w:t>
      </w:r>
      <w:r>
        <w:t>H</w:t>
      </w:r>
      <w:r w:rsidRPr="001A767D">
        <w:t xml:space="preserve">ydrologic </w:t>
      </w:r>
      <w:r>
        <w:t>R</w:t>
      </w:r>
      <w:r w:rsidRPr="001A767D">
        <w:t>isks</w:t>
      </w:r>
      <w:r>
        <w:t>,</w:t>
      </w:r>
      <w:r w:rsidRPr="001A767D">
        <w:t xml:space="preserve"> </w:t>
      </w:r>
      <w:r w:rsidRPr="001A767D">
        <w:rPr>
          <w:i/>
          <w:iCs/>
        </w:rPr>
        <w:t>Hydrol</w:t>
      </w:r>
      <w:r w:rsidR="002477EC">
        <w:rPr>
          <w:i/>
          <w:iCs/>
        </w:rPr>
        <w:t>.</w:t>
      </w:r>
      <w:r w:rsidRPr="001A767D">
        <w:rPr>
          <w:i/>
          <w:iCs/>
        </w:rPr>
        <w:t xml:space="preserve"> Earth Syst</w:t>
      </w:r>
      <w:r w:rsidR="002477EC">
        <w:rPr>
          <w:i/>
          <w:iCs/>
        </w:rPr>
        <w:t>.</w:t>
      </w:r>
      <w:r w:rsidRPr="001A767D">
        <w:rPr>
          <w:i/>
          <w:iCs/>
        </w:rPr>
        <w:t xml:space="preserve"> Sci</w:t>
      </w:r>
      <w:r w:rsidR="002477EC">
        <w:rPr>
          <w:i/>
          <w:iCs/>
        </w:rPr>
        <w:t>.</w:t>
      </w:r>
      <w:r>
        <w:t xml:space="preserve">, </w:t>
      </w:r>
      <w:r w:rsidRPr="002477EC">
        <w:rPr>
          <w:i/>
          <w:iCs/>
        </w:rPr>
        <w:t>24</w:t>
      </w:r>
      <w:r>
        <w:t>,</w:t>
      </w:r>
      <w:r w:rsidRPr="001A767D">
        <w:t xml:space="preserve"> 4601</w:t>
      </w:r>
      <w:r>
        <w:t>–</w:t>
      </w:r>
      <w:r w:rsidRPr="001A767D">
        <w:t>4624</w:t>
      </w:r>
      <w:r w:rsidR="002477EC">
        <w:t xml:space="preserve">, </w:t>
      </w:r>
      <w:hyperlink r:id="rId506" w:history="1">
        <w:r w:rsidR="00BF1176" w:rsidRPr="00E00258">
          <w:rPr>
            <w:rStyle w:val="Hyperlink"/>
          </w:rPr>
          <w:t>https://doi.org/10.5194/hess-24-4601-2020</w:t>
        </w:r>
      </w:hyperlink>
      <w:r w:rsidR="002477EC">
        <w:t>.</w:t>
      </w:r>
    </w:p>
    <w:p w14:paraId="4B8E5997" w14:textId="120038D8" w:rsidR="00304104" w:rsidRDefault="00304104" w:rsidP="00304104">
      <w:pPr>
        <w:pStyle w:val="BodyText"/>
        <w:spacing w:after="0"/>
      </w:pPr>
      <w:r>
        <w:rPr>
          <w:i/>
        </w:rPr>
        <w:t>5.</w:t>
      </w:r>
      <w:r w:rsidR="0094030B">
        <w:rPr>
          <w:i/>
        </w:rPr>
        <w:t>7</w:t>
      </w:r>
      <w:r>
        <w:rPr>
          <w:i/>
        </w:rPr>
        <w:t xml:space="preserve"> </w:t>
      </w:r>
      <w:r w:rsidR="002E383A">
        <w:rPr>
          <w:i/>
        </w:rPr>
        <w:t xml:space="preserve">Regarding </w:t>
      </w:r>
      <w:r w:rsidR="0094030B" w:rsidRPr="0094030B">
        <w:rPr>
          <w:i/>
        </w:rPr>
        <w:t>Figure 3.8</w:t>
      </w:r>
      <w:r w:rsidR="002E383A">
        <w:rPr>
          <w:i/>
        </w:rPr>
        <w:t>,</w:t>
      </w:r>
      <w:r w:rsidR="0094030B">
        <w:rPr>
          <w:i/>
        </w:rPr>
        <w:t xml:space="preserve"> </w:t>
      </w:r>
      <w:r w:rsidR="002E383A">
        <w:rPr>
          <w:i/>
        </w:rPr>
        <w:t>i</w:t>
      </w:r>
      <w:r w:rsidR="0094030B" w:rsidRPr="0094030B">
        <w:rPr>
          <w:i/>
        </w:rPr>
        <w:t>n this and other figures</w:t>
      </w:r>
      <w:r w:rsidR="002E383A">
        <w:rPr>
          <w:i/>
        </w:rPr>
        <w:t>,</w:t>
      </w:r>
      <w:r w:rsidR="0094030B" w:rsidRPr="0094030B">
        <w:rPr>
          <w:i/>
        </w:rPr>
        <w:t xml:space="preserve"> there is a clear shift across the Canadian border that should probably be discussed. Apologies if I missed that discussion.</w:t>
      </w:r>
    </w:p>
    <w:p w14:paraId="2F0FDF48" w14:textId="0A474C19" w:rsidR="00304104" w:rsidRDefault="00304104" w:rsidP="00304104">
      <w:pPr>
        <w:pStyle w:val="BodyText"/>
        <w:ind w:left="360" w:hanging="360"/>
      </w:pPr>
      <w:r>
        <w:t>-</w:t>
      </w:r>
      <w:r>
        <w:tab/>
      </w:r>
      <w:r w:rsidR="006410E9" w:rsidRPr="006410E9">
        <w:t xml:space="preserve">The SWE is reported </w:t>
      </w:r>
      <w:r w:rsidR="002E383A">
        <w:t xml:space="preserve">and </w:t>
      </w:r>
      <w:r w:rsidR="006410E9" w:rsidRPr="006410E9">
        <w:t xml:space="preserve">summarized at </w:t>
      </w:r>
      <w:r w:rsidR="002E383A">
        <w:t xml:space="preserve">the </w:t>
      </w:r>
      <w:r w:rsidR="006410E9" w:rsidRPr="006410E9">
        <w:t xml:space="preserve">HUC8 level based on the common resolution achievable through aggregation of hydrologic response from VIC and PRMS, although a finer resolution is desired for SWE. Given the aggregation at </w:t>
      </w:r>
      <w:r w:rsidR="002E383A">
        <w:t xml:space="preserve">the </w:t>
      </w:r>
      <w:r w:rsidR="006410E9" w:rsidRPr="006410E9">
        <w:t>HUC8 level, some differences are expected around the boundaries. Second, the model calibration is conducted for surface runoff and for each HUC8 independent of their spatial location</w:t>
      </w:r>
      <w:r w:rsidR="005606E5">
        <w:t>;</w:t>
      </w:r>
      <w:r w:rsidR="006410E9" w:rsidRPr="006410E9">
        <w:t xml:space="preserve"> </w:t>
      </w:r>
      <w:r w:rsidR="005606E5">
        <w:t>in other words</w:t>
      </w:r>
      <w:r w:rsidR="006410E9" w:rsidRPr="006410E9">
        <w:t>, the calibrated parameters may have differences from HUC8 to HUC8 and therefore lead to greater differences around the boundaries (especially national boundary).</w:t>
      </w:r>
    </w:p>
    <w:p w14:paraId="6EEB6A75" w14:textId="3CC657CE" w:rsidR="007A4E23" w:rsidRDefault="007A4E23" w:rsidP="007A4E23">
      <w:pPr>
        <w:pStyle w:val="BodyText"/>
      </w:pPr>
      <w:r w:rsidRPr="00DA1CA8">
        <w:rPr>
          <w:b/>
        </w:rPr>
        <w:t xml:space="preserve">Reviewer </w:t>
      </w:r>
      <w:r w:rsidR="00DC52B2">
        <w:rPr>
          <w:b/>
        </w:rPr>
        <w:t>6</w:t>
      </w:r>
    </w:p>
    <w:p w14:paraId="585FFE0B" w14:textId="5E188EF2" w:rsidR="007A4E23" w:rsidRDefault="00DC52B2" w:rsidP="007A4E23">
      <w:pPr>
        <w:pStyle w:val="BodyText"/>
        <w:spacing w:after="0"/>
      </w:pPr>
      <w:r>
        <w:rPr>
          <w:i/>
        </w:rPr>
        <w:t>6</w:t>
      </w:r>
      <w:r w:rsidR="007A4E23">
        <w:rPr>
          <w:i/>
        </w:rPr>
        <w:t xml:space="preserve">.1 </w:t>
      </w:r>
      <w:r w:rsidR="003A264C">
        <w:rPr>
          <w:i/>
        </w:rPr>
        <w:t>A</w:t>
      </w:r>
      <w:r w:rsidR="003A264C" w:rsidRPr="003A264C">
        <w:rPr>
          <w:i/>
        </w:rPr>
        <w:t>ssessment limitations: It</w:t>
      </w:r>
      <w:r w:rsidR="00805545">
        <w:rPr>
          <w:i/>
        </w:rPr>
        <w:t>’</w:t>
      </w:r>
      <w:r w:rsidR="003A264C" w:rsidRPr="003A264C">
        <w:rPr>
          <w:i/>
        </w:rPr>
        <w:t>s important to make clear that the uncertainty in the projections is not just a matter of scenario and model choices (and their associated uncertainties). A big part of the actual uncertainty lies with the uncertainty of policy choices, demographic, and socio-economic developments. All that uncertainty would still exist, even if our physical models and</w:t>
      </w:r>
      <w:r w:rsidR="00D64187">
        <w:rPr>
          <w:i/>
        </w:rPr>
        <w:t xml:space="preserve"> </w:t>
      </w:r>
      <w:r w:rsidR="005606E5">
        <w:rPr>
          <w:i/>
        </w:rPr>
        <w:t>data sets</w:t>
      </w:r>
      <w:r w:rsidR="00D64187">
        <w:rPr>
          <w:i/>
        </w:rPr>
        <w:t xml:space="preserve"> </w:t>
      </w:r>
      <w:r w:rsidR="003A264C" w:rsidRPr="003A264C">
        <w:rPr>
          <w:i/>
        </w:rPr>
        <w:t>were perfect (which they are not, even if we do understand a lot of the physical mechanisms). So even if you had 100 GCMs and 50 scenarios, you still would not be capturing the true uncertainty. Basically</w:t>
      </w:r>
      <w:r w:rsidR="002E383A">
        <w:rPr>
          <w:i/>
        </w:rPr>
        <w:t>,</w:t>
      </w:r>
      <w:r w:rsidR="003A264C" w:rsidRPr="003A264C">
        <w:rPr>
          <w:i/>
        </w:rPr>
        <w:t xml:space="preserve"> what I am saying is that </w:t>
      </w:r>
      <w:r w:rsidR="003A264C" w:rsidRPr="003A264C">
        <w:rPr>
          <w:i/>
        </w:rPr>
        <w:lastRenderedPageBreak/>
        <w:t xml:space="preserve">capturing </w:t>
      </w:r>
      <w:r w:rsidR="00930433">
        <w:rPr>
          <w:i/>
        </w:rPr>
        <w:t>“</w:t>
      </w:r>
      <w:r w:rsidR="003A264C" w:rsidRPr="003A264C">
        <w:rPr>
          <w:i/>
        </w:rPr>
        <w:t>the full range of uncertainties related to all possible modeling choices</w:t>
      </w:r>
      <w:r w:rsidR="00930433">
        <w:rPr>
          <w:i/>
        </w:rPr>
        <w:t>”</w:t>
      </w:r>
      <w:r w:rsidR="003A264C" w:rsidRPr="003A264C">
        <w:rPr>
          <w:i/>
        </w:rPr>
        <w:t xml:space="preserve"> (l</w:t>
      </w:r>
      <w:r w:rsidR="002E383A">
        <w:rPr>
          <w:i/>
        </w:rPr>
        <w:t xml:space="preserve">ines </w:t>
      </w:r>
      <w:r w:rsidR="003A264C" w:rsidRPr="003A264C">
        <w:rPr>
          <w:i/>
        </w:rPr>
        <w:t>181</w:t>
      </w:r>
      <w:r w:rsidR="002E383A">
        <w:rPr>
          <w:i/>
        </w:rPr>
        <w:t xml:space="preserve"> and </w:t>
      </w:r>
      <w:r w:rsidR="003A264C" w:rsidRPr="003A264C">
        <w:rPr>
          <w:i/>
        </w:rPr>
        <w:t>182) is still a subset of the true uncertainty.</w:t>
      </w:r>
    </w:p>
    <w:p w14:paraId="75A1C96E" w14:textId="2386A6C1" w:rsidR="007A4E23" w:rsidRDefault="007A4E23" w:rsidP="007A4E23">
      <w:pPr>
        <w:pStyle w:val="BodyText"/>
        <w:ind w:left="360" w:hanging="360"/>
      </w:pPr>
      <w:r>
        <w:t>-</w:t>
      </w:r>
      <w:r>
        <w:tab/>
      </w:r>
      <w:r w:rsidR="003A264C" w:rsidRPr="003A264C">
        <w:t>Thank you</w:t>
      </w:r>
      <w:r w:rsidR="002E383A">
        <w:t>;</w:t>
      </w:r>
      <w:r w:rsidR="003A264C" w:rsidRPr="003A264C">
        <w:t xml:space="preserve"> we fully agree with the need to highlight the broader uncertainty. We have updated the statement</w:t>
      </w:r>
      <w:r w:rsidR="002E383A">
        <w:t>:</w:t>
      </w:r>
      <w:r w:rsidR="003A264C" w:rsidRPr="003A264C">
        <w:t xml:space="preserve"> </w:t>
      </w:r>
      <w:r w:rsidR="00930433">
        <w:t>“</w:t>
      </w:r>
      <w:r w:rsidR="003A264C" w:rsidRPr="003A264C">
        <w:t>However, although this approach enables the evaluation of the relative influence of each main modeling factor, the multimodel projections still do not represent the full range of uncertainties related to all possible modeling choices, and to factors that cannot be captured in numerical models (e.g., policy, demographic, socio-economic developments).</w:t>
      </w:r>
      <w:r w:rsidR="00930433">
        <w:t>”</w:t>
      </w:r>
    </w:p>
    <w:p w14:paraId="5AB96E35" w14:textId="218A9CBD" w:rsidR="007A4E23" w:rsidRDefault="00DC52B2" w:rsidP="007A4E23">
      <w:pPr>
        <w:pStyle w:val="BodyText"/>
        <w:spacing w:after="0"/>
      </w:pPr>
      <w:r>
        <w:rPr>
          <w:i/>
        </w:rPr>
        <w:t>6</w:t>
      </w:r>
      <w:r w:rsidR="007A4E23">
        <w:rPr>
          <w:i/>
        </w:rPr>
        <w:t xml:space="preserve">.2 </w:t>
      </w:r>
      <w:r w:rsidR="002E383A">
        <w:rPr>
          <w:i/>
        </w:rPr>
        <w:t xml:space="preserve">Regarding </w:t>
      </w:r>
      <w:r w:rsidR="002144B2" w:rsidRPr="002144B2">
        <w:rPr>
          <w:i/>
        </w:rPr>
        <w:t>VIC calibration</w:t>
      </w:r>
      <w:r w:rsidR="002E383A">
        <w:rPr>
          <w:i/>
        </w:rPr>
        <w:t>,</w:t>
      </w:r>
      <w:r w:rsidR="002144B2" w:rsidRPr="002144B2">
        <w:rPr>
          <w:i/>
        </w:rPr>
        <w:t xml:space="preserve"> </w:t>
      </w:r>
      <w:r w:rsidR="002E383A">
        <w:rPr>
          <w:i/>
        </w:rPr>
        <w:t>u</w:t>
      </w:r>
      <w:r w:rsidR="002144B2" w:rsidRPr="002144B2">
        <w:rPr>
          <w:i/>
        </w:rPr>
        <w:t xml:space="preserve">sing VIC in water balance mode and with a single elevation band for model calibration of the energy balance mode with five elevation bands likely had a much larger effect on model results than is reflected in the current narrative. I am reasonably sure that it likely had a much </w:t>
      </w:r>
      <w:r w:rsidR="002E383A">
        <w:rPr>
          <w:i/>
        </w:rPr>
        <w:t xml:space="preserve">larger </w:t>
      </w:r>
      <w:r w:rsidR="002144B2" w:rsidRPr="002144B2">
        <w:rPr>
          <w:i/>
        </w:rPr>
        <w:t>effects than the differences between the different versions of the Daymet and Livneh</w:t>
      </w:r>
      <w:r w:rsidR="00D64187">
        <w:rPr>
          <w:i/>
        </w:rPr>
        <w:t xml:space="preserve"> data sets.</w:t>
      </w:r>
      <w:r w:rsidR="002144B2" w:rsidRPr="002144B2">
        <w:rPr>
          <w:i/>
        </w:rPr>
        <w:t xml:space="preserve"> This should be mentioned as one of the caveats. That said, since the performance characteristics are provided for the validation period, they do reflect the performance of the energy balance/</w:t>
      </w:r>
      <w:r w:rsidR="002E383A">
        <w:rPr>
          <w:i/>
        </w:rPr>
        <w:t>five</w:t>
      </w:r>
      <w:r w:rsidR="002144B2" w:rsidRPr="002144B2">
        <w:rPr>
          <w:i/>
        </w:rPr>
        <w:t xml:space="preserve"> elevation band model, so I think that providing the additional caveat is sufficient (see </w:t>
      </w:r>
      <w:r w:rsidR="002E383A">
        <w:rPr>
          <w:i/>
        </w:rPr>
        <w:t xml:space="preserve">lines </w:t>
      </w:r>
      <w:r w:rsidR="002144B2" w:rsidRPr="002144B2">
        <w:rPr>
          <w:i/>
        </w:rPr>
        <w:t>1173</w:t>
      </w:r>
      <w:r w:rsidR="002E383A">
        <w:rPr>
          <w:i/>
        </w:rPr>
        <w:t>–</w:t>
      </w:r>
      <w:r w:rsidR="002144B2" w:rsidRPr="002144B2">
        <w:rPr>
          <w:i/>
        </w:rPr>
        <w:t>1176)</w:t>
      </w:r>
      <w:r w:rsidR="007A4E23" w:rsidRPr="00863080">
        <w:rPr>
          <w:i/>
        </w:rPr>
        <w:t>.</w:t>
      </w:r>
    </w:p>
    <w:p w14:paraId="16C5BACD" w14:textId="26574E5D" w:rsidR="007A4E23" w:rsidRDefault="007A4E23" w:rsidP="007A4E23">
      <w:pPr>
        <w:pStyle w:val="BodyText"/>
        <w:ind w:left="360" w:hanging="360"/>
      </w:pPr>
      <w:r>
        <w:t>-</w:t>
      </w:r>
      <w:r>
        <w:tab/>
      </w:r>
      <w:r w:rsidR="002144B2" w:rsidRPr="002144B2">
        <w:t xml:space="preserve">As noted in the report, since our calibration target is at the monthly scale (not daily), we found that the simplified setup may work sufficiently well </w:t>
      </w:r>
      <w:r w:rsidR="005606E5">
        <w:t>(i</w:t>
      </w:r>
      <w:r w:rsidR="002144B2" w:rsidRPr="002144B2">
        <w:t>.e., the total watershed aggregated runoff generated from these two approaches are consistent</w:t>
      </w:r>
      <w:r w:rsidR="005606E5">
        <w:t>)</w:t>
      </w:r>
      <w:r w:rsidR="002144B2" w:rsidRPr="002144B2">
        <w:t xml:space="preserve">. Also, in our testing in some western headwater watersheds, the differences due to the choice of Livneh </w:t>
      </w:r>
      <w:r w:rsidR="002E383A">
        <w:t>vs.</w:t>
      </w:r>
      <w:r w:rsidR="002144B2" w:rsidRPr="002144B2">
        <w:t xml:space="preserve"> Daymet </w:t>
      </w:r>
      <w:r w:rsidR="002E383A">
        <w:t xml:space="preserve">were </w:t>
      </w:r>
      <w:r w:rsidR="002144B2" w:rsidRPr="002144B2">
        <w:t>in</w:t>
      </w:r>
      <w:r w:rsidR="002E383A">
        <w:t xml:space="preserve"> </w:t>
      </w:r>
      <w:r w:rsidR="002144B2" w:rsidRPr="002144B2">
        <w:t>fact larger. We will be interested to conduct further evaluation across the CONUS, which is currently outside the scope of this report.</w:t>
      </w:r>
    </w:p>
    <w:p w14:paraId="55A76FC3" w14:textId="7981C77A" w:rsidR="003A264C" w:rsidRDefault="003A264C" w:rsidP="003A264C">
      <w:pPr>
        <w:pStyle w:val="BodyText"/>
        <w:spacing w:after="0"/>
      </w:pPr>
      <w:r>
        <w:rPr>
          <w:i/>
        </w:rPr>
        <w:t>6.</w:t>
      </w:r>
      <w:r w:rsidR="00011E25">
        <w:rPr>
          <w:i/>
        </w:rPr>
        <w:t>3</w:t>
      </w:r>
      <w:r>
        <w:rPr>
          <w:i/>
        </w:rPr>
        <w:t xml:space="preserve"> </w:t>
      </w:r>
      <w:r w:rsidR="00011E25" w:rsidRPr="00011E25">
        <w:rPr>
          <w:i/>
        </w:rPr>
        <w:t>Somewhere early in the methods</w:t>
      </w:r>
      <w:r w:rsidR="002E383A">
        <w:rPr>
          <w:i/>
        </w:rPr>
        <w:t>,</w:t>
      </w:r>
      <w:r w:rsidR="00011E25" w:rsidRPr="00011E25">
        <w:rPr>
          <w:i/>
        </w:rPr>
        <w:t xml:space="preserve"> you should explain why all the runs are performed for all of </w:t>
      </w:r>
      <w:r w:rsidR="002E383A">
        <w:rPr>
          <w:i/>
        </w:rPr>
        <w:t xml:space="preserve">the </w:t>
      </w:r>
      <w:r w:rsidR="00011E25" w:rsidRPr="00011E25">
        <w:rPr>
          <w:i/>
        </w:rPr>
        <w:t>CONUS rather than just the areas upstream of the selected hydropower projects. I understand why this is necessary for the dynamically</w:t>
      </w:r>
      <w:r w:rsidR="005606E5">
        <w:rPr>
          <w:i/>
        </w:rPr>
        <w:t xml:space="preserve"> </w:t>
      </w:r>
      <w:r w:rsidR="00011E25" w:rsidRPr="00011E25">
        <w:rPr>
          <w:i/>
        </w:rPr>
        <w:t>downscaling simulations, but why was this done for all the remaining steps?</w:t>
      </w:r>
    </w:p>
    <w:p w14:paraId="13776C20" w14:textId="2EAFEEC6" w:rsidR="003A264C" w:rsidRDefault="003A264C" w:rsidP="003A264C">
      <w:pPr>
        <w:pStyle w:val="BodyText"/>
        <w:ind w:left="360" w:hanging="360"/>
      </w:pPr>
      <w:r>
        <w:t>-</w:t>
      </w:r>
      <w:r>
        <w:tab/>
      </w:r>
      <w:r w:rsidR="006A1ECA" w:rsidRPr="006A1ECA">
        <w:t>We foresee that some of the hydroclimate projection data that we developed in this study may also be used to support other nonfederal hydropower stakeholders. Therefore, while our specific SWA focus is on PMA regions, we conducted CONUS-scale simulation and analysis when possible.</w:t>
      </w:r>
    </w:p>
    <w:p w14:paraId="677BCAC2" w14:textId="42A973BF" w:rsidR="003A264C" w:rsidRDefault="003A264C" w:rsidP="003A264C">
      <w:pPr>
        <w:pStyle w:val="BodyText"/>
        <w:spacing w:after="0"/>
      </w:pPr>
      <w:r>
        <w:rPr>
          <w:i/>
        </w:rPr>
        <w:t>6.</w:t>
      </w:r>
      <w:r w:rsidR="00114EF8">
        <w:rPr>
          <w:i/>
        </w:rPr>
        <w:t>4</w:t>
      </w:r>
      <w:r>
        <w:rPr>
          <w:i/>
        </w:rPr>
        <w:t xml:space="preserve"> </w:t>
      </w:r>
      <w:r w:rsidR="00114EF8" w:rsidRPr="00114EF8">
        <w:rPr>
          <w:i/>
        </w:rPr>
        <w:t>When reporting the performance of the hydrologic models (e.g.</w:t>
      </w:r>
      <w:r w:rsidR="00114EF8">
        <w:rPr>
          <w:i/>
        </w:rPr>
        <w:t>,</w:t>
      </w:r>
      <w:r w:rsidR="00114EF8" w:rsidRPr="00114EF8">
        <w:rPr>
          <w:i/>
        </w:rPr>
        <w:t xml:space="preserve"> Fig</w:t>
      </w:r>
      <w:r w:rsidR="002E383A">
        <w:rPr>
          <w:i/>
        </w:rPr>
        <w:t>ure</w:t>
      </w:r>
      <w:r w:rsidR="00114EF8" w:rsidRPr="00114EF8">
        <w:rPr>
          <w:i/>
        </w:rPr>
        <w:t xml:space="preserve"> 2.1</w:t>
      </w:r>
      <w:r w:rsidR="00114EF8">
        <w:rPr>
          <w:i/>
        </w:rPr>
        <w:t>2</w:t>
      </w:r>
      <w:r w:rsidR="00114EF8" w:rsidRPr="00114EF8">
        <w:rPr>
          <w:i/>
        </w:rPr>
        <w:t xml:space="preserve"> and Fig</w:t>
      </w:r>
      <w:r w:rsidR="002E383A">
        <w:rPr>
          <w:i/>
        </w:rPr>
        <w:t>ure</w:t>
      </w:r>
      <w:r w:rsidR="00114EF8" w:rsidRPr="00114EF8">
        <w:rPr>
          <w:i/>
        </w:rPr>
        <w:t xml:space="preserve"> 2.1</w:t>
      </w:r>
      <w:r w:rsidR="00114EF8">
        <w:rPr>
          <w:i/>
        </w:rPr>
        <w:t>3</w:t>
      </w:r>
      <w:r w:rsidR="00114EF8" w:rsidRPr="00114EF8">
        <w:rPr>
          <w:i/>
        </w:rPr>
        <w:t>)</w:t>
      </w:r>
      <w:r w:rsidR="002E383A">
        <w:rPr>
          <w:i/>
        </w:rPr>
        <w:t>,</w:t>
      </w:r>
      <w:r w:rsidR="00114EF8" w:rsidRPr="00114EF8">
        <w:rPr>
          <w:i/>
        </w:rPr>
        <w:t xml:space="preserve"> it is a bit misleading to report the model performance over all of </w:t>
      </w:r>
      <w:r w:rsidR="002E383A">
        <w:rPr>
          <w:i/>
        </w:rPr>
        <w:t xml:space="preserve">the </w:t>
      </w:r>
      <w:r w:rsidR="00114EF8" w:rsidRPr="00114EF8">
        <w:rPr>
          <w:i/>
        </w:rPr>
        <w:t>CONUS rather than the model performance in the HRUs that contribute directly to the flow at the 9505 hydropower plants. At the very least, you should also report the latter and redo Fig</w:t>
      </w:r>
      <w:r w:rsidR="002E383A">
        <w:rPr>
          <w:i/>
        </w:rPr>
        <w:t>ure</w:t>
      </w:r>
      <w:r w:rsidR="00114EF8" w:rsidRPr="00114EF8">
        <w:rPr>
          <w:i/>
        </w:rPr>
        <w:t xml:space="preserve"> 2.1</w:t>
      </w:r>
      <w:r w:rsidR="00114EF8">
        <w:rPr>
          <w:i/>
        </w:rPr>
        <w:t>2</w:t>
      </w:r>
      <w:r w:rsidR="00114EF8" w:rsidRPr="00114EF8">
        <w:rPr>
          <w:i/>
        </w:rPr>
        <w:t>d and Fig</w:t>
      </w:r>
      <w:r w:rsidR="002E383A">
        <w:rPr>
          <w:i/>
        </w:rPr>
        <w:t>ure</w:t>
      </w:r>
      <w:r w:rsidR="00114EF8" w:rsidRPr="00114EF8">
        <w:rPr>
          <w:i/>
        </w:rPr>
        <w:t xml:space="preserve"> 2.1</w:t>
      </w:r>
      <w:r w:rsidR="00114EF8">
        <w:rPr>
          <w:i/>
        </w:rPr>
        <w:t>3</w:t>
      </w:r>
      <w:r w:rsidR="00114EF8" w:rsidRPr="00114EF8">
        <w:rPr>
          <w:i/>
        </w:rPr>
        <w:t>d for just those locations</w:t>
      </w:r>
      <w:r w:rsidRPr="00863080">
        <w:rPr>
          <w:i/>
        </w:rPr>
        <w:t>.</w:t>
      </w:r>
    </w:p>
    <w:p w14:paraId="131E6B17" w14:textId="3F47DD26" w:rsidR="003A264C" w:rsidRDefault="003A264C" w:rsidP="003A264C">
      <w:pPr>
        <w:pStyle w:val="BodyText"/>
        <w:ind w:left="360" w:hanging="360"/>
      </w:pPr>
      <w:r>
        <w:t>-</w:t>
      </w:r>
      <w:r>
        <w:tab/>
      </w:r>
      <w:r w:rsidR="00114EF8" w:rsidRPr="00114EF8">
        <w:t>Since the national-scale results may be of interest to the boarder community, we keep Figures 2.1</w:t>
      </w:r>
      <w:r w:rsidR="003B2EEE">
        <w:t>2</w:t>
      </w:r>
      <w:r w:rsidR="00114EF8" w:rsidRPr="00114EF8">
        <w:t xml:space="preserve"> and 2.1</w:t>
      </w:r>
      <w:r w:rsidR="003B2EEE">
        <w:t>3</w:t>
      </w:r>
      <w:r w:rsidR="00114EF8" w:rsidRPr="00114EF8">
        <w:t xml:space="preserve"> as they are. However, we have included a new </w:t>
      </w:r>
      <w:r w:rsidR="00470C04">
        <w:fldChar w:fldCharType="begin"/>
      </w:r>
      <w:r w:rsidR="00470C04">
        <w:instrText xml:space="preserve"> REF _Ref106977828 \r \h </w:instrText>
      </w:r>
      <w:r w:rsidR="00470C04">
        <w:fldChar w:fldCharType="separate"/>
      </w:r>
      <w:r w:rsidR="00EE0BF5">
        <w:t>APPENDIX I</w:t>
      </w:r>
      <w:r w:rsidR="00470C04">
        <w:fldChar w:fldCharType="end"/>
      </w:r>
      <w:r w:rsidR="00114EF8" w:rsidRPr="00114EF8">
        <w:t xml:space="preserve"> to highlight the model performance of HUC8s within PMA watersheds.</w:t>
      </w:r>
    </w:p>
    <w:p w14:paraId="10FF1971" w14:textId="0A367E0F" w:rsidR="003A264C" w:rsidRDefault="003A264C" w:rsidP="003A264C">
      <w:pPr>
        <w:pStyle w:val="BodyText"/>
        <w:spacing w:after="0"/>
      </w:pPr>
      <w:r>
        <w:rPr>
          <w:i/>
        </w:rPr>
        <w:t>6.</w:t>
      </w:r>
      <w:r w:rsidR="001E1102">
        <w:rPr>
          <w:i/>
        </w:rPr>
        <w:t>5</w:t>
      </w:r>
      <w:r>
        <w:rPr>
          <w:i/>
        </w:rPr>
        <w:t xml:space="preserve"> </w:t>
      </w:r>
      <w:r w:rsidR="002E383A">
        <w:rPr>
          <w:i/>
        </w:rPr>
        <w:t xml:space="preserve">Please </w:t>
      </w:r>
      <w:r w:rsidR="001E1102" w:rsidRPr="001E1102">
        <w:rPr>
          <w:i/>
        </w:rPr>
        <w:t>clarify how streamflow is actually used in the study. How is it different from how the runoff (described in the next paragraph) is used? I found this confusing</w:t>
      </w:r>
      <w:r w:rsidRPr="00863080">
        <w:rPr>
          <w:i/>
        </w:rPr>
        <w:t>.</w:t>
      </w:r>
    </w:p>
    <w:p w14:paraId="257FAD7D" w14:textId="638156F5" w:rsidR="003A264C" w:rsidRDefault="003A264C" w:rsidP="003A264C">
      <w:pPr>
        <w:pStyle w:val="BodyText"/>
        <w:ind w:left="360" w:hanging="360"/>
      </w:pPr>
      <w:r>
        <w:t>-</w:t>
      </w:r>
      <w:r>
        <w:tab/>
      </w:r>
      <w:r w:rsidR="002E383A">
        <w:t xml:space="preserve">The </w:t>
      </w:r>
      <w:r w:rsidR="001E1102" w:rsidRPr="001E1102">
        <w:t xml:space="preserve">HYDAT streamflow database was </w:t>
      </w:r>
      <w:r w:rsidR="002E383A">
        <w:t xml:space="preserve">used </w:t>
      </w:r>
      <w:r w:rsidR="001E1102" w:rsidRPr="001E1102">
        <w:t>to produce a runoff time-series to supplement WaterWatch for Canada</w:t>
      </w:r>
      <w:r w:rsidR="00805545">
        <w:t>’</w:t>
      </w:r>
      <w:r w:rsidR="001E1102" w:rsidRPr="001E1102">
        <w:t>s Upper Columbia River basin.</w:t>
      </w:r>
    </w:p>
    <w:p w14:paraId="2E2F590C" w14:textId="74068EF0" w:rsidR="003A264C" w:rsidRDefault="003A264C" w:rsidP="003A264C">
      <w:pPr>
        <w:pStyle w:val="BodyText"/>
        <w:spacing w:after="0"/>
      </w:pPr>
      <w:r>
        <w:rPr>
          <w:i/>
        </w:rPr>
        <w:t>6.</w:t>
      </w:r>
      <w:r w:rsidR="0050651A">
        <w:rPr>
          <w:i/>
        </w:rPr>
        <w:t>6</w:t>
      </w:r>
      <w:r>
        <w:rPr>
          <w:i/>
        </w:rPr>
        <w:t xml:space="preserve"> </w:t>
      </w:r>
      <w:r w:rsidR="0050651A" w:rsidRPr="0050651A">
        <w:rPr>
          <w:i/>
        </w:rPr>
        <w:t>Why not used the naturalized flows (such as the NRNI</w:t>
      </w:r>
      <w:r w:rsidR="005606E5">
        <w:rPr>
          <w:i/>
        </w:rPr>
        <w:t xml:space="preserve"> data set </w:t>
      </w:r>
      <w:r w:rsidR="0050651A" w:rsidRPr="0050651A">
        <w:rPr>
          <w:i/>
        </w:rPr>
        <w:t xml:space="preserve">for the Columbia </w:t>
      </w:r>
      <w:r w:rsidR="002E383A">
        <w:rPr>
          <w:i/>
        </w:rPr>
        <w:t>River b</w:t>
      </w:r>
      <w:r w:rsidR="0050651A" w:rsidRPr="0050651A">
        <w:rPr>
          <w:i/>
        </w:rPr>
        <w:t>asin) for those areas where they existed? Neither PRMS nor VIC include the effects of regulation.</w:t>
      </w:r>
    </w:p>
    <w:p w14:paraId="6977E385" w14:textId="0F1BF06E" w:rsidR="003A264C" w:rsidRDefault="003A264C" w:rsidP="003A264C">
      <w:pPr>
        <w:pStyle w:val="BodyText"/>
        <w:ind w:left="360" w:hanging="360"/>
      </w:pPr>
      <w:r>
        <w:t>-</w:t>
      </w:r>
      <w:r>
        <w:tab/>
      </w:r>
      <w:r w:rsidR="003103B3" w:rsidRPr="003103B3">
        <w:t>Naturalized flow</w:t>
      </w:r>
      <w:r w:rsidR="00D64187">
        <w:t xml:space="preserve"> </w:t>
      </w:r>
      <w:r w:rsidR="005606E5">
        <w:t>data sets</w:t>
      </w:r>
      <w:r w:rsidR="00D64187">
        <w:t xml:space="preserve"> </w:t>
      </w:r>
      <w:r w:rsidR="003103B3" w:rsidRPr="003103B3">
        <w:t>(</w:t>
      </w:r>
      <w:r w:rsidR="002E383A">
        <w:t>e.g.,</w:t>
      </w:r>
      <w:r w:rsidR="003103B3" w:rsidRPr="003103B3">
        <w:t xml:space="preserve"> NRNI) are certainly valuable to assess the model performance at </w:t>
      </w:r>
      <w:r w:rsidR="002E383A">
        <w:t xml:space="preserve">the </w:t>
      </w:r>
      <w:r w:rsidR="003103B3" w:rsidRPr="003103B3">
        <w:t xml:space="preserve">regional scale. However, we relied on </w:t>
      </w:r>
      <w:r w:rsidR="002E383A">
        <w:t xml:space="preserve">the </w:t>
      </w:r>
      <w:r w:rsidR="003103B3" w:rsidRPr="003103B3">
        <w:t>USGS WaterWatch runoff</w:t>
      </w:r>
      <w:r w:rsidR="005606E5">
        <w:t xml:space="preserve"> data set</w:t>
      </w:r>
      <w:r w:rsidR="002E383A">
        <w:t>,</w:t>
      </w:r>
      <w:r w:rsidR="005606E5">
        <w:t xml:space="preserve"> </w:t>
      </w:r>
      <w:r w:rsidR="003103B3" w:rsidRPr="003103B3">
        <w:t xml:space="preserve">which provides a spatially consistent monthly runoff estimates across </w:t>
      </w:r>
      <w:r w:rsidR="002E383A">
        <w:t xml:space="preserve">the </w:t>
      </w:r>
      <w:r w:rsidR="003103B3" w:rsidRPr="003103B3">
        <w:t>CONUS. This allows us to conduct a systematic and spatially consistent hydrologic model calibration/validation at national scale.</w:t>
      </w:r>
    </w:p>
    <w:p w14:paraId="37604E11" w14:textId="1C962B26" w:rsidR="003A264C" w:rsidRDefault="003A264C" w:rsidP="003A264C">
      <w:pPr>
        <w:pStyle w:val="BodyText"/>
        <w:spacing w:after="0"/>
      </w:pPr>
      <w:r>
        <w:rPr>
          <w:i/>
        </w:rPr>
        <w:t>6.</w:t>
      </w:r>
      <w:r w:rsidR="00195FC0">
        <w:rPr>
          <w:i/>
        </w:rPr>
        <w:t>7</w:t>
      </w:r>
      <w:r>
        <w:rPr>
          <w:i/>
        </w:rPr>
        <w:t xml:space="preserve"> </w:t>
      </w:r>
      <w:r w:rsidR="002E383A">
        <w:rPr>
          <w:i/>
        </w:rPr>
        <w:t xml:space="preserve">In </w:t>
      </w:r>
      <w:r w:rsidR="00195FC0">
        <w:rPr>
          <w:i/>
        </w:rPr>
        <w:t>Fig</w:t>
      </w:r>
      <w:r w:rsidR="002E383A">
        <w:rPr>
          <w:i/>
        </w:rPr>
        <w:t>ure</w:t>
      </w:r>
      <w:r w:rsidR="00195FC0">
        <w:rPr>
          <w:i/>
        </w:rPr>
        <w:t xml:space="preserve"> 2.10</w:t>
      </w:r>
      <w:r w:rsidR="002E383A">
        <w:rPr>
          <w:i/>
        </w:rPr>
        <w:t>,</w:t>
      </w:r>
      <w:r w:rsidR="00195FC0">
        <w:rPr>
          <w:i/>
        </w:rPr>
        <w:t xml:space="preserve"> </w:t>
      </w:r>
      <w:r w:rsidR="002E383A">
        <w:rPr>
          <w:i/>
        </w:rPr>
        <w:t>w</w:t>
      </w:r>
      <w:r w:rsidR="00195FC0" w:rsidRPr="00195FC0">
        <w:rPr>
          <w:i/>
        </w:rPr>
        <w:t>hy is the performance so good in Canada? Same for Fig</w:t>
      </w:r>
      <w:r w:rsidR="002E383A">
        <w:rPr>
          <w:i/>
        </w:rPr>
        <w:t>ure</w:t>
      </w:r>
      <w:r w:rsidR="00195FC0" w:rsidRPr="00195FC0">
        <w:rPr>
          <w:i/>
        </w:rPr>
        <w:t xml:space="preserve"> 2.11</w:t>
      </w:r>
      <w:r w:rsidRPr="00863080">
        <w:rPr>
          <w:i/>
        </w:rPr>
        <w:t>.</w:t>
      </w:r>
    </w:p>
    <w:p w14:paraId="049FB979" w14:textId="6D44160F" w:rsidR="003A264C" w:rsidRDefault="003A264C" w:rsidP="003A264C">
      <w:pPr>
        <w:pStyle w:val="BodyText"/>
        <w:ind w:left="360" w:hanging="360"/>
      </w:pPr>
      <w:r>
        <w:lastRenderedPageBreak/>
        <w:t>-</w:t>
      </w:r>
      <w:r>
        <w:tab/>
      </w:r>
      <w:r w:rsidR="002E383A">
        <w:t xml:space="preserve">Although </w:t>
      </w:r>
      <w:r w:rsidR="00F8468E" w:rsidRPr="00F8468E">
        <w:t>there can be other reasons</w:t>
      </w:r>
      <w:r w:rsidR="002E383A">
        <w:t>,</w:t>
      </w:r>
      <w:r w:rsidR="00F8468E" w:rsidRPr="00F8468E">
        <w:t xml:space="preserve"> including good meteorological forcings, the spatial units on the Canadian side are much larger (among the largest of all HUC8s)</w:t>
      </w:r>
      <w:r w:rsidR="002E383A">
        <w:t>,</w:t>
      </w:r>
      <w:r w:rsidR="00F8468E" w:rsidRPr="00F8468E">
        <w:t xml:space="preserve"> </w:t>
      </w:r>
      <w:r w:rsidR="002E383A">
        <w:t xml:space="preserve">thus </w:t>
      </w:r>
      <w:r w:rsidR="00F8468E" w:rsidRPr="00F8468E">
        <w:t>resulting in a more lumped hydrologic response</w:t>
      </w:r>
      <w:r w:rsidR="002E383A">
        <w:t>,</w:t>
      </w:r>
      <w:r w:rsidR="00F8468E" w:rsidRPr="00F8468E">
        <w:t xml:space="preserve"> leading to better performance during calibration.</w:t>
      </w:r>
    </w:p>
    <w:p w14:paraId="7E9AFB85" w14:textId="2E7215DE" w:rsidR="003A264C" w:rsidRDefault="003A264C" w:rsidP="003A264C">
      <w:pPr>
        <w:pStyle w:val="BodyText"/>
        <w:spacing w:after="0"/>
      </w:pPr>
      <w:r>
        <w:rPr>
          <w:i/>
        </w:rPr>
        <w:t>6.</w:t>
      </w:r>
      <w:r w:rsidR="00EB0397">
        <w:rPr>
          <w:i/>
        </w:rPr>
        <w:t>8</w:t>
      </w:r>
      <w:r>
        <w:rPr>
          <w:i/>
        </w:rPr>
        <w:t xml:space="preserve"> </w:t>
      </w:r>
      <w:r w:rsidR="002E383A">
        <w:rPr>
          <w:i/>
        </w:rPr>
        <w:t xml:space="preserve">It’s </w:t>
      </w:r>
      <w:r w:rsidR="00EB0397" w:rsidRPr="00EB0397">
        <w:rPr>
          <w:i/>
        </w:rPr>
        <w:t xml:space="preserve">unclear what </w:t>
      </w:r>
      <w:r w:rsidR="002E383A">
        <w:rPr>
          <w:i/>
        </w:rPr>
        <w:t xml:space="preserve">“multiscale” </w:t>
      </w:r>
      <w:r w:rsidR="00EB0397" w:rsidRPr="00EB0397">
        <w:rPr>
          <w:i/>
        </w:rPr>
        <w:t>refers to? Time scales? Spatial scales?</w:t>
      </w:r>
    </w:p>
    <w:p w14:paraId="1AB00FBC" w14:textId="61C1AC3D" w:rsidR="003A264C" w:rsidRDefault="003A264C" w:rsidP="003A264C">
      <w:pPr>
        <w:pStyle w:val="BodyText"/>
        <w:ind w:left="360" w:hanging="360"/>
      </w:pPr>
      <w:r>
        <w:t>-</w:t>
      </w:r>
      <w:r>
        <w:tab/>
      </w:r>
      <w:r w:rsidR="00EB0397" w:rsidRPr="00EB0397">
        <w:t xml:space="preserve">Both. The calibration has two steps. The first step was done at PMA </w:t>
      </w:r>
      <w:r w:rsidR="002E383A">
        <w:t xml:space="preserve">the </w:t>
      </w:r>
      <w:r w:rsidR="00EB0397" w:rsidRPr="00EB0397">
        <w:t xml:space="preserve">regional level and </w:t>
      </w:r>
      <w:r w:rsidR="002E383A">
        <w:t xml:space="preserve">an </w:t>
      </w:r>
      <w:r w:rsidR="00EB0397" w:rsidRPr="00EB0397">
        <w:t xml:space="preserve">annual time step, </w:t>
      </w:r>
      <w:r w:rsidR="002E383A">
        <w:t xml:space="preserve">and </w:t>
      </w:r>
      <w:r w:rsidR="00EB0397" w:rsidRPr="00EB0397">
        <w:t xml:space="preserve">the second step focused on plant level at </w:t>
      </w:r>
      <w:r w:rsidR="002E383A">
        <w:t xml:space="preserve">a </w:t>
      </w:r>
      <w:r w:rsidR="00EB0397" w:rsidRPr="00EB0397">
        <w:t xml:space="preserve">monthly time step. We have modified the text to be more specific about the scales </w:t>
      </w:r>
      <w:r w:rsidR="002E383A">
        <w:t xml:space="preserve">to which </w:t>
      </w:r>
      <w:r w:rsidR="00EB0397" w:rsidRPr="00EB0397">
        <w:t>we refer.</w:t>
      </w:r>
    </w:p>
    <w:p w14:paraId="107521E8" w14:textId="1650997E" w:rsidR="007A4E23" w:rsidRDefault="007A4E23" w:rsidP="007A4E23">
      <w:pPr>
        <w:pStyle w:val="BodyText"/>
      </w:pPr>
      <w:r w:rsidRPr="00DA1CA8">
        <w:rPr>
          <w:b/>
        </w:rPr>
        <w:t xml:space="preserve">Reviewer </w:t>
      </w:r>
      <w:r w:rsidR="00F767EC">
        <w:rPr>
          <w:b/>
        </w:rPr>
        <w:t>7</w:t>
      </w:r>
    </w:p>
    <w:p w14:paraId="78A27009" w14:textId="7C1A0917" w:rsidR="007A4E23" w:rsidRDefault="00A76983" w:rsidP="007A4E23">
      <w:pPr>
        <w:pStyle w:val="BodyText"/>
        <w:spacing w:after="0"/>
      </w:pPr>
      <w:r>
        <w:rPr>
          <w:i/>
        </w:rPr>
        <w:t>7</w:t>
      </w:r>
      <w:r w:rsidR="007A4E23">
        <w:rPr>
          <w:i/>
        </w:rPr>
        <w:t xml:space="preserve">.1 </w:t>
      </w:r>
      <w:r w:rsidR="002F3965" w:rsidRPr="00A76983">
        <w:rPr>
          <w:i/>
        </w:rPr>
        <w:t>The results</w:t>
      </w:r>
      <w:r w:rsidRPr="00A76983">
        <w:rPr>
          <w:i/>
        </w:rPr>
        <w:t xml:space="preserve"> presented in the third hydropower assessment represent a massive amount of work that is summarized fairly succinctly at multiple spatial scales. This aspect of the report should enhance it</w:t>
      </w:r>
      <w:r w:rsidR="002E383A">
        <w:rPr>
          <w:i/>
        </w:rPr>
        <w:t>s</w:t>
      </w:r>
      <w:r w:rsidRPr="00A76983">
        <w:rPr>
          <w:i/>
        </w:rPr>
        <w:t xml:space="preserve"> regional utility for multiple stakeholders and utilities managers.</w:t>
      </w:r>
    </w:p>
    <w:p w14:paraId="28EC7587" w14:textId="77777777" w:rsidR="007D4FC9" w:rsidRDefault="007D4FC9" w:rsidP="007A4E23">
      <w:pPr>
        <w:pStyle w:val="BodyText"/>
        <w:spacing w:after="0"/>
        <w:rPr>
          <w:i/>
        </w:rPr>
      </w:pPr>
    </w:p>
    <w:p w14:paraId="40FF6428" w14:textId="3690633C" w:rsidR="007A4E23" w:rsidRDefault="003642AE" w:rsidP="007A4E23">
      <w:pPr>
        <w:pStyle w:val="BodyText"/>
        <w:spacing w:after="0"/>
      </w:pPr>
      <w:r w:rsidRPr="003642AE">
        <w:rPr>
          <w:i/>
        </w:rPr>
        <w:t>A particularly noteworthy analysis effort in this assessment was the identification and quantification of the major sources of variability and hence uncertainty in the modeling results. To date, I have only seen multimodel assessments such as this conducted on individual basins or sub-basins. It was of particular interest to see the change in major variance contributing factors across regional, basin</w:t>
      </w:r>
      <w:r w:rsidR="002E383A">
        <w:rPr>
          <w:i/>
        </w:rPr>
        <w:t>,</w:t>
      </w:r>
      <w:r w:rsidRPr="003642AE">
        <w:rPr>
          <w:i/>
        </w:rPr>
        <w:t xml:space="preserve"> seasonal</w:t>
      </w:r>
      <w:r w:rsidR="002E383A">
        <w:rPr>
          <w:i/>
        </w:rPr>
        <w:t>,</w:t>
      </w:r>
      <w:r w:rsidRPr="003642AE">
        <w:rPr>
          <w:i/>
        </w:rPr>
        <w:t xml:space="preserve"> </w:t>
      </w:r>
      <w:r w:rsidR="002E383A">
        <w:rPr>
          <w:i/>
        </w:rPr>
        <w:t xml:space="preserve">and </w:t>
      </w:r>
      <w:r w:rsidRPr="003642AE">
        <w:rPr>
          <w:i/>
        </w:rPr>
        <w:t>annual scales. This is an impressive aspect of the results presented within in the report</w:t>
      </w:r>
      <w:r w:rsidR="007A4E23" w:rsidRPr="00863080">
        <w:rPr>
          <w:i/>
        </w:rPr>
        <w:t>.</w:t>
      </w:r>
    </w:p>
    <w:p w14:paraId="5BAD0DDF" w14:textId="77777777" w:rsidR="007D4FC9" w:rsidRDefault="007D4FC9" w:rsidP="00A76983">
      <w:pPr>
        <w:pStyle w:val="BodyText"/>
        <w:spacing w:after="0"/>
        <w:rPr>
          <w:i/>
        </w:rPr>
      </w:pPr>
    </w:p>
    <w:p w14:paraId="17D7A0C2" w14:textId="52E3D6AC" w:rsidR="00A76983" w:rsidRDefault="006032E3" w:rsidP="00A76983">
      <w:pPr>
        <w:pStyle w:val="BodyText"/>
        <w:spacing w:after="0"/>
      </w:pPr>
      <w:r w:rsidRPr="006032E3">
        <w:rPr>
          <w:i/>
        </w:rPr>
        <w:t>The authors should be commended for the time and effort devoted to the generation of such a high-quality synthesis product focused on the impact of climate change on hydropower generation across the CONUS. Most of my thoughts and potential comments while reading the report fell outside the scope of work being conducted here and thus would not be worth addressing in a formal review process. Minor typos or potential figure suggestions are all that</w:t>
      </w:r>
      <w:r w:rsidR="002E383A">
        <w:rPr>
          <w:i/>
        </w:rPr>
        <w:t xml:space="preserve"> are</w:t>
      </w:r>
      <w:r w:rsidRPr="006032E3">
        <w:rPr>
          <w:i/>
        </w:rPr>
        <w:t xml:space="preserve"> noted in my specific comments.</w:t>
      </w:r>
    </w:p>
    <w:p w14:paraId="463EF949" w14:textId="5A19259F" w:rsidR="00A76983" w:rsidRDefault="00A76983" w:rsidP="00A76983">
      <w:pPr>
        <w:pStyle w:val="BodyText"/>
        <w:ind w:left="360" w:hanging="360"/>
      </w:pPr>
      <w:r>
        <w:t>-</w:t>
      </w:r>
      <w:r>
        <w:tab/>
      </w:r>
      <w:r w:rsidR="001263F2" w:rsidRPr="001263F2">
        <w:t>Thank you. We appreciate your positive comment and encouragement.</w:t>
      </w:r>
    </w:p>
    <w:p w14:paraId="78EE31F1" w14:textId="4F228490" w:rsidR="00A76983" w:rsidRDefault="00A76983" w:rsidP="00A76983">
      <w:pPr>
        <w:pStyle w:val="BodyText"/>
        <w:spacing w:after="0"/>
      </w:pPr>
      <w:r>
        <w:rPr>
          <w:i/>
        </w:rPr>
        <w:t xml:space="preserve">7.2 </w:t>
      </w:r>
      <w:r w:rsidR="00ED2592" w:rsidRPr="00ED2592">
        <w:rPr>
          <w:i/>
        </w:rPr>
        <w:t xml:space="preserve">The emissions scenario numeric coding is specific to this report (though clearly based on SSPs and RCPs). </w:t>
      </w:r>
      <w:r w:rsidR="002E383A">
        <w:rPr>
          <w:i/>
        </w:rPr>
        <w:t>Alt</w:t>
      </w:r>
      <w:r w:rsidR="00ED2592" w:rsidRPr="00ED2592">
        <w:rPr>
          <w:i/>
        </w:rPr>
        <w:t>hough the numbers are intuitive to those who follow the literature as to which h</w:t>
      </w:r>
      <w:r w:rsidR="00ED2592">
        <w:rPr>
          <w:i/>
        </w:rPr>
        <w:t>a</w:t>
      </w:r>
      <w:r w:rsidR="00ED2592" w:rsidRPr="00ED2592">
        <w:rPr>
          <w:i/>
        </w:rPr>
        <w:t xml:space="preserve">s a high </w:t>
      </w:r>
      <w:r w:rsidR="002E383A" w:rsidRPr="002E383A">
        <w:rPr>
          <w:i/>
        </w:rPr>
        <w:t>vs.</w:t>
      </w:r>
      <w:r w:rsidR="00ED2592" w:rsidRPr="00ED2592">
        <w:rPr>
          <w:i/>
        </w:rPr>
        <w:t xml:space="preserve"> low emissions scenario, you may want to add that information either as a secondary arrow in the key of </w:t>
      </w:r>
      <w:r w:rsidR="002E383A">
        <w:rPr>
          <w:i/>
        </w:rPr>
        <w:t>F</w:t>
      </w:r>
      <w:r w:rsidR="00ED2592" w:rsidRPr="00ED2592">
        <w:rPr>
          <w:i/>
        </w:rPr>
        <w:t>igure ES.3, or define what the emissions scenario numbering refers to in the caption or main text. This would help a more general readership</w:t>
      </w:r>
      <w:r w:rsidRPr="00863080">
        <w:rPr>
          <w:i/>
        </w:rPr>
        <w:t>.</w:t>
      </w:r>
    </w:p>
    <w:p w14:paraId="64FEF53E" w14:textId="2C70841A" w:rsidR="00A76983" w:rsidRDefault="00A76983" w:rsidP="00A76983">
      <w:pPr>
        <w:pStyle w:val="BodyText"/>
        <w:ind w:left="360" w:hanging="360"/>
      </w:pPr>
      <w:r>
        <w:t>-</w:t>
      </w:r>
      <w:r>
        <w:tab/>
      </w:r>
      <w:r w:rsidR="00A20EDC" w:rsidRPr="00A20EDC">
        <w:t xml:space="preserve">We use the most recent emission scenario names in CMIP6 (e.g., SSP585), which </w:t>
      </w:r>
      <w:r w:rsidR="002E383A">
        <w:t xml:space="preserve">are </w:t>
      </w:r>
      <w:r w:rsidR="00A20EDC" w:rsidRPr="00A20EDC">
        <w:t xml:space="preserve">slightly different </w:t>
      </w:r>
      <w:r w:rsidR="002E383A">
        <w:t xml:space="preserve">from </w:t>
      </w:r>
      <w:r w:rsidR="00A20EDC" w:rsidRPr="00A20EDC">
        <w:t>the names used in CMIP5 (e.g., RCP8.5).</w:t>
      </w:r>
    </w:p>
    <w:p w14:paraId="297E5DB4" w14:textId="5F9BB8E5" w:rsidR="007A4E23" w:rsidRDefault="007A4E23" w:rsidP="007A4E23">
      <w:pPr>
        <w:pStyle w:val="BodyText"/>
      </w:pPr>
      <w:r w:rsidRPr="00DA1CA8">
        <w:rPr>
          <w:b/>
        </w:rPr>
        <w:t xml:space="preserve">Reviewer </w:t>
      </w:r>
      <w:r w:rsidR="00FE2AE4">
        <w:rPr>
          <w:b/>
        </w:rPr>
        <w:t>8</w:t>
      </w:r>
    </w:p>
    <w:p w14:paraId="6FDD9CD4" w14:textId="49A8EAD7" w:rsidR="007A4E23" w:rsidRDefault="00FE2AE4" w:rsidP="007A4E23">
      <w:pPr>
        <w:pStyle w:val="BodyText"/>
        <w:spacing w:after="0"/>
      </w:pPr>
      <w:r>
        <w:rPr>
          <w:i/>
        </w:rPr>
        <w:t>8</w:t>
      </w:r>
      <w:r w:rsidR="007A4E23">
        <w:rPr>
          <w:i/>
        </w:rPr>
        <w:t xml:space="preserve">.1 </w:t>
      </w:r>
      <w:r w:rsidRPr="00FE2AE4">
        <w:rPr>
          <w:i/>
        </w:rPr>
        <w:t>Some scientific principles used could be explained further for people who are not familiar with them</w:t>
      </w:r>
      <w:r w:rsidR="007A4E23" w:rsidRPr="00357780">
        <w:rPr>
          <w:i/>
        </w:rPr>
        <w:t>.</w:t>
      </w:r>
    </w:p>
    <w:p w14:paraId="23D65413" w14:textId="4321DC8B" w:rsidR="007A4E23" w:rsidRDefault="007A4E23" w:rsidP="007A4E23">
      <w:pPr>
        <w:pStyle w:val="BodyText"/>
        <w:ind w:left="360" w:hanging="360"/>
      </w:pPr>
      <w:r>
        <w:t>-</w:t>
      </w:r>
      <w:r>
        <w:tab/>
      </w:r>
      <w:r w:rsidR="00FE2AE4" w:rsidRPr="00FE2AE4">
        <w:t>Thank you for the suggestion. We have revised several parts of Section 2 to better explain the methodology.</w:t>
      </w:r>
    </w:p>
    <w:p w14:paraId="70641578" w14:textId="05F766DB" w:rsidR="007A4E23" w:rsidRDefault="00FE2AE4" w:rsidP="007A4E23">
      <w:pPr>
        <w:pStyle w:val="BodyText"/>
        <w:spacing w:after="0"/>
      </w:pPr>
      <w:r>
        <w:rPr>
          <w:i/>
        </w:rPr>
        <w:t>8</w:t>
      </w:r>
      <w:r w:rsidR="007A4E23">
        <w:rPr>
          <w:i/>
        </w:rPr>
        <w:t xml:space="preserve">.2 </w:t>
      </w:r>
      <w:r w:rsidR="00C569C1" w:rsidRPr="00C569C1">
        <w:rPr>
          <w:i/>
        </w:rPr>
        <w:t xml:space="preserve">Can we quantify the </w:t>
      </w:r>
      <w:r w:rsidR="00930433">
        <w:rPr>
          <w:i/>
        </w:rPr>
        <w:t>“</w:t>
      </w:r>
      <w:r w:rsidR="00C569C1" w:rsidRPr="00C569C1">
        <w:rPr>
          <w:i/>
        </w:rPr>
        <w:t>error</w:t>
      </w:r>
      <w:r w:rsidR="00930433">
        <w:rPr>
          <w:i/>
        </w:rPr>
        <w:t>”</w:t>
      </w:r>
      <w:r w:rsidR="00C569C1" w:rsidRPr="00C569C1">
        <w:rPr>
          <w:i/>
        </w:rPr>
        <w:t>/gap in modeling by not accounting for these site-specific features?</w:t>
      </w:r>
    </w:p>
    <w:p w14:paraId="4A98A21E" w14:textId="13AC4885" w:rsidR="007A4E23" w:rsidRDefault="007A4E23" w:rsidP="007A4E23">
      <w:pPr>
        <w:pStyle w:val="BodyText"/>
        <w:ind w:left="360" w:hanging="360"/>
      </w:pPr>
      <w:r>
        <w:t>-</w:t>
      </w:r>
      <w:r>
        <w:tab/>
      </w:r>
      <w:r w:rsidR="00C569C1" w:rsidRPr="00C569C1">
        <w:t xml:space="preserve">We recognize </w:t>
      </w:r>
      <w:r w:rsidR="002E383A">
        <w:t xml:space="preserve">this </w:t>
      </w:r>
      <w:r w:rsidR="00C569C1" w:rsidRPr="00C569C1">
        <w:t>concern. We believe that it depends on the intended objective and targeted spatial scale. Since our biggest goal is to evaluate the broad climate change impacts on all federal hydropower plants, we do not have the ability to address many site-specific issues. We eventually discuss the needs of site-specific assessments in future studies.</w:t>
      </w:r>
    </w:p>
    <w:p w14:paraId="22C57D7E" w14:textId="40CAEBDB" w:rsidR="00FE2AE4" w:rsidRDefault="00FE2AE4" w:rsidP="002E383A">
      <w:pPr>
        <w:pStyle w:val="BodyText"/>
        <w:keepNext/>
        <w:spacing w:after="0"/>
      </w:pPr>
      <w:r>
        <w:rPr>
          <w:i/>
        </w:rPr>
        <w:lastRenderedPageBreak/>
        <w:t>8.</w:t>
      </w:r>
      <w:r w:rsidR="006B2AC2">
        <w:rPr>
          <w:i/>
        </w:rPr>
        <w:t>3</w:t>
      </w:r>
      <w:r>
        <w:rPr>
          <w:i/>
        </w:rPr>
        <w:t xml:space="preserve"> </w:t>
      </w:r>
      <w:r w:rsidR="006B2AC2" w:rsidRPr="006B2AC2">
        <w:rPr>
          <w:i/>
        </w:rPr>
        <w:t>Has the space been normalized before applying PCA? How? Dividing by standard deviation, by max-min, other?</w:t>
      </w:r>
    </w:p>
    <w:p w14:paraId="0D6C1422" w14:textId="530DE49F" w:rsidR="00FE2AE4" w:rsidRDefault="00FE2AE4" w:rsidP="00FE2AE4">
      <w:pPr>
        <w:pStyle w:val="BodyText"/>
        <w:ind w:left="360" w:hanging="360"/>
      </w:pPr>
      <w:r>
        <w:t>-</w:t>
      </w:r>
      <w:r>
        <w:tab/>
      </w:r>
      <w:r w:rsidR="00D600BF" w:rsidRPr="00D600BF">
        <w:t xml:space="preserve">Yes, </w:t>
      </w:r>
      <w:r w:rsidR="00D600BF">
        <w:t>t</w:t>
      </w:r>
      <w:r w:rsidR="00D600BF" w:rsidRPr="00D600BF">
        <w:t xml:space="preserve">he EOF analyses is based on the normalized relative errors. This information has been provided in </w:t>
      </w:r>
      <w:r w:rsidR="00470C04">
        <w:fldChar w:fldCharType="begin"/>
      </w:r>
      <w:r w:rsidR="00470C04">
        <w:instrText xml:space="preserve"> REF _Ref106977839 \r \h </w:instrText>
      </w:r>
      <w:r w:rsidR="00470C04">
        <w:fldChar w:fldCharType="separate"/>
      </w:r>
      <w:r w:rsidR="00EE0BF5">
        <w:t>APPENDIX C</w:t>
      </w:r>
      <w:r w:rsidR="00470C04">
        <w:fldChar w:fldCharType="end"/>
      </w:r>
      <w:r w:rsidR="00D600BF" w:rsidRPr="00D600BF">
        <w:t>.</w:t>
      </w:r>
    </w:p>
    <w:p w14:paraId="064D092A" w14:textId="75B52856" w:rsidR="00FE2AE4" w:rsidRDefault="00FE2AE4" w:rsidP="00FE2AE4">
      <w:pPr>
        <w:pStyle w:val="BodyText"/>
        <w:spacing w:after="0"/>
      </w:pPr>
      <w:r>
        <w:rPr>
          <w:i/>
        </w:rPr>
        <w:t>8.</w:t>
      </w:r>
      <w:r w:rsidR="00DC5382">
        <w:rPr>
          <w:i/>
        </w:rPr>
        <w:t>4</w:t>
      </w:r>
      <w:r>
        <w:rPr>
          <w:i/>
        </w:rPr>
        <w:t xml:space="preserve"> </w:t>
      </w:r>
      <w:r w:rsidR="00DC5382" w:rsidRPr="00DC5382">
        <w:rPr>
          <w:i/>
        </w:rPr>
        <w:t xml:space="preserve">Why </w:t>
      </w:r>
      <w:r w:rsidR="002E3C95">
        <w:rPr>
          <w:i/>
        </w:rPr>
        <w:t xml:space="preserve">was </w:t>
      </w:r>
      <w:r w:rsidR="00DC5382" w:rsidRPr="00DC5382">
        <w:rPr>
          <w:i/>
        </w:rPr>
        <w:t>PSO used instead of other Evolutionary algorithms?</w:t>
      </w:r>
    </w:p>
    <w:p w14:paraId="54653532" w14:textId="4E31C3C8" w:rsidR="00FE2AE4" w:rsidRDefault="00FE2AE4" w:rsidP="00FE2AE4">
      <w:pPr>
        <w:pStyle w:val="BodyText"/>
        <w:ind w:left="360" w:hanging="360"/>
      </w:pPr>
      <w:r>
        <w:t>-</w:t>
      </w:r>
      <w:r>
        <w:tab/>
      </w:r>
      <w:r w:rsidR="000656E3" w:rsidRPr="000656E3">
        <w:t>PSO is a widely used swarm intelligence</w:t>
      </w:r>
      <w:r w:rsidR="002E3C95">
        <w:t>–</w:t>
      </w:r>
      <w:r w:rsidR="000656E3" w:rsidRPr="000656E3">
        <w:t>based optimization technique and is effective for use in hydrological model calibration (Jiang et al., 2007). PSO is conceptually simple, computationally efficient, and can take advantage of parallel processing in large high-performance computing systems (Guo et al., 2014; Lee et al., 2006), which is suitable to our application in this study.</w:t>
      </w:r>
    </w:p>
    <w:p w14:paraId="49B6AE0F" w14:textId="33A3636C" w:rsidR="00FE2AE4" w:rsidRDefault="00FE2AE4" w:rsidP="00FE2AE4">
      <w:pPr>
        <w:pStyle w:val="BodyText"/>
        <w:spacing w:after="0"/>
      </w:pPr>
      <w:r>
        <w:rPr>
          <w:i/>
        </w:rPr>
        <w:t>8.</w:t>
      </w:r>
      <w:r w:rsidR="009A4B0F">
        <w:rPr>
          <w:i/>
        </w:rPr>
        <w:t>5</w:t>
      </w:r>
      <w:r>
        <w:rPr>
          <w:i/>
        </w:rPr>
        <w:t xml:space="preserve"> </w:t>
      </w:r>
      <w:r w:rsidR="009A4B0F" w:rsidRPr="009A4B0F">
        <w:rPr>
          <w:i/>
        </w:rPr>
        <w:t>Is it possible to include a brief discussion about the impacts of future operational rules?</w:t>
      </w:r>
    </w:p>
    <w:p w14:paraId="004048B3" w14:textId="7FF11C33" w:rsidR="00FE2AE4" w:rsidRDefault="00FE2AE4" w:rsidP="00FE2AE4">
      <w:pPr>
        <w:pStyle w:val="BodyText"/>
        <w:ind w:left="360" w:hanging="360"/>
      </w:pPr>
      <w:r>
        <w:t>-</w:t>
      </w:r>
      <w:r>
        <w:tab/>
      </w:r>
      <w:r w:rsidR="009A4B0F" w:rsidRPr="009A4B0F">
        <w:t xml:space="preserve">We have added a </w:t>
      </w:r>
      <w:r w:rsidR="002E3C95">
        <w:t xml:space="preserve">discussion </w:t>
      </w:r>
      <w:r w:rsidR="009A4B0F" w:rsidRPr="009A4B0F">
        <w:t xml:space="preserve">in </w:t>
      </w:r>
      <w:r w:rsidR="002E3C95">
        <w:t xml:space="preserve">Section </w:t>
      </w:r>
      <w:r w:rsidR="009A4B0F" w:rsidRPr="009A4B0F">
        <w:t xml:space="preserve">2.6.4.2 </w:t>
      </w:r>
      <w:r w:rsidR="002E3C95">
        <w:t xml:space="preserve">on </w:t>
      </w:r>
      <w:r w:rsidR="009A4B0F" w:rsidRPr="009A4B0F">
        <w:t>future work on ensemble of parameterization for the water management model with multiple operations and water demand scenarios. For this work, we rather focus on multimodel hydropower models with one similar parameterization.</w:t>
      </w:r>
    </w:p>
    <w:p w14:paraId="3D31A6F0" w14:textId="2A7033FD" w:rsidR="00FE2AE4" w:rsidRDefault="00FE2AE4" w:rsidP="00FE2AE4">
      <w:pPr>
        <w:pStyle w:val="BodyText"/>
        <w:spacing w:after="0"/>
      </w:pPr>
      <w:r>
        <w:rPr>
          <w:i/>
        </w:rPr>
        <w:t>8.</w:t>
      </w:r>
      <w:r w:rsidR="00385666">
        <w:rPr>
          <w:i/>
        </w:rPr>
        <w:t>6</w:t>
      </w:r>
      <w:r>
        <w:rPr>
          <w:i/>
        </w:rPr>
        <w:t xml:space="preserve"> </w:t>
      </w:r>
      <w:r w:rsidR="00385666" w:rsidRPr="00385666">
        <w:rPr>
          <w:i/>
        </w:rPr>
        <w:t>The shape of a tetrahedron assumption seems to be an over-simplification. Even though the actual shape can vary significantly among reservoirs, isn</w:t>
      </w:r>
      <w:r w:rsidR="00805545">
        <w:rPr>
          <w:i/>
        </w:rPr>
        <w:t>’</w:t>
      </w:r>
      <w:r w:rsidR="00385666" w:rsidRPr="00385666">
        <w:rPr>
          <w:i/>
        </w:rPr>
        <w:t>t there a slightly more complex but more accurate assumption that can be made for the shape of all reservoirs?</w:t>
      </w:r>
    </w:p>
    <w:p w14:paraId="19FCEABD" w14:textId="237E9134" w:rsidR="002E3C95" w:rsidRDefault="00FE2AE4" w:rsidP="00FE2AE4">
      <w:pPr>
        <w:pStyle w:val="BodyText"/>
        <w:ind w:left="360" w:hanging="360"/>
      </w:pPr>
      <w:r>
        <w:t>-</w:t>
      </w:r>
      <w:r>
        <w:tab/>
      </w:r>
      <w:r w:rsidR="00385666" w:rsidRPr="00385666">
        <w:t xml:space="preserve">The tetrahedron is an assumption adopted by Fekete et al. (2010). The most recent database that </w:t>
      </w:r>
      <w:r w:rsidR="00930433">
        <w:t>“</w:t>
      </w:r>
      <w:r w:rsidR="00385666" w:rsidRPr="00385666">
        <w:t>calibrate</w:t>
      </w:r>
      <w:r w:rsidR="002E3C95">
        <w:t>s</w:t>
      </w:r>
      <w:r w:rsidR="00930433">
        <w:t>”</w:t>
      </w:r>
      <w:r w:rsidR="00385666" w:rsidRPr="00385666">
        <w:t xml:space="preserve"> the shape of reservoirs to different shapes include</w:t>
      </w:r>
      <w:r w:rsidR="002E3C95">
        <w:t>s</w:t>
      </w:r>
      <w:r w:rsidR="00385666" w:rsidRPr="00385666">
        <w:t xml:space="preserve"> </w:t>
      </w:r>
      <w:r w:rsidR="002E3C95">
        <w:t xml:space="preserve">one by </w:t>
      </w:r>
      <w:r w:rsidR="00385666" w:rsidRPr="00385666">
        <w:t>Yigzaw et al. (2018)</w:t>
      </w:r>
      <w:r w:rsidR="002E3C95">
        <w:t>,</w:t>
      </w:r>
      <w:r w:rsidR="00385666" w:rsidRPr="00385666">
        <w:t xml:space="preserve"> </w:t>
      </w:r>
      <w:r w:rsidR="002E3C95">
        <w:t xml:space="preserve">but </w:t>
      </w:r>
      <w:r w:rsidR="00385666" w:rsidRPr="00385666">
        <w:t>this is a research product where the overall volume ends up modified and more work is needed to calibrate the shape for hydropower operations. We noted this comment in future work</w:t>
      </w:r>
      <w:r w:rsidR="002E3C95">
        <w:t>,</w:t>
      </w:r>
      <w:r w:rsidR="00385666" w:rsidRPr="00385666">
        <w:t xml:space="preserve"> as well</w:t>
      </w:r>
      <w:r w:rsidR="002E3C95">
        <w:t>.</w:t>
      </w:r>
      <w:r w:rsidR="00385666" w:rsidRPr="00385666">
        <w:t xml:space="preserve"> </w:t>
      </w:r>
    </w:p>
    <w:p w14:paraId="34DE0999" w14:textId="3EF1EEEC" w:rsidR="00FE2AE4" w:rsidRDefault="00385666" w:rsidP="002E3C95">
      <w:pPr>
        <w:pStyle w:val="BodyText"/>
        <w:ind w:left="720"/>
      </w:pPr>
      <w:r w:rsidRPr="00385666">
        <w:t xml:space="preserve">Yigzaw et al. (2018), A </w:t>
      </w:r>
      <w:r w:rsidR="0056500D">
        <w:t>N</w:t>
      </w:r>
      <w:r w:rsidRPr="00385666">
        <w:t xml:space="preserve">ew </w:t>
      </w:r>
      <w:r w:rsidR="0056500D">
        <w:t>G</w:t>
      </w:r>
      <w:r w:rsidRPr="00385666">
        <w:t xml:space="preserve">lobal </w:t>
      </w:r>
      <w:r w:rsidR="0056500D">
        <w:t>S</w:t>
      </w:r>
      <w:r w:rsidRPr="00385666">
        <w:t xml:space="preserve">torage‐area‐depth </w:t>
      </w:r>
      <w:r w:rsidR="0056500D">
        <w:t>D</w:t>
      </w:r>
      <w:r w:rsidRPr="00385666">
        <w:t xml:space="preserve">ata </w:t>
      </w:r>
      <w:r w:rsidR="0056500D">
        <w:t>S</w:t>
      </w:r>
      <w:r w:rsidRPr="00385666">
        <w:t xml:space="preserve">et for Modeling </w:t>
      </w:r>
      <w:r w:rsidR="0056500D">
        <w:t>R</w:t>
      </w:r>
      <w:r w:rsidRPr="00385666">
        <w:t xml:space="preserve">eservoirs in </w:t>
      </w:r>
      <w:r w:rsidR="0056500D">
        <w:t>L</w:t>
      </w:r>
      <w:r w:rsidRPr="00385666">
        <w:t xml:space="preserve">and </w:t>
      </w:r>
      <w:r w:rsidR="0056500D">
        <w:t>S</w:t>
      </w:r>
      <w:r w:rsidRPr="00385666">
        <w:t xml:space="preserve">urface and </w:t>
      </w:r>
      <w:r w:rsidR="0056500D">
        <w:t>E</w:t>
      </w:r>
      <w:r w:rsidRPr="00385666">
        <w:t xml:space="preserve">arth </w:t>
      </w:r>
      <w:r w:rsidR="0056500D">
        <w:t>S</w:t>
      </w:r>
      <w:r w:rsidRPr="00385666">
        <w:t xml:space="preserve">ystem </w:t>
      </w:r>
      <w:r w:rsidR="0056500D">
        <w:t>M</w:t>
      </w:r>
      <w:r w:rsidRPr="00385666">
        <w:t xml:space="preserve">odels, </w:t>
      </w:r>
      <w:r w:rsidRPr="0056500D">
        <w:rPr>
          <w:i/>
          <w:iCs/>
        </w:rPr>
        <w:t>Water Resources Research</w:t>
      </w:r>
      <w:r w:rsidRPr="00385666">
        <w:t xml:space="preserve">, </w:t>
      </w:r>
      <w:r w:rsidRPr="00875D93">
        <w:rPr>
          <w:i/>
          <w:iCs/>
        </w:rPr>
        <w:t>54</w:t>
      </w:r>
      <w:r w:rsidRPr="00385666">
        <w:t>(12), 10372</w:t>
      </w:r>
      <w:r w:rsidR="00875D93">
        <w:t>–10386</w:t>
      </w:r>
      <w:r w:rsidR="0056500D">
        <w:t xml:space="preserve">, </w:t>
      </w:r>
      <w:hyperlink r:id="rId507" w:history="1">
        <w:r w:rsidR="00BF1176" w:rsidRPr="00E00258">
          <w:rPr>
            <w:rStyle w:val="Hyperlink"/>
          </w:rPr>
          <w:t>https://doi.org/10.1029/2017WR022040</w:t>
        </w:r>
      </w:hyperlink>
      <w:r w:rsidR="0056500D">
        <w:t>.</w:t>
      </w:r>
    </w:p>
    <w:p w14:paraId="45231497" w14:textId="435ECF4B" w:rsidR="00FE2AE4" w:rsidRDefault="00FE2AE4" w:rsidP="00FE2AE4">
      <w:pPr>
        <w:pStyle w:val="BodyText"/>
        <w:spacing w:after="0"/>
      </w:pPr>
      <w:r>
        <w:rPr>
          <w:i/>
        </w:rPr>
        <w:t>8.</w:t>
      </w:r>
      <w:r w:rsidR="00FD74AA">
        <w:rPr>
          <w:i/>
        </w:rPr>
        <w:t xml:space="preserve">7 </w:t>
      </w:r>
      <w:r w:rsidR="007E4D86" w:rsidRPr="007E4D86">
        <w:rPr>
          <w:i/>
        </w:rPr>
        <w:t>It seems that the approach does not account for potential future improvement in building efficiency or demand response. This would lower the electricity demand in the future. Could the authors discuss this?</w:t>
      </w:r>
    </w:p>
    <w:p w14:paraId="6DD9AECF" w14:textId="349AAA35" w:rsidR="00FE2AE4" w:rsidRDefault="00FE2AE4" w:rsidP="00FE2AE4">
      <w:pPr>
        <w:pStyle w:val="BodyText"/>
        <w:ind w:left="360" w:hanging="360"/>
      </w:pPr>
      <w:r>
        <w:t>-</w:t>
      </w:r>
      <w:r>
        <w:tab/>
      </w:r>
      <w:r w:rsidR="002E3C95">
        <w:t>We a</w:t>
      </w:r>
      <w:r w:rsidR="007E4D86" w:rsidRPr="007E4D86">
        <w:t xml:space="preserve">dded the following statement in Section 2.8.3: </w:t>
      </w:r>
      <w:r w:rsidR="00930433">
        <w:t>“</w:t>
      </w:r>
      <w:r w:rsidR="007E4D86" w:rsidRPr="007E4D86">
        <w:t>The demand analysis results presented in the rest of the report extrapolate the estimated responsiveness of electricity sales to temperature to future periods. The extrapolation implicitly assumes that there will be no substantial changes in the types of heating and cooling equipment being used or their energy efficiency as well as no substantial growth of demand response programs. Improvements in heating and cooling technology and more widespread implementation of demand response programs can help reduce the responsiveness of electric load to temperatures</w:t>
      </w:r>
      <w:r w:rsidR="00930433">
        <w:t>.”</w:t>
      </w:r>
    </w:p>
    <w:p w14:paraId="53141FC1" w14:textId="6C8FC7A6" w:rsidR="00FE2AE4" w:rsidRDefault="00FE2AE4" w:rsidP="00FE2AE4">
      <w:pPr>
        <w:pStyle w:val="BodyText"/>
        <w:spacing w:after="0"/>
      </w:pPr>
      <w:r>
        <w:rPr>
          <w:i/>
        </w:rPr>
        <w:t>8.</w:t>
      </w:r>
      <w:r w:rsidR="000A6EAD">
        <w:rPr>
          <w:i/>
        </w:rPr>
        <w:t>8</w:t>
      </w:r>
      <w:r>
        <w:rPr>
          <w:i/>
        </w:rPr>
        <w:t xml:space="preserve"> </w:t>
      </w:r>
      <w:r w:rsidR="000A6EAD" w:rsidRPr="000A6EAD">
        <w:rPr>
          <w:i/>
        </w:rPr>
        <w:t>Why is it assumed that there should be a linear relationship between the logarithmic values of these quantities instead of their original values?</w:t>
      </w:r>
    </w:p>
    <w:p w14:paraId="4612FFF6" w14:textId="05156262" w:rsidR="00FE2AE4" w:rsidRDefault="00FE2AE4" w:rsidP="00FE2AE4">
      <w:pPr>
        <w:pStyle w:val="BodyText"/>
        <w:ind w:left="360" w:hanging="360"/>
      </w:pPr>
      <w:r>
        <w:t>-</w:t>
      </w:r>
      <w:r>
        <w:tab/>
      </w:r>
      <w:r w:rsidR="004B760D" w:rsidRPr="004B760D">
        <w:t>The use of logarithmic transformations of the values was chosen so that the estimated coefficients can be interpreted as elasticities (</w:t>
      </w:r>
      <w:r w:rsidR="002E3C95">
        <w:t>percent</w:t>
      </w:r>
      <w:r w:rsidR="004B760D" w:rsidRPr="004B760D">
        <w:t xml:space="preserve"> increase in electricity load in response to a 1% increase in degree days) and </w:t>
      </w:r>
      <w:r w:rsidR="002E3C95">
        <w:t xml:space="preserve">be </w:t>
      </w:r>
      <w:r w:rsidR="004B760D" w:rsidRPr="004B760D">
        <w:t>more easily comparable across PMA regions.</w:t>
      </w:r>
    </w:p>
    <w:p w14:paraId="61F259D4" w14:textId="04B77CD3" w:rsidR="00FE2AE4" w:rsidRDefault="00FE2AE4" w:rsidP="00FE2AE4">
      <w:pPr>
        <w:pStyle w:val="BodyText"/>
        <w:spacing w:after="0"/>
      </w:pPr>
      <w:r>
        <w:rPr>
          <w:i/>
        </w:rPr>
        <w:t>8.</w:t>
      </w:r>
      <w:r w:rsidR="003B501A">
        <w:rPr>
          <w:i/>
        </w:rPr>
        <w:t>9</w:t>
      </w:r>
      <w:r>
        <w:rPr>
          <w:i/>
        </w:rPr>
        <w:t xml:space="preserve"> </w:t>
      </w:r>
      <w:r w:rsidR="003B501A" w:rsidRPr="003B501A">
        <w:rPr>
          <w:i/>
        </w:rPr>
        <w:t>Why would the electricity demand or energy sale depend on the precipitation?</w:t>
      </w:r>
    </w:p>
    <w:p w14:paraId="296D1593" w14:textId="3CE8442E" w:rsidR="00FE2AE4" w:rsidRDefault="00FE2AE4" w:rsidP="00FE2AE4">
      <w:pPr>
        <w:pStyle w:val="BodyText"/>
        <w:ind w:left="360" w:hanging="360"/>
      </w:pPr>
      <w:r>
        <w:t>-</w:t>
      </w:r>
      <w:r>
        <w:tab/>
      </w:r>
      <w:r w:rsidR="003B501A" w:rsidRPr="003B501A">
        <w:t>Precipitation is included as a control variable to help isolate the effect of temperature on electricity demand following the approach in related recent literature (e.g., Auffhammer et al. (2017)</w:t>
      </w:r>
      <w:r w:rsidR="0056500D">
        <w:t>;</w:t>
      </w:r>
      <w:r w:rsidR="003B501A">
        <w:t xml:space="preserve"> </w:t>
      </w:r>
      <w:r w:rsidR="003B501A" w:rsidRPr="003B501A">
        <w:t>Davis and Gertler (2015).</w:t>
      </w:r>
    </w:p>
    <w:p w14:paraId="0A6740FE" w14:textId="5B51E56B" w:rsidR="006C602D" w:rsidRDefault="006C602D" w:rsidP="0056500D">
      <w:pPr>
        <w:pStyle w:val="BodyText"/>
        <w:ind w:left="720"/>
      </w:pPr>
      <w:r w:rsidRPr="00976056">
        <w:rPr>
          <w:lang w:eastAsia="zh-TW"/>
        </w:rPr>
        <w:lastRenderedPageBreak/>
        <w:t>Auffhammer</w:t>
      </w:r>
      <w:r>
        <w:rPr>
          <w:lang w:eastAsia="zh-TW"/>
        </w:rPr>
        <w:t xml:space="preserve"> et al. </w:t>
      </w:r>
      <w:r w:rsidRPr="00976056">
        <w:rPr>
          <w:lang w:eastAsia="zh-TW"/>
        </w:rPr>
        <w:t xml:space="preserve">(2017), Climate Change Is Projected to Have Severe Impacts on the Frequency and Intensity of Peak Electricity Demand Across the United States, </w:t>
      </w:r>
      <w:r w:rsidRPr="00976056">
        <w:rPr>
          <w:i/>
          <w:iCs/>
          <w:lang w:eastAsia="zh-TW"/>
        </w:rPr>
        <w:t>P. Natl. Acad. Sci.</w:t>
      </w:r>
      <w:r w:rsidRPr="00976056">
        <w:rPr>
          <w:lang w:eastAsia="zh-TW"/>
        </w:rPr>
        <w:t xml:space="preserve">, </w:t>
      </w:r>
      <w:r w:rsidRPr="00976056">
        <w:rPr>
          <w:i/>
          <w:iCs/>
          <w:lang w:eastAsia="zh-TW"/>
        </w:rPr>
        <w:t>114</w:t>
      </w:r>
      <w:r w:rsidRPr="00976056">
        <w:rPr>
          <w:lang w:eastAsia="zh-TW"/>
        </w:rPr>
        <w:t xml:space="preserve">(8), 1886–1891, </w:t>
      </w:r>
      <w:hyperlink r:id="rId508" w:history="1">
        <w:r w:rsidR="00BF1176" w:rsidRPr="00E00258">
          <w:rPr>
            <w:rStyle w:val="Hyperlink"/>
            <w:lang w:eastAsia="zh-TW"/>
          </w:rPr>
          <w:t>https://doi.org/10.1073/pnas.1613193114</w:t>
        </w:r>
      </w:hyperlink>
      <w:r w:rsidRPr="00976056">
        <w:rPr>
          <w:lang w:eastAsia="zh-TW"/>
        </w:rPr>
        <w:t>.</w:t>
      </w:r>
    </w:p>
    <w:p w14:paraId="41A49F61" w14:textId="590029D7" w:rsidR="0056500D" w:rsidRDefault="0056500D" w:rsidP="0056500D">
      <w:pPr>
        <w:pStyle w:val="BodyText"/>
        <w:ind w:left="720"/>
      </w:pPr>
      <w:r w:rsidRPr="003B501A">
        <w:t>Davis and Gertler (2015)</w:t>
      </w:r>
      <w:r w:rsidRPr="00385666">
        <w:t xml:space="preserve">, </w:t>
      </w:r>
      <w:r w:rsidR="006C602D" w:rsidRPr="006C602D">
        <w:t xml:space="preserve">Contribution of </w:t>
      </w:r>
      <w:r w:rsidR="006C602D">
        <w:t>A</w:t>
      </w:r>
      <w:r w:rsidR="006C602D" w:rsidRPr="006C602D">
        <w:t xml:space="preserve">ir </w:t>
      </w:r>
      <w:r w:rsidR="006C602D">
        <w:t>C</w:t>
      </w:r>
      <w:r w:rsidR="006C602D" w:rsidRPr="006C602D">
        <w:t xml:space="preserve">onditioning </w:t>
      </w:r>
      <w:r w:rsidR="006C602D">
        <w:t>A</w:t>
      </w:r>
      <w:r w:rsidR="006C602D" w:rsidRPr="006C602D">
        <w:t xml:space="preserve">doption to </w:t>
      </w:r>
      <w:r w:rsidR="006C602D">
        <w:t>F</w:t>
      </w:r>
      <w:r w:rsidR="006C602D" w:rsidRPr="006C602D">
        <w:t xml:space="preserve">uture </w:t>
      </w:r>
      <w:r w:rsidR="006C602D">
        <w:t>E</w:t>
      </w:r>
      <w:r w:rsidR="006C602D" w:rsidRPr="006C602D">
        <w:t xml:space="preserve">nergy </w:t>
      </w:r>
      <w:r w:rsidR="006C602D">
        <w:t>U</w:t>
      </w:r>
      <w:r w:rsidR="006C602D" w:rsidRPr="006C602D">
        <w:t xml:space="preserve">se </w:t>
      </w:r>
      <w:r w:rsidR="006C602D">
        <w:t>U</w:t>
      </w:r>
      <w:r w:rsidR="006C602D" w:rsidRPr="006C602D">
        <w:t xml:space="preserve">nder </w:t>
      </w:r>
      <w:r w:rsidR="006C602D">
        <w:t>G</w:t>
      </w:r>
      <w:r w:rsidR="006C602D" w:rsidRPr="006C602D">
        <w:t xml:space="preserve">lobal </w:t>
      </w:r>
      <w:r w:rsidR="006C602D">
        <w:t>W</w:t>
      </w:r>
      <w:r w:rsidR="006C602D" w:rsidRPr="006C602D">
        <w:t>arming</w:t>
      </w:r>
      <w:r w:rsidRPr="00385666">
        <w:t xml:space="preserve">, </w:t>
      </w:r>
      <w:r w:rsidR="006C602D" w:rsidRPr="00976056">
        <w:rPr>
          <w:i/>
          <w:iCs/>
          <w:lang w:eastAsia="zh-TW"/>
        </w:rPr>
        <w:t>P. Natl. Acad. Sci.</w:t>
      </w:r>
      <w:r w:rsidR="006C602D" w:rsidRPr="00976056">
        <w:rPr>
          <w:lang w:eastAsia="zh-TW"/>
        </w:rPr>
        <w:t xml:space="preserve">, </w:t>
      </w:r>
      <w:r w:rsidR="00F9482C">
        <w:rPr>
          <w:i/>
          <w:iCs/>
          <w:lang w:eastAsia="zh-TW"/>
        </w:rPr>
        <w:t>112</w:t>
      </w:r>
      <w:r w:rsidR="006C602D" w:rsidRPr="00976056">
        <w:rPr>
          <w:lang w:eastAsia="zh-TW"/>
        </w:rPr>
        <w:t>(</w:t>
      </w:r>
      <w:r w:rsidR="00F9482C">
        <w:rPr>
          <w:lang w:eastAsia="zh-TW"/>
        </w:rPr>
        <w:t>19</w:t>
      </w:r>
      <w:r w:rsidR="006C602D" w:rsidRPr="00976056">
        <w:rPr>
          <w:lang w:eastAsia="zh-TW"/>
        </w:rPr>
        <w:t xml:space="preserve">), </w:t>
      </w:r>
      <w:r w:rsidR="00F9482C">
        <w:rPr>
          <w:lang w:eastAsia="zh-TW"/>
        </w:rPr>
        <w:t>5962</w:t>
      </w:r>
      <w:r w:rsidR="006C602D" w:rsidRPr="00976056">
        <w:rPr>
          <w:lang w:eastAsia="zh-TW"/>
        </w:rPr>
        <w:t>–</w:t>
      </w:r>
      <w:r w:rsidR="00F9482C">
        <w:rPr>
          <w:lang w:eastAsia="zh-TW"/>
        </w:rPr>
        <w:t>5967</w:t>
      </w:r>
      <w:r w:rsidR="006C602D" w:rsidRPr="00976056">
        <w:rPr>
          <w:lang w:eastAsia="zh-TW"/>
        </w:rPr>
        <w:t xml:space="preserve">, </w:t>
      </w:r>
      <w:hyperlink r:id="rId509" w:history="1">
        <w:r w:rsidR="00BF1176" w:rsidRPr="00E00258">
          <w:rPr>
            <w:rStyle w:val="Hyperlink"/>
            <w:lang w:eastAsia="zh-TW"/>
          </w:rPr>
          <w:t>https://doi.org/10.1073/pnas.1423558112</w:t>
        </w:r>
      </w:hyperlink>
      <w:r w:rsidR="006C602D" w:rsidRPr="00976056">
        <w:rPr>
          <w:lang w:eastAsia="zh-TW"/>
        </w:rPr>
        <w:t>.</w:t>
      </w:r>
    </w:p>
    <w:p w14:paraId="212B6307" w14:textId="563C14F6" w:rsidR="007A4E23" w:rsidRDefault="007A4E23" w:rsidP="002E3C95">
      <w:pPr>
        <w:pStyle w:val="BodyText"/>
        <w:keepNext/>
      </w:pPr>
      <w:r w:rsidRPr="00DA1CA8">
        <w:rPr>
          <w:b/>
        </w:rPr>
        <w:t xml:space="preserve">Reviewer </w:t>
      </w:r>
      <w:r w:rsidR="009C3A82">
        <w:rPr>
          <w:b/>
        </w:rPr>
        <w:t>9</w:t>
      </w:r>
    </w:p>
    <w:p w14:paraId="1882BDC4" w14:textId="7EE1295A" w:rsidR="007A4E23" w:rsidRDefault="009C3A82" w:rsidP="007A4E23">
      <w:pPr>
        <w:pStyle w:val="BodyText"/>
        <w:spacing w:after="0"/>
      </w:pPr>
      <w:r>
        <w:rPr>
          <w:i/>
        </w:rPr>
        <w:t>9</w:t>
      </w:r>
      <w:r w:rsidR="007A4E23">
        <w:rPr>
          <w:i/>
        </w:rPr>
        <w:t xml:space="preserve">.1 </w:t>
      </w:r>
      <w:r w:rsidR="00354E12" w:rsidRPr="00354E12">
        <w:rPr>
          <w:i/>
        </w:rPr>
        <w:t>Who is the audience of this report?</w:t>
      </w:r>
    </w:p>
    <w:p w14:paraId="6AB6C0D9" w14:textId="6E4F66AA" w:rsidR="007A4E23" w:rsidRDefault="007A4E23" w:rsidP="007A4E23">
      <w:pPr>
        <w:pStyle w:val="BodyText"/>
        <w:ind w:left="360" w:hanging="360"/>
      </w:pPr>
      <w:r>
        <w:t>-</w:t>
      </w:r>
      <w:r>
        <w:tab/>
      </w:r>
      <w:r w:rsidR="00354E12" w:rsidRPr="00354E12">
        <w:t xml:space="preserve">The </w:t>
      </w:r>
      <w:r w:rsidR="002E3C95">
        <w:t xml:space="preserve">audience </w:t>
      </w:r>
      <w:r w:rsidR="00354E12" w:rsidRPr="00354E12">
        <w:t>of this study include</w:t>
      </w:r>
      <w:r w:rsidR="002E3C95">
        <w:t>s</w:t>
      </w:r>
      <w:r w:rsidR="00354E12" w:rsidRPr="00354E12">
        <w:t xml:space="preserve"> SWA-specific stakeholder groups (e.g., congressional members, WPTO, PMAs and their customers, federal hydropower owners/operators) for a better understanding of risks associated with federal hydropower marketing. We </w:t>
      </w:r>
      <w:r w:rsidR="002E3C95">
        <w:t xml:space="preserve">plan </w:t>
      </w:r>
      <w:r w:rsidR="00354E12" w:rsidRPr="00354E12">
        <w:t>to extend the assessment to nonfederal hydropower fleet which may benefit the broader hydropower community (e.g., hydropower developers, environmental stakeholders, and other federal/state energy</w:t>
      </w:r>
      <w:r w:rsidR="002E3C95">
        <w:t xml:space="preserve"> </w:t>
      </w:r>
      <w:r w:rsidR="00354E12" w:rsidRPr="00354E12">
        <w:t>water agencies) for a general understanding of risks associated with regional and national long-term hydroclimate trends.</w:t>
      </w:r>
    </w:p>
    <w:p w14:paraId="00112AF7" w14:textId="6247FF81" w:rsidR="007A4E23" w:rsidRDefault="009C3A82" w:rsidP="007A4E23">
      <w:pPr>
        <w:pStyle w:val="BodyText"/>
        <w:spacing w:after="0"/>
      </w:pPr>
      <w:r>
        <w:rPr>
          <w:i/>
        </w:rPr>
        <w:t>9</w:t>
      </w:r>
      <w:r w:rsidR="007A4E23">
        <w:rPr>
          <w:i/>
        </w:rPr>
        <w:t xml:space="preserve">.2 </w:t>
      </w:r>
      <w:r w:rsidR="00E0546F" w:rsidRPr="00E0546F">
        <w:rPr>
          <w:i/>
        </w:rPr>
        <w:t xml:space="preserve">Will this report be published online? If </w:t>
      </w:r>
      <w:r w:rsidR="002E3C95">
        <w:rPr>
          <w:i/>
        </w:rPr>
        <w:t>so</w:t>
      </w:r>
      <w:r w:rsidR="00E0546F" w:rsidRPr="00E0546F">
        <w:rPr>
          <w:i/>
        </w:rPr>
        <w:t>, are you going to include the links to the previous reports?</w:t>
      </w:r>
    </w:p>
    <w:p w14:paraId="2DA9E8F3" w14:textId="5DB531FC" w:rsidR="007A4E23" w:rsidRDefault="007A4E23" w:rsidP="007A4E23">
      <w:pPr>
        <w:pStyle w:val="BodyText"/>
        <w:ind w:left="360" w:hanging="360"/>
      </w:pPr>
      <w:r>
        <w:t>-</w:t>
      </w:r>
      <w:r>
        <w:tab/>
      </w:r>
      <w:r w:rsidR="00E0546F" w:rsidRPr="00E0546F">
        <w:t>Yes, we will set up a publicly accessible website through the ORNL HydroSource portal (</w:t>
      </w:r>
      <w:hyperlink r:id="rId510" w:history="1">
        <w:r w:rsidR="002E3C95" w:rsidRPr="00E07E0E">
          <w:rPr>
            <w:rStyle w:val="Hyperlink"/>
          </w:rPr>
          <w:t>https://hydrosource.ornl.gov/</w:t>
        </w:r>
      </w:hyperlink>
      <w:r w:rsidR="00E0546F" w:rsidRPr="00E0546F">
        <w:t>) to release the new and past reports, as well as the key data (e.g., downscaled precipitation, temperature, and simulated runoff) to promote the usage of 9505 assessment outcomes.</w:t>
      </w:r>
    </w:p>
    <w:p w14:paraId="1D37137B" w14:textId="592D08FB" w:rsidR="00354E12" w:rsidRDefault="00354E12" w:rsidP="00354E12">
      <w:pPr>
        <w:pStyle w:val="BodyText"/>
        <w:spacing w:after="0"/>
      </w:pPr>
      <w:r>
        <w:rPr>
          <w:i/>
        </w:rPr>
        <w:t>9.</w:t>
      </w:r>
      <w:r w:rsidR="00F727F2">
        <w:rPr>
          <w:i/>
        </w:rPr>
        <w:t>3</w:t>
      </w:r>
      <w:r>
        <w:rPr>
          <w:i/>
        </w:rPr>
        <w:t xml:space="preserve"> </w:t>
      </w:r>
      <w:r w:rsidR="00F727F2" w:rsidRPr="00F727F2">
        <w:rPr>
          <w:i/>
        </w:rPr>
        <w:t xml:space="preserve">Is it possible to add a few sentences to the </w:t>
      </w:r>
      <w:r w:rsidR="002E3C95" w:rsidRPr="00F727F2">
        <w:rPr>
          <w:i/>
        </w:rPr>
        <w:t xml:space="preserve">Executive Summary </w:t>
      </w:r>
      <w:r w:rsidR="00F727F2" w:rsidRPr="00F727F2">
        <w:rPr>
          <w:i/>
        </w:rPr>
        <w:t>to summarize the findings in plain/simple language? To translate the scientific findings.</w:t>
      </w:r>
    </w:p>
    <w:p w14:paraId="64F3240F" w14:textId="127B2651" w:rsidR="00354E12" w:rsidRDefault="00354E12" w:rsidP="00354E12">
      <w:pPr>
        <w:pStyle w:val="BodyText"/>
        <w:ind w:left="360" w:hanging="360"/>
      </w:pPr>
      <w:r>
        <w:t>-</w:t>
      </w:r>
      <w:r>
        <w:tab/>
      </w:r>
      <w:r w:rsidR="00F727F2" w:rsidRPr="00F727F2">
        <w:t xml:space="preserve">Thank you for the suggestion. We have revised the </w:t>
      </w:r>
      <w:r w:rsidR="002E3C95" w:rsidRPr="00F727F2">
        <w:t xml:space="preserve">Executive Summary </w:t>
      </w:r>
      <w:r w:rsidR="00F727F2" w:rsidRPr="00F727F2">
        <w:t>based on a variety of review comments. We will further prepare plain/simple description on the public website for easier interpretation.</w:t>
      </w:r>
    </w:p>
    <w:p w14:paraId="2B20A3DA" w14:textId="2B887983" w:rsidR="007A4E23" w:rsidRDefault="007A4E23" w:rsidP="007A4E23">
      <w:pPr>
        <w:pStyle w:val="BodyText"/>
      </w:pPr>
      <w:r w:rsidRPr="00DA1CA8">
        <w:rPr>
          <w:b/>
        </w:rPr>
        <w:t xml:space="preserve">Reviewer </w:t>
      </w:r>
      <w:r>
        <w:rPr>
          <w:b/>
        </w:rPr>
        <w:t>1</w:t>
      </w:r>
      <w:r w:rsidR="00862344">
        <w:rPr>
          <w:b/>
        </w:rPr>
        <w:t>0</w:t>
      </w:r>
    </w:p>
    <w:p w14:paraId="1E3AAE1A" w14:textId="1AD765EA" w:rsidR="007A4E23" w:rsidRDefault="007A4E23" w:rsidP="007A4E23">
      <w:pPr>
        <w:pStyle w:val="BodyText"/>
        <w:spacing w:after="0"/>
      </w:pPr>
      <w:r>
        <w:rPr>
          <w:i/>
        </w:rPr>
        <w:t>1</w:t>
      </w:r>
      <w:r w:rsidR="00862344">
        <w:rPr>
          <w:i/>
        </w:rPr>
        <w:t>0</w:t>
      </w:r>
      <w:r>
        <w:rPr>
          <w:i/>
        </w:rPr>
        <w:t xml:space="preserve">.1 </w:t>
      </w:r>
      <w:r w:rsidR="00862344" w:rsidRPr="00862344">
        <w:rPr>
          <w:i/>
        </w:rPr>
        <w:t>I just want to begin by saying this is an impressive piece of work.</w:t>
      </w:r>
    </w:p>
    <w:p w14:paraId="4C35CEFF" w14:textId="23164DF9" w:rsidR="007A4E23" w:rsidRDefault="007A4E23" w:rsidP="007A4E23">
      <w:pPr>
        <w:pStyle w:val="BodyText"/>
        <w:ind w:left="360" w:hanging="360"/>
      </w:pPr>
      <w:r>
        <w:t>-</w:t>
      </w:r>
      <w:r>
        <w:tab/>
      </w:r>
      <w:r w:rsidR="00862344" w:rsidRPr="00862344">
        <w:t>Thank you. We appreciate your positive comment and encouragement.</w:t>
      </w:r>
    </w:p>
    <w:p w14:paraId="4752E547" w14:textId="123AAC0A" w:rsidR="007A4E23" w:rsidRDefault="007A4E23" w:rsidP="007A4E23">
      <w:pPr>
        <w:pStyle w:val="BodyText"/>
        <w:spacing w:after="0"/>
      </w:pPr>
      <w:r>
        <w:rPr>
          <w:i/>
        </w:rPr>
        <w:t>1</w:t>
      </w:r>
      <w:r w:rsidR="00862344">
        <w:rPr>
          <w:i/>
        </w:rPr>
        <w:t>0</w:t>
      </w:r>
      <w:r>
        <w:rPr>
          <w:i/>
        </w:rPr>
        <w:t xml:space="preserve">.2 </w:t>
      </w:r>
      <w:r w:rsidR="00862344" w:rsidRPr="00862344">
        <w:rPr>
          <w:i/>
        </w:rPr>
        <w:t xml:space="preserve">More care should be taken when using the term </w:t>
      </w:r>
      <w:r w:rsidR="00930433">
        <w:rPr>
          <w:i/>
        </w:rPr>
        <w:t>“</w:t>
      </w:r>
      <w:r w:rsidR="00862344" w:rsidRPr="00862344">
        <w:rPr>
          <w:i/>
        </w:rPr>
        <w:t>uncertainty</w:t>
      </w:r>
      <w:r w:rsidR="00930433">
        <w:rPr>
          <w:i/>
        </w:rPr>
        <w:t>.”</w:t>
      </w:r>
      <w:r w:rsidR="00862344" w:rsidRPr="00862344">
        <w:rPr>
          <w:i/>
        </w:rPr>
        <w:t xml:space="preserve"> While yes, it should be understood that the ensemble variability is being used as a crude (and maybe biased) proxy of uncertainty, it is important that we are precise in our usage of terms and not use </w:t>
      </w:r>
      <w:r w:rsidR="00930433">
        <w:rPr>
          <w:i/>
        </w:rPr>
        <w:t>“</w:t>
      </w:r>
      <w:r w:rsidR="00862344" w:rsidRPr="00862344">
        <w:rPr>
          <w:i/>
        </w:rPr>
        <w:t>uncertainty</w:t>
      </w:r>
      <w:r w:rsidR="00930433">
        <w:rPr>
          <w:i/>
        </w:rPr>
        <w:t>”</w:t>
      </w:r>
      <w:r w:rsidR="00862344" w:rsidRPr="00862344">
        <w:rPr>
          <w:i/>
        </w:rPr>
        <w:t xml:space="preserve"> when we strictly mean something else. In places, what is called uncertainty is strictly the distribution or the variability of projections, and in some cases, even more precisely, the variance of a sample of projections. There are places where simply replacing </w:t>
      </w:r>
      <w:r w:rsidR="00930433">
        <w:rPr>
          <w:i/>
        </w:rPr>
        <w:t>“</w:t>
      </w:r>
      <w:r w:rsidR="00862344" w:rsidRPr="00862344">
        <w:rPr>
          <w:i/>
        </w:rPr>
        <w:t>uncertainty</w:t>
      </w:r>
      <w:r w:rsidR="00930433">
        <w:rPr>
          <w:i/>
        </w:rPr>
        <w:t>”</w:t>
      </w:r>
      <w:r w:rsidR="00862344" w:rsidRPr="00862344">
        <w:rPr>
          <w:i/>
        </w:rPr>
        <w:t xml:space="preserve"> with </w:t>
      </w:r>
      <w:r w:rsidR="00930433">
        <w:rPr>
          <w:i/>
        </w:rPr>
        <w:t>“</w:t>
      </w:r>
      <w:r w:rsidR="00862344" w:rsidRPr="00862344">
        <w:rPr>
          <w:i/>
        </w:rPr>
        <w:t>variability</w:t>
      </w:r>
      <w:r w:rsidR="00930433">
        <w:rPr>
          <w:i/>
        </w:rPr>
        <w:t>”</w:t>
      </w:r>
      <w:r w:rsidR="00862344" w:rsidRPr="00862344">
        <w:rPr>
          <w:i/>
        </w:rPr>
        <w:t xml:space="preserve"> would be sufficient. I have noted a few places in the text, but another careful read of all places where uncertainty is discussed should be done.</w:t>
      </w:r>
    </w:p>
    <w:p w14:paraId="5232AA10" w14:textId="0AA8BE1F" w:rsidR="007A4E23" w:rsidRDefault="007A4E23" w:rsidP="007A4E23">
      <w:pPr>
        <w:pStyle w:val="BodyText"/>
        <w:ind w:left="360" w:hanging="360"/>
      </w:pPr>
      <w:r>
        <w:t>-</w:t>
      </w:r>
      <w:r>
        <w:tab/>
      </w:r>
      <w:r w:rsidR="00862344" w:rsidRPr="00862344">
        <w:t xml:space="preserve">Thank you for the suggestion. This issue </w:t>
      </w:r>
      <w:r w:rsidR="002E3C95">
        <w:t xml:space="preserve">was </w:t>
      </w:r>
      <w:r w:rsidR="00862344" w:rsidRPr="00862344">
        <w:t xml:space="preserve">also raised by other reviewers. We have clarified the meaning of </w:t>
      </w:r>
      <w:r w:rsidR="002E3C95">
        <w:t>“</w:t>
      </w:r>
      <w:r w:rsidR="00862344" w:rsidRPr="00862344">
        <w:t>uncertainty</w:t>
      </w:r>
      <w:r w:rsidR="002E3C95">
        <w:t>”</w:t>
      </w:r>
      <w:r w:rsidR="00862344" w:rsidRPr="00862344">
        <w:t xml:space="preserve"> in multiple places of the revised report.</w:t>
      </w:r>
    </w:p>
    <w:p w14:paraId="79578CFC" w14:textId="1D6C3834" w:rsidR="00862344" w:rsidRDefault="00862344" w:rsidP="00862344">
      <w:pPr>
        <w:pStyle w:val="BodyText"/>
        <w:spacing w:after="0"/>
      </w:pPr>
      <w:r>
        <w:rPr>
          <w:i/>
        </w:rPr>
        <w:t>10.</w:t>
      </w:r>
      <w:r w:rsidR="008E05BC">
        <w:rPr>
          <w:i/>
        </w:rPr>
        <w:t>3</w:t>
      </w:r>
      <w:r>
        <w:rPr>
          <w:i/>
        </w:rPr>
        <w:t xml:space="preserve"> </w:t>
      </w:r>
      <w:r w:rsidR="008E05BC" w:rsidRPr="008E05BC">
        <w:rPr>
          <w:i/>
        </w:rPr>
        <w:t>In general, there is a dearth if information in the captions. One should be able to view a figure and understand what is being shown without digging through the text. All components of a figure should be defined in the caption. This would have the benefit of eliminating some of the text in the body of the report.</w:t>
      </w:r>
    </w:p>
    <w:p w14:paraId="2EC8A36C" w14:textId="0D07BBA7" w:rsidR="00862344" w:rsidRDefault="00862344" w:rsidP="00862344">
      <w:pPr>
        <w:pStyle w:val="BodyText"/>
        <w:ind w:left="360" w:hanging="360"/>
      </w:pPr>
      <w:r>
        <w:lastRenderedPageBreak/>
        <w:t>-</w:t>
      </w:r>
      <w:r>
        <w:tab/>
      </w:r>
      <w:r w:rsidR="006E4A3F" w:rsidRPr="006E4A3F">
        <w:t xml:space="preserve">We understand </w:t>
      </w:r>
      <w:r w:rsidR="002E3C95">
        <w:t xml:space="preserve">this </w:t>
      </w:r>
      <w:r w:rsidR="006E4A3F" w:rsidRPr="006E4A3F">
        <w:t>suggestion. We actually received somewhat conflicting suggestions to simply the caption</w:t>
      </w:r>
      <w:r w:rsidR="002E3C95">
        <w:t>s</w:t>
      </w:r>
      <w:r w:rsidR="006E4A3F" w:rsidRPr="006E4A3F">
        <w:t xml:space="preserve"> and include the full description in the text. We eventually opted to the current style that may satisfy our publication formatting requirements.</w:t>
      </w:r>
    </w:p>
    <w:p w14:paraId="62323415" w14:textId="704EAB2C" w:rsidR="00862344" w:rsidRDefault="00862344" w:rsidP="00862344">
      <w:pPr>
        <w:pStyle w:val="BodyText"/>
        <w:spacing w:after="0"/>
      </w:pPr>
      <w:r>
        <w:rPr>
          <w:i/>
        </w:rPr>
        <w:t>10.</w:t>
      </w:r>
      <w:r w:rsidR="00BC52EA">
        <w:rPr>
          <w:i/>
        </w:rPr>
        <w:t>4</w:t>
      </w:r>
      <w:r>
        <w:rPr>
          <w:i/>
        </w:rPr>
        <w:t xml:space="preserve"> </w:t>
      </w:r>
      <w:r w:rsidR="00BC52EA" w:rsidRPr="00BC52EA">
        <w:rPr>
          <w:i/>
        </w:rPr>
        <w:t>For Fig</w:t>
      </w:r>
      <w:r w:rsidR="002E3C95">
        <w:rPr>
          <w:i/>
        </w:rPr>
        <w:t>ure</w:t>
      </w:r>
      <w:r w:rsidR="00BC52EA" w:rsidRPr="00BC52EA">
        <w:rPr>
          <w:i/>
        </w:rPr>
        <w:t xml:space="preserve"> ES.3, are these the percentage changes in the CONUS-wide averaged precipitation, or the averages of the percentage changes calculated by pixel (or basin, etc</w:t>
      </w:r>
      <w:r w:rsidR="005606E5">
        <w:rPr>
          <w:i/>
        </w:rPr>
        <w:t>.</w:t>
      </w:r>
      <w:r w:rsidR="00BC52EA" w:rsidRPr="00BC52EA">
        <w:rPr>
          <w:i/>
        </w:rPr>
        <w:t>)? This would make a difference because the former would give more weight to the wetter parts of CONUS in each season (and annually).</w:t>
      </w:r>
    </w:p>
    <w:p w14:paraId="3B04FF44" w14:textId="5E4B6EE6" w:rsidR="00862344" w:rsidRDefault="00862344" w:rsidP="00862344">
      <w:pPr>
        <w:pStyle w:val="BodyText"/>
        <w:ind w:left="360" w:hanging="360"/>
      </w:pPr>
      <w:r>
        <w:t>-</w:t>
      </w:r>
      <w:r>
        <w:tab/>
      </w:r>
      <w:r w:rsidR="00844B90" w:rsidRPr="00844B90">
        <w:t xml:space="preserve">The percentage changes </w:t>
      </w:r>
      <w:r w:rsidR="002E3C95">
        <w:t xml:space="preserve">were </w:t>
      </w:r>
      <w:r w:rsidR="00844B90" w:rsidRPr="00844B90">
        <w:t>calculated for the CONUS-wide averages, not by pixel.</w:t>
      </w:r>
    </w:p>
    <w:p w14:paraId="49C1B449" w14:textId="76B5FE85" w:rsidR="00862344" w:rsidRDefault="00862344" w:rsidP="00862344">
      <w:pPr>
        <w:pStyle w:val="BodyText"/>
        <w:spacing w:after="0"/>
        <w:rPr>
          <w:i/>
        </w:rPr>
      </w:pPr>
      <w:r>
        <w:rPr>
          <w:i/>
        </w:rPr>
        <w:t>10.</w:t>
      </w:r>
      <w:r w:rsidR="00223AA3">
        <w:rPr>
          <w:i/>
        </w:rPr>
        <w:t>5</w:t>
      </w:r>
      <w:r>
        <w:rPr>
          <w:i/>
        </w:rPr>
        <w:t xml:space="preserve"> </w:t>
      </w:r>
      <w:r w:rsidR="00223AA3" w:rsidRPr="00223AA3">
        <w:rPr>
          <w:i/>
        </w:rPr>
        <w:t xml:space="preserve">I have </w:t>
      </w:r>
      <w:r w:rsidR="002E3C95">
        <w:rPr>
          <w:i/>
        </w:rPr>
        <w:t xml:space="preserve">an </w:t>
      </w:r>
      <w:r w:rsidR="00223AA3" w:rsidRPr="00223AA3">
        <w:rPr>
          <w:i/>
        </w:rPr>
        <w:t>issue with the general statement that GCMs represent the greatest source of uncertainty. What can be said is that these studies show that the variability in GCM output was often the main cause for the variability in the sample of projections they considered. However, it has not been established as a general truth that GCMs are the main source uncertainty. The studies typically use many more GCMs than they do hydrological models, hydropower models, or downscaling methods. Therefore, these other parts of the modeling chain are highly under</w:t>
      </w:r>
      <w:r w:rsidR="002E3C95">
        <w:rPr>
          <w:i/>
        </w:rPr>
        <w:t>-</w:t>
      </w:r>
      <w:r w:rsidR="00223AA3" w:rsidRPr="00223AA3">
        <w:rPr>
          <w:i/>
        </w:rPr>
        <w:t>sampled relative to the GCMs in most studies.</w:t>
      </w:r>
    </w:p>
    <w:p w14:paraId="6735AF8F" w14:textId="119CE8BA" w:rsidR="007A4E43" w:rsidRPr="007A4E43" w:rsidRDefault="007A4E43" w:rsidP="00862344">
      <w:pPr>
        <w:pStyle w:val="BodyText"/>
        <w:spacing w:after="0"/>
        <w:rPr>
          <w:i/>
          <w:iCs/>
        </w:rPr>
      </w:pPr>
    </w:p>
    <w:p w14:paraId="4B98F100" w14:textId="0F2FCF56" w:rsidR="007A4E43" w:rsidRPr="007A4E43" w:rsidRDefault="007A4E43" w:rsidP="00862344">
      <w:pPr>
        <w:pStyle w:val="BodyText"/>
        <w:spacing w:after="0"/>
        <w:rPr>
          <w:i/>
          <w:iCs/>
        </w:rPr>
      </w:pPr>
      <w:r w:rsidRPr="007A4E43">
        <w:rPr>
          <w:i/>
          <w:iCs/>
        </w:rPr>
        <w:t>Moreover, these studies may have shown that variability in GCM output is the main cause for the variability in projections for SOME but NOT ALL hydrological metrics. For example, Chegwidden et al. (2019) found that low flow variability was mainly due to differences in hydro</w:t>
      </w:r>
      <w:r w:rsidR="002E3C95">
        <w:rPr>
          <w:i/>
          <w:iCs/>
        </w:rPr>
        <w:t>power</w:t>
      </w:r>
      <w:r w:rsidRPr="007A4E43">
        <w:rPr>
          <w:i/>
          <w:iCs/>
        </w:rPr>
        <w:t xml:space="preserve"> models.</w:t>
      </w:r>
    </w:p>
    <w:p w14:paraId="653960A4" w14:textId="653D5788" w:rsidR="007A4E43" w:rsidRPr="007A4E43" w:rsidRDefault="007A4E43" w:rsidP="00862344">
      <w:pPr>
        <w:pStyle w:val="BodyText"/>
        <w:spacing w:after="0"/>
        <w:rPr>
          <w:i/>
          <w:iCs/>
        </w:rPr>
      </w:pPr>
    </w:p>
    <w:p w14:paraId="7D53E215" w14:textId="1583B9E0" w:rsidR="007A4E43" w:rsidRPr="007A4E43" w:rsidRDefault="00FB7A82" w:rsidP="00862344">
      <w:pPr>
        <w:pStyle w:val="BodyText"/>
        <w:spacing w:after="0"/>
        <w:rPr>
          <w:i/>
          <w:iCs/>
        </w:rPr>
      </w:pPr>
      <w:r>
        <w:rPr>
          <w:i/>
          <w:iCs/>
        </w:rPr>
        <w:t>Finally</w:t>
      </w:r>
      <w:r w:rsidR="007A4E43" w:rsidRPr="007A4E43">
        <w:rPr>
          <w:i/>
          <w:iCs/>
        </w:rPr>
        <w:t>, Giuntoli et al. (2018) in their experiment show</w:t>
      </w:r>
      <w:r w:rsidR="002E3C95">
        <w:rPr>
          <w:i/>
          <w:iCs/>
        </w:rPr>
        <w:t>ed</w:t>
      </w:r>
      <w:r w:rsidR="007A4E43" w:rsidRPr="007A4E43">
        <w:rPr>
          <w:i/>
          <w:iCs/>
        </w:rPr>
        <w:t xml:space="preserve"> that the hydro/land surface model contributes most to the variability in hydro projections across CONUS. </w:t>
      </w:r>
      <w:r w:rsidR="002E3C95">
        <w:rPr>
          <w:i/>
          <w:iCs/>
        </w:rPr>
        <w:t xml:space="preserve">Their </w:t>
      </w:r>
      <w:r w:rsidR="007A4E43" w:rsidRPr="007A4E43">
        <w:rPr>
          <w:i/>
          <w:iCs/>
        </w:rPr>
        <w:t>result is important because they use a larger number of hydro models than most of these other studies.</w:t>
      </w:r>
    </w:p>
    <w:p w14:paraId="272E3388" w14:textId="490F7EE3" w:rsidR="00862344" w:rsidRDefault="00862344" w:rsidP="00862344">
      <w:pPr>
        <w:pStyle w:val="BodyText"/>
        <w:ind w:left="360" w:hanging="360"/>
      </w:pPr>
      <w:r>
        <w:t>-</w:t>
      </w:r>
      <w:r>
        <w:tab/>
      </w:r>
      <w:r w:rsidR="00223AA3" w:rsidRPr="00223AA3">
        <w:t xml:space="preserve">We recognize </w:t>
      </w:r>
      <w:r w:rsidR="002E3C95">
        <w:t xml:space="preserve">this </w:t>
      </w:r>
      <w:r w:rsidR="00223AA3" w:rsidRPr="00223AA3">
        <w:t xml:space="preserve">concern. The text in Section 2.1 has </w:t>
      </w:r>
      <w:r w:rsidR="002E3C95">
        <w:t xml:space="preserve">been </w:t>
      </w:r>
      <w:r w:rsidR="00223AA3" w:rsidRPr="00223AA3">
        <w:t>revised for clarity and to incorporate these suggestions.</w:t>
      </w:r>
    </w:p>
    <w:p w14:paraId="327BA82C" w14:textId="271F1801" w:rsidR="00862344" w:rsidRDefault="00862344" w:rsidP="00862344">
      <w:pPr>
        <w:pStyle w:val="BodyText"/>
        <w:spacing w:after="0"/>
      </w:pPr>
      <w:r>
        <w:rPr>
          <w:i/>
        </w:rPr>
        <w:t>10.</w:t>
      </w:r>
      <w:r w:rsidR="001632C2">
        <w:rPr>
          <w:i/>
        </w:rPr>
        <w:t>6</w:t>
      </w:r>
      <w:r>
        <w:rPr>
          <w:i/>
        </w:rPr>
        <w:t xml:space="preserve"> </w:t>
      </w:r>
      <w:r w:rsidR="001632C2" w:rsidRPr="001632C2">
        <w:rPr>
          <w:i/>
        </w:rPr>
        <w:t xml:space="preserve">I would cite Alder and Hostetler (2018) as they show not only the influence of downscaling, but more importantly, the choice of observational training data in hydro projections in the western </w:t>
      </w:r>
      <w:r w:rsidR="002E3C95">
        <w:rPr>
          <w:i/>
        </w:rPr>
        <w:t>United States</w:t>
      </w:r>
      <w:r w:rsidR="001632C2" w:rsidRPr="001632C2">
        <w:rPr>
          <w:i/>
        </w:rPr>
        <w:t xml:space="preserve">. </w:t>
      </w:r>
      <w:hyperlink r:id="rId511" w:history="1">
        <w:r w:rsidR="00BF1176" w:rsidRPr="00E00258">
          <w:rPr>
            <w:rStyle w:val="Hyperlink"/>
            <w:i/>
          </w:rPr>
          <w:t>https://doi.org/10.1029/2018WR023458</w:t>
        </w:r>
      </w:hyperlink>
      <w:r w:rsidRPr="00863080">
        <w:rPr>
          <w:i/>
        </w:rPr>
        <w:t>.</w:t>
      </w:r>
    </w:p>
    <w:p w14:paraId="4CEF6990" w14:textId="1AB2D2A1" w:rsidR="00862344" w:rsidRDefault="00862344" w:rsidP="00862344">
      <w:pPr>
        <w:pStyle w:val="BodyText"/>
        <w:ind w:left="360" w:hanging="360"/>
      </w:pPr>
      <w:r>
        <w:t>-</w:t>
      </w:r>
      <w:r>
        <w:tab/>
      </w:r>
      <w:r w:rsidR="001632C2" w:rsidRPr="001632C2">
        <w:t>Thank you. The recommended reference has been included.</w:t>
      </w:r>
    </w:p>
    <w:p w14:paraId="17B1A164" w14:textId="5E1A296E" w:rsidR="00862344" w:rsidRDefault="00862344" w:rsidP="00862344">
      <w:pPr>
        <w:pStyle w:val="BodyText"/>
        <w:spacing w:after="0"/>
      </w:pPr>
      <w:r>
        <w:rPr>
          <w:i/>
        </w:rPr>
        <w:t>10.</w:t>
      </w:r>
      <w:r w:rsidR="00F40663">
        <w:rPr>
          <w:i/>
        </w:rPr>
        <w:t>7</w:t>
      </w:r>
      <w:r>
        <w:rPr>
          <w:i/>
        </w:rPr>
        <w:t xml:space="preserve"> </w:t>
      </w:r>
      <w:r w:rsidR="00F40663" w:rsidRPr="00F40663">
        <w:rPr>
          <w:i/>
        </w:rPr>
        <w:t xml:space="preserve">I would say </w:t>
      </w:r>
      <w:r w:rsidR="00930433">
        <w:rPr>
          <w:i/>
        </w:rPr>
        <w:t>“</w:t>
      </w:r>
      <w:r w:rsidR="00F40663" w:rsidRPr="00F40663">
        <w:rPr>
          <w:i/>
        </w:rPr>
        <w:t>variability</w:t>
      </w:r>
      <w:r w:rsidR="002E3C95">
        <w:rPr>
          <w:i/>
        </w:rPr>
        <w:t>,</w:t>
      </w:r>
      <w:r w:rsidR="00930433">
        <w:rPr>
          <w:i/>
        </w:rPr>
        <w:t>”</w:t>
      </w:r>
      <w:r w:rsidR="00F40663" w:rsidRPr="00F40663">
        <w:rPr>
          <w:i/>
        </w:rPr>
        <w:t xml:space="preserve"> not </w:t>
      </w:r>
      <w:r w:rsidR="00930433">
        <w:rPr>
          <w:i/>
        </w:rPr>
        <w:t>“</w:t>
      </w:r>
      <w:r w:rsidR="00F40663" w:rsidRPr="00F40663">
        <w:rPr>
          <w:i/>
        </w:rPr>
        <w:t>uncertainty</w:t>
      </w:r>
      <w:r w:rsidR="00930433">
        <w:rPr>
          <w:i/>
        </w:rPr>
        <w:t>.”</w:t>
      </w:r>
      <w:r w:rsidR="00F40663" w:rsidRPr="00F40663">
        <w:rPr>
          <w:i/>
        </w:rPr>
        <w:t xml:space="preserve"> It is worth a sentence here or even early saying these studies use projection variability as an index or proxy for uncertainty, and a crude index/proxy at that.</w:t>
      </w:r>
    </w:p>
    <w:p w14:paraId="14893845" w14:textId="4D99A170" w:rsidR="00862344" w:rsidRDefault="00862344" w:rsidP="00862344">
      <w:pPr>
        <w:pStyle w:val="BodyText"/>
        <w:ind w:left="360" w:hanging="360"/>
      </w:pPr>
      <w:r>
        <w:t>-</w:t>
      </w:r>
      <w:r>
        <w:tab/>
      </w:r>
      <w:r w:rsidR="00F40663" w:rsidRPr="00F40663">
        <w:t xml:space="preserve">We have revised the description to address this comment. We understand the concern about using </w:t>
      </w:r>
      <w:r w:rsidR="00930433">
        <w:t>“</w:t>
      </w:r>
      <w:r w:rsidR="00F40663" w:rsidRPr="00F40663">
        <w:t>uncertainty</w:t>
      </w:r>
      <w:r w:rsidR="00930433">
        <w:t>.”</w:t>
      </w:r>
      <w:r w:rsidR="00F40663" w:rsidRPr="00F40663">
        <w:t xml:space="preserve"> However, </w:t>
      </w:r>
      <w:r w:rsidR="00930433">
        <w:t>“</w:t>
      </w:r>
      <w:r w:rsidR="00F40663" w:rsidRPr="00F40663">
        <w:t>variability</w:t>
      </w:r>
      <w:r w:rsidR="00930433">
        <w:t>”</w:t>
      </w:r>
      <w:r w:rsidR="00F40663" w:rsidRPr="00F40663">
        <w:t xml:space="preserve"> may be confused by the internal variabilities within the GCM models. We opted to keep using </w:t>
      </w:r>
      <w:r w:rsidR="00930433">
        <w:t>“</w:t>
      </w:r>
      <w:r w:rsidR="00F40663" w:rsidRPr="00F40663">
        <w:t>uncertainty</w:t>
      </w:r>
      <w:r w:rsidR="00930433">
        <w:t>”</w:t>
      </w:r>
      <w:r w:rsidR="00F40663" w:rsidRPr="00F40663">
        <w:t xml:space="preserve"> </w:t>
      </w:r>
      <w:r w:rsidR="002E3C95">
        <w:t xml:space="preserve">and provided </w:t>
      </w:r>
      <w:r w:rsidR="00F40663" w:rsidRPr="00F40663">
        <w:t>more clarification in the revised report.</w:t>
      </w:r>
    </w:p>
    <w:p w14:paraId="6F4078B8" w14:textId="7428949E" w:rsidR="00862344" w:rsidRDefault="00862344" w:rsidP="00862344">
      <w:pPr>
        <w:pStyle w:val="BodyText"/>
        <w:spacing w:after="0"/>
      </w:pPr>
      <w:r>
        <w:rPr>
          <w:i/>
        </w:rPr>
        <w:t>10.</w:t>
      </w:r>
      <w:r w:rsidR="006A0CFA">
        <w:rPr>
          <w:i/>
        </w:rPr>
        <w:t>8</w:t>
      </w:r>
      <w:r>
        <w:rPr>
          <w:i/>
        </w:rPr>
        <w:t xml:space="preserve"> </w:t>
      </w:r>
      <w:r w:rsidR="006A0CFA" w:rsidRPr="006A0CFA">
        <w:rPr>
          <w:i/>
        </w:rPr>
        <w:t xml:space="preserve">Yes, it is good </w:t>
      </w:r>
      <w:r w:rsidR="002E3C95">
        <w:rPr>
          <w:i/>
        </w:rPr>
        <w:t xml:space="preserve">that </w:t>
      </w:r>
      <w:r w:rsidR="006A0CFA" w:rsidRPr="006A0CFA">
        <w:rPr>
          <w:i/>
        </w:rPr>
        <w:t xml:space="preserve">there does not appear to be a strong bias. However, the much smaller range from the </w:t>
      </w:r>
      <w:r w:rsidR="002E3C95">
        <w:rPr>
          <w:i/>
        </w:rPr>
        <w:t>six</w:t>
      </w:r>
      <w:r w:rsidR="006A0CFA" w:rsidRPr="006A0CFA">
        <w:rPr>
          <w:i/>
        </w:rPr>
        <w:t xml:space="preserve"> models would indicate an under</w:t>
      </w:r>
      <w:r w:rsidR="002E3C95">
        <w:rPr>
          <w:i/>
        </w:rPr>
        <w:t>-</w:t>
      </w:r>
      <w:r w:rsidR="006A0CFA" w:rsidRPr="006A0CFA">
        <w:rPr>
          <w:i/>
        </w:rPr>
        <w:t xml:space="preserve">sampling and thus an underestimating of GCM uncertainty. On the other hand, the concern that some CMIP6 models have to high </w:t>
      </w:r>
      <w:r w:rsidR="00941DDB" w:rsidRPr="00941DDB">
        <w:rPr>
          <w:i/>
        </w:rPr>
        <w:t>equilibrium climate sensitivity</w:t>
      </w:r>
      <w:r w:rsidR="006A0CFA" w:rsidRPr="006A0CFA">
        <w:rPr>
          <w:i/>
        </w:rPr>
        <w:t xml:space="preserve"> is somewhat abated since you have not selected the GCMs that give the most warming (by mostly luck or an outcome of your model selection process?).</w:t>
      </w:r>
    </w:p>
    <w:p w14:paraId="176419E4" w14:textId="4BB1F9EF" w:rsidR="00862344" w:rsidRDefault="00862344" w:rsidP="00862344">
      <w:pPr>
        <w:pStyle w:val="BodyText"/>
        <w:ind w:left="360" w:hanging="360"/>
      </w:pPr>
      <w:r>
        <w:t>-</w:t>
      </w:r>
      <w:r>
        <w:tab/>
      </w:r>
      <w:r w:rsidR="006A0CFA" w:rsidRPr="006A0CFA">
        <w:t>Given the limited resources, we made some necessary comprise</w:t>
      </w:r>
      <w:r w:rsidR="002E3C95">
        <w:t>s</w:t>
      </w:r>
      <w:r w:rsidR="006A0CFA" w:rsidRPr="006A0CFA">
        <w:t xml:space="preserve"> in deciding the maximum number of models that we can include in this study. The decision was made jointly with all federal hydropower stakeholder groups through a series of coordination meetings. Similarly, the decision of GCM selection criteria was made jointly with all stakeholders. The results of selection correspond to our selection criteria.</w:t>
      </w:r>
    </w:p>
    <w:p w14:paraId="7641FACB" w14:textId="28DF772F" w:rsidR="00862344" w:rsidRDefault="00862344" w:rsidP="00862344">
      <w:pPr>
        <w:pStyle w:val="BodyText"/>
        <w:spacing w:after="0"/>
      </w:pPr>
      <w:r>
        <w:rPr>
          <w:i/>
        </w:rPr>
        <w:t>10.</w:t>
      </w:r>
      <w:r w:rsidR="0064341B">
        <w:rPr>
          <w:i/>
        </w:rPr>
        <w:t>9</w:t>
      </w:r>
      <w:r>
        <w:rPr>
          <w:i/>
        </w:rPr>
        <w:t xml:space="preserve"> </w:t>
      </w:r>
      <w:r w:rsidR="0064341B" w:rsidRPr="0064341B">
        <w:rPr>
          <w:i/>
        </w:rPr>
        <w:t>The statement that a previous study found DBCCA to be one of the two best does not give the reader much information if we don</w:t>
      </w:r>
      <w:r w:rsidR="00805545">
        <w:rPr>
          <w:i/>
        </w:rPr>
        <w:t>’</w:t>
      </w:r>
      <w:r w:rsidR="0064341B" w:rsidRPr="0064341B">
        <w:rPr>
          <w:i/>
        </w:rPr>
        <w:t>t know what other DS</w:t>
      </w:r>
      <w:r w:rsidR="00187E2F">
        <w:rPr>
          <w:i/>
        </w:rPr>
        <w:t>s</w:t>
      </w:r>
      <w:r w:rsidR="0064341B" w:rsidRPr="0064341B">
        <w:rPr>
          <w:i/>
        </w:rPr>
        <w:t xml:space="preserve"> they considered. Did they consider others used frequently in the </w:t>
      </w:r>
      <w:r w:rsidR="002E3C95">
        <w:rPr>
          <w:i/>
        </w:rPr>
        <w:t xml:space="preserve">United States </w:t>
      </w:r>
      <w:r w:rsidR="0064341B" w:rsidRPr="0064341B">
        <w:rPr>
          <w:i/>
        </w:rPr>
        <w:t>(e.g., BCSD, BCCA, MACA, LOCA)?</w:t>
      </w:r>
    </w:p>
    <w:p w14:paraId="5C3F3C13" w14:textId="60DBC1F8" w:rsidR="00862344" w:rsidRDefault="00862344" w:rsidP="00862344">
      <w:pPr>
        <w:pStyle w:val="BodyText"/>
        <w:ind w:left="360" w:hanging="360"/>
      </w:pPr>
      <w:r>
        <w:lastRenderedPageBreak/>
        <w:t>-</w:t>
      </w:r>
      <w:r>
        <w:tab/>
      </w:r>
      <w:r w:rsidR="0064341B" w:rsidRPr="0064341B">
        <w:t xml:space="preserve">Werner and Cannon (2016) compared seven </w:t>
      </w:r>
      <w:r w:rsidR="00E80222">
        <w:t>DS</w:t>
      </w:r>
      <w:r w:rsidR="0064341B" w:rsidRPr="0064341B">
        <w:t>s</w:t>
      </w:r>
      <w:r w:rsidR="00187E2F">
        <w:t>—</w:t>
      </w:r>
      <w:r w:rsidR="0064341B" w:rsidRPr="0064341B">
        <w:t xml:space="preserve">BCCA, </w:t>
      </w:r>
      <w:r w:rsidR="00187E2F">
        <w:t>D</w:t>
      </w:r>
      <w:r w:rsidR="0064341B" w:rsidRPr="0064341B">
        <w:t>BCCA, BCCA with quantile mapping reordering, bias correction spatial disaggregation (BCSD), BCSD using minimum/maximum temperature, the climate imprint delta method, and bias</w:t>
      </w:r>
      <w:r w:rsidR="00FB7A82">
        <w:t>-</w:t>
      </w:r>
      <w:r w:rsidR="0064341B" w:rsidRPr="0064341B">
        <w:t xml:space="preserve">corrected </w:t>
      </w:r>
      <w:r w:rsidR="00187E2F" w:rsidRPr="0064341B">
        <w:t>climate imprint delta method</w:t>
      </w:r>
      <w:r w:rsidR="0064341B" w:rsidRPr="0064341B">
        <w:t>. They did not perform it for MACA and LOCA, since the watershed is in Canada. To our best knowledge, both MACA and LOCA codes are not openly available, so it</w:t>
      </w:r>
      <w:r w:rsidR="00805545">
        <w:t>’</w:t>
      </w:r>
      <w:r w:rsidR="0064341B" w:rsidRPr="0064341B">
        <w:t xml:space="preserve">s </w:t>
      </w:r>
      <w:r w:rsidR="002E3C95">
        <w:t xml:space="preserve">difficult </w:t>
      </w:r>
      <w:r w:rsidR="0064341B" w:rsidRPr="0064341B">
        <w:t>to implement both methods independently.</w:t>
      </w:r>
    </w:p>
    <w:p w14:paraId="00F08856" w14:textId="7082DD23" w:rsidR="00862344" w:rsidRDefault="00862344" w:rsidP="00862344">
      <w:pPr>
        <w:pStyle w:val="BodyText"/>
        <w:spacing w:after="0"/>
      </w:pPr>
      <w:r>
        <w:rPr>
          <w:i/>
        </w:rPr>
        <w:t>10.</w:t>
      </w:r>
      <w:r w:rsidR="00910092">
        <w:rPr>
          <w:i/>
        </w:rPr>
        <w:t>10</w:t>
      </w:r>
      <w:r>
        <w:rPr>
          <w:i/>
        </w:rPr>
        <w:t xml:space="preserve"> </w:t>
      </w:r>
      <w:r w:rsidR="00910092" w:rsidRPr="00910092">
        <w:rPr>
          <w:i/>
        </w:rPr>
        <w:t xml:space="preserve">I think John Abatzoglou found that such a large number of analogues was too many. I would see how it might oversmooth the spatial pattern. I think he now goes with about </w:t>
      </w:r>
      <w:r w:rsidR="002E3C95">
        <w:rPr>
          <w:i/>
        </w:rPr>
        <w:t>five</w:t>
      </w:r>
      <w:r w:rsidR="00910092" w:rsidRPr="00910092">
        <w:rPr>
          <w:i/>
        </w:rPr>
        <w:t xml:space="preserve"> for MACA, maybe?</w:t>
      </w:r>
    </w:p>
    <w:p w14:paraId="26AB0025" w14:textId="14FD186B" w:rsidR="00862344" w:rsidRDefault="00862344" w:rsidP="00862344">
      <w:pPr>
        <w:pStyle w:val="BodyText"/>
        <w:ind w:left="360" w:hanging="360"/>
      </w:pPr>
      <w:r>
        <w:t>-</w:t>
      </w:r>
      <w:r>
        <w:tab/>
      </w:r>
      <w:r w:rsidR="002E3C95">
        <w:t xml:space="preserve">Thank you </w:t>
      </w:r>
      <w:r w:rsidR="00910092" w:rsidRPr="00910092">
        <w:t xml:space="preserve">for the insightful comment. We chose the number of analogues based on the DBCCA methodology described </w:t>
      </w:r>
      <w:r w:rsidR="004A55F5">
        <w:t xml:space="preserve">by </w:t>
      </w:r>
      <w:r w:rsidR="00910092" w:rsidRPr="00910092">
        <w:t>Maurer et al. (2010). Since our spatial domain is for the entire CONUS, the analogue number should still be sufficiently large to capture the CONUS-scale pattern.</w:t>
      </w:r>
    </w:p>
    <w:p w14:paraId="09314810" w14:textId="751CA12E" w:rsidR="00862344" w:rsidRDefault="00862344" w:rsidP="00862344">
      <w:pPr>
        <w:pStyle w:val="BodyText"/>
        <w:spacing w:after="0"/>
      </w:pPr>
      <w:r>
        <w:rPr>
          <w:i/>
        </w:rPr>
        <w:t>10.</w:t>
      </w:r>
      <w:r w:rsidR="007B05E7">
        <w:rPr>
          <w:i/>
        </w:rPr>
        <w:t>11</w:t>
      </w:r>
      <w:r>
        <w:rPr>
          <w:i/>
        </w:rPr>
        <w:t xml:space="preserve"> </w:t>
      </w:r>
      <w:r w:rsidR="007B05E7" w:rsidRPr="007B05E7">
        <w:rPr>
          <w:i/>
        </w:rPr>
        <w:t xml:space="preserve">How are humidity and radiation (short and long wave) biases </w:t>
      </w:r>
      <w:r w:rsidR="002E3C95">
        <w:rPr>
          <w:i/>
        </w:rPr>
        <w:t>addressed</w:t>
      </w:r>
      <w:r w:rsidR="007B05E7" w:rsidRPr="007B05E7">
        <w:rPr>
          <w:i/>
        </w:rPr>
        <w:t>? If they are not, this should be mentioned.</w:t>
      </w:r>
    </w:p>
    <w:p w14:paraId="42A64AC4" w14:textId="0B4B86CA" w:rsidR="00862344" w:rsidRDefault="00862344" w:rsidP="00862344">
      <w:pPr>
        <w:pStyle w:val="BodyText"/>
        <w:ind w:left="360" w:hanging="360"/>
      </w:pPr>
      <w:r>
        <w:t>-</w:t>
      </w:r>
      <w:r>
        <w:tab/>
      </w:r>
      <w:r w:rsidR="007B05E7" w:rsidRPr="007B05E7">
        <w:t xml:space="preserve">We </w:t>
      </w:r>
      <w:r w:rsidR="002E3C95">
        <w:t xml:space="preserve">did </w:t>
      </w:r>
      <w:r w:rsidR="007B05E7" w:rsidRPr="007B05E7">
        <w:t>not perform any correction on humidity or radiation. The humidity and radiation used in hydrologic models are derived from MT-CLIM algorithm (</w:t>
      </w:r>
      <w:hyperlink r:id="rId512" w:history="1">
        <w:r w:rsidR="007B05E7" w:rsidRPr="00F777C8">
          <w:rPr>
            <w:rStyle w:val="Hyperlink"/>
          </w:rPr>
          <w:t>https://www.ntsg.umt.edu/project/mt-clim.php</w:t>
        </w:r>
      </w:hyperlink>
      <w:r w:rsidR="007B05E7" w:rsidRPr="007B05E7">
        <w:t>), which is commonly used in many hydrologic studies.</w:t>
      </w:r>
    </w:p>
    <w:p w14:paraId="008F2533" w14:textId="0A245393" w:rsidR="00862344" w:rsidRDefault="00862344" w:rsidP="007D18E7">
      <w:pPr>
        <w:pStyle w:val="BodyText"/>
        <w:spacing w:after="0"/>
      </w:pPr>
      <w:r>
        <w:rPr>
          <w:i/>
        </w:rPr>
        <w:t>10.</w:t>
      </w:r>
      <w:r w:rsidR="007D18E7">
        <w:rPr>
          <w:i/>
        </w:rPr>
        <w:t>1</w:t>
      </w:r>
      <w:r>
        <w:rPr>
          <w:i/>
        </w:rPr>
        <w:t xml:space="preserve">2 </w:t>
      </w:r>
      <w:r w:rsidR="00CB678C" w:rsidRPr="00CB678C">
        <w:rPr>
          <w:i/>
        </w:rPr>
        <w:t>Do VIC and PRMS simulate the change in water use efficiency due to increasing CO</w:t>
      </w:r>
      <w:r w:rsidR="00CB678C" w:rsidRPr="00803741">
        <w:rPr>
          <w:i/>
          <w:vertAlign w:val="subscript"/>
        </w:rPr>
        <w:t>2</w:t>
      </w:r>
      <w:r w:rsidR="002E3C95">
        <w:rPr>
          <w:i/>
        </w:rPr>
        <w:t>?</w:t>
      </w:r>
      <w:r w:rsidR="00CB678C" w:rsidRPr="00CB678C">
        <w:rPr>
          <w:i/>
        </w:rPr>
        <w:t xml:space="preserve"> If so, how? If not, this should be stated explicitly. </w:t>
      </w:r>
      <w:r w:rsidR="002E3C95" w:rsidRPr="00CB678C">
        <w:rPr>
          <w:i/>
        </w:rPr>
        <w:t>Water use efficiency</w:t>
      </w:r>
      <w:r w:rsidR="002E3C95" w:rsidRPr="00CB678C" w:rsidDel="002E3C95">
        <w:rPr>
          <w:i/>
        </w:rPr>
        <w:t xml:space="preserve"> </w:t>
      </w:r>
      <w:r w:rsidR="00CB678C" w:rsidRPr="00CB678C">
        <w:rPr>
          <w:i/>
        </w:rPr>
        <w:t>is a key factor when considering the effect of global warming on transpiration and runoff.</w:t>
      </w:r>
    </w:p>
    <w:p w14:paraId="0E92C52F" w14:textId="6EDA8A4C" w:rsidR="00862344" w:rsidRDefault="00862344" w:rsidP="00862344">
      <w:pPr>
        <w:pStyle w:val="BodyText"/>
        <w:ind w:left="360" w:hanging="360"/>
      </w:pPr>
      <w:r>
        <w:t>-</w:t>
      </w:r>
      <w:r>
        <w:tab/>
      </w:r>
      <w:r w:rsidR="00B715C0" w:rsidRPr="00B715C0">
        <w:t>Thank</w:t>
      </w:r>
      <w:r w:rsidR="002E3C95">
        <w:t xml:space="preserve"> you</w:t>
      </w:r>
      <w:r w:rsidR="00B715C0" w:rsidRPr="00B715C0">
        <w:t xml:space="preserve"> for the comment. We recognize the importance of time varying water use efficiency in the hydrologic modeling. However, the hydrologic models in this study utilize temporally invariant parameters such as water use efficiency, land use</w:t>
      </w:r>
      <w:r w:rsidR="005606E5">
        <w:t>/</w:t>
      </w:r>
      <w:r w:rsidR="00B715C0" w:rsidRPr="00B715C0">
        <w:t>land cover, soil and vegetation</w:t>
      </w:r>
      <w:r w:rsidR="005606E5">
        <w:t>,</w:t>
      </w:r>
      <w:r w:rsidR="00B715C0" w:rsidRPr="00B715C0">
        <w:t xml:space="preserve"> </w:t>
      </w:r>
      <w:r w:rsidR="005606E5">
        <w:t>and so on</w:t>
      </w:r>
      <w:r w:rsidR="00B715C0" w:rsidRPr="00B715C0">
        <w:t>. We have explicitly stated this in Section 2.5.5.</w:t>
      </w:r>
    </w:p>
    <w:p w14:paraId="2F65311E" w14:textId="6B7E989F" w:rsidR="007D18E7" w:rsidRDefault="007D18E7" w:rsidP="007D18E7">
      <w:pPr>
        <w:pStyle w:val="BodyText"/>
        <w:spacing w:after="0"/>
      </w:pPr>
      <w:r>
        <w:rPr>
          <w:i/>
        </w:rPr>
        <w:t>10.</w:t>
      </w:r>
      <w:r w:rsidR="005F09EB">
        <w:rPr>
          <w:i/>
        </w:rPr>
        <w:t>13</w:t>
      </w:r>
      <w:r>
        <w:rPr>
          <w:i/>
        </w:rPr>
        <w:t xml:space="preserve"> </w:t>
      </w:r>
      <w:r w:rsidR="005F09EB" w:rsidRPr="005F09EB">
        <w:rPr>
          <w:i/>
        </w:rPr>
        <w:t xml:space="preserve">MTCLIM has known issues with radiation that should be acknowledged and that are likely to introduce bias. See, for example, Slater (2016). </w:t>
      </w:r>
      <w:hyperlink r:id="rId513" w:history="1">
        <w:r w:rsidR="0042284E" w:rsidRPr="00F777C8">
          <w:rPr>
            <w:rStyle w:val="Hyperlink"/>
            <w:i/>
          </w:rPr>
          <w:t>https://doi.org/10.1175/JHM-D-15-0087.1</w:t>
        </w:r>
      </w:hyperlink>
      <w:r w:rsidR="005F09EB" w:rsidRPr="005F09EB">
        <w:rPr>
          <w:i/>
        </w:rPr>
        <w:t xml:space="preserve"> I don</w:t>
      </w:r>
      <w:r w:rsidR="00805545">
        <w:rPr>
          <w:i/>
        </w:rPr>
        <w:t>’</w:t>
      </w:r>
      <w:r w:rsidR="005F09EB" w:rsidRPr="005F09EB">
        <w:rPr>
          <w:i/>
        </w:rPr>
        <w:t>t know how well MTCLIM simulates humidity</w:t>
      </w:r>
      <w:r w:rsidRPr="00863080">
        <w:rPr>
          <w:i/>
        </w:rPr>
        <w:t>.</w:t>
      </w:r>
    </w:p>
    <w:p w14:paraId="581A12B4" w14:textId="51462A20" w:rsidR="007D18E7" w:rsidRDefault="007D18E7" w:rsidP="007D18E7">
      <w:pPr>
        <w:pStyle w:val="BodyText"/>
        <w:ind w:left="360" w:hanging="360"/>
      </w:pPr>
      <w:r>
        <w:t>-</w:t>
      </w:r>
      <w:r>
        <w:tab/>
      </w:r>
      <w:r w:rsidR="005F09EB" w:rsidRPr="005F09EB">
        <w:t>Thank you. We have included the limitations of MTCLIM in the Hydrologic Model Limitations section.</w:t>
      </w:r>
    </w:p>
    <w:p w14:paraId="6E9708CF" w14:textId="39631FB8" w:rsidR="005D1759" w:rsidRPr="005D1759" w:rsidRDefault="007D18E7" w:rsidP="005D1759">
      <w:pPr>
        <w:pStyle w:val="BodyText"/>
        <w:spacing w:after="0"/>
        <w:rPr>
          <w:i/>
        </w:rPr>
      </w:pPr>
      <w:r>
        <w:rPr>
          <w:i/>
        </w:rPr>
        <w:t>10.</w:t>
      </w:r>
      <w:r w:rsidR="005D1759">
        <w:rPr>
          <w:i/>
        </w:rPr>
        <w:t>14</w:t>
      </w:r>
      <w:r>
        <w:rPr>
          <w:i/>
        </w:rPr>
        <w:t xml:space="preserve"> </w:t>
      </w:r>
      <w:r w:rsidR="005D1759" w:rsidRPr="005D1759">
        <w:rPr>
          <w:i/>
        </w:rPr>
        <w:t>It should be made clear, and probably much earlier, that the differences in output among GCMs are due to two factors that have not been separated here:</w:t>
      </w:r>
    </w:p>
    <w:p w14:paraId="3339EF47" w14:textId="77777777" w:rsidR="005D1759" w:rsidRPr="005D1759" w:rsidRDefault="005D1759" w:rsidP="005D1759">
      <w:pPr>
        <w:pStyle w:val="BodyText"/>
        <w:spacing w:after="0"/>
        <w:rPr>
          <w:i/>
        </w:rPr>
      </w:pPr>
    </w:p>
    <w:p w14:paraId="509D36DB" w14:textId="77777777" w:rsidR="005D1759" w:rsidRPr="005D1759" w:rsidRDefault="005D1759" w:rsidP="005D4BA5">
      <w:pPr>
        <w:pStyle w:val="BodyText"/>
        <w:spacing w:after="0"/>
        <w:ind w:left="720"/>
        <w:rPr>
          <w:i/>
        </w:rPr>
      </w:pPr>
      <w:r w:rsidRPr="005D1759">
        <w:rPr>
          <w:i/>
        </w:rPr>
        <w:t>1) Climate model differences</w:t>
      </w:r>
    </w:p>
    <w:p w14:paraId="3A4E5503" w14:textId="772E7DFC" w:rsidR="005D1759" w:rsidRPr="005D1759" w:rsidRDefault="005D1759" w:rsidP="005D4BA5">
      <w:pPr>
        <w:pStyle w:val="BodyText"/>
        <w:spacing w:after="0"/>
        <w:ind w:left="720"/>
        <w:rPr>
          <w:i/>
        </w:rPr>
      </w:pPr>
      <w:r w:rsidRPr="005D1759">
        <w:rPr>
          <w:i/>
        </w:rPr>
        <w:t>2) Internal (i.e., natural, unforced) variability (IV)</w:t>
      </w:r>
    </w:p>
    <w:p w14:paraId="6A202BAE" w14:textId="77777777" w:rsidR="005D1759" w:rsidRPr="005D1759" w:rsidRDefault="005D1759" w:rsidP="005D1759">
      <w:pPr>
        <w:pStyle w:val="BodyText"/>
        <w:spacing w:after="0"/>
        <w:rPr>
          <w:i/>
        </w:rPr>
      </w:pPr>
    </w:p>
    <w:p w14:paraId="7B4C762D" w14:textId="2F576462" w:rsidR="007D18E7" w:rsidRDefault="005D1759" w:rsidP="005D1759">
      <w:pPr>
        <w:pStyle w:val="BodyText"/>
        <w:spacing w:after="0"/>
      </w:pPr>
      <w:r w:rsidRPr="005D1759">
        <w:rPr>
          <w:i/>
        </w:rPr>
        <w:t>The total variability due to IV wrt precipitation can be much larger than that coming from differences in the models themselves, especially (but not exclusively) in the near term. See, for example: Rupp et al. (2017</w:t>
      </w:r>
      <w:r w:rsidR="00504984">
        <w:rPr>
          <w:i/>
        </w:rPr>
        <w:t>,</w:t>
      </w:r>
      <w:r w:rsidRPr="005D1759">
        <w:rPr>
          <w:i/>
        </w:rPr>
        <w:t xml:space="preserve"> </w:t>
      </w:r>
      <w:hyperlink r:id="rId514" w:history="1">
        <w:r w:rsidR="00504984" w:rsidRPr="00E07E0E">
          <w:rPr>
            <w:rStyle w:val="Hyperlink"/>
            <w:i/>
          </w:rPr>
          <w:t>https://doi.org/10.1007/s00382-016-3418-7</w:t>
        </w:r>
      </w:hyperlink>
      <w:r w:rsidR="00504984" w:rsidRPr="005D1759">
        <w:rPr>
          <w:i/>
        </w:rPr>
        <w:t>)</w:t>
      </w:r>
      <w:r w:rsidRPr="005D1759">
        <w:rPr>
          <w:i/>
        </w:rPr>
        <w:t xml:space="preserve"> and Alder and Hostetler (2018</w:t>
      </w:r>
      <w:r w:rsidR="00504984">
        <w:rPr>
          <w:i/>
        </w:rPr>
        <w:t>,</w:t>
      </w:r>
      <w:r w:rsidRPr="005D1759">
        <w:rPr>
          <w:i/>
        </w:rPr>
        <w:t xml:space="preserve"> </w:t>
      </w:r>
      <w:hyperlink r:id="rId515" w:history="1">
        <w:r w:rsidR="00504984" w:rsidRPr="00E07E0E">
          <w:rPr>
            <w:rStyle w:val="Hyperlink"/>
            <w:i/>
          </w:rPr>
          <w:t>https://doi.org/10.1029/2018WR023458</w:t>
        </w:r>
      </w:hyperlink>
      <w:r w:rsidR="00504984" w:rsidRPr="005D1759">
        <w:rPr>
          <w:i/>
        </w:rPr>
        <w:t>)</w:t>
      </w:r>
      <w:r w:rsidRPr="005D1759">
        <w:rPr>
          <w:i/>
        </w:rPr>
        <w:t>. Though estimation of IV was not done in this study, there are ways to estimate the contribution from IV (Rupp et al. 2017; Chegwidden et al. 2019). Some of the other studies cited in this report also estimate IV.</w:t>
      </w:r>
    </w:p>
    <w:p w14:paraId="3F5EA70A" w14:textId="34A91541" w:rsidR="007D18E7" w:rsidRDefault="007D18E7" w:rsidP="007D18E7">
      <w:pPr>
        <w:pStyle w:val="BodyText"/>
        <w:ind w:left="360" w:hanging="360"/>
      </w:pPr>
      <w:r>
        <w:t>-</w:t>
      </w:r>
      <w:r>
        <w:tab/>
      </w:r>
      <w:r w:rsidR="005D1759" w:rsidRPr="005D1759">
        <w:t>Thank you for the insightful comment. We have provided additional discussion in Section 2.9.</w:t>
      </w:r>
    </w:p>
    <w:p w14:paraId="2D3B0CDE" w14:textId="425626A2" w:rsidR="007D18E7" w:rsidRDefault="007D18E7" w:rsidP="007D18E7">
      <w:pPr>
        <w:pStyle w:val="BodyText"/>
        <w:spacing w:after="0"/>
      </w:pPr>
      <w:r>
        <w:rPr>
          <w:i/>
        </w:rPr>
        <w:t>10.</w:t>
      </w:r>
      <w:r w:rsidR="00FE22C8">
        <w:rPr>
          <w:i/>
        </w:rPr>
        <w:t>15</w:t>
      </w:r>
      <w:r>
        <w:rPr>
          <w:i/>
        </w:rPr>
        <w:t xml:space="preserve"> </w:t>
      </w:r>
      <w:r w:rsidR="00FE22C8" w:rsidRPr="00FE22C8">
        <w:rPr>
          <w:i/>
        </w:rPr>
        <w:t>What is up with the huge difference between Daymet and Livneh in BPA-1 after ~2007? That goes beyond systematic biases and into the serious error category.</w:t>
      </w:r>
    </w:p>
    <w:p w14:paraId="4D695925" w14:textId="3CAA8C85" w:rsidR="007D18E7" w:rsidRDefault="007D18E7" w:rsidP="007D18E7">
      <w:pPr>
        <w:pStyle w:val="BodyText"/>
        <w:ind w:left="360" w:hanging="360"/>
      </w:pPr>
      <w:r>
        <w:t>-</w:t>
      </w:r>
      <w:r>
        <w:tab/>
      </w:r>
      <w:r w:rsidR="00FE22C8" w:rsidRPr="00FE22C8">
        <w:t>Parts of BPA-1 lie on the Canada side, where the Livneh</w:t>
      </w:r>
      <w:r w:rsidR="005606E5">
        <w:t xml:space="preserve"> data set </w:t>
      </w:r>
      <w:r w:rsidR="00FE22C8" w:rsidRPr="00FE22C8">
        <w:t xml:space="preserve">may not be processed consistently resulting in these differences. Unfortunately, there is no further information for us to diagnosis the </w:t>
      </w:r>
      <w:r w:rsidR="00FE22C8" w:rsidRPr="00FE22C8">
        <w:lastRenderedPageBreak/>
        <w:t>difference. We elect</w:t>
      </w:r>
      <w:r w:rsidR="00504984">
        <w:t>ed</w:t>
      </w:r>
      <w:r w:rsidR="00FE22C8" w:rsidRPr="00FE22C8">
        <w:t xml:space="preserve"> to use both the</w:t>
      </w:r>
      <w:r w:rsidR="00D64187">
        <w:t xml:space="preserve"> </w:t>
      </w:r>
      <w:r w:rsidR="005606E5">
        <w:t>data sets</w:t>
      </w:r>
      <w:r w:rsidR="00D64187">
        <w:t xml:space="preserve"> </w:t>
      </w:r>
      <w:r w:rsidR="00FE22C8" w:rsidRPr="00FE22C8">
        <w:t>for analysis to maintain consistency with other regions.</w:t>
      </w:r>
    </w:p>
    <w:p w14:paraId="5D8DB8A1" w14:textId="01E7A30C" w:rsidR="007D18E7" w:rsidRDefault="007D18E7" w:rsidP="007D18E7">
      <w:pPr>
        <w:pStyle w:val="BodyText"/>
        <w:spacing w:after="0"/>
      </w:pPr>
      <w:r>
        <w:rPr>
          <w:i/>
        </w:rPr>
        <w:t>10.</w:t>
      </w:r>
      <w:r w:rsidR="001A42E1">
        <w:rPr>
          <w:i/>
        </w:rPr>
        <w:t>16</w:t>
      </w:r>
      <w:r>
        <w:rPr>
          <w:i/>
        </w:rPr>
        <w:t xml:space="preserve"> </w:t>
      </w:r>
      <w:r w:rsidR="001A42E1" w:rsidRPr="001A42E1">
        <w:rPr>
          <w:i/>
        </w:rPr>
        <w:t>The statement that annual precipitation shows higher interannual and intermodel variability compared with annual temperature has little meaning unless you have some common reference frame with which to compare precip</w:t>
      </w:r>
      <w:r w:rsidR="00504984">
        <w:rPr>
          <w:i/>
        </w:rPr>
        <w:t>itation</w:t>
      </w:r>
      <w:r w:rsidR="001A42E1" w:rsidRPr="001A42E1">
        <w:rPr>
          <w:i/>
        </w:rPr>
        <w:t xml:space="preserve"> and temperature. How are you measuring variability and what are the units? The measures, to start, would have to have the same units (or be unitless), but even that is not enough. Is what you really care about the signal to noise? If, for example, signal to noise is measured as the higher frequency variability vs the long term trend, they you can say that the signal to noise is clearly lower for precipitation. I would be inclined to delete, or at least rewrite, this sentence.</w:t>
      </w:r>
    </w:p>
    <w:p w14:paraId="20F0F0AD" w14:textId="730055D4" w:rsidR="007D18E7" w:rsidRDefault="007D18E7" w:rsidP="007D18E7">
      <w:pPr>
        <w:pStyle w:val="BodyText"/>
        <w:ind w:left="360" w:hanging="360"/>
      </w:pPr>
      <w:r>
        <w:t>-</w:t>
      </w:r>
      <w:r>
        <w:tab/>
      </w:r>
      <w:r w:rsidR="00504984">
        <w:t xml:space="preserve">Thank you </w:t>
      </w:r>
      <w:r w:rsidR="00662127" w:rsidRPr="00662127">
        <w:t>for the insightful comment. We have modified the text accordingly.</w:t>
      </w:r>
    </w:p>
    <w:p w14:paraId="564DDDCF" w14:textId="5C0EC058" w:rsidR="007D18E7" w:rsidRDefault="007D18E7" w:rsidP="007D18E7">
      <w:pPr>
        <w:pStyle w:val="BodyText"/>
        <w:spacing w:after="0"/>
      </w:pPr>
      <w:r>
        <w:rPr>
          <w:i/>
        </w:rPr>
        <w:t>10.</w:t>
      </w:r>
      <w:r w:rsidR="00A9645E">
        <w:rPr>
          <w:i/>
        </w:rPr>
        <w:t>17</w:t>
      </w:r>
      <w:r>
        <w:rPr>
          <w:i/>
        </w:rPr>
        <w:t xml:space="preserve"> </w:t>
      </w:r>
      <w:r w:rsidR="00A9645E" w:rsidRPr="00A9645E">
        <w:rPr>
          <w:i/>
        </w:rPr>
        <w:t xml:space="preserve">I think Mote and Salathe (2010, </w:t>
      </w:r>
      <w:hyperlink r:id="rId516" w:history="1">
        <w:r w:rsidR="00A9645E" w:rsidRPr="00F777C8">
          <w:rPr>
            <w:rStyle w:val="Hyperlink"/>
            <w:i/>
          </w:rPr>
          <w:t>https://doi.org/10.1007/s10584-010-9848-z</w:t>
        </w:r>
      </w:hyperlink>
      <w:r w:rsidR="00A9645E" w:rsidRPr="00A9645E">
        <w:rPr>
          <w:i/>
        </w:rPr>
        <w:t xml:space="preserve">) and Rupp et al. (2017, </w:t>
      </w:r>
      <w:hyperlink r:id="rId517" w:history="1">
        <w:r w:rsidR="00A9645E" w:rsidRPr="00F777C8">
          <w:rPr>
            <w:rStyle w:val="Hyperlink"/>
            <w:i/>
          </w:rPr>
          <w:t>https://doi.org/10.1007/s00382-016-3418-7</w:t>
        </w:r>
      </w:hyperlink>
      <w:r w:rsidR="00A9645E" w:rsidRPr="00A9645E">
        <w:rPr>
          <w:i/>
        </w:rPr>
        <w:t>) should be referenced and discussed here as well.</w:t>
      </w:r>
      <w:r w:rsidR="007E19AD">
        <w:rPr>
          <w:i/>
        </w:rPr>
        <w:t xml:space="preserve"> </w:t>
      </w:r>
      <w:r w:rsidR="007E19AD" w:rsidRPr="007E19AD">
        <w:rPr>
          <w:i/>
        </w:rPr>
        <w:t xml:space="preserve">See also Chegwidden et al. (2020, </w:t>
      </w:r>
      <w:hyperlink r:id="rId518" w:history="1">
        <w:r w:rsidR="00504984" w:rsidRPr="00E07E0E">
          <w:rPr>
            <w:rStyle w:val="Hyperlink"/>
            <w:i/>
          </w:rPr>
          <w:t>https://doi.org/10.1088/1748-9326/ab986f</w:t>
        </w:r>
      </w:hyperlink>
      <w:r w:rsidR="007E19AD" w:rsidRPr="007E19AD">
        <w:rPr>
          <w:i/>
        </w:rPr>
        <w:t>) for the impacts of snow regime changes on hydrologic extremes in the region.</w:t>
      </w:r>
    </w:p>
    <w:p w14:paraId="04433A8D" w14:textId="018201A3" w:rsidR="007D18E7" w:rsidRDefault="007D18E7" w:rsidP="007D18E7">
      <w:pPr>
        <w:pStyle w:val="BodyText"/>
        <w:ind w:left="360" w:hanging="360"/>
      </w:pPr>
      <w:r>
        <w:t>-</w:t>
      </w:r>
      <w:r>
        <w:tab/>
      </w:r>
      <w:r w:rsidRPr="00E41942">
        <w:t xml:space="preserve">We appreciate this suggestion. Since there is no unique transformation between degree and </w:t>
      </w:r>
      <w:r w:rsidR="00504984">
        <w:t>kilometer</w:t>
      </w:r>
      <w:r w:rsidRPr="00E41942">
        <w:t xml:space="preserve">, we </w:t>
      </w:r>
      <w:r w:rsidR="00504984">
        <w:t xml:space="preserve">cannot </w:t>
      </w:r>
      <w:r w:rsidRPr="00E41942">
        <w:t xml:space="preserve">report </w:t>
      </w:r>
      <w:r w:rsidR="00504984">
        <w:t>kilometers</w:t>
      </w:r>
      <w:r w:rsidRPr="00E41942">
        <w:t xml:space="preserve"> in all places. </w:t>
      </w:r>
      <w:r w:rsidR="00803741" w:rsidRPr="00E41942">
        <w:t>We only report</w:t>
      </w:r>
      <w:r w:rsidR="00803741">
        <w:t>ed</w:t>
      </w:r>
      <w:r w:rsidR="00803741" w:rsidRPr="00E41942">
        <w:t xml:space="preserve"> </w:t>
      </w:r>
      <w:r w:rsidR="00803741">
        <w:t>kilometers in places that could otherwise be misleading</w:t>
      </w:r>
      <w:r w:rsidR="00803741" w:rsidRPr="00E41942">
        <w:t>.</w:t>
      </w:r>
    </w:p>
    <w:p w14:paraId="2229D95D" w14:textId="0AB79291" w:rsidR="007D18E7" w:rsidRDefault="007D18E7" w:rsidP="007D18E7">
      <w:pPr>
        <w:pStyle w:val="BodyText"/>
        <w:spacing w:after="0"/>
      </w:pPr>
      <w:r>
        <w:rPr>
          <w:i/>
        </w:rPr>
        <w:t>10.</w:t>
      </w:r>
      <w:r w:rsidR="007E19AD">
        <w:rPr>
          <w:i/>
        </w:rPr>
        <w:t>18</w:t>
      </w:r>
      <w:r>
        <w:rPr>
          <w:i/>
        </w:rPr>
        <w:t xml:space="preserve"> </w:t>
      </w:r>
      <w:r w:rsidR="007E19AD" w:rsidRPr="007E19AD">
        <w:rPr>
          <w:i/>
        </w:rPr>
        <w:t>On what basis do you determine that wind differs the most? Daymet and Livneh temperature</w:t>
      </w:r>
      <w:r w:rsidR="00504984">
        <w:rPr>
          <w:i/>
        </w:rPr>
        <w:t>s</w:t>
      </w:r>
      <w:r w:rsidR="007E19AD" w:rsidRPr="007E19AD">
        <w:rPr>
          <w:i/>
        </w:rPr>
        <w:t xml:space="preserve"> have been shown to be quite different in some figures. No data </w:t>
      </w:r>
      <w:r w:rsidR="00504984">
        <w:rPr>
          <w:i/>
        </w:rPr>
        <w:t xml:space="preserve">have </w:t>
      </w:r>
      <w:r w:rsidR="007E19AD" w:rsidRPr="007E19AD">
        <w:rPr>
          <w:i/>
        </w:rPr>
        <w:t>been shown on radiation and vapor pressure deficit. Even so, the important parameter here is the sensitivity of evaporation to the difference in wind relative among the</w:t>
      </w:r>
      <w:r w:rsidR="00D64187">
        <w:rPr>
          <w:i/>
        </w:rPr>
        <w:t xml:space="preserve"> </w:t>
      </w:r>
      <w:r w:rsidR="005606E5">
        <w:rPr>
          <w:i/>
        </w:rPr>
        <w:t>data sets</w:t>
      </w:r>
      <w:r w:rsidR="00D64187">
        <w:rPr>
          <w:i/>
        </w:rPr>
        <w:t xml:space="preserve"> </w:t>
      </w:r>
      <w:r w:rsidR="007E19AD" w:rsidRPr="007E19AD">
        <w:rPr>
          <w:i/>
        </w:rPr>
        <w:t>to the sensitivity in evaporation to the difference in the other variables (temperature, radiation, vapor pressure deficit) among the two</w:t>
      </w:r>
      <w:r w:rsidR="00D64187">
        <w:rPr>
          <w:i/>
        </w:rPr>
        <w:t xml:space="preserve"> data sets.</w:t>
      </w:r>
      <w:r w:rsidR="007E19AD" w:rsidRPr="007E19AD">
        <w:rPr>
          <w:i/>
        </w:rPr>
        <w:t xml:space="preserve"> This would be important to calculate and demonstrate, otherwise I can</w:t>
      </w:r>
      <w:r w:rsidR="00805545">
        <w:rPr>
          <w:i/>
        </w:rPr>
        <w:t>’</w:t>
      </w:r>
      <w:r w:rsidR="007E19AD" w:rsidRPr="007E19AD">
        <w:rPr>
          <w:i/>
        </w:rPr>
        <w:t>t judge the statements made here</w:t>
      </w:r>
      <w:r w:rsidRPr="00863080">
        <w:rPr>
          <w:i/>
        </w:rPr>
        <w:t>.</w:t>
      </w:r>
    </w:p>
    <w:p w14:paraId="3A8489B8" w14:textId="130A14A2" w:rsidR="007D18E7" w:rsidRDefault="007D18E7" w:rsidP="007D18E7">
      <w:pPr>
        <w:pStyle w:val="BodyText"/>
        <w:ind w:left="360" w:hanging="360"/>
      </w:pPr>
      <w:r>
        <w:t>-</w:t>
      </w:r>
      <w:r>
        <w:tab/>
      </w:r>
      <w:r w:rsidR="00FC0F3C" w:rsidRPr="00FC0F3C">
        <w:t>We conducted sensitivity analysis to quantify the relative importance of each variable (i.e., by fixing three variables and change the 4th one from one forcing</w:t>
      </w:r>
      <w:r w:rsidR="005606E5">
        <w:t xml:space="preserve"> data set </w:t>
      </w:r>
      <w:r w:rsidR="00FC0F3C" w:rsidRPr="00FC0F3C">
        <w:t xml:space="preserve">to another). The results suggest that wind speed is the </w:t>
      </w:r>
      <w:r w:rsidR="005367C2">
        <w:t xml:space="preserve">most dominant </w:t>
      </w:r>
      <w:r w:rsidR="00FC0F3C" w:rsidRPr="00FC0F3C">
        <w:t>contributor to the evaporation rate differences.</w:t>
      </w:r>
    </w:p>
    <w:p w14:paraId="09A435E2" w14:textId="24D863FA" w:rsidR="007D18E7" w:rsidRDefault="007D18E7" w:rsidP="007D18E7">
      <w:pPr>
        <w:pStyle w:val="BodyText"/>
        <w:spacing w:after="0"/>
      </w:pPr>
      <w:r>
        <w:rPr>
          <w:i/>
        </w:rPr>
        <w:t>10.</w:t>
      </w:r>
      <w:r w:rsidR="0095377A">
        <w:rPr>
          <w:i/>
        </w:rPr>
        <w:t>19</w:t>
      </w:r>
      <w:r>
        <w:rPr>
          <w:i/>
        </w:rPr>
        <w:t xml:space="preserve"> </w:t>
      </w:r>
      <w:r w:rsidR="0095377A" w:rsidRPr="0095377A">
        <w:rPr>
          <w:i/>
        </w:rPr>
        <w:t>In</w:t>
      </w:r>
      <w:r w:rsidR="008B77E4">
        <w:rPr>
          <w:i/>
        </w:rPr>
        <w:t xml:space="preserve"> </w:t>
      </w:r>
      <w:r w:rsidR="0095377A" w:rsidRPr="0095377A">
        <w:rPr>
          <w:i/>
        </w:rPr>
        <w:t>situ wind speed measured</w:t>
      </w:r>
      <w:r w:rsidR="00504984">
        <w:rPr>
          <w:i/>
        </w:rPr>
        <w:t>, and</w:t>
      </w:r>
      <w:r w:rsidR="0095377A" w:rsidRPr="0095377A">
        <w:rPr>
          <w:i/>
        </w:rPr>
        <w:t xml:space="preserve"> where? At which reservoirs?</w:t>
      </w:r>
    </w:p>
    <w:p w14:paraId="7BB3D100" w14:textId="3E8B1457" w:rsidR="007D18E7" w:rsidRDefault="007D18E7" w:rsidP="007D18E7">
      <w:pPr>
        <w:pStyle w:val="BodyText"/>
        <w:ind w:left="360" w:hanging="360"/>
      </w:pPr>
      <w:r>
        <w:t>-</w:t>
      </w:r>
      <w:r>
        <w:tab/>
      </w:r>
      <w:r w:rsidR="0095377A" w:rsidRPr="0095377A">
        <w:t xml:space="preserve">Given the limited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rsidR="0095377A" w:rsidRPr="0095377A">
        <w:t xml:space="preserve"> observations, we compared wind speed from these two</w:t>
      </w:r>
      <w:r w:rsidR="00D64187">
        <w:t xml:space="preserve"> </w:t>
      </w:r>
      <w:r w:rsidR="005606E5">
        <w:t>data sets</w:t>
      </w:r>
      <w:r w:rsidR="00D64187">
        <w:t xml:space="preserve"> </w:t>
      </w:r>
      <w:r w:rsidR="0095377A" w:rsidRPr="0095377A">
        <w:t xml:space="preserve">with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rsidR="0095377A" w:rsidRPr="0095377A">
        <w:t xml:space="preserve"> observations at Lake Mead and Lake Mohave. Results suggest that the NARR wind speed (used by Daymet) is more accurate than that from NCEP1 (used by Livneh). We have updated the description in the revised report.</w:t>
      </w:r>
    </w:p>
    <w:p w14:paraId="3C65EC27" w14:textId="0ABF0308" w:rsidR="007D18E7" w:rsidRDefault="007D18E7" w:rsidP="007D18E7">
      <w:pPr>
        <w:pStyle w:val="BodyText"/>
        <w:spacing w:after="0"/>
      </w:pPr>
      <w:r>
        <w:rPr>
          <w:i/>
        </w:rPr>
        <w:t>10.2</w:t>
      </w:r>
      <w:r w:rsidR="00AF1966">
        <w:rPr>
          <w:i/>
        </w:rPr>
        <w:t>0</w:t>
      </w:r>
      <w:r>
        <w:rPr>
          <w:i/>
        </w:rPr>
        <w:t xml:space="preserve"> </w:t>
      </w:r>
      <w:r w:rsidR="00AF1966" w:rsidRPr="00AF1966">
        <w:rPr>
          <w:i/>
        </w:rPr>
        <w:t>It would be helpful to have a reminder if NARR and NCEP1 winds were bias</w:t>
      </w:r>
      <w:r w:rsidR="00FB7A82">
        <w:rPr>
          <w:i/>
        </w:rPr>
        <w:t>-</w:t>
      </w:r>
      <w:r w:rsidR="00AF1966" w:rsidRPr="00AF1966">
        <w:rPr>
          <w:i/>
        </w:rPr>
        <w:t>corrected by Daymet and Livneh, respectively. I can</w:t>
      </w:r>
      <w:r w:rsidR="00805545">
        <w:rPr>
          <w:i/>
        </w:rPr>
        <w:t>’</w:t>
      </w:r>
      <w:r w:rsidR="00AF1966" w:rsidRPr="00AF1966">
        <w:rPr>
          <w:i/>
        </w:rPr>
        <w:t>t imagine near-surface winds from NCEP1 being useful. Even NARR near-surface winds are dubious. How did RegCM4 winds compare to NCEP and NARR? Is it conceivable that RegCM4 could be better than both NCEP1 and/or NARR, and the bias correction in the DBCCA process actually made the RegCM4 simulated winds worse?</w:t>
      </w:r>
    </w:p>
    <w:p w14:paraId="2D217773" w14:textId="1970E0B5" w:rsidR="007D18E7" w:rsidRDefault="007D18E7" w:rsidP="007D18E7">
      <w:pPr>
        <w:pStyle w:val="BodyText"/>
        <w:ind w:left="360" w:hanging="360"/>
      </w:pPr>
      <w:r>
        <w:t>-</w:t>
      </w:r>
      <w:r>
        <w:tab/>
      </w:r>
      <w:r w:rsidR="000C1CD4" w:rsidRPr="000C1CD4">
        <w:t xml:space="preserve">Daymet does not provide wind speed, and the wind speed used by Livneh is directly from NCEP1. Given the higher spatial resolution of NARR (that we paired with Daymet), the wind speed should have better performance than NCEP1. We compared wind speed with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rsidR="000C1CD4" w:rsidRPr="000C1CD4">
        <w:t xml:space="preserve"> observations at Lake Mead and Lake Mohave, and the results suggest that NARR wind speed is more accurate. The raw RegCM4 wind speed is closer to the range of NARR, perhaps owing to the closer model spatial resolution. </w:t>
      </w:r>
      <w:r w:rsidR="00504984">
        <w:t xml:space="preserve">Thus </w:t>
      </w:r>
      <w:r w:rsidR="000C1CD4" w:rsidRPr="000C1CD4">
        <w:t>far, there still hasn</w:t>
      </w:r>
      <w:r w:rsidR="00805545">
        <w:t>’</w:t>
      </w:r>
      <w:r w:rsidR="000C1CD4" w:rsidRPr="000C1CD4">
        <w:t>t been a wind speed reanalysis</w:t>
      </w:r>
      <w:r w:rsidR="005606E5">
        <w:t xml:space="preserve"> data set </w:t>
      </w:r>
      <w:r w:rsidR="000C1CD4" w:rsidRPr="000C1CD4">
        <w:t xml:space="preserve">based on </w:t>
      </w:r>
      <w:r w:rsidR="008B77E4" w:rsidRPr="001D5312">
        <w:rPr>
          <w:rFonts w:eastAsia="PMingLiU"/>
          <w:lang w:bidi="en-US"/>
        </w:rPr>
        <w:t>in</w:t>
      </w:r>
      <w:r w:rsidR="008B77E4">
        <w:rPr>
          <w:rFonts w:eastAsia="PMingLiU"/>
          <w:lang w:bidi="en-US"/>
        </w:rPr>
        <w:t xml:space="preserve"> </w:t>
      </w:r>
      <w:r w:rsidR="008B77E4" w:rsidRPr="001D5312">
        <w:rPr>
          <w:rFonts w:eastAsia="PMingLiU"/>
          <w:lang w:bidi="en-US"/>
        </w:rPr>
        <w:t>situ</w:t>
      </w:r>
      <w:r w:rsidR="000C1CD4" w:rsidRPr="000C1CD4">
        <w:t xml:space="preserve"> observations. Wind speed from reanalysis</w:t>
      </w:r>
      <w:r w:rsidR="00D64187">
        <w:t xml:space="preserve"> </w:t>
      </w:r>
      <w:r w:rsidR="005606E5">
        <w:t>data sets</w:t>
      </w:r>
      <w:r w:rsidR="00D64187">
        <w:t xml:space="preserve"> </w:t>
      </w:r>
      <w:r w:rsidR="000C1CD4" w:rsidRPr="000C1CD4">
        <w:t>such as NARR or NCEP1 remain the necessary surrogate.</w:t>
      </w:r>
    </w:p>
    <w:p w14:paraId="77F0441A" w14:textId="72AFB6B7" w:rsidR="007D18E7" w:rsidRDefault="007D18E7" w:rsidP="007D18E7">
      <w:pPr>
        <w:pStyle w:val="BodyText"/>
        <w:spacing w:after="0"/>
      </w:pPr>
      <w:r>
        <w:rPr>
          <w:i/>
        </w:rPr>
        <w:lastRenderedPageBreak/>
        <w:t>10.2</w:t>
      </w:r>
      <w:r w:rsidR="00991229">
        <w:rPr>
          <w:i/>
        </w:rPr>
        <w:t>1</w:t>
      </w:r>
      <w:r>
        <w:rPr>
          <w:i/>
        </w:rPr>
        <w:t xml:space="preserve"> </w:t>
      </w:r>
      <w:r w:rsidR="00991229" w:rsidRPr="00991229">
        <w:rPr>
          <w:i/>
        </w:rPr>
        <w:t>I do not think that you have established that Daymet-based evaporation rates are more reliable unless you</w:t>
      </w:r>
      <w:r w:rsidR="00805545">
        <w:rPr>
          <w:i/>
        </w:rPr>
        <w:t>’</w:t>
      </w:r>
      <w:r w:rsidR="00991229" w:rsidRPr="00991229">
        <w:rPr>
          <w:i/>
        </w:rPr>
        <w:t>ve compared the effect of biases of all variables contributing to evapotranspiration.</w:t>
      </w:r>
    </w:p>
    <w:p w14:paraId="577184AB" w14:textId="128E8275" w:rsidR="007D18E7" w:rsidRDefault="007D18E7" w:rsidP="007D18E7">
      <w:pPr>
        <w:pStyle w:val="BodyText"/>
        <w:ind w:left="360" w:hanging="360"/>
      </w:pPr>
      <w:r>
        <w:t>-</w:t>
      </w:r>
      <w:r>
        <w:tab/>
      </w:r>
      <w:r w:rsidR="00EF1108" w:rsidRPr="00EF1108">
        <w:t>We performed several analyses</w:t>
      </w:r>
      <w:r w:rsidR="00504984">
        <w:t>,</w:t>
      </w:r>
      <w:r w:rsidR="00EF1108" w:rsidRPr="00EF1108">
        <w:t xml:space="preserve"> including calculating the differences between two meteorological forcing</w:t>
      </w:r>
      <w:r w:rsidR="00D64187">
        <w:t xml:space="preserve"> data sets,</w:t>
      </w:r>
      <w:r w:rsidR="00EF1108" w:rsidRPr="00EF1108">
        <w:t xml:space="preserve"> and testing the sensitivity of the four key variables to arrive this observation. More comprehensive analyses are to be conducted in a follow-up study.</w:t>
      </w:r>
    </w:p>
    <w:p w14:paraId="38FB6B43" w14:textId="230B97B8" w:rsidR="007D18E7" w:rsidRDefault="007D18E7" w:rsidP="007D18E7">
      <w:pPr>
        <w:pStyle w:val="BodyText"/>
        <w:spacing w:after="0"/>
      </w:pPr>
      <w:r>
        <w:rPr>
          <w:i/>
        </w:rPr>
        <w:t>10.2</w:t>
      </w:r>
      <w:r w:rsidR="00BD3942">
        <w:rPr>
          <w:i/>
        </w:rPr>
        <w:t>2</w:t>
      </w:r>
      <w:r>
        <w:rPr>
          <w:i/>
        </w:rPr>
        <w:t xml:space="preserve"> </w:t>
      </w:r>
      <w:r w:rsidR="00BD3942" w:rsidRPr="00BD3942">
        <w:rPr>
          <w:i/>
        </w:rPr>
        <w:t>Fig</w:t>
      </w:r>
      <w:r w:rsidR="00504984">
        <w:rPr>
          <w:i/>
        </w:rPr>
        <w:t>ure</w:t>
      </w:r>
      <w:r w:rsidR="00BD3942" w:rsidRPr="00BD3942">
        <w:rPr>
          <w:i/>
        </w:rPr>
        <w:t xml:space="preserve"> 5.8 reveals high spatial variability in runoff changes, even in adjacent basins. In contrast, temperature changes should be spatially uniform, relatively. Do these spatial patterns of runoff changes match the spatial patterns of precip</w:t>
      </w:r>
      <w:r w:rsidR="00504984">
        <w:rPr>
          <w:i/>
        </w:rPr>
        <w:t>itation</w:t>
      </w:r>
      <w:r w:rsidR="00BD3942" w:rsidRPr="00BD3942">
        <w:rPr>
          <w:i/>
        </w:rPr>
        <w:t xml:space="preserve"> changes? This comment applies to similar figures for the other PMAs, too</w:t>
      </w:r>
      <w:r w:rsidRPr="00863080">
        <w:rPr>
          <w:i/>
        </w:rPr>
        <w:t>.</w:t>
      </w:r>
    </w:p>
    <w:p w14:paraId="204ECCB2" w14:textId="2C6A312F" w:rsidR="007D18E7" w:rsidRDefault="007D18E7" w:rsidP="007D18E7">
      <w:pPr>
        <w:pStyle w:val="BodyText"/>
        <w:ind w:left="360" w:hanging="360"/>
      </w:pPr>
      <w:r>
        <w:t>-</w:t>
      </w:r>
      <w:r>
        <w:tab/>
      </w:r>
      <w:r w:rsidR="00BD3942" w:rsidRPr="00BD3942">
        <w:t>The spatial patterns of P95 or P05 were not explicitly compared. However, the spatial heterogeneity may be a result of different hydrologic response in adjacent basins (HRUs or HUC8s). Given that a spatially independent parameter calibration was performed for each of the HUC8, there may be some sensitive behavior especially for low flow conditions. The effect is even more pronounced since we show percent change instead of absolute change.</w:t>
      </w:r>
    </w:p>
    <w:p w14:paraId="72816859" w14:textId="2CC1FFD7" w:rsidR="00BD3942" w:rsidRDefault="00BD3942" w:rsidP="00BD3942">
      <w:pPr>
        <w:pStyle w:val="BodyText"/>
        <w:spacing w:after="0"/>
      </w:pPr>
      <w:r>
        <w:rPr>
          <w:i/>
        </w:rPr>
        <w:t>10.2</w:t>
      </w:r>
      <w:r w:rsidR="00EA4498">
        <w:rPr>
          <w:i/>
        </w:rPr>
        <w:t>3</w:t>
      </w:r>
      <w:r>
        <w:rPr>
          <w:i/>
        </w:rPr>
        <w:t xml:space="preserve"> </w:t>
      </w:r>
      <w:r w:rsidR="00EA4498" w:rsidRPr="00EA4498">
        <w:rPr>
          <w:i/>
        </w:rPr>
        <w:t>PMPs are very large and their estimated (stationary) return periods can be astronomical. Global warming will put systems under high stress more often. This can lead to system failure even if the estimated PMP is not reached. The Oroville Dam failure comes to mind.</w:t>
      </w:r>
    </w:p>
    <w:p w14:paraId="698D231A" w14:textId="21CDD58B" w:rsidR="00BD3942" w:rsidRDefault="00BD3942" w:rsidP="00BD3942">
      <w:pPr>
        <w:pStyle w:val="BodyText"/>
        <w:ind w:left="360" w:hanging="360"/>
      </w:pPr>
      <w:r>
        <w:t>-</w:t>
      </w:r>
      <w:r>
        <w:tab/>
      </w:r>
      <w:r w:rsidR="00EA4498" w:rsidRPr="00EA4498">
        <w:t>We fully agree with this comment. It</w:t>
      </w:r>
      <w:r w:rsidR="00805545">
        <w:t>’</w:t>
      </w:r>
      <w:r w:rsidR="00EA4498" w:rsidRPr="00EA4498">
        <w:t>s the reason we specifically call out PMP here.</w:t>
      </w:r>
    </w:p>
    <w:p w14:paraId="78A408BC" w14:textId="73AA35E2" w:rsidR="007A4E23" w:rsidRDefault="007A4E23" w:rsidP="007A4E23">
      <w:pPr>
        <w:pStyle w:val="BodyText"/>
      </w:pPr>
      <w:r w:rsidRPr="00DA1CA8">
        <w:rPr>
          <w:b/>
        </w:rPr>
        <w:t xml:space="preserve">Reviewer </w:t>
      </w:r>
      <w:r>
        <w:rPr>
          <w:b/>
        </w:rPr>
        <w:t>1</w:t>
      </w:r>
      <w:r w:rsidR="008B7735">
        <w:rPr>
          <w:b/>
        </w:rPr>
        <w:t>1</w:t>
      </w:r>
    </w:p>
    <w:p w14:paraId="47F01865" w14:textId="627EB521" w:rsidR="007A4E23" w:rsidRDefault="008B7735" w:rsidP="007A4E23">
      <w:pPr>
        <w:pStyle w:val="BodyText"/>
        <w:spacing w:after="0"/>
      </w:pPr>
      <w:r>
        <w:rPr>
          <w:i/>
        </w:rPr>
        <w:t>1</w:t>
      </w:r>
      <w:r w:rsidR="007A4E23">
        <w:rPr>
          <w:i/>
        </w:rPr>
        <w:t xml:space="preserve">1.1 </w:t>
      </w:r>
      <w:r w:rsidRPr="008B7735">
        <w:rPr>
          <w:i/>
        </w:rPr>
        <w:t xml:space="preserve">This report is impressive in its rigorous review of climate model evaluation and selection for usage with this project. Is the approach laid out novel in the field of climate model/among those who use climate models? </w:t>
      </w:r>
      <w:r w:rsidR="005606E5">
        <w:rPr>
          <w:i/>
        </w:rPr>
        <w:t>In other words</w:t>
      </w:r>
      <w:r w:rsidRPr="008B7735">
        <w:rPr>
          <w:i/>
        </w:rPr>
        <w:t>, the various selection criteria, metrics, and evaluation process? Is this type of meta-analysis for selecting proper climate models for specific project scopes/sectors/goals well established with standard practices similar to those used by the authors? Either way, given the growing prevalence and usage of climate models, some greater introduction and context on this type of model evaluation and selection might assist a reader like myself who is not deeply familiar with the topic.</w:t>
      </w:r>
    </w:p>
    <w:p w14:paraId="60E4BD85" w14:textId="6D28BBA3" w:rsidR="007A4E23" w:rsidRDefault="007A4E23" w:rsidP="007A4E23">
      <w:pPr>
        <w:pStyle w:val="BodyText"/>
        <w:ind w:left="360" w:hanging="360"/>
      </w:pPr>
      <w:r>
        <w:t>-</w:t>
      </w:r>
      <w:r>
        <w:tab/>
      </w:r>
      <w:r w:rsidR="008B7735" w:rsidRPr="008B7735">
        <w:t>Thank you. We appreciate your positive comment and encouragement. We have revised several parts of Section 2 to better explain the methodology.</w:t>
      </w:r>
    </w:p>
    <w:p w14:paraId="4247878F" w14:textId="0B6D5149" w:rsidR="007A4E23" w:rsidRDefault="007A4E23" w:rsidP="007A4E23">
      <w:pPr>
        <w:pStyle w:val="BodyText"/>
        <w:spacing w:after="0"/>
      </w:pPr>
      <w:r>
        <w:rPr>
          <w:i/>
        </w:rPr>
        <w:t>1</w:t>
      </w:r>
      <w:r w:rsidR="00411B2E">
        <w:rPr>
          <w:i/>
        </w:rPr>
        <w:t>1</w:t>
      </w:r>
      <w:r>
        <w:rPr>
          <w:i/>
        </w:rPr>
        <w:t xml:space="preserve">.2 </w:t>
      </w:r>
      <w:r w:rsidR="00411B2E" w:rsidRPr="00411B2E">
        <w:rPr>
          <w:i/>
        </w:rPr>
        <w:t xml:space="preserve">This project combines groups of models by feeding the outputs of certain models as inputs to others, ultimately connecting climate change predictions to the effects on national hydropower. As such, the methodology described becomes impressively complex, and as a reader I wondered if a visual summarization could be provided to assist with clarifying the overall modeling scheme. Specifically, I did not see an explicit visual representation of all of the various inputs and outputs from each set of models and where each were derived from or sent to. Page 64 provides a good version for the hydropower model specifically). There is a high level of interconnectivity in this work that is otherwise missed/ difficult to understand when each modeling methods subsection is described separately. Furthermore, without a guiding roadmap, I also found myself wondering why specific parameters were being collected from certain models before discovering that they were inputs to later models. For example, I did not see why </w:t>
      </w:r>
      <w:r w:rsidR="00930433">
        <w:rPr>
          <w:i/>
        </w:rPr>
        <w:t>“</w:t>
      </w:r>
      <w:r w:rsidR="00411B2E" w:rsidRPr="00411B2E">
        <w:rPr>
          <w:i/>
        </w:rPr>
        <w:t>Wind Speed</w:t>
      </w:r>
      <w:r w:rsidR="00930433">
        <w:rPr>
          <w:i/>
        </w:rPr>
        <w:t>”</w:t>
      </w:r>
      <w:r w:rsidR="00411B2E" w:rsidRPr="00411B2E">
        <w:rPr>
          <w:i/>
        </w:rPr>
        <w:t xml:space="preserve"> was being collected in the meteorological models (page 41) until I arrived at the </w:t>
      </w:r>
      <w:r w:rsidR="00930433">
        <w:rPr>
          <w:i/>
        </w:rPr>
        <w:t>“</w:t>
      </w:r>
      <w:r w:rsidR="00411B2E" w:rsidRPr="00411B2E">
        <w:rPr>
          <w:i/>
        </w:rPr>
        <w:t>Reservoir Evaporation Modeling</w:t>
      </w:r>
      <w:r w:rsidR="00930433">
        <w:rPr>
          <w:i/>
        </w:rPr>
        <w:t>”</w:t>
      </w:r>
      <w:r w:rsidR="00411B2E" w:rsidRPr="00411B2E">
        <w:rPr>
          <w:i/>
        </w:rPr>
        <w:t xml:space="preserve"> section ~30 pages later.</w:t>
      </w:r>
    </w:p>
    <w:p w14:paraId="4D285689" w14:textId="620BF7BB" w:rsidR="007A4E23" w:rsidRDefault="007A4E23" w:rsidP="007A4E23">
      <w:pPr>
        <w:pStyle w:val="BodyText"/>
        <w:ind w:left="360" w:hanging="360"/>
      </w:pPr>
      <w:r>
        <w:t>-</w:t>
      </w:r>
      <w:r>
        <w:tab/>
      </w:r>
      <w:r w:rsidR="00411B2E" w:rsidRPr="00411B2E">
        <w:t xml:space="preserve">A summary framework is presented in Figure 2.1. The individual modeling components and relevant information is described in </w:t>
      </w:r>
      <w:r w:rsidR="004A55F5" w:rsidRPr="00411B2E">
        <w:t xml:space="preserve">Section </w:t>
      </w:r>
      <w:r w:rsidR="00411B2E" w:rsidRPr="00411B2E">
        <w:t xml:space="preserve">2.1. We will incorporate this suggestion and provide more concise summary in the </w:t>
      </w:r>
      <w:r w:rsidR="00504984" w:rsidRPr="00411B2E">
        <w:t xml:space="preserve">report </w:t>
      </w:r>
      <w:r w:rsidR="00411B2E" w:rsidRPr="00411B2E">
        <w:t xml:space="preserve">to </w:t>
      </w:r>
      <w:r w:rsidR="00F56BB1" w:rsidRPr="00411B2E">
        <w:t>Congress.</w:t>
      </w:r>
    </w:p>
    <w:p w14:paraId="075F65AA" w14:textId="6CF3ABD9" w:rsidR="00EA4498" w:rsidRDefault="00EA4498" w:rsidP="00EA4498">
      <w:pPr>
        <w:pStyle w:val="BodyText"/>
      </w:pPr>
      <w:r w:rsidRPr="00DA1CA8">
        <w:rPr>
          <w:b/>
        </w:rPr>
        <w:t xml:space="preserve">Reviewer </w:t>
      </w:r>
      <w:r>
        <w:rPr>
          <w:b/>
        </w:rPr>
        <w:t>1</w:t>
      </w:r>
      <w:r w:rsidR="000B765C">
        <w:rPr>
          <w:b/>
        </w:rPr>
        <w:t>2</w:t>
      </w:r>
    </w:p>
    <w:p w14:paraId="71CBD1F1" w14:textId="03F30E13" w:rsidR="00EA4498" w:rsidRDefault="00EA4498" w:rsidP="000B765C">
      <w:pPr>
        <w:pStyle w:val="BodyText"/>
        <w:spacing w:after="0"/>
      </w:pPr>
      <w:r>
        <w:rPr>
          <w:i/>
        </w:rPr>
        <w:lastRenderedPageBreak/>
        <w:t>1</w:t>
      </w:r>
      <w:r w:rsidR="000B765C">
        <w:rPr>
          <w:i/>
        </w:rPr>
        <w:t>2</w:t>
      </w:r>
      <w:r>
        <w:rPr>
          <w:i/>
        </w:rPr>
        <w:t xml:space="preserve">.1 </w:t>
      </w:r>
      <w:r w:rsidR="000B765C" w:rsidRPr="000B765C">
        <w:rPr>
          <w:i/>
        </w:rPr>
        <w:t>I like the bulleted list of findings near the beginning of the discussion! Nice synthesis of results.</w:t>
      </w:r>
      <w:r w:rsidR="000B765C">
        <w:rPr>
          <w:i/>
        </w:rPr>
        <w:t xml:space="preserve"> </w:t>
      </w:r>
      <w:r w:rsidR="000B765C" w:rsidRPr="000B765C">
        <w:rPr>
          <w:i/>
        </w:rPr>
        <w:t>The overall structure of the report is good and the analysis thorough, and I appreciate the subsections on how the model is calibrated, validated, and also its limitations.</w:t>
      </w:r>
      <w:r w:rsidR="000B765C">
        <w:rPr>
          <w:i/>
        </w:rPr>
        <w:t xml:space="preserve"> </w:t>
      </w:r>
      <w:r w:rsidR="000B765C" w:rsidRPr="000B765C">
        <w:rPr>
          <w:i/>
        </w:rPr>
        <w:t>The interregional analysis was very interesting, I liked the and the graphics are high quality!</w:t>
      </w:r>
    </w:p>
    <w:p w14:paraId="33420AAE" w14:textId="418BA243" w:rsidR="00EA4498" w:rsidRDefault="00EA4498" w:rsidP="00EA4498">
      <w:pPr>
        <w:pStyle w:val="BodyText"/>
        <w:ind w:left="360" w:hanging="360"/>
      </w:pPr>
      <w:r>
        <w:t>-</w:t>
      </w:r>
      <w:r>
        <w:tab/>
      </w:r>
      <w:r w:rsidR="000B765C" w:rsidRPr="000B765C">
        <w:t>Thank you. We appreciate your positive comment and encouragement.</w:t>
      </w:r>
    </w:p>
    <w:p w14:paraId="07A08011" w14:textId="107C633D" w:rsidR="00EA4498" w:rsidRDefault="00EA4498" w:rsidP="00EA4498">
      <w:pPr>
        <w:pStyle w:val="BodyText"/>
        <w:spacing w:after="0"/>
      </w:pPr>
      <w:r>
        <w:rPr>
          <w:i/>
        </w:rPr>
        <w:t>1</w:t>
      </w:r>
      <w:r w:rsidR="000B765C">
        <w:rPr>
          <w:i/>
        </w:rPr>
        <w:t>2</w:t>
      </w:r>
      <w:r>
        <w:rPr>
          <w:i/>
        </w:rPr>
        <w:t xml:space="preserve">.2 </w:t>
      </w:r>
      <w:r w:rsidR="000342BF" w:rsidRPr="000342BF">
        <w:rPr>
          <w:i/>
        </w:rPr>
        <w:t xml:space="preserve">It was noted that the methodology changed from past assessments compared </w:t>
      </w:r>
      <w:r w:rsidR="00321A44">
        <w:rPr>
          <w:i/>
        </w:rPr>
        <w:t>with</w:t>
      </w:r>
      <w:r w:rsidR="00321A44" w:rsidRPr="000342BF">
        <w:rPr>
          <w:i/>
        </w:rPr>
        <w:t xml:space="preserve"> </w:t>
      </w:r>
      <w:r w:rsidR="000342BF" w:rsidRPr="000342BF">
        <w:rPr>
          <w:i/>
        </w:rPr>
        <w:t>this assessment, with this assessment using a multimodel framework to increase confidence of findings; it would be useful for the authors to state in this section how the results on p</w:t>
      </w:r>
      <w:r w:rsidR="00504984">
        <w:rPr>
          <w:i/>
        </w:rPr>
        <w:t>ages</w:t>
      </w:r>
      <w:r w:rsidR="000342BF" w:rsidRPr="000342BF">
        <w:rPr>
          <w:i/>
        </w:rPr>
        <w:t xml:space="preserve"> 2</w:t>
      </w:r>
      <w:r w:rsidR="00504984">
        <w:rPr>
          <w:i/>
        </w:rPr>
        <w:t xml:space="preserve"> and </w:t>
      </w:r>
      <w:r w:rsidR="000342BF" w:rsidRPr="000342BF">
        <w:rPr>
          <w:i/>
        </w:rPr>
        <w:t>3 differed or were affected by different assumptions</w:t>
      </w:r>
      <w:r w:rsidR="00504984">
        <w:rPr>
          <w:i/>
        </w:rPr>
        <w:t>—</w:t>
      </w:r>
      <w:r w:rsidR="000342BF" w:rsidRPr="000342BF">
        <w:rPr>
          <w:i/>
        </w:rPr>
        <w:t xml:space="preserve">did the former assessments tend to underpredict certain conditions? </w:t>
      </w:r>
      <w:r w:rsidR="00504984" w:rsidRPr="000342BF">
        <w:rPr>
          <w:i/>
        </w:rPr>
        <w:t xml:space="preserve">Did </w:t>
      </w:r>
      <w:r w:rsidR="000342BF" w:rsidRPr="000342BF">
        <w:rPr>
          <w:i/>
        </w:rPr>
        <w:t>the results based on previous assumptions present bias in a specific direction? In other words, how much of the old assessment can still be used with high confidence?</w:t>
      </w:r>
    </w:p>
    <w:p w14:paraId="335DD143" w14:textId="5C50543B" w:rsidR="00EA4498" w:rsidRDefault="00EA4498" w:rsidP="00EA4498">
      <w:pPr>
        <w:pStyle w:val="BodyText"/>
        <w:ind w:left="360" w:hanging="360"/>
      </w:pPr>
      <w:r>
        <w:t>-</w:t>
      </w:r>
      <w:r>
        <w:tab/>
      </w:r>
      <w:r w:rsidR="000342BF" w:rsidRPr="000342BF">
        <w:t xml:space="preserve">Thank you for the suggestion. The needs to better address uncertainty </w:t>
      </w:r>
      <w:r w:rsidR="00504984">
        <w:t xml:space="preserve">have </w:t>
      </w:r>
      <w:r w:rsidR="000342BF" w:rsidRPr="000342BF">
        <w:t>been discussed in Section</w:t>
      </w:r>
      <w:r w:rsidR="00504984">
        <w:t> </w:t>
      </w:r>
      <w:r w:rsidR="000342BF" w:rsidRPr="000342BF">
        <w:t>2.1 and throughout the report.</w:t>
      </w:r>
    </w:p>
    <w:p w14:paraId="2A389272" w14:textId="275F8187" w:rsidR="000B765C" w:rsidRDefault="000B765C" w:rsidP="000B765C">
      <w:pPr>
        <w:pStyle w:val="BodyText"/>
        <w:spacing w:after="0"/>
      </w:pPr>
      <w:r>
        <w:rPr>
          <w:i/>
        </w:rPr>
        <w:t>12.</w:t>
      </w:r>
      <w:r w:rsidR="006C0E92">
        <w:rPr>
          <w:i/>
        </w:rPr>
        <w:t>3</w:t>
      </w:r>
      <w:r>
        <w:rPr>
          <w:i/>
        </w:rPr>
        <w:t xml:space="preserve"> </w:t>
      </w:r>
      <w:r w:rsidR="006C0E92" w:rsidRPr="006C0E92">
        <w:rPr>
          <w:i/>
        </w:rPr>
        <w:t>It</w:t>
      </w:r>
      <w:r w:rsidR="00805545">
        <w:rPr>
          <w:i/>
        </w:rPr>
        <w:t>’</w:t>
      </w:r>
      <w:r w:rsidR="006C0E92" w:rsidRPr="006C0E92">
        <w:rPr>
          <w:i/>
        </w:rPr>
        <w:t>s interesting to see the runoff changes spatially; the heterogeneity I</w:t>
      </w:r>
      <w:r w:rsidR="00805545">
        <w:rPr>
          <w:i/>
        </w:rPr>
        <w:t>’</w:t>
      </w:r>
      <w:r w:rsidR="006C0E92" w:rsidRPr="006C0E92">
        <w:rPr>
          <w:i/>
        </w:rPr>
        <w:t>m assuming is related to the lack of elevation? I think it was mentioned earlier in the chapter that topography is a major influencer--could be useful to bring it up again to describe why we</w:t>
      </w:r>
      <w:r w:rsidR="00805545">
        <w:rPr>
          <w:i/>
        </w:rPr>
        <w:t>’</w:t>
      </w:r>
      <w:r w:rsidR="006C0E92" w:rsidRPr="006C0E92">
        <w:rPr>
          <w:i/>
        </w:rPr>
        <w:t>re seeing this relatively uniform pattern across the region.</w:t>
      </w:r>
    </w:p>
    <w:p w14:paraId="5756F38F" w14:textId="388C61E9" w:rsidR="000B765C" w:rsidRDefault="000B765C" w:rsidP="000B765C">
      <w:pPr>
        <w:pStyle w:val="BodyText"/>
        <w:ind w:left="360" w:hanging="360"/>
      </w:pPr>
      <w:r>
        <w:t>-</w:t>
      </w:r>
      <w:r>
        <w:tab/>
      </w:r>
      <w:r w:rsidR="00EF40E9" w:rsidRPr="00EF40E9">
        <w:t>The spatial heterogeneity may be a result of different hydrologic response in adjacent basins (HRUs or HUC8s). Given that a spatially independent parameter calibration was performed for each of the HUC8, there may be some sensitive behavior especially for low flow conditions. The effect is even more pronounced since we show percent change instead of absolute change.</w:t>
      </w:r>
    </w:p>
    <w:p w14:paraId="3DCA8E1D" w14:textId="7F2DDACC" w:rsidR="000B765C" w:rsidRDefault="000B765C" w:rsidP="000B765C">
      <w:pPr>
        <w:pStyle w:val="BodyText"/>
        <w:spacing w:after="0"/>
      </w:pPr>
      <w:r>
        <w:rPr>
          <w:i/>
        </w:rPr>
        <w:t>12.</w:t>
      </w:r>
      <w:r w:rsidR="00C23D47">
        <w:rPr>
          <w:i/>
        </w:rPr>
        <w:t>4</w:t>
      </w:r>
      <w:r>
        <w:rPr>
          <w:i/>
        </w:rPr>
        <w:t xml:space="preserve"> </w:t>
      </w:r>
      <w:r w:rsidR="00C23D47" w:rsidRPr="00C23D47">
        <w:rPr>
          <w:i/>
        </w:rPr>
        <w:t>Some of the references used are quite old (2009); I</w:t>
      </w:r>
      <w:r w:rsidR="00805545">
        <w:rPr>
          <w:i/>
        </w:rPr>
        <w:t>’</w:t>
      </w:r>
      <w:r w:rsidR="00C23D47" w:rsidRPr="00C23D47">
        <w:rPr>
          <w:i/>
        </w:rPr>
        <w:t>m assuming however that it</w:t>
      </w:r>
      <w:r w:rsidR="00805545">
        <w:rPr>
          <w:i/>
        </w:rPr>
        <w:t>’</w:t>
      </w:r>
      <w:r w:rsidR="00C23D47" w:rsidRPr="00C23D47">
        <w:rPr>
          <w:i/>
        </w:rPr>
        <w:t>s used still because the trend of growing demand for industrial water for areas like Atlanta still hold true, as is the trend in environmental/recreational use of water.</w:t>
      </w:r>
    </w:p>
    <w:p w14:paraId="1EBACE39" w14:textId="3CF5C696" w:rsidR="000B765C" w:rsidRDefault="000B765C" w:rsidP="000B765C">
      <w:pPr>
        <w:pStyle w:val="BodyText"/>
        <w:ind w:left="360" w:hanging="360"/>
      </w:pPr>
      <w:r>
        <w:t>-</w:t>
      </w:r>
      <w:r>
        <w:tab/>
      </w:r>
      <w:r w:rsidR="00C23D47" w:rsidRPr="00C23D47">
        <w:t xml:space="preserve">Yes, issues of competition for water storage in some of the SEPA reservoirs still continue and are sometimes referred to as the </w:t>
      </w:r>
      <w:r w:rsidR="00930433">
        <w:t>“</w:t>
      </w:r>
      <w:r w:rsidR="00C23D47" w:rsidRPr="00C23D47">
        <w:t>tri-state water wars</w:t>
      </w:r>
      <w:r w:rsidR="00930433">
        <w:t>”</w:t>
      </w:r>
      <w:r w:rsidR="00C23D47" w:rsidRPr="00C23D47">
        <w:t xml:space="preserve"> (</w:t>
      </w:r>
      <w:hyperlink r:id="rId519" w:history="1">
        <w:r w:rsidR="00C23D47" w:rsidRPr="00F777C8">
          <w:rPr>
            <w:rStyle w:val="Hyperlink"/>
          </w:rPr>
          <w:t>https://atlantaregional.org/natural-resources/water/tri-state-water-wars-overview/</w:t>
        </w:r>
      </w:hyperlink>
      <w:r w:rsidR="00C23D47" w:rsidRPr="00C23D47">
        <w:t>)</w:t>
      </w:r>
      <w:r w:rsidRPr="00E41942">
        <w:t>.</w:t>
      </w:r>
    </w:p>
    <w:p w14:paraId="5C2A864D" w14:textId="6CA0DCE9" w:rsidR="00EA4498" w:rsidRDefault="00EA4498" w:rsidP="00EA4498">
      <w:pPr>
        <w:pStyle w:val="BodyText"/>
      </w:pPr>
      <w:r w:rsidRPr="00DA1CA8">
        <w:rPr>
          <w:b/>
        </w:rPr>
        <w:t xml:space="preserve">Reviewer </w:t>
      </w:r>
      <w:r>
        <w:rPr>
          <w:b/>
        </w:rPr>
        <w:t>1</w:t>
      </w:r>
      <w:r w:rsidR="00344889">
        <w:rPr>
          <w:b/>
        </w:rPr>
        <w:t>3</w:t>
      </w:r>
    </w:p>
    <w:p w14:paraId="666F1183" w14:textId="63B24D18" w:rsidR="00EA4498" w:rsidRDefault="00EA4498" w:rsidP="00EA4498">
      <w:pPr>
        <w:pStyle w:val="BodyText"/>
        <w:spacing w:after="0"/>
      </w:pPr>
      <w:r>
        <w:rPr>
          <w:i/>
        </w:rPr>
        <w:t>1</w:t>
      </w:r>
      <w:r w:rsidR="00293F5D">
        <w:rPr>
          <w:i/>
        </w:rPr>
        <w:t>3</w:t>
      </w:r>
      <w:r>
        <w:rPr>
          <w:i/>
        </w:rPr>
        <w:t xml:space="preserve">.1 </w:t>
      </w:r>
      <w:r w:rsidR="00293F5D" w:rsidRPr="00293F5D">
        <w:rPr>
          <w:i/>
        </w:rPr>
        <w:t>The selected GCM seem to have been based on overall evaluation over CONUS. Wouldn</w:t>
      </w:r>
      <w:r w:rsidR="00805545">
        <w:rPr>
          <w:i/>
        </w:rPr>
        <w:t>’</w:t>
      </w:r>
      <w:r w:rsidR="00293F5D" w:rsidRPr="00293F5D">
        <w:rPr>
          <w:i/>
        </w:rPr>
        <w:t xml:space="preserve">t have been more objective and useful for this extensive assessment study to evaluate and choose the subset of models passing the evaluation test for the </w:t>
      </w:r>
      <w:r w:rsidR="00504984">
        <w:rPr>
          <w:i/>
        </w:rPr>
        <w:t>four</w:t>
      </w:r>
      <w:r w:rsidR="00293F5D" w:rsidRPr="00293F5D">
        <w:rPr>
          <w:i/>
        </w:rPr>
        <w:t xml:space="preserve"> PMA regions. Even more specifically, targeting subregions. For example, WAPA region represents a vast area west of Mississippi River and WAPA-6 (</w:t>
      </w:r>
      <w:r w:rsidR="006C6778" w:rsidRPr="00293F5D">
        <w:rPr>
          <w:i/>
        </w:rPr>
        <w:t xml:space="preserve">northern </w:t>
      </w:r>
      <w:r w:rsidR="00293F5D" w:rsidRPr="00293F5D">
        <w:rPr>
          <w:i/>
        </w:rPr>
        <w:t xml:space="preserve">California </w:t>
      </w:r>
      <w:r w:rsidR="006C6778" w:rsidRPr="00293F5D">
        <w:rPr>
          <w:i/>
        </w:rPr>
        <w:t>region</w:t>
      </w:r>
      <w:r w:rsidR="00293F5D" w:rsidRPr="00293F5D">
        <w:rPr>
          <w:i/>
        </w:rPr>
        <w:t>) is geographically disconnected from the rest. Or WAPA</w:t>
      </w:r>
      <w:r w:rsidR="00504984">
        <w:rPr>
          <w:i/>
        </w:rPr>
        <w:t>-</w:t>
      </w:r>
      <w:r w:rsidR="00293F5D" w:rsidRPr="00293F5D">
        <w:rPr>
          <w:i/>
        </w:rPr>
        <w:t xml:space="preserve">3 and </w:t>
      </w:r>
      <w:r w:rsidR="00504984">
        <w:rPr>
          <w:i/>
        </w:rPr>
        <w:t>WAPA-</w:t>
      </w:r>
      <w:r w:rsidR="00293F5D" w:rsidRPr="00293F5D">
        <w:rPr>
          <w:i/>
        </w:rPr>
        <w:t xml:space="preserve">4 </w:t>
      </w:r>
      <w:r w:rsidR="00504984">
        <w:rPr>
          <w:i/>
        </w:rPr>
        <w:t>a</w:t>
      </w:r>
      <w:r w:rsidR="00293F5D" w:rsidRPr="00293F5D">
        <w:rPr>
          <w:i/>
        </w:rPr>
        <w:t xml:space="preserve">reas, Colorado River </w:t>
      </w:r>
      <w:r w:rsidR="00504984" w:rsidRPr="00293F5D">
        <w:rPr>
          <w:i/>
        </w:rPr>
        <w:t>basin</w:t>
      </w:r>
      <w:r w:rsidR="00293F5D" w:rsidRPr="00293F5D">
        <w:rPr>
          <w:i/>
        </w:rPr>
        <w:t>, in our opinion, would have benefited from a more focused evaluation. There are two reasons for that, first: the Colorado river basin and its major reservoir system plays a critical role in both water and power supply to the west. Second, historical records in the past four decades shows a statistically significant downward trend in amount of precipitation feeding the Colorado river (http://rainsphere.eng.uci.edu/). Furthermore, WAPA-5 which is the Rio Grande basin represents its own unique hydrologic characteristics and probably deserved.</w:t>
      </w:r>
    </w:p>
    <w:p w14:paraId="4DFFAAC0" w14:textId="62E6B3E2" w:rsidR="00EA4498" w:rsidRDefault="00EA4498" w:rsidP="00EA4498">
      <w:pPr>
        <w:pStyle w:val="BodyText"/>
        <w:ind w:left="360" w:hanging="360"/>
      </w:pPr>
      <w:r>
        <w:t>-</w:t>
      </w:r>
      <w:r>
        <w:tab/>
      </w:r>
      <w:r w:rsidR="00293F5D" w:rsidRPr="00293F5D">
        <w:t xml:space="preserve">We understand the inclusion of figures showing </w:t>
      </w:r>
      <w:r w:rsidR="00293F5D" w:rsidRPr="00803741">
        <w:t>only the CONUS-scale results gave an impression that the evaluations were carried out at the CONUS scale. In reality, the evaluations were carried out by dividing the CONUS into four regions (</w:t>
      </w:r>
      <w:r w:rsidR="00C76327" w:rsidRPr="00262C5B">
        <w:t>F</w:t>
      </w:r>
      <w:r w:rsidR="00293F5D" w:rsidRPr="00803741">
        <w:t xml:space="preserve">igure </w:t>
      </w:r>
      <w:r w:rsidR="00803741">
        <w:t>C</w:t>
      </w:r>
      <w:r w:rsidR="00293F5D" w:rsidRPr="00803741">
        <w:t>.1). The final skill score is based on the average over four regions. We now have replaced CONUS-scale figures with the regional scale figures that were the basis of CONUS-scale rankings. Given that several GCMs have a gird spacing ~200 km, it is not very meaningful to go to finer scales for comparisons.</w:t>
      </w:r>
      <w:r w:rsidR="00293F5D" w:rsidRPr="00293F5D">
        <w:t xml:space="preserve"> Therefore, we have avoided basin-scale evaluations. The final GCMs selection using their overall performance across CONUS is also </w:t>
      </w:r>
      <w:r w:rsidR="00293F5D" w:rsidRPr="00293F5D">
        <w:lastRenderedPageBreak/>
        <w:t>motivated by the fact that they have been used as boundary forcing for dynamical downscaling through a</w:t>
      </w:r>
      <w:r w:rsidR="00E80222">
        <w:t>n</w:t>
      </w:r>
      <w:r w:rsidR="00293F5D" w:rsidRPr="00293F5D">
        <w:t xml:space="preserve"> </w:t>
      </w:r>
      <w:r w:rsidR="00E80222">
        <w:t xml:space="preserve">RCM </w:t>
      </w:r>
      <w:r w:rsidR="00293F5D" w:rsidRPr="00293F5D">
        <w:t>over a domain that covers CONUS and parts of Canada and Mexico. Therefore, GCMs are preferred that display better performance across the CONUS on average.</w:t>
      </w:r>
    </w:p>
    <w:p w14:paraId="6446719F" w14:textId="0FB04BA0" w:rsidR="00EA4498" w:rsidRDefault="00EA4498" w:rsidP="00504984">
      <w:pPr>
        <w:pStyle w:val="BodyText"/>
        <w:keepLines/>
        <w:spacing w:after="0"/>
      </w:pPr>
      <w:r>
        <w:rPr>
          <w:i/>
        </w:rPr>
        <w:t>1</w:t>
      </w:r>
      <w:r w:rsidR="00584A10">
        <w:rPr>
          <w:i/>
        </w:rPr>
        <w:t>3</w:t>
      </w:r>
      <w:r>
        <w:rPr>
          <w:i/>
        </w:rPr>
        <w:t xml:space="preserve">.2 </w:t>
      </w:r>
      <w:r w:rsidR="00584A10" w:rsidRPr="00584A10">
        <w:rPr>
          <w:i/>
        </w:rPr>
        <w:t>The selected GCMs seem to also be subject to the hard constraint of data availability. Specifically, those GCM with sufficient sub-daily outputs for the purpose of dynamical downscaling were considered. Meaning that only 14 out of those 37 GCMs that provided 6-hourly, 3D atmospheric fields were included in the pool. Is this possible reason that 6 emerging front runner GCMs were developed by a number of international centers and countries and none of the US models made the cut?</w:t>
      </w:r>
    </w:p>
    <w:p w14:paraId="7D81D3D9" w14:textId="6FE5B82C" w:rsidR="00EA4498" w:rsidRDefault="00EA4498" w:rsidP="00EA4498">
      <w:pPr>
        <w:pStyle w:val="BodyText"/>
        <w:ind w:left="360" w:hanging="360"/>
      </w:pPr>
      <w:r>
        <w:t>-</w:t>
      </w:r>
      <w:r>
        <w:tab/>
      </w:r>
      <w:r w:rsidR="00584A10" w:rsidRPr="00584A10">
        <w:t>Yes, this is true. NCAR and DOE GCMs did not have sufficient data for their evaluation. GFDL GCMs were highly ranked based on their performance. However, none of the three institutes had 6-houlry atmospheric variables available, which are needed for dynamical downscaling, at the time of decision making.</w:t>
      </w:r>
    </w:p>
    <w:p w14:paraId="5C2D9477" w14:textId="44F9A024" w:rsidR="00293F5D" w:rsidRDefault="00293F5D" w:rsidP="00293F5D">
      <w:pPr>
        <w:pStyle w:val="BodyText"/>
        <w:spacing w:after="0"/>
      </w:pPr>
      <w:r>
        <w:rPr>
          <w:i/>
        </w:rPr>
        <w:t>1</w:t>
      </w:r>
      <w:r w:rsidR="005F2E19">
        <w:rPr>
          <w:i/>
        </w:rPr>
        <w:t>3</w:t>
      </w:r>
      <w:r>
        <w:rPr>
          <w:i/>
        </w:rPr>
        <w:t>.</w:t>
      </w:r>
      <w:r w:rsidR="005F2E19">
        <w:rPr>
          <w:i/>
        </w:rPr>
        <w:t>3</w:t>
      </w:r>
      <w:r>
        <w:rPr>
          <w:i/>
        </w:rPr>
        <w:t xml:space="preserve"> </w:t>
      </w:r>
      <w:r w:rsidR="005F2E19" w:rsidRPr="005F2E19">
        <w:rPr>
          <w:i/>
        </w:rPr>
        <w:t xml:space="preserve">The reviewers suggest that the </w:t>
      </w:r>
      <w:r w:rsidR="00930433">
        <w:rPr>
          <w:i/>
        </w:rPr>
        <w:t>“</w:t>
      </w:r>
      <w:r w:rsidR="005F2E19" w:rsidRPr="005F2E19">
        <w:rPr>
          <w:i/>
        </w:rPr>
        <w:t>observational data</w:t>
      </w:r>
      <w:r w:rsidR="00930433">
        <w:rPr>
          <w:i/>
        </w:rPr>
        <w:t>”</w:t>
      </w:r>
      <w:r w:rsidR="005F2E19" w:rsidRPr="005F2E19">
        <w:rPr>
          <w:i/>
        </w:rPr>
        <w:t xml:space="preserve"> to be defined more clearly. Evidently, Daymet and Livneh are data products that are derived from meteorological observations and reanalysis processes. In sections 2.5.3 (lines 1159-1161) and 2.7 (lines 1626-1629) there are references to the use of reanalysis and assimilated data for calibration and evaporation analysis respectively. Therefore, it is important to clarify the definition of use of </w:t>
      </w:r>
      <w:r w:rsidR="00930433">
        <w:rPr>
          <w:i/>
        </w:rPr>
        <w:t>“</w:t>
      </w:r>
      <w:r w:rsidR="005F2E19" w:rsidRPr="005F2E19">
        <w:rPr>
          <w:i/>
        </w:rPr>
        <w:t>observations</w:t>
      </w:r>
      <w:r w:rsidR="00930433">
        <w:rPr>
          <w:i/>
        </w:rPr>
        <w:t>.”</w:t>
      </w:r>
    </w:p>
    <w:p w14:paraId="5BA58BF2" w14:textId="4234FD7F" w:rsidR="00293F5D" w:rsidRDefault="00293F5D" w:rsidP="00293F5D">
      <w:pPr>
        <w:pStyle w:val="BodyText"/>
        <w:ind w:left="360" w:hanging="360"/>
      </w:pPr>
      <w:r>
        <w:t>-</w:t>
      </w:r>
      <w:r>
        <w:tab/>
      </w:r>
      <w:r w:rsidR="005F2E19" w:rsidRPr="005F2E19">
        <w:t xml:space="preserve">We have clarified this issue in the revised report. We understand that both Daymet and Livneh are not strictly the </w:t>
      </w:r>
      <w:r w:rsidR="00930433">
        <w:t>“</w:t>
      </w:r>
      <w:r w:rsidR="005F2E19" w:rsidRPr="005F2E19">
        <w:t>direct</w:t>
      </w:r>
      <w:r w:rsidR="00930433">
        <w:t>”</w:t>
      </w:r>
      <w:r w:rsidR="005F2E19" w:rsidRPr="005F2E19">
        <w:t xml:space="preserve"> gauge observations. However, given their algorithms, and the fact that they both use minimum reanalysis data, they have been considered as a close surrogate to observations in many published hydrologic literatures.</w:t>
      </w:r>
    </w:p>
    <w:p w14:paraId="78F6A046" w14:textId="04C4ABEA" w:rsidR="00293F5D" w:rsidRDefault="00293F5D" w:rsidP="00293F5D">
      <w:pPr>
        <w:pStyle w:val="BodyText"/>
        <w:spacing w:after="0"/>
      </w:pPr>
      <w:r>
        <w:rPr>
          <w:i/>
        </w:rPr>
        <w:t>1</w:t>
      </w:r>
      <w:r w:rsidR="00BF5C13">
        <w:rPr>
          <w:i/>
        </w:rPr>
        <w:t>3</w:t>
      </w:r>
      <w:r>
        <w:rPr>
          <w:i/>
        </w:rPr>
        <w:t>.</w:t>
      </w:r>
      <w:r w:rsidR="00BF5C13">
        <w:rPr>
          <w:i/>
        </w:rPr>
        <w:t>4</w:t>
      </w:r>
      <w:r>
        <w:rPr>
          <w:i/>
        </w:rPr>
        <w:t xml:space="preserve"> </w:t>
      </w:r>
      <w:r w:rsidR="00BF5C13" w:rsidRPr="00BF5C13">
        <w:rPr>
          <w:i/>
        </w:rPr>
        <w:t xml:space="preserve">The </w:t>
      </w:r>
      <w:r w:rsidR="00504984">
        <w:rPr>
          <w:i/>
        </w:rPr>
        <w:t xml:space="preserve">Summary and </w:t>
      </w:r>
      <w:r w:rsidR="00BF5C13" w:rsidRPr="00BF5C13">
        <w:rPr>
          <w:i/>
        </w:rPr>
        <w:t>Conclusion is very well written and organized. However, in the analysis of climate change impact on PMA costumers</w:t>
      </w:r>
      <w:r w:rsidR="00805545">
        <w:rPr>
          <w:i/>
        </w:rPr>
        <w:t>’</w:t>
      </w:r>
      <w:r w:rsidR="00BF5C13" w:rsidRPr="00BF5C13">
        <w:rPr>
          <w:i/>
        </w:rPr>
        <w:t xml:space="preserve"> demands</w:t>
      </w:r>
      <w:r w:rsidR="00504984">
        <w:rPr>
          <w:i/>
        </w:rPr>
        <w:t>,</w:t>
      </w:r>
      <w:r w:rsidR="00BF5C13" w:rsidRPr="00BF5C13">
        <w:rPr>
          <w:i/>
        </w:rPr>
        <w:t xml:space="preserve"> the specific results of BPA </w:t>
      </w:r>
      <w:r w:rsidR="00504984" w:rsidRPr="00BF5C13">
        <w:rPr>
          <w:i/>
        </w:rPr>
        <w:t xml:space="preserve">region </w:t>
      </w:r>
      <w:r w:rsidR="00BF5C13" w:rsidRPr="00BF5C13">
        <w:rPr>
          <w:i/>
        </w:rPr>
        <w:t>is not presented (lines 4469</w:t>
      </w:r>
      <w:r w:rsidR="00504984">
        <w:rPr>
          <w:i/>
        </w:rPr>
        <w:t>–</w:t>
      </w:r>
      <w:r w:rsidR="00BF5C13" w:rsidRPr="00BF5C13">
        <w:rPr>
          <w:i/>
        </w:rPr>
        <w:t>4483).</w:t>
      </w:r>
    </w:p>
    <w:p w14:paraId="286F83B5" w14:textId="1A2F0738" w:rsidR="00293F5D" w:rsidRDefault="00293F5D" w:rsidP="00293F5D">
      <w:pPr>
        <w:pStyle w:val="BodyText"/>
        <w:ind w:left="360" w:hanging="360"/>
      </w:pPr>
      <w:r>
        <w:t>-</w:t>
      </w:r>
      <w:r>
        <w:tab/>
      </w:r>
      <w:r w:rsidR="00BF5C13" w:rsidRPr="00BF5C13">
        <w:t>Of the four items in the bulleted list summarizing climate change impacts on PMA customers</w:t>
      </w:r>
      <w:r w:rsidR="00805545">
        <w:t>’</w:t>
      </w:r>
      <w:r w:rsidR="00BF5C13" w:rsidRPr="00BF5C13">
        <w:t xml:space="preserve"> demands in </w:t>
      </w:r>
      <w:r w:rsidR="00504984">
        <w:t xml:space="preserve">Section </w:t>
      </w:r>
      <w:r w:rsidR="00BF5C13" w:rsidRPr="00BF5C13">
        <w:t xml:space="preserve">7, the first three apply to all the PMAs. The fourth item distinguishes the results of BPA from those of other PMAs. Now, we added a paragraph to refer to one other important difference between BPA and the rest of PMAs (i.e., only BPA has to follow the load of its customers). For more details, the reader should refer to the </w:t>
      </w:r>
      <w:r w:rsidR="00504984">
        <w:t xml:space="preserve">sections </w:t>
      </w:r>
      <w:r w:rsidR="00BF5C13" w:rsidRPr="00BF5C13">
        <w:t>discussing each of the PMAs.</w:t>
      </w:r>
    </w:p>
    <w:p w14:paraId="591C8E58" w14:textId="50A8E7DD" w:rsidR="00293F5D" w:rsidRDefault="00293F5D" w:rsidP="00293F5D">
      <w:pPr>
        <w:pStyle w:val="BodyText"/>
        <w:spacing w:after="0"/>
      </w:pPr>
      <w:r>
        <w:rPr>
          <w:i/>
        </w:rPr>
        <w:t>1</w:t>
      </w:r>
      <w:r w:rsidR="001E6EBC">
        <w:rPr>
          <w:i/>
        </w:rPr>
        <w:t>3</w:t>
      </w:r>
      <w:r>
        <w:rPr>
          <w:i/>
        </w:rPr>
        <w:t>.</w:t>
      </w:r>
      <w:r w:rsidR="001E6EBC">
        <w:rPr>
          <w:i/>
        </w:rPr>
        <w:t>5</w:t>
      </w:r>
      <w:r>
        <w:rPr>
          <w:i/>
        </w:rPr>
        <w:t xml:space="preserve"> </w:t>
      </w:r>
      <w:r w:rsidR="001E6EBC" w:rsidRPr="001E6EBC">
        <w:rPr>
          <w:i/>
        </w:rPr>
        <w:t xml:space="preserve">It goes without saying that authors should be complimented for an outstanding comprehensive work and well-organized report. There is no question about the value of analyzing regional implications of future climate change scenarios generated by GCMs, downscaled to river basins and their impact on future hydropower generation as a </w:t>
      </w:r>
      <w:r w:rsidR="00930433">
        <w:rPr>
          <w:i/>
        </w:rPr>
        <w:t>“</w:t>
      </w:r>
      <w:r w:rsidR="001E6EBC" w:rsidRPr="001E6EBC">
        <w:rPr>
          <w:i/>
        </w:rPr>
        <w:t>clean</w:t>
      </w:r>
      <w:r w:rsidR="00930433">
        <w:rPr>
          <w:i/>
        </w:rPr>
        <w:t>”</w:t>
      </w:r>
      <w:r w:rsidR="001E6EBC" w:rsidRPr="001E6EBC">
        <w:rPr>
          <w:i/>
        </w:rPr>
        <w:t xml:space="preserve"> energy source. While such a detailed end-to-end modeling studies are valuable, but one wonders</w:t>
      </w:r>
      <w:r w:rsidR="00504984">
        <w:rPr>
          <w:i/>
        </w:rPr>
        <w:t>,</w:t>
      </w:r>
      <w:r w:rsidR="001E6EBC" w:rsidRPr="001E6EBC">
        <w:rPr>
          <w:i/>
        </w:rPr>
        <w:t xml:space="preserve"> how do they compare with the results of generating streamflows using old approaches (now dated) streamflow synthesis (Fiering, Myron B., Barbara Bund, and Barbara B. Jackson. Synthetic streamflows. Vol. 1. American Geophysical Union, 1971). This may</w:t>
      </w:r>
      <w:r w:rsidR="00504984">
        <w:rPr>
          <w:i/>
        </w:rPr>
        <w:t xml:space="preserve"> </w:t>
      </w:r>
      <w:r w:rsidR="001E6EBC" w:rsidRPr="001E6EBC">
        <w:rPr>
          <w:i/>
        </w:rPr>
        <w:t xml:space="preserve">be a philosophical point but for me who took a course in statistical hydrology in the early </w:t>
      </w:r>
      <w:r w:rsidR="00504984">
        <w:rPr>
          <w:i/>
        </w:rPr>
        <w:t>19</w:t>
      </w:r>
      <w:r w:rsidR="001E6EBC" w:rsidRPr="001E6EBC">
        <w:rPr>
          <w:i/>
        </w:rPr>
        <w:t>70s at UCLA where this monograph was taught and we were assigned to take a river and using USGS data perform a simulation of future flow scenarios. I have always wondered to what extent more sophisticated and newer approaches provide improved information for the intended purposes. The same argument has also been made about lumped vs. distributed hydrologic models in terms of their quality of performance and added value. In fact, the authors of the report (page 168, lines 4402</w:t>
      </w:r>
      <w:r w:rsidR="00504984">
        <w:rPr>
          <w:i/>
        </w:rPr>
        <w:t>–</w:t>
      </w:r>
      <w:r w:rsidR="001E6EBC" w:rsidRPr="001E6EBC">
        <w:rPr>
          <w:i/>
        </w:rPr>
        <w:t>4413) raise a somewhat similar point regarding the differences between statistical and dynamical downscaling approaches employed here.</w:t>
      </w:r>
    </w:p>
    <w:p w14:paraId="378DACC5" w14:textId="06BB97D6" w:rsidR="00293F5D" w:rsidRDefault="00293F5D" w:rsidP="00293F5D">
      <w:pPr>
        <w:pStyle w:val="BodyText"/>
        <w:ind w:left="360" w:hanging="360"/>
      </w:pPr>
      <w:r>
        <w:t>-</w:t>
      </w:r>
      <w:r>
        <w:tab/>
      </w:r>
      <w:r w:rsidR="001E6EBC" w:rsidRPr="001E6EBC">
        <w:t>Thank you. We appreciate your positive comment and encouragement. We will be interested to explore/collaborate with the reviewer to understand the in-depth questions related to streamflow and hydropower estimates. We believe that the initial modeling outputs from this study may help provide some insights into these questions.</w:t>
      </w:r>
    </w:p>
    <w:p w14:paraId="5129E37F" w14:textId="4EE316A4" w:rsidR="00293F5D" w:rsidRDefault="00293F5D" w:rsidP="00293F5D">
      <w:pPr>
        <w:pStyle w:val="BodyText"/>
        <w:spacing w:after="0"/>
      </w:pPr>
      <w:r>
        <w:rPr>
          <w:i/>
        </w:rPr>
        <w:lastRenderedPageBreak/>
        <w:t>1</w:t>
      </w:r>
      <w:r w:rsidR="00EC5356">
        <w:rPr>
          <w:i/>
        </w:rPr>
        <w:t>3</w:t>
      </w:r>
      <w:r>
        <w:rPr>
          <w:i/>
        </w:rPr>
        <w:t>.</w:t>
      </w:r>
      <w:r w:rsidR="00EC5356">
        <w:rPr>
          <w:i/>
        </w:rPr>
        <w:t>6</w:t>
      </w:r>
      <w:r>
        <w:rPr>
          <w:i/>
        </w:rPr>
        <w:t xml:space="preserve"> </w:t>
      </w:r>
      <w:r w:rsidR="00EC5356" w:rsidRPr="00EC5356">
        <w:rPr>
          <w:i/>
        </w:rPr>
        <w:t>While at the end of this exercise (</w:t>
      </w:r>
      <w:r w:rsidR="00504984" w:rsidRPr="00EC5356">
        <w:rPr>
          <w:i/>
        </w:rPr>
        <w:t>model calibra</w:t>
      </w:r>
      <w:r w:rsidR="00EC5356" w:rsidRPr="00EC5356">
        <w:rPr>
          <w:i/>
        </w:rPr>
        <w:t>tion) it may not matter much, but given all the issues and requirements for hydrologic model calibration, it is interesting that in your study many simplifying assumptions and shortcuts had to be implemented in the case of VIC calibration. This begs the question that with all simplifications and changes is it still the same model that the developers intended? It might be a philosophical issue as to why select a model with rather demanding requirements for its calibration which cannot be met and satisfied.</w:t>
      </w:r>
    </w:p>
    <w:p w14:paraId="4F09687C" w14:textId="33DD14ED" w:rsidR="00293F5D" w:rsidRDefault="00293F5D" w:rsidP="00293F5D">
      <w:pPr>
        <w:pStyle w:val="BodyText"/>
        <w:ind w:left="360" w:hanging="360"/>
      </w:pPr>
      <w:r>
        <w:t>-</w:t>
      </w:r>
      <w:r>
        <w:tab/>
      </w:r>
      <w:r w:rsidR="00EC5356" w:rsidRPr="00EC5356">
        <w:t>We are unsure if we are qualified to fully answer this question. However, we would like to point out that VIC has been widely used for many hydrologic studies given its strong process-based foundation. It</w:t>
      </w:r>
      <w:r w:rsidR="00805545">
        <w:t>’</w:t>
      </w:r>
      <w:r w:rsidR="00EC5356" w:rsidRPr="00EC5356">
        <w:t xml:space="preserve">s </w:t>
      </w:r>
      <w:r w:rsidR="00504984">
        <w:t xml:space="preserve">more difficult </w:t>
      </w:r>
      <w:r w:rsidR="00EC5356" w:rsidRPr="00EC5356">
        <w:t>to calibrate, but in general</w:t>
      </w:r>
      <w:r w:rsidR="00504984">
        <w:t>,</w:t>
      </w:r>
      <w:r w:rsidR="00EC5356" w:rsidRPr="00EC5356">
        <w:t xml:space="preserve"> most researchers agree that it is an appropriate tool to study the future hydrologic response to changing climatic conditions.</w:t>
      </w:r>
    </w:p>
    <w:p w14:paraId="36FA45B9" w14:textId="7575F02B" w:rsidR="00293F5D" w:rsidRDefault="00293F5D" w:rsidP="00293F5D">
      <w:pPr>
        <w:pStyle w:val="BodyText"/>
        <w:spacing w:after="0"/>
      </w:pPr>
      <w:r>
        <w:rPr>
          <w:i/>
        </w:rPr>
        <w:t>1</w:t>
      </w:r>
      <w:r w:rsidR="005348AB">
        <w:rPr>
          <w:i/>
        </w:rPr>
        <w:t>3</w:t>
      </w:r>
      <w:r>
        <w:rPr>
          <w:i/>
        </w:rPr>
        <w:t>.</w:t>
      </w:r>
      <w:r w:rsidR="005348AB">
        <w:rPr>
          <w:i/>
        </w:rPr>
        <w:t>7</w:t>
      </w:r>
      <w:r>
        <w:rPr>
          <w:i/>
        </w:rPr>
        <w:t xml:space="preserve"> </w:t>
      </w:r>
      <w:r w:rsidR="005348AB" w:rsidRPr="005348AB">
        <w:rPr>
          <w:i/>
        </w:rPr>
        <w:t>Is it a realistic assumption in the projection of hydropower generation that the reservoirs in the study would operate in the same way in the future?</w:t>
      </w:r>
    </w:p>
    <w:p w14:paraId="3A519A88" w14:textId="054CB3A7" w:rsidR="00293F5D" w:rsidRDefault="00293F5D" w:rsidP="00293F5D">
      <w:pPr>
        <w:pStyle w:val="BodyText"/>
        <w:ind w:left="360" w:hanging="360"/>
      </w:pPr>
      <w:r>
        <w:t>-</w:t>
      </w:r>
      <w:r>
        <w:tab/>
      </w:r>
      <w:r w:rsidR="00A41469" w:rsidRPr="00A41469">
        <w:t>We agree with this concern. It will be of interest to explore how the current operations can be adjusted for future climate conditions. However, such an issue was not explored given the large number of reservoirs. This will be an important research topic for future watershed-scale studies.</w:t>
      </w:r>
    </w:p>
    <w:p w14:paraId="67A22274" w14:textId="262840E8" w:rsidR="00293F5D" w:rsidRDefault="00293F5D" w:rsidP="00293F5D">
      <w:pPr>
        <w:pStyle w:val="BodyText"/>
        <w:spacing w:after="0"/>
      </w:pPr>
      <w:r>
        <w:rPr>
          <w:i/>
        </w:rPr>
        <w:t>1</w:t>
      </w:r>
      <w:r w:rsidR="00BE7833">
        <w:rPr>
          <w:i/>
        </w:rPr>
        <w:t>3</w:t>
      </w:r>
      <w:r>
        <w:rPr>
          <w:i/>
        </w:rPr>
        <w:t>.</w:t>
      </w:r>
      <w:r w:rsidR="00BE7833">
        <w:rPr>
          <w:i/>
        </w:rPr>
        <w:t>8</w:t>
      </w:r>
      <w:r>
        <w:rPr>
          <w:i/>
        </w:rPr>
        <w:t xml:space="preserve"> </w:t>
      </w:r>
      <w:r w:rsidR="00BE7833" w:rsidRPr="00BE7833">
        <w:rPr>
          <w:i/>
        </w:rPr>
        <w:t>It would be beneficial to present the analysis based on which the multivariate regression model (2.1) with specific lag time (one-month) was chosen.</w:t>
      </w:r>
    </w:p>
    <w:p w14:paraId="5210AE2E" w14:textId="74CF74EE" w:rsidR="00293F5D" w:rsidRDefault="00293F5D" w:rsidP="00293F5D">
      <w:pPr>
        <w:pStyle w:val="BodyText"/>
        <w:ind w:left="360" w:hanging="360"/>
      </w:pPr>
      <w:r>
        <w:t>-</w:t>
      </w:r>
      <w:r>
        <w:tab/>
      </w:r>
      <w:r w:rsidR="00BE7833" w:rsidRPr="00BE7833">
        <w:t>Please see Kao et al. (2016) for further discussion. The information is not included since there was no major structural model update since the previous assessment.</w:t>
      </w:r>
    </w:p>
    <w:p w14:paraId="64F70615" w14:textId="691A2C97" w:rsidR="00293F5D" w:rsidRDefault="00293F5D" w:rsidP="00293F5D">
      <w:pPr>
        <w:pStyle w:val="BodyText"/>
        <w:spacing w:after="0"/>
      </w:pPr>
      <w:r>
        <w:rPr>
          <w:i/>
        </w:rPr>
        <w:t>1</w:t>
      </w:r>
      <w:r w:rsidR="00F62DC3">
        <w:rPr>
          <w:i/>
        </w:rPr>
        <w:t>3</w:t>
      </w:r>
      <w:r>
        <w:rPr>
          <w:i/>
        </w:rPr>
        <w:t>.</w:t>
      </w:r>
      <w:r w:rsidR="00F62DC3">
        <w:rPr>
          <w:i/>
        </w:rPr>
        <w:t>9</w:t>
      </w:r>
      <w:r>
        <w:rPr>
          <w:i/>
        </w:rPr>
        <w:t xml:space="preserve"> </w:t>
      </w:r>
      <w:r w:rsidR="00F62DC3" w:rsidRPr="00F62DC3">
        <w:rPr>
          <w:i/>
        </w:rPr>
        <w:t>In section 2.6.3, the overall results for calibration and validation of two hydropower models WRES and WPMP is presented in Table 2.3. Then in the following Figure 2.16. the performance of WRES and WMP is presented for each PMA in the study. The reviewers suggest a paragraph to be added to the report that analyses these performances for each PMA separately.</w:t>
      </w:r>
    </w:p>
    <w:p w14:paraId="73B138A1" w14:textId="41216627" w:rsidR="00293F5D" w:rsidRDefault="00293F5D" w:rsidP="00293F5D">
      <w:pPr>
        <w:pStyle w:val="BodyText"/>
        <w:ind w:left="360" w:hanging="360"/>
      </w:pPr>
      <w:r>
        <w:t>-</w:t>
      </w:r>
      <w:r>
        <w:tab/>
      </w:r>
      <w:r w:rsidR="00F62DC3" w:rsidRPr="00F62DC3">
        <w:t xml:space="preserve">Thank you for the recommendation. Since the PMA-specific results have been discussed in-depth at each PMA </w:t>
      </w:r>
      <w:r w:rsidR="00504984">
        <w:t xml:space="preserve">section </w:t>
      </w:r>
      <w:r w:rsidR="00F62DC3" w:rsidRPr="00F62DC3">
        <w:t xml:space="preserve">(i.e., </w:t>
      </w:r>
      <w:r w:rsidR="00504984">
        <w:t xml:space="preserve">Sections </w:t>
      </w:r>
      <w:r w:rsidR="00F62DC3" w:rsidRPr="00F62DC3">
        <w:t>3.3.1, 4.3.1, 5.3.1, and 6.3.1), we would refer the interested readers to those sections.</w:t>
      </w:r>
    </w:p>
    <w:p w14:paraId="70D672FE" w14:textId="15A36385" w:rsidR="00293F5D" w:rsidRDefault="00293F5D" w:rsidP="00293F5D">
      <w:pPr>
        <w:pStyle w:val="BodyText"/>
        <w:spacing w:after="0"/>
      </w:pPr>
      <w:r>
        <w:rPr>
          <w:i/>
        </w:rPr>
        <w:t>1</w:t>
      </w:r>
      <w:r w:rsidR="003A28FF">
        <w:rPr>
          <w:i/>
        </w:rPr>
        <w:t>3</w:t>
      </w:r>
      <w:r>
        <w:rPr>
          <w:i/>
        </w:rPr>
        <w:t>.</w:t>
      </w:r>
      <w:r w:rsidR="003A28FF">
        <w:rPr>
          <w:i/>
        </w:rPr>
        <w:t>10</w:t>
      </w:r>
      <w:r>
        <w:rPr>
          <w:i/>
        </w:rPr>
        <w:t xml:space="preserve"> </w:t>
      </w:r>
      <w:r w:rsidR="003A28FF" w:rsidRPr="003A28FF">
        <w:rPr>
          <w:i/>
        </w:rPr>
        <w:t xml:space="preserve">As mentioned, estimated changes in electricity demanded are most interesting for BPA because they are required to meet changes in load even with water supply shortages (or excess) or other external factors that make this electricity delivery costly or difficult. Nevertheless, the value of the energy and capacity products sold by other PMAs might also be affected by changes in the seasonal load patterns of their customers. The reviewers suggest a that a connection between this claim and the analysis in </w:t>
      </w:r>
      <w:r w:rsidR="00504984" w:rsidRPr="003A28FF">
        <w:rPr>
          <w:i/>
        </w:rPr>
        <w:t xml:space="preserve">Section </w:t>
      </w:r>
      <w:r w:rsidR="003A28FF" w:rsidRPr="003A28FF">
        <w:rPr>
          <w:i/>
        </w:rPr>
        <w:t>3.3.2 to be added to the report.</w:t>
      </w:r>
    </w:p>
    <w:p w14:paraId="6E0679E0" w14:textId="6577C54A" w:rsidR="00293F5D" w:rsidRDefault="00293F5D" w:rsidP="00293F5D">
      <w:pPr>
        <w:pStyle w:val="BodyText"/>
        <w:ind w:left="360" w:hanging="360"/>
      </w:pPr>
      <w:r>
        <w:t>-</w:t>
      </w:r>
      <w:r>
        <w:tab/>
      </w:r>
      <w:r w:rsidR="003A28FF">
        <w:t>We have a</w:t>
      </w:r>
      <w:r w:rsidR="003A28FF" w:rsidRPr="003A28FF">
        <w:t>dded a paragraph at the beginning of Section 3.3.2 reiterating why the demand analysis is particularly relevant or BPA</w:t>
      </w:r>
      <w:r w:rsidR="00930433">
        <w:t>:</w:t>
      </w:r>
      <w:r w:rsidR="003A28FF" w:rsidRPr="003A28FF">
        <w:t xml:space="preserve"> </w:t>
      </w:r>
      <w:r w:rsidR="00930433">
        <w:t>“</w:t>
      </w:r>
      <w:r w:rsidR="003A28FF" w:rsidRPr="003A28FF">
        <w:t>As mentioned in Section 2.8, exploring the potential effects of climate change in PMA customer demand is particularly important for BPA because it is the only PMA required to meet the net load of those customers that request it—in contrast, the rest of PMAs are only required to deliver the energy and capacity volumes agreed in long-term contracts based on historical average or critical water year runoff availability the federal hydropower projects whose production they market</w:t>
      </w:r>
      <w:r w:rsidR="00930433">
        <w:t>.”</w:t>
      </w:r>
    </w:p>
    <w:p w14:paraId="0D0B2705" w14:textId="0356E901" w:rsidR="00EA4498" w:rsidRDefault="00EA4498" w:rsidP="00EA4498">
      <w:pPr>
        <w:pStyle w:val="BodyText"/>
      </w:pPr>
      <w:r w:rsidRPr="00DA1CA8">
        <w:rPr>
          <w:b/>
        </w:rPr>
        <w:t xml:space="preserve">Reviewer </w:t>
      </w:r>
      <w:r>
        <w:rPr>
          <w:b/>
        </w:rPr>
        <w:t>1</w:t>
      </w:r>
      <w:r w:rsidR="00E67269">
        <w:rPr>
          <w:b/>
        </w:rPr>
        <w:t>4</w:t>
      </w:r>
    </w:p>
    <w:p w14:paraId="7FE4A4E2" w14:textId="21B9E613" w:rsidR="00EA4498" w:rsidRDefault="00EA4498" w:rsidP="00EA4498">
      <w:pPr>
        <w:pStyle w:val="BodyText"/>
        <w:spacing w:after="0"/>
      </w:pPr>
      <w:r>
        <w:rPr>
          <w:i/>
        </w:rPr>
        <w:t>1</w:t>
      </w:r>
      <w:r w:rsidR="00E67269">
        <w:rPr>
          <w:i/>
        </w:rPr>
        <w:t>4</w:t>
      </w:r>
      <w:r>
        <w:rPr>
          <w:i/>
        </w:rPr>
        <w:t xml:space="preserve">.1 </w:t>
      </w:r>
      <w:r w:rsidR="00163BB4" w:rsidRPr="00163BB4">
        <w:rPr>
          <w:i/>
        </w:rPr>
        <w:t>How do (and if so, why do) analysis inputs (e.g., projections, forecasts, models) vary between this 9505 Report and the 9503 Report prepared by the US Bureau of Reclamation?</w:t>
      </w:r>
    </w:p>
    <w:p w14:paraId="0196698B" w14:textId="23A790E4" w:rsidR="00EA4498" w:rsidRDefault="00EA4498" w:rsidP="00EA4498">
      <w:pPr>
        <w:pStyle w:val="BodyText"/>
        <w:ind w:left="360" w:hanging="360"/>
      </w:pPr>
      <w:r>
        <w:t>-</w:t>
      </w:r>
      <w:r>
        <w:tab/>
      </w:r>
      <w:r w:rsidR="00AD28D0" w:rsidRPr="00AD28D0">
        <w:t xml:space="preserve">There are some larger differences between the methodologies used in the 3rd 9503 and 9505 assessments. They are based on different versions of CMIP, downscaling methods, hydrologic models/parameters, and have different focus/scope (e.g., paleo-hydrologic information was used in </w:t>
      </w:r>
      <w:r w:rsidR="00AD28D0" w:rsidRPr="00AD28D0">
        <w:lastRenderedPageBreak/>
        <w:t>9503 but not 9505). Nevertheless, these differences are necessary to best address the specific needs of both assessments. The assessment teams on both sides have been staying in close communication and are aware of the approaches/rationales used in both studies.</w:t>
      </w:r>
    </w:p>
    <w:p w14:paraId="025B9B4B" w14:textId="207088A8" w:rsidR="00EA4498" w:rsidRDefault="00EA4498" w:rsidP="00EA4498">
      <w:pPr>
        <w:pStyle w:val="BodyText"/>
        <w:spacing w:after="0"/>
      </w:pPr>
      <w:r>
        <w:rPr>
          <w:i/>
        </w:rPr>
        <w:t>1</w:t>
      </w:r>
      <w:r w:rsidR="00E67269">
        <w:rPr>
          <w:i/>
        </w:rPr>
        <w:t>4</w:t>
      </w:r>
      <w:r>
        <w:rPr>
          <w:i/>
        </w:rPr>
        <w:t xml:space="preserve">.2 </w:t>
      </w:r>
      <w:r w:rsidR="0066415A" w:rsidRPr="0066415A">
        <w:rPr>
          <w:i/>
        </w:rPr>
        <w:t>Is it useful to explain what the SSP and RCP acronyms/numbers stand represent? The SSP numbers are discussed on page 6</w:t>
      </w:r>
      <w:r w:rsidRPr="00863080">
        <w:rPr>
          <w:i/>
        </w:rPr>
        <w:t>.</w:t>
      </w:r>
    </w:p>
    <w:p w14:paraId="0F613CA7" w14:textId="6E04C292" w:rsidR="00EA4498" w:rsidRDefault="00EA4498" w:rsidP="00EA4498">
      <w:pPr>
        <w:pStyle w:val="BodyText"/>
        <w:ind w:left="360" w:hanging="360"/>
      </w:pPr>
      <w:r>
        <w:t>-</w:t>
      </w:r>
      <w:r>
        <w:tab/>
      </w:r>
      <w:r w:rsidR="0066415A" w:rsidRPr="0066415A">
        <w:t>We have revised text to describe these number</w:t>
      </w:r>
      <w:r w:rsidR="00504984">
        <w:t>s:</w:t>
      </w:r>
      <w:r w:rsidR="0066415A" w:rsidRPr="0066415A">
        <w:t xml:space="preserve"> </w:t>
      </w:r>
      <w:r w:rsidR="00930433">
        <w:t>“</w:t>
      </w:r>
      <w:r w:rsidR="0066415A" w:rsidRPr="0066415A">
        <w:t>GCMs are forced with a new set of nine scenarios, which are a combination of five Shared Socioeconomic Pathways (SSPs) and seven Representative Concentration Pathways (RCPs), to understand the Earth system response to an increase in anthropogenic forcing. Among them, there are four high priority or Tier</w:t>
      </w:r>
      <w:r w:rsidR="00805545">
        <w:t xml:space="preserve"> </w:t>
      </w:r>
      <w:r w:rsidR="0066415A" w:rsidRPr="0066415A">
        <w:t>1 scenarios, including SSP1</w:t>
      </w:r>
      <w:r w:rsidR="00805545">
        <w:noBreakHyphen/>
      </w:r>
      <w:r w:rsidR="0066415A" w:rsidRPr="0066415A">
        <w:t>2.6 (SSP126), SSP2-4.5 (SSP245), SSP3-7.0 (SSP370), and SSP5-8.5 (SSP585). Note that the first number represents one out of five SSPs while the last two numbers represent the radiative forcing level.</w:t>
      </w:r>
      <w:r w:rsidR="00930433">
        <w:t>”</w:t>
      </w:r>
    </w:p>
    <w:p w14:paraId="73DB69B7" w14:textId="10ED15B6" w:rsidR="00E67269" w:rsidRDefault="00E67269" w:rsidP="00E67269">
      <w:pPr>
        <w:pStyle w:val="BodyText"/>
        <w:spacing w:after="0"/>
      </w:pPr>
      <w:r>
        <w:rPr>
          <w:i/>
        </w:rPr>
        <w:t>14.</w:t>
      </w:r>
      <w:r w:rsidR="0066415A">
        <w:rPr>
          <w:i/>
        </w:rPr>
        <w:t>3</w:t>
      </w:r>
      <w:r>
        <w:rPr>
          <w:i/>
        </w:rPr>
        <w:t xml:space="preserve"> </w:t>
      </w:r>
      <w:r w:rsidR="00930433" w:rsidRPr="0066415A">
        <w:rPr>
          <w:i/>
        </w:rPr>
        <w:t xml:space="preserve">On </w:t>
      </w:r>
      <w:r w:rsidR="0066415A" w:rsidRPr="0066415A">
        <w:rPr>
          <w:i/>
        </w:rPr>
        <w:t>page 11, lines 878</w:t>
      </w:r>
      <w:r w:rsidR="00504984">
        <w:rPr>
          <w:i/>
        </w:rPr>
        <w:t>–</w:t>
      </w:r>
      <w:r w:rsidR="0066415A" w:rsidRPr="0066415A">
        <w:rPr>
          <w:i/>
        </w:rPr>
        <w:t>879</w:t>
      </w:r>
      <w:r w:rsidR="00930433">
        <w:rPr>
          <w:i/>
        </w:rPr>
        <w:t>,</w:t>
      </w:r>
      <w:r w:rsidR="0066415A" w:rsidRPr="0066415A">
        <w:rPr>
          <w:i/>
        </w:rPr>
        <w:t xml:space="preserve"> </w:t>
      </w:r>
      <w:r w:rsidR="00930433">
        <w:rPr>
          <w:i/>
        </w:rPr>
        <w:t>“</w:t>
      </w:r>
      <w:r w:rsidR="0066415A" w:rsidRPr="0066415A">
        <w:rPr>
          <w:i/>
        </w:rPr>
        <w:t>SSP585 can be considered a proxy for changes under SSP370 a decade later</w:t>
      </w:r>
      <w:r w:rsidR="00930433">
        <w:rPr>
          <w:i/>
        </w:rPr>
        <w:t>.”</w:t>
      </w:r>
      <w:r w:rsidR="0066415A" w:rsidRPr="0066415A">
        <w:rPr>
          <w:i/>
        </w:rPr>
        <w:t xml:space="preserve"> This is true for radiative forcing, but surely the rate of change difference and thus variations in climate feedback mechanisms may impact some fields. Maybe add a qualifier here? Specifically thinking of discussion in O</w:t>
      </w:r>
      <w:r w:rsidR="00805545">
        <w:rPr>
          <w:i/>
        </w:rPr>
        <w:t>’</w:t>
      </w:r>
      <w:r w:rsidR="00504984">
        <w:rPr>
          <w:i/>
        </w:rPr>
        <w:t>N</w:t>
      </w:r>
      <w:r w:rsidR="0066415A" w:rsidRPr="0066415A">
        <w:rPr>
          <w:i/>
        </w:rPr>
        <w:t>eil et al</w:t>
      </w:r>
      <w:r w:rsidR="00504984">
        <w:rPr>
          <w:i/>
        </w:rPr>
        <w:t>.</w:t>
      </w:r>
      <w:r w:rsidR="0066415A" w:rsidRPr="0066415A">
        <w:rPr>
          <w:i/>
        </w:rPr>
        <w:t>, 2016</w:t>
      </w:r>
      <w:r w:rsidR="00504984">
        <w:rPr>
          <w:i/>
        </w:rPr>
        <w:t>, “</w:t>
      </w:r>
      <w:r w:rsidR="0066415A" w:rsidRPr="0066415A">
        <w:rPr>
          <w:i/>
        </w:rPr>
        <w:t>The Scenario Model Intercomparison Project (ScenarioMIP) for CMIP6</w:t>
      </w:r>
      <w:r w:rsidR="00504984">
        <w:rPr>
          <w:i/>
        </w:rPr>
        <w:t>.</w:t>
      </w:r>
      <w:r w:rsidR="00930433">
        <w:rPr>
          <w:i/>
        </w:rPr>
        <w:t>”</w:t>
      </w:r>
    </w:p>
    <w:p w14:paraId="437375CF" w14:textId="34E09AC6" w:rsidR="00E67269" w:rsidRDefault="00E67269" w:rsidP="00E67269">
      <w:pPr>
        <w:pStyle w:val="BodyText"/>
        <w:ind w:left="360" w:hanging="360"/>
      </w:pPr>
      <w:r>
        <w:t>-</w:t>
      </w:r>
      <w:r>
        <w:tab/>
      </w:r>
      <w:r w:rsidR="00504984">
        <w:t>This is t</w:t>
      </w:r>
      <w:r w:rsidR="0066415A" w:rsidRPr="0066415A">
        <w:t>rue, but given that time difference is only a decade, we do not expect substantial non-linearities.</w:t>
      </w:r>
    </w:p>
    <w:p w14:paraId="3F7B686E" w14:textId="13216FBA" w:rsidR="00E67269" w:rsidRDefault="00E67269" w:rsidP="00E67269">
      <w:pPr>
        <w:pStyle w:val="BodyText"/>
        <w:spacing w:after="0"/>
      </w:pPr>
      <w:r>
        <w:rPr>
          <w:i/>
        </w:rPr>
        <w:t>14.</w:t>
      </w:r>
      <w:r w:rsidR="00BF5FBF">
        <w:rPr>
          <w:i/>
        </w:rPr>
        <w:t>4</w:t>
      </w:r>
      <w:r>
        <w:rPr>
          <w:i/>
        </w:rPr>
        <w:t xml:space="preserve"> </w:t>
      </w:r>
      <w:r w:rsidR="00BF5FBF" w:rsidRPr="00BF5FBF">
        <w:rPr>
          <w:i/>
        </w:rPr>
        <w:t xml:space="preserve">It would be useful to have a clear explanation of the baseline period used and the potential ramifications of this as a base line </w:t>
      </w:r>
      <w:r w:rsidR="002E383A" w:rsidRPr="002E383A">
        <w:rPr>
          <w:i/>
        </w:rPr>
        <w:t>vs.</w:t>
      </w:r>
      <w:r w:rsidR="00BF5FBF" w:rsidRPr="00BF5FBF">
        <w:rPr>
          <w:i/>
        </w:rPr>
        <w:t xml:space="preserve"> comparing other time periods, or a subset of this window </w:t>
      </w:r>
      <w:r w:rsidR="005606E5">
        <w:rPr>
          <w:i/>
        </w:rPr>
        <w:t>(</w:t>
      </w:r>
      <w:r w:rsidR="00BF5FBF" w:rsidRPr="00BF5FBF">
        <w:rPr>
          <w:i/>
        </w:rPr>
        <w:t>e.g.</w:t>
      </w:r>
      <w:r w:rsidR="00BF5FBF">
        <w:rPr>
          <w:i/>
        </w:rPr>
        <w:t>,</w:t>
      </w:r>
      <w:r w:rsidR="00BF5FBF" w:rsidRPr="00BF5FBF">
        <w:rPr>
          <w:i/>
        </w:rPr>
        <w:t xml:space="preserve"> 1990</w:t>
      </w:r>
      <w:r w:rsidR="005606E5">
        <w:rPr>
          <w:i/>
        </w:rPr>
        <w:t>–</w:t>
      </w:r>
      <w:r w:rsidR="00BF5FBF" w:rsidRPr="00BF5FBF">
        <w:rPr>
          <w:i/>
        </w:rPr>
        <w:t>2019</w:t>
      </w:r>
      <w:r w:rsidR="005606E5">
        <w:rPr>
          <w:i/>
        </w:rPr>
        <w:t>)</w:t>
      </w:r>
      <w:r w:rsidRPr="00863080">
        <w:rPr>
          <w:i/>
        </w:rPr>
        <w:t>.</w:t>
      </w:r>
    </w:p>
    <w:p w14:paraId="7C6222D1" w14:textId="2B9DD730" w:rsidR="00E67269" w:rsidRDefault="00E67269" w:rsidP="00E67269">
      <w:pPr>
        <w:pStyle w:val="BodyText"/>
        <w:ind w:left="360" w:hanging="360"/>
      </w:pPr>
      <w:r>
        <w:t>-</w:t>
      </w:r>
      <w:r>
        <w:tab/>
      </w:r>
      <w:r w:rsidR="00D3296F" w:rsidRPr="00D3296F">
        <w:t>We use the maximum length of observation (i.e., 1980</w:t>
      </w:r>
      <w:r w:rsidR="00504984">
        <w:t>–</w:t>
      </w:r>
      <w:r w:rsidR="00D3296F" w:rsidRPr="00D3296F">
        <w:t>2019) as the baseline to inform our analysis. To reduce the influence of model interannual variability (as mentioned by another review</w:t>
      </w:r>
      <w:r w:rsidR="00504984">
        <w:t>er</w:t>
      </w:r>
      <w:r w:rsidR="00D3296F" w:rsidRPr="00D3296F">
        <w:t>), we purposely use the entire 40-year in this assessment.</w:t>
      </w:r>
    </w:p>
    <w:p w14:paraId="5BDEAA7A" w14:textId="067B4E05" w:rsidR="00E67269" w:rsidRDefault="00E67269" w:rsidP="00E67269">
      <w:pPr>
        <w:pStyle w:val="BodyText"/>
        <w:spacing w:after="0"/>
      </w:pPr>
      <w:r>
        <w:rPr>
          <w:i/>
        </w:rPr>
        <w:t>14.</w:t>
      </w:r>
      <w:r w:rsidR="00F7758F">
        <w:rPr>
          <w:i/>
        </w:rPr>
        <w:t>5</w:t>
      </w:r>
      <w:r>
        <w:rPr>
          <w:i/>
        </w:rPr>
        <w:t xml:space="preserve"> </w:t>
      </w:r>
      <w:r w:rsidR="00F7758F" w:rsidRPr="00F7758F">
        <w:rPr>
          <w:i/>
        </w:rPr>
        <w:t xml:space="preserve">Can a note be made that there could be a difference between modeled hydropower releases in this report and actual operations at </w:t>
      </w:r>
      <w:r w:rsidR="00F7758F">
        <w:rPr>
          <w:i/>
        </w:rPr>
        <w:t>Reclamation</w:t>
      </w:r>
      <w:r w:rsidR="00F7758F" w:rsidRPr="00F7758F">
        <w:rPr>
          <w:i/>
        </w:rPr>
        <w:t xml:space="preserve"> facilities due to operating agreements, coordinated operations, conservation plans, shortage reductions, minimum power pool impacts, </w:t>
      </w:r>
      <w:r w:rsidR="005606E5" w:rsidRPr="005606E5">
        <w:rPr>
          <w:i/>
        </w:rPr>
        <w:t>and so on</w:t>
      </w:r>
      <w:r w:rsidR="00F7758F" w:rsidRPr="00F7758F">
        <w:rPr>
          <w:i/>
        </w:rPr>
        <w:t>?</w:t>
      </w:r>
    </w:p>
    <w:p w14:paraId="083F0295" w14:textId="2E7984A3" w:rsidR="00E67269" w:rsidRDefault="00E67269" w:rsidP="00E67269">
      <w:pPr>
        <w:pStyle w:val="BodyText"/>
        <w:ind w:left="360" w:hanging="360"/>
      </w:pPr>
      <w:r>
        <w:t>-</w:t>
      </w:r>
      <w:r>
        <w:tab/>
      </w:r>
      <w:r w:rsidR="00F7758F" w:rsidRPr="00F7758F">
        <w:t xml:space="preserve">Thank you for the suggestion. We have reiterated the limitations of the water management model for those specific type of operations in </w:t>
      </w:r>
      <w:r w:rsidR="00504984">
        <w:t xml:space="preserve">Section </w:t>
      </w:r>
      <w:r w:rsidR="00F7758F" w:rsidRPr="00F7758F">
        <w:t>2.</w:t>
      </w:r>
    </w:p>
    <w:p w14:paraId="7452D60F" w14:textId="400464A7" w:rsidR="00E67269" w:rsidRDefault="00E67269" w:rsidP="00E67269">
      <w:pPr>
        <w:pStyle w:val="BodyText"/>
        <w:spacing w:after="0"/>
      </w:pPr>
      <w:r>
        <w:rPr>
          <w:i/>
        </w:rPr>
        <w:t>14.</w:t>
      </w:r>
      <w:r w:rsidR="00317B2C">
        <w:rPr>
          <w:i/>
        </w:rPr>
        <w:t>6</w:t>
      </w:r>
      <w:r>
        <w:rPr>
          <w:i/>
        </w:rPr>
        <w:t xml:space="preserve"> </w:t>
      </w:r>
      <w:r w:rsidR="00317B2C" w:rsidRPr="00317B2C">
        <w:rPr>
          <w:i/>
        </w:rPr>
        <w:t xml:space="preserve">May be useful to explain the numbers in RCP7.0 </w:t>
      </w:r>
      <w:r w:rsidR="00504984">
        <w:rPr>
          <w:i/>
        </w:rPr>
        <w:t xml:space="preserve">and </w:t>
      </w:r>
      <w:r w:rsidR="00317B2C" w:rsidRPr="00317B2C">
        <w:rPr>
          <w:i/>
        </w:rPr>
        <w:t>RCP8.5</w:t>
      </w:r>
      <w:r w:rsidRPr="00863080">
        <w:rPr>
          <w:i/>
        </w:rPr>
        <w:t>.</w:t>
      </w:r>
    </w:p>
    <w:p w14:paraId="28EAE5AD" w14:textId="16CE8322" w:rsidR="00E67269" w:rsidRDefault="00E67269" w:rsidP="00E67269">
      <w:pPr>
        <w:pStyle w:val="BodyText"/>
        <w:ind w:left="360" w:hanging="360"/>
      </w:pPr>
      <w:r>
        <w:t>-</w:t>
      </w:r>
      <w:r>
        <w:tab/>
      </w:r>
      <w:r w:rsidR="00317B2C" w:rsidRPr="00317B2C">
        <w:t>We have revised the text to describe these numbers</w:t>
      </w:r>
      <w:r w:rsidR="00930433">
        <w:t>:</w:t>
      </w:r>
      <w:r w:rsidR="00317B2C" w:rsidRPr="00317B2C">
        <w:t xml:space="preserve"> </w:t>
      </w:r>
      <w:r w:rsidR="00930433">
        <w:t>“</w:t>
      </w:r>
      <w:r w:rsidR="00317B2C" w:rsidRPr="00317B2C">
        <w:t>GCMs are forced with a new set of nine scenarios, which are a combination of five Shared Socioeconomic Pathways (SSPs) and seven Representative Concentration Pathways (RCPs), to understand the Earth system response to an increase in anthropogenic forcing. Among them, there are four high priority or Tier</w:t>
      </w:r>
      <w:r w:rsidR="00805545">
        <w:t xml:space="preserve"> </w:t>
      </w:r>
      <w:r w:rsidR="00317B2C" w:rsidRPr="00317B2C">
        <w:t>1 scenarios, including SSP1-2.6 (SSP126), SSP2-4.5 (SSP245), SSP3-7.0 (SSP370), and SSP5-8.5 (SSP585). Note that the first number represents one out of five SSPs while the last two numbers represent the radiative forcing level.</w:t>
      </w:r>
      <w:r w:rsidR="00930433">
        <w:t>”</w:t>
      </w:r>
    </w:p>
    <w:p w14:paraId="5679EACC" w14:textId="7B29C660" w:rsidR="00E67269" w:rsidRDefault="00E67269" w:rsidP="00E67269">
      <w:pPr>
        <w:pStyle w:val="BodyText"/>
        <w:spacing w:after="0"/>
      </w:pPr>
      <w:r>
        <w:rPr>
          <w:i/>
        </w:rPr>
        <w:t>14.</w:t>
      </w:r>
      <w:r w:rsidR="00121C09">
        <w:rPr>
          <w:i/>
        </w:rPr>
        <w:t>7</w:t>
      </w:r>
      <w:r>
        <w:rPr>
          <w:i/>
        </w:rPr>
        <w:t xml:space="preserve"> </w:t>
      </w:r>
      <w:r w:rsidR="00121C09" w:rsidRPr="00121C09">
        <w:rPr>
          <w:i/>
        </w:rPr>
        <w:t xml:space="preserve">How many of the expected </w:t>
      </w:r>
      <w:r w:rsidR="00504984" w:rsidRPr="00121C09">
        <w:rPr>
          <w:i/>
        </w:rPr>
        <w:t>CMIP</w:t>
      </w:r>
      <w:r w:rsidR="00121C09" w:rsidRPr="00121C09">
        <w:rPr>
          <w:i/>
        </w:rPr>
        <w:t>6 projections were available for this study? Is there a chance the set presented here may have a skewed distribution of the full GCM set therefore not fully capturing GCM uncertainty?</w:t>
      </w:r>
    </w:p>
    <w:p w14:paraId="1E3182DB" w14:textId="06861208" w:rsidR="00E67269" w:rsidRDefault="00E67269" w:rsidP="00E67269">
      <w:pPr>
        <w:pStyle w:val="BodyText"/>
        <w:ind w:left="360" w:hanging="360"/>
      </w:pPr>
      <w:r>
        <w:t>-</w:t>
      </w:r>
      <w:r>
        <w:tab/>
      </w:r>
      <w:r w:rsidR="00121C09" w:rsidRPr="00121C09">
        <w:t>There were fourteen GCMs that had data available necessary for downscaling. Figure 2.7 shows the uncertainty captured by the selected GCMs (</w:t>
      </w:r>
      <w:r w:rsidR="00504984" w:rsidRPr="00121C09">
        <w:t>black mark</w:t>
      </w:r>
      <w:r w:rsidR="00121C09" w:rsidRPr="00121C09">
        <w:t>ers)</w:t>
      </w:r>
      <w:r w:rsidRPr="00E41942">
        <w:t>.</w:t>
      </w:r>
    </w:p>
    <w:p w14:paraId="6C75D0DD" w14:textId="66E30A86" w:rsidR="00E67269" w:rsidRDefault="00E67269" w:rsidP="00E67269">
      <w:pPr>
        <w:pStyle w:val="BodyText"/>
        <w:spacing w:after="0"/>
      </w:pPr>
      <w:r>
        <w:rPr>
          <w:i/>
        </w:rPr>
        <w:lastRenderedPageBreak/>
        <w:t>14.</w:t>
      </w:r>
      <w:r w:rsidR="00B04C28">
        <w:rPr>
          <w:i/>
        </w:rPr>
        <w:t>8</w:t>
      </w:r>
      <w:r>
        <w:rPr>
          <w:i/>
        </w:rPr>
        <w:t xml:space="preserve"> </w:t>
      </w:r>
      <w:r w:rsidR="00B04C28" w:rsidRPr="00B04C28">
        <w:rPr>
          <w:i/>
        </w:rPr>
        <w:t xml:space="preserve">Clarify if these are ensemble averaged valued shown in </w:t>
      </w:r>
      <w:r w:rsidR="00504984" w:rsidRPr="00B04C28">
        <w:rPr>
          <w:i/>
        </w:rPr>
        <w:t xml:space="preserve">Figure </w:t>
      </w:r>
      <w:r w:rsidR="00B04C28" w:rsidRPr="00B04C28">
        <w:rPr>
          <w:i/>
        </w:rPr>
        <w:t xml:space="preserve">2.5 and </w:t>
      </w:r>
      <w:r w:rsidR="00504984">
        <w:rPr>
          <w:i/>
        </w:rPr>
        <w:t xml:space="preserve">Figure </w:t>
      </w:r>
      <w:r w:rsidR="00B04C28" w:rsidRPr="00B04C28">
        <w:rPr>
          <w:i/>
        </w:rPr>
        <w:t>2.6. Furthermore</w:t>
      </w:r>
      <w:r w:rsidR="00504984">
        <w:rPr>
          <w:i/>
        </w:rPr>
        <w:t>,</w:t>
      </w:r>
      <w:r w:rsidR="00B04C28" w:rsidRPr="00B04C28">
        <w:rPr>
          <w:i/>
        </w:rPr>
        <w:t xml:space="preserve"> is this of all available </w:t>
      </w:r>
      <w:r w:rsidR="00673B0C">
        <w:rPr>
          <w:i/>
        </w:rPr>
        <w:t>CMIP</w:t>
      </w:r>
      <w:r w:rsidR="00B04C28" w:rsidRPr="00B04C28">
        <w:rPr>
          <w:i/>
        </w:rPr>
        <w:t>6 models or just those 6 selected for use.</w:t>
      </w:r>
    </w:p>
    <w:p w14:paraId="7EDAAF29" w14:textId="7D76DD49" w:rsidR="00E67269" w:rsidRDefault="00E67269" w:rsidP="00E67269">
      <w:pPr>
        <w:pStyle w:val="BodyText"/>
        <w:ind w:left="360" w:hanging="360"/>
      </w:pPr>
      <w:r>
        <w:t>-</w:t>
      </w:r>
      <w:r>
        <w:tab/>
      </w:r>
      <w:r w:rsidR="00B04C28" w:rsidRPr="00B04C28">
        <w:t xml:space="preserve">These are based on 28 GCMs that had data available at the time of analyses. This information has been provided in </w:t>
      </w:r>
      <w:r w:rsidR="00504984" w:rsidRPr="00B04C28">
        <w:t xml:space="preserve">figure </w:t>
      </w:r>
      <w:r w:rsidR="00B04C28" w:rsidRPr="00B04C28">
        <w:t>caption</w:t>
      </w:r>
      <w:r w:rsidR="00504984">
        <w:t>s</w:t>
      </w:r>
      <w:r w:rsidR="00B04C28" w:rsidRPr="00B04C28">
        <w:t>.</w:t>
      </w:r>
    </w:p>
    <w:p w14:paraId="267EA1EC" w14:textId="7C21128D" w:rsidR="00E67269" w:rsidRDefault="00E67269" w:rsidP="00E67269">
      <w:pPr>
        <w:pStyle w:val="BodyText"/>
        <w:spacing w:after="0"/>
      </w:pPr>
      <w:r>
        <w:rPr>
          <w:i/>
        </w:rPr>
        <w:t>14.</w:t>
      </w:r>
      <w:r w:rsidR="00412E98">
        <w:rPr>
          <w:i/>
        </w:rPr>
        <w:t>9</w:t>
      </w:r>
      <w:r>
        <w:rPr>
          <w:i/>
        </w:rPr>
        <w:t xml:space="preserve"> </w:t>
      </w:r>
      <w:r w:rsidR="00412E98" w:rsidRPr="00412E98">
        <w:rPr>
          <w:i/>
        </w:rPr>
        <w:t xml:space="preserve">Reasoning for different spin up methods of the </w:t>
      </w:r>
      <w:r w:rsidR="00504984">
        <w:rPr>
          <w:i/>
        </w:rPr>
        <w:t>two</w:t>
      </w:r>
      <w:r w:rsidR="00412E98" w:rsidRPr="00412E98">
        <w:rPr>
          <w:i/>
        </w:rPr>
        <w:t xml:space="preserve"> HMs?</w:t>
      </w:r>
    </w:p>
    <w:p w14:paraId="63168F1C" w14:textId="7ADC93EA" w:rsidR="00E67269" w:rsidRDefault="00E67269" w:rsidP="00E67269">
      <w:pPr>
        <w:pStyle w:val="BodyText"/>
        <w:ind w:left="360" w:hanging="360"/>
      </w:pPr>
      <w:r>
        <w:t>-</w:t>
      </w:r>
      <w:r>
        <w:tab/>
      </w:r>
      <w:r w:rsidR="00412E98" w:rsidRPr="00412E98">
        <w:t>We used a 3</w:t>
      </w:r>
      <w:r w:rsidR="00504984">
        <w:t>-</w:t>
      </w:r>
      <w:r w:rsidR="00412E98" w:rsidRPr="00412E98">
        <w:t xml:space="preserve">year spin-up period for PRMS, as the same is also suggested by USGS for NHM-PRMS (Hay, 2019). For land surface models such as VIC, </w:t>
      </w:r>
      <w:r w:rsidR="00504984">
        <w:t xml:space="preserve">a </w:t>
      </w:r>
      <w:r w:rsidR="00412E98" w:rsidRPr="00412E98">
        <w:t xml:space="preserve">1-year spin-up period can be considered sufficient (Cosgrove et al., 2003). These references </w:t>
      </w:r>
      <w:r w:rsidR="00504984">
        <w:t xml:space="preserve">were </w:t>
      </w:r>
      <w:r w:rsidR="00412E98" w:rsidRPr="00412E98">
        <w:t>added in the revised report.</w:t>
      </w:r>
    </w:p>
    <w:p w14:paraId="737CFDBC" w14:textId="4EB7BF03" w:rsidR="00E67269" w:rsidRDefault="00E67269" w:rsidP="00E67269">
      <w:pPr>
        <w:pStyle w:val="BodyText"/>
        <w:spacing w:after="0"/>
      </w:pPr>
      <w:r>
        <w:rPr>
          <w:i/>
        </w:rPr>
        <w:t>14.</w:t>
      </w:r>
      <w:r w:rsidR="00412E98">
        <w:rPr>
          <w:i/>
        </w:rPr>
        <w:t>10</w:t>
      </w:r>
      <w:r>
        <w:rPr>
          <w:i/>
        </w:rPr>
        <w:t xml:space="preserve"> </w:t>
      </w:r>
      <w:r w:rsidR="00412E98" w:rsidRPr="00412E98">
        <w:rPr>
          <w:i/>
        </w:rPr>
        <w:t xml:space="preserve">It was earlier stated on page 22 that the differences between the </w:t>
      </w:r>
      <w:r w:rsidR="00F7469B" w:rsidRPr="00412E98">
        <w:rPr>
          <w:i/>
        </w:rPr>
        <w:t>met</w:t>
      </w:r>
      <w:r w:rsidR="00F7469B">
        <w:rPr>
          <w:i/>
        </w:rPr>
        <w:t>eorological</w:t>
      </w:r>
      <w:r w:rsidR="00412E98" w:rsidRPr="00412E98">
        <w:rPr>
          <w:i/>
        </w:rPr>
        <w:t xml:space="preserve"> </w:t>
      </w:r>
      <w:r w:rsidR="00F7469B">
        <w:rPr>
          <w:i/>
        </w:rPr>
        <w:t>f</w:t>
      </w:r>
      <w:r w:rsidR="00412E98" w:rsidRPr="00412E98">
        <w:rPr>
          <w:i/>
        </w:rPr>
        <w:t>orcings were small, yet now the differences are invoked to explain the differing R</w:t>
      </w:r>
      <w:r w:rsidR="00412E98" w:rsidRPr="00803741">
        <w:rPr>
          <w:i/>
          <w:vertAlign w:val="superscript"/>
        </w:rPr>
        <w:t>2</w:t>
      </w:r>
      <w:r w:rsidR="00412E98" w:rsidRPr="00412E98">
        <w:rPr>
          <w:i/>
        </w:rPr>
        <w:t xml:space="preserve"> values between VIC and PRMS</w:t>
      </w:r>
      <w:r w:rsidR="00F7469B">
        <w:rPr>
          <w:i/>
        </w:rPr>
        <w:t>—</w:t>
      </w:r>
      <w:r w:rsidR="00412E98" w:rsidRPr="00412E98">
        <w:rPr>
          <w:i/>
        </w:rPr>
        <w:t>how may this impact performance of models in future projections?</w:t>
      </w:r>
    </w:p>
    <w:p w14:paraId="1D1F09F6" w14:textId="468CA99F" w:rsidR="00E67269" w:rsidRDefault="00E67269" w:rsidP="00E67269">
      <w:pPr>
        <w:pStyle w:val="BodyText"/>
        <w:ind w:left="360" w:hanging="360"/>
      </w:pPr>
      <w:r>
        <w:t>-</w:t>
      </w:r>
      <w:r>
        <w:tab/>
      </w:r>
      <w:r w:rsidR="000F43F3" w:rsidRPr="000F43F3">
        <w:t>Even with different versions of Daymet and Livneh, the R</w:t>
      </w:r>
      <w:r w:rsidR="000F43F3" w:rsidRPr="00803741">
        <w:rPr>
          <w:vertAlign w:val="superscript"/>
        </w:rPr>
        <w:t>2</w:t>
      </w:r>
      <w:r w:rsidR="000F43F3" w:rsidRPr="000F43F3">
        <w:t xml:space="preserve"> value is still very high (~0.93) for VIC, which should not result in major differences. However, the R</w:t>
      </w:r>
      <w:r w:rsidR="000F43F3" w:rsidRPr="00803741">
        <w:rPr>
          <w:vertAlign w:val="superscript"/>
        </w:rPr>
        <w:t>2</w:t>
      </w:r>
      <w:r w:rsidR="000F43F3" w:rsidRPr="000F43F3">
        <w:t xml:space="preserve"> values can indeed be improved (by ~0.02) if the same versions of Daymet and Livneh are implemented.</w:t>
      </w:r>
    </w:p>
    <w:p w14:paraId="4ACDF52A" w14:textId="38B01D55" w:rsidR="00E67269" w:rsidRDefault="00E67269" w:rsidP="00E67269">
      <w:pPr>
        <w:pStyle w:val="BodyText"/>
        <w:spacing w:after="0"/>
      </w:pPr>
      <w:r>
        <w:rPr>
          <w:i/>
        </w:rPr>
        <w:t>14.</w:t>
      </w:r>
      <w:r w:rsidR="006942E3">
        <w:rPr>
          <w:i/>
        </w:rPr>
        <w:t>11</w:t>
      </w:r>
      <w:r>
        <w:rPr>
          <w:i/>
        </w:rPr>
        <w:t xml:space="preserve"> </w:t>
      </w:r>
      <w:r w:rsidR="006942E3" w:rsidRPr="006942E3">
        <w:rPr>
          <w:i/>
        </w:rPr>
        <w:t>Was any comparison of PRMS using the different versions done such as comparing the R</w:t>
      </w:r>
      <w:r w:rsidR="006942E3" w:rsidRPr="00803741">
        <w:rPr>
          <w:i/>
          <w:vertAlign w:val="superscript"/>
        </w:rPr>
        <w:t>2</w:t>
      </w:r>
      <w:r w:rsidR="006942E3" w:rsidRPr="006942E3">
        <w:rPr>
          <w:i/>
        </w:rPr>
        <w:t xml:space="preserve"> as done between VIC and PRMS in </w:t>
      </w:r>
      <w:r w:rsidR="00F7469B" w:rsidRPr="006942E3">
        <w:rPr>
          <w:i/>
        </w:rPr>
        <w:t xml:space="preserve">Figure </w:t>
      </w:r>
      <w:r w:rsidR="006942E3" w:rsidRPr="006942E3">
        <w:rPr>
          <w:i/>
        </w:rPr>
        <w:t xml:space="preserve">2.10 and </w:t>
      </w:r>
      <w:r w:rsidR="00F7469B">
        <w:rPr>
          <w:i/>
        </w:rPr>
        <w:t xml:space="preserve">Figure </w:t>
      </w:r>
      <w:r w:rsidR="006942E3" w:rsidRPr="006942E3">
        <w:rPr>
          <w:i/>
        </w:rPr>
        <w:t>2.11. Would be good to have an example of how to interpret this choice/understand if the impact on later HM ANOVA results are negligible.</w:t>
      </w:r>
    </w:p>
    <w:p w14:paraId="5A431B15" w14:textId="07C84B71" w:rsidR="00E67269" w:rsidRDefault="00E67269" w:rsidP="00E67269">
      <w:pPr>
        <w:pStyle w:val="BodyText"/>
        <w:ind w:left="360" w:hanging="360"/>
      </w:pPr>
      <w:r>
        <w:t>-</w:t>
      </w:r>
      <w:r>
        <w:tab/>
      </w:r>
      <w:r w:rsidR="006942E3" w:rsidRPr="006942E3">
        <w:t>Thank you for the suggestion. The difference due to model versions was not explored in this study. This can be potential topics of future exploration.</w:t>
      </w:r>
    </w:p>
    <w:p w14:paraId="5B72D1C3" w14:textId="542169BF" w:rsidR="00E67269" w:rsidRDefault="00E67269" w:rsidP="00E67269">
      <w:pPr>
        <w:pStyle w:val="BodyText"/>
        <w:spacing w:after="0"/>
      </w:pPr>
      <w:r>
        <w:rPr>
          <w:i/>
        </w:rPr>
        <w:t>14.</w:t>
      </w:r>
      <w:r w:rsidR="00EF4309">
        <w:rPr>
          <w:i/>
        </w:rPr>
        <w:t>1</w:t>
      </w:r>
      <w:r>
        <w:rPr>
          <w:i/>
        </w:rPr>
        <w:t xml:space="preserve">2 </w:t>
      </w:r>
      <w:r w:rsidR="00EF4309" w:rsidRPr="00EF4309">
        <w:rPr>
          <w:i/>
        </w:rPr>
        <w:t>Would be good to have some elaboration in the regional differences of ANOVA</w:t>
      </w:r>
      <w:r w:rsidR="00F7469B">
        <w:rPr>
          <w:i/>
        </w:rPr>
        <w:t>—</w:t>
      </w:r>
      <w:r w:rsidR="00EF4309" w:rsidRPr="00EF4309">
        <w:rPr>
          <w:i/>
        </w:rPr>
        <w:t>is the larger HM variance fraction due to reduced net variance in the west and GCM variance reduced while HM variance is comparable to other regions?</w:t>
      </w:r>
    </w:p>
    <w:p w14:paraId="5EE61D93" w14:textId="15FF9AAD" w:rsidR="00E67269" w:rsidRDefault="00E67269" w:rsidP="00E67269">
      <w:pPr>
        <w:pStyle w:val="BodyText"/>
        <w:ind w:left="360" w:hanging="360"/>
      </w:pPr>
      <w:r>
        <w:t>-</w:t>
      </w:r>
      <w:r>
        <w:tab/>
      </w:r>
      <w:r w:rsidR="00EF4309" w:rsidRPr="00EF4309">
        <w:t xml:space="preserve">Thank you for the recommendation. We suspected that this may partial due to the HM performance. The HM performance is generally good in the eastern </w:t>
      </w:r>
      <w:r w:rsidR="00F7469B">
        <w:t>United States</w:t>
      </w:r>
      <w:r w:rsidR="00EF4309" w:rsidRPr="00EF4309">
        <w:t>, where we have the least ANOVA HM variance. Further analysis will be required to verify this assumption.</w:t>
      </w:r>
    </w:p>
    <w:p w14:paraId="35B459C2" w14:textId="10244EEF" w:rsidR="00EA4498" w:rsidRDefault="00EA4498" w:rsidP="00EA4498">
      <w:pPr>
        <w:pStyle w:val="BodyText"/>
      </w:pPr>
      <w:r w:rsidRPr="00DA1CA8">
        <w:rPr>
          <w:b/>
        </w:rPr>
        <w:t xml:space="preserve">Reviewer </w:t>
      </w:r>
      <w:r>
        <w:rPr>
          <w:b/>
        </w:rPr>
        <w:t>1</w:t>
      </w:r>
      <w:r w:rsidR="002C7EE9">
        <w:rPr>
          <w:b/>
        </w:rPr>
        <w:t>5</w:t>
      </w:r>
    </w:p>
    <w:p w14:paraId="62E42FD1" w14:textId="6C091308" w:rsidR="00EA4498" w:rsidRDefault="00EA4498" w:rsidP="00EA4498">
      <w:pPr>
        <w:pStyle w:val="BodyText"/>
        <w:spacing w:after="0"/>
      </w:pPr>
      <w:r>
        <w:rPr>
          <w:i/>
        </w:rPr>
        <w:t>1</w:t>
      </w:r>
      <w:r w:rsidR="002C7EE9">
        <w:rPr>
          <w:i/>
        </w:rPr>
        <w:t>5</w:t>
      </w:r>
      <w:r>
        <w:rPr>
          <w:i/>
        </w:rPr>
        <w:t xml:space="preserve">.1 </w:t>
      </w:r>
      <w:r w:rsidR="002C7EE9" w:rsidRPr="002C7EE9">
        <w:rPr>
          <w:i/>
        </w:rPr>
        <w:t>What is the rational for excluding a long term (e.g.</w:t>
      </w:r>
      <w:r w:rsidR="002C7EE9">
        <w:rPr>
          <w:i/>
        </w:rPr>
        <w:t>,</w:t>
      </w:r>
      <w:r w:rsidR="002C7EE9" w:rsidRPr="002C7EE9">
        <w:rPr>
          <w:i/>
        </w:rPr>
        <w:t xml:space="preserve"> end of century) period</w:t>
      </w:r>
      <w:r w:rsidR="00F7469B">
        <w:rPr>
          <w:i/>
        </w:rPr>
        <w:t>?</w:t>
      </w:r>
    </w:p>
    <w:p w14:paraId="670B6041" w14:textId="12A3264B" w:rsidR="00EA4498" w:rsidRDefault="00EA4498" w:rsidP="00EA4498">
      <w:pPr>
        <w:pStyle w:val="BodyText"/>
        <w:ind w:left="360" w:hanging="360"/>
      </w:pPr>
      <w:r>
        <w:t>-</w:t>
      </w:r>
      <w:r>
        <w:tab/>
      </w:r>
      <w:r w:rsidR="002C7EE9" w:rsidRPr="002C7EE9">
        <w:t xml:space="preserve">It is a joint decision made with DOE, PMAs, and other federal hydropower stakeholders since the first 9505 assessment in 2010. To inform the long-term hydropower marketing activities, </w:t>
      </w:r>
      <w:r w:rsidR="00F7469B">
        <w:t xml:space="preserve">a </w:t>
      </w:r>
      <w:r w:rsidR="002C7EE9" w:rsidRPr="002C7EE9">
        <w:t>40-year future period is considered sufficient and preferred. Considering other potential issues such as changing operation and equipment, the end of century timeline is too long for the purpose of informing power marketing activities.</w:t>
      </w:r>
    </w:p>
    <w:p w14:paraId="3A789D11" w14:textId="2D6E1B9E" w:rsidR="00EA4498" w:rsidRDefault="00EA4498" w:rsidP="00EA4498">
      <w:pPr>
        <w:pStyle w:val="BodyText"/>
        <w:spacing w:after="0"/>
      </w:pPr>
      <w:r>
        <w:rPr>
          <w:i/>
        </w:rPr>
        <w:t>1</w:t>
      </w:r>
      <w:r w:rsidR="002C7EE9">
        <w:rPr>
          <w:i/>
        </w:rPr>
        <w:t>5</w:t>
      </w:r>
      <w:r>
        <w:rPr>
          <w:i/>
        </w:rPr>
        <w:t xml:space="preserve">.2 </w:t>
      </w:r>
      <w:r w:rsidR="002C7EE9" w:rsidRPr="002C7EE9">
        <w:rPr>
          <w:i/>
        </w:rPr>
        <w:t>In general, how does the formula/methodology presented here align with existing formulas/methodologies used by PMAs for more routine generation forecasting? Do any major discrepancies exist?</w:t>
      </w:r>
    </w:p>
    <w:p w14:paraId="402E6DE4" w14:textId="27E0044F" w:rsidR="00EA4498" w:rsidRDefault="00EA4498" w:rsidP="00EA4498">
      <w:pPr>
        <w:pStyle w:val="BodyText"/>
        <w:ind w:left="360" w:hanging="360"/>
      </w:pPr>
      <w:r>
        <w:t>-</w:t>
      </w:r>
      <w:r>
        <w:tab/>
      </w:r>
      <w:r w:rsidR="00A02197" w:rsidRPr="00A02197">
        <w:t xml:space="preserve">Both regional </w:t>
      </w:r>
      <w:r w:rsidR="008C3834">
        <w:rPr>
          <w:snapToGrid/>
        </w:rPr>
        <w:t>PM</w:t>
      </w:r>
      <w:r w:rsidR="00A02197" w:rsidRPr="00A02197">
        <w:t xml:space="preserve">s used in this study are quite different than the operational forecasting models used by USACE and Reclamation. </w:t>
      </w:r>
      <w:r w:rsidR="00F7469B">
        <w:t xml:space="preserve">Although </w:t>
      </w:r>
      <w:r w:rsidR="00A02197" w:rsidRPr="00A02197">
        <w:t>it will be desirable to use the same operational model in this study, it was not likely given the large number of reservoirs. This will be an important research topic for future watershed-scale studies.</w:t>
      </w:r>
    </w:p>
    <w:p w14:paraId="30ED9400" w14:textId="01C0451D" w:rsidR="002C7EE9" w:rsidRDefault="002C7EE9" w:rsidP="002C7EE9">
      <w:pPr>
        <w:pStyle w:val="BodyText"/>
        <w:spacing w:after="0"/>
      </w:pPr>
      <w:r>
        <w:rPr>
          <w:i/>
        </w:rPr>
        <w:t>15.</w:t>
      </w:r>
      <w:r w:rsidR="00E03266">
        <w:rPr>
          <w:i/>
        </w:rPr>
        <w:t>3</w:t>
      </w:r>
      <w:r>
        <w:rPr>
          <w:i/>
        </w:rPr>
        <w:t xml:space="preserve"> </w:t>
      </w:r>
      <w:r w:rsidR="00E03266" w:rsidRPr="00E03266">
        <w:rPr>
          <w:i/>
        </w:rPr>
        <w:t>For ROR plants, the hydraulic heads (h, m) were assumed to be unchanged and equal to the dam height (</w:t>
      </w:r>
      <w:r w:rsidR="00F7469B" w:rsidRPr="00E03266">
        <w:rPr>
          <w:i/>
        </w:rPr>
        <w:t>h</w:t>
      </w:r>
      <w:r w:rsidR="00E03266" w:rsidRPr="00E03266">
        <w:rPr>
          <w:i/>
        </w:rPr>
        <w:t>, m).</w:t>
      </w:r>
      <w:r w:rsidR="00930433">
        <w:rPr>
          <w:i/>
        </w:rPr>
        <w:t>”</w:t>
      </w:r>
      <w:r w:rsidR="00E03266" w:rsidRPr="00E03266">
        <w:rPr>
          <w:i/>
        </w:rPr>
        <w:t xml:space="preserve"> Is this how PMAs are currently characterizing ROR plants for more routine generation forecasting purposes?</w:t>
      </w:r>
    </w:p>
    <w:p w14:paraId="25538809" w14:textId="1826360F" w:rsidR="002C7EE9" w:rsidRDefault="002C7EE9" w:rsidP="002C7EE9">
      <w:pPr>
        <w:pStyle w:val="BodyText"/>
        <w:ind w:left="360" w:hanging="360"/>
      </w:pPr>
      <w:r>
        <w:lastRenderedPageBreak/>
        <w:t>-</w:t>
      </w:r>
      <w:r>
        <w:tab/>
      </w:r>
      <w:r w:rsidR="00CB02F4" w:rsidRPr="00CB02F4">
        <w:t xml:space="preserve">No, it is the WMP model assumption. We specify in </w:t>
      </w:r>
      <w:r w:rsidR="00F7469B" w:rsidRPr="00CB02F4">
        <w:t xml:space="preserve">Section </w:t>
      </w:r>
      <w:r w:rsidR="00CB02F4" w:rsidRPr="00CB02F4">
        <w:t>2 that the reservoir operations do not represent the routine operations by Reclamation, USACE</w:t>
      </w:r>
      <w:r w:rsidR="00F7469B">
        <w:t>,</w:t>
      </w:r>
      <w:r w:rsidR="00CB02F4" w:rsidRPr="00CB02F4">
        <w:t xml:space="preserve"> and PMAs. The reservoir operations emulate monthly operations and daily hydropower operations are based on a number of assumptions such as unchanged hydraulic head.</w:t>
      </w:r>
    </w:p>
    <w:p w14:paraId="1096986A" w14:textId="272DFC95" w:rsidR="002C7EE9" w:rsidRDefault="002C7EE9" w:rsidP="00F7469B">
      <w:pPr>
        <w:pStyle w:val="BodyText"/>
        <w:keepNext/>
        <w:spacing w:after="0"/>
      </w:pPr>
      <w:r>
        <w:rPr>
          <w:i/>
        </w:rPr>
        <w:t>15.</w:t>
      </w:r>
      <w:r w:rsidR="00A3698F">
        <w:rPr>
          <w:i/>
        </w:rPr>
        <w:t>4</w:t>
      </w:r>
      <w:r>
        <w:rPr>
          <w:i/>
        </w:rPr>
        <w:t xml:space="preserve"> </w:t>
      </w:r>
      <w:r w:rsidR="00A3698F" w:rsidRPr="00A3698F">
        <w:rPr>
          <w:i/>
        </w:rPr>
        <w:t xml:space="preserve">Are there any other drivers for spills that are not considered here </w:t>
      </w:r>
      <w:r w:rsidR="005606E5">
        <w:rPr>
          <w:i/>
        </w:rPr>
        <w:t>(</w:t>
      </w:r>
      <w:r w:rsidR="00A3698F" w:rsidRPr="00A3698F">
        <w:rPr>
          <w:i/>
        </w:rPr>
        <w:t>e.g., for flood control</w:t>
      </w:r>
      <w:r w:rsidR="005606E5">
        <w:rPr>
          <w:i/>
        </w:rPr>
        <w:t>)</w:t>
      </w:r>
      <w:r w:rsidR="00A3698F" w:rsidRPr="00A3698F">
        <w:rPr>
          <w:i/>
        </w:rPr>
        <w:t>?</w:t>
      </w:r>
    </w:p>
    <w:p w14:paraId="7C61D77F" w14:textId="605029C0" w:rsidR="002C7EE9" w:rsidRDefault="002C7EE9" w:rsidP="002C7EE9">
      <w:pPr>
        <w:pStyle w:val="BodyText"/>
        <w:ind w:left="360" w:hanging="360"/>
      </w:pPr>
      <w:r>
        <w:t>-</w:t>
      </w:r>
      <w:r>
        <w:tab/>
      </w:r>
      <w:r w:rsidR="00A3698F" w:rsidRPr="00A3698F">
        <w:t>The seasonal operations can lead to spills and emulate spill for flood control. In that respect, the daily releases that are passed to the hydropower model include spill for flood control while the hydropower component deals with spills associated with environmental regulations if the reservoir was not already spilling.</w:t>
      </w:r>
    </w:p>
    <w:p w14:paraId="50951DCB" w14:textId="2B1047D0" w:rsidR="002C7EE9" w:rsidRDefault="002C7EE9" w:rsidP="000B368D">
      <w:pPr>
        <w:pStyle w:val="BodyText"/>
        <w:spacing w:after="0"/>
      </w:pPr>
      <w:r>
        <w:rPr>
          <w:i/>
        </w:rPr>
        <w:t>15.</w:t>
      </w:r>
      <w:r w:rsidR="000B368D">
        <w:rPr>
          <w:i/>
        </w:rPr>
        <w:t>5</w:t>
      </w:r>
      <w:r>
        <w:rPr>
          <w:i/>
        </w:rPr>
        <w:t xml:space="preserve"> </w:t>
      </w:r>
      <w:r w:rsidR="000B368D" w:rsidRPr="000B368D">
        <w:rPr>
          <w:i/>
        </w:rPr>
        <w:t>For Fig</w:t>
      </w:r>
      <w:r w:rsidR="00F7469B">
        <w:rPr>
          <w:i/>
        </w:rPr>
        <w:t>ure</w:t>
      </w:r>
      <w:r w:rsidR="000B368D" w:rsidRPr="000B368D">
        <w:rPr>
          <w:i/>
        </w:rPr>
        <w:t xml:space="preserve"> 2.16</w:t>
      </w:r>
      <w:r w:rsidR="00F7469B">
        <w:rPr>
          <w:i/>
        </w:rPr>
        <w:t>,</w:t>
      </w:r>
      <w:r w:rsidR="000B368D" w:rsidRPr="000B368D">
        <w:rPr>
          <w:i/>
        </w:rPr>
        <w:t xml:space="preserve"> </w:t>
      </w:r>
      <w:r w:rsidR="00F7469B">
        <w:rPr>
          <w:i/>
        </w:rPr>
        <w:t>i</w:t>
      </w:r>
      <w:r w:rsidR="000B368D" w:rsidRPr="000B368D">
        <w:rPr>
          <w:i/>
        </w:rPr>
        <w:t xml:space="preserve">t appears that simulations consistently overestimate generation </w:t>
      </w:r>
      <w:r w:rsidR="005606E5">
        <w:rPr>
          <w:i/>
        </w:rPr>
        <w:t>(</w:t>
      </w:r>
      <w:r w:rsidR="000B368D" w:rsidRPr="000B368D">
        <w:rPr>
          <w:i/>
        </w:rPr>
        <w:t>e.g., 1996</w:t>
      </w:r>
      <w:r w:rsidR="005606E5">
        <w:rPr>
          <w:i/>
        </w:rPr>
        <w:t>–</w:t>
      </w:r>
      <w:r w:rsidR="000B368D" w:rsidRPr="000B368D">
        <w:rPr>
          <w:i/>
        </w:rPr>
        <w:t>2000, 2008</w:t>
      </w:r>
      <w:r w:rsidR="005606E5">
        <w:rPr>
          <w:i/>
        </w:rPr>
        <w:t>–</w:t>
      </w:r>
      <w:r w:rsidR="000B368D" w:rsidRPr="000B368D">
        <w:rPr>
          <w:i/>
        </w:rPr>
        <w:t>2010</w:t>
      </w:r>
      <w:r w:rsidR="005606E5">
        <w:rPr>
          <w:i/>
        </w:rPr>
        <w:t>)</w:t>
      </w:r>
      <w:r w:rsidR="000B368D" w:rsidRPr="000B368D">
        <w:rPr>
          <w:i/>
        </w:rPr>
        <w:t>. Any thoughts on why?</w:t>
      </w:r>
      <w:r w:rsidR="000B368D">
        <w:rPr>
          <w:i/>
        </w:rPr>
        <w:t xml:space="preserve"> </w:t>
      </w:r>
      <w:r w:rsidR="000B368D" w:rsidRPr="000B368D">
        <w:rPr>
          <w:i/>
        </w:rPr>
        <w:t xml:space="preserve">Is this due, in part, to the </w:t>
      </w:r>
      <w:r w:rsidR="00930433">
        <w:rPr>
          <w:i/>
        </w:rPr>
        <w:t>“</w:t>
      </w:r>
      <w:r w:rsidR="000B368D" w:rsidRPr="000B368D">
        <w:rPr>
          <w:i/>
        </w:rPr>
        <w:t>insufficient and less accurate precipitation and runoff records</w:t>
      </w:r>
      <w:r w:rsidR="00930433">
        <w:rPr>
          <w:i/>
        </w:rPr>
        <w:t>”</w:t>
      </w:r>
      <w:r w:rsidR="000B368D" w:rsidRPr="000B368D">
        <w:rPr>
          <w:i/>
        </w:rPr>
        <w:t xml:space="preserve"> referenced on p</w:t>
      </w:r>
      <w:r w:rsidR="00F7469B">
        <w:rPr>
          <w:i/>
        </w:rPr>
        <w:t>age</w:t>
      </w:r>
      <w:r w:rsidR="000B368D" w:rsidRPr="000B368D">
        <w:rPr>
          <w:i/>
        </w:rPr>
        <w:t xml:space="preserve"> 35 (</w:t>
      </w:r>
      <w:r w:rsidR="00F7469B">
        <w:rPr>
          <w:i/>
        </w:rPr>
        <w:t xml:space="preserve">lines </w:t>
      </w:r>
      <w:r w:rsidR="000B368D" w:rsidRPr="000B368D">
        <w:rPr>
          <w:i/>
        </w:rPr>
        <w:t>1540</w:t>
      </w:r>
      <w:r w:rsidR="00F7469B">
        <w:rPr>
          <w:i/>
        </w:rPr>
        <w:t>–</w:t>
      </w:r>
      <w:r w:rsidR="000B368D" w:rsidRPr="000B368D">
        <w:rPr>
          <w:i/>
        </w:rPr>
        <w:t>1542)? If so, consider clarifying.</w:t>
      </w:r>
    </w:p>
    <w:p w14:paraId="03A4DBED" w14:textId="4204C022" w:rsidR="002C7EE9" w:rsidRDefault="002C7EE9" w:rsidP="002C7EE9">
      <w:pPr>
        <w:pStyle w:val="BodyText"/>
        <w:ind w:left="360" w:hanging="360"/>
      </w:pPr>
      <w:r>
        <w:t>-</w:t>
      </w:r>
      <w:r>
        <w:tab/>
      </w:r>
      <w:r w:rsidR="001F08B1" w:rsidRPr="001F08B1">
        <w:t>We suspect that the deviation in these years are due to more site-specific issues that cannot be captured by our current models. The challenges of our hydropower models are discussed in the limitation sections.</w:t>
      </w:r>
    </w:p>
    <w:p w14:paraId="6695CB24" w14:textId="0FAA02BA" w:rsidR="002C7EE9" w:rsidRDefault="002C7EE9" w:rsidP="002C7EE9">
      <w:pPr>
        <w:pStyle w:val="BodyText"/>
        <w:spacing w:after="0"/>
      </w:pPr>
      <w:r>
        <w:rPr>
          <w:i/>
        </w:rPr>
        <w:t>15.</w:t>
      </w:r>
      <w:r w:rsidR="00010CAC">
        <w:rPr>
          <w:i/>
        </w:rPr>
        <w:t>6</w:t>
      </w:r>
      <w:r>
        <w:rPr>
          <w:i/>
        </w:rPr>
        <w:t xml:space="preserve"> </w:t>
      </w:r>
      <w:r w:rsidR="00010CAC" w:rsidRPr="00010CAC">
        <w:rPr>
          <w:i/>
        </w:rPr>
        <w:t>Is there a need to put processes in place to ensure more sufficient, accurate records within the WAPA service territory?</w:t>
      </w:r>
    </w:p>
    <w:p w14:paraId="1B9F1F30" w14:textId="3DCE12D4" w:rsidR="002C7EE9" w:rsidRDefault="002C7EE9" w:rsidP="002C7EE9">
      <w:pPr>
        <w:pStyle w:val="BodyText"/>
        <w:ind w:left="360" w:hanging="360"/>
      </w:pPr>
      <w:r>
        <w:t>-</w:t>
      </w:r>
      <w:r>
        <w:tab/>
      </w:r>
      <w:r w:rsidR="00010CAC" w:rsidRPr="00010CAC">
        <w:t>We fully agree with the needs. However, such an analysis will require site-specific reservoir models that cannot be extended to all 132 hydropower plants covered in this study. We have stressed the importance of conducting further watershed-specific study in the concluding section.</w:t>
      </w:r>
    </w:p>
    <w:p w14:paraId="427C389F" w14:textId="627501B1" w:rsidR="002C7EE9" w:rsidRDefault="002C7EE9" w:rsidP="003F6FE2">
      <w:pPr>
        <w:pStyle w:val="BodyText"/>
        <w:spacing w:after="0"/>
      </w:pPr>
      <w:r>
        <w:rPr>
          <w:i/>
        </w:rPr>
        <w:t>15.</w:t>
      </w:r>
      <w:r w:rsidR="003F6FE2">
        <w:rPr>
          <w:i/>
        </w:rPr>
        <w:t>7</w:t>
      </w:r>
      <w:r>
        <w:rPr>
          <w:i/>
        </w:rPr>
        <w:t xml:space="preserve"> </w:t>
      </w:r>
      <w:r w:rsidR="003F6FE2" w:rsidRPr="003F6FE2">
        <w:rPr>
          <w:i/>
        </w:rPr>
        <w:t>How might these reservoir-specific aspects be incorporated into future modeling efforts? Any sense of how model outputs may be impacted by incorporation of reservoir-specific aspects?</w:t>
      </w:r>
      <w:r w:rsidR="003F6FE2">
        <w:rPr>
          <w:i/>
        </w:rPr>
        <w:t xml:space="preserve"> </w:t>
      </w:r>
      <w:r w:rsidR="003F6FE2" w:rsidRPr="003F6FE2">
        <w:rPr>
          <w:i/>
        </w:rPr>
        <w:t>What is the general impact of this limitation?</w:t>
      </w:r>
    </w:p>
    <w:p w14:paraId="329510D7" w14:textId="11B19331" w:rsidR="002C7EE9" w:rsidRDefault="002C7EE9" w:rsidP="002C7EE9">
      <w:pPr>
        <w:pStyle w:val="BodyText"/>
        <w:ind w:left="360" w:hanging="360"/>
      </w:pPr>
      <w:r>
        <w:t>-</w:t>
      </w:r>
      <w:r>
        <w:tab/>
      </w:r>
      <w:r w:rsidR="00F842A5" w:rsidRPr="00F842A5">
        <w:t>We are working on a new version of the reservoir model that use data-driven reservoir operations on the water side and data-driven parameterization of hydropower operations. The general impact is that for this report the projections are at a monthly time scale and by sub</w:t>
      </w:r>
      <w:r w:rsidR="00F7469B">
        <w:t>-</w:t>
      </w:r>
      <w:r w:rsidR="00F842A5" w:rsidRPr="00F842A5">
        <w:t>regions rather than at a daily time scale and for individual plants.</w:t>
      </w:r>
    </w:p>
    <w:p w14:paraId="1BB3E339" w14:textId="4C41B107" w:rsidR="002C7EE9" w:rsidRDefault="002C7EE9" w:rsidP="002C7EE9">
      <w:pPr>
        <w:pStyle w:val="BodyText"/>
        <w:spacing w:after="0"/>
      </w:pPr>
      <w:r>
        <w:rPr>
          <w:i/>
        </w:rPr>
        <w:t>15.</w:t>
      </w:r>
      <w:r w:rsidR="00F842A5">
        <w:rPr>
          <w:i/>
        </w:rPr>
        <w:t>8</w:t>
      </w:r>
      <w:r>
        <w:rPr>
          <w:i/>
        </w:rPr>
        <w:t xml:space="preserve"> </w:t>
      </w:r>
      <w:r w:rsidR="00F842A5" w:rsidRPr="00F842A5">
        <w:rPr>
          <w:i/>
        </w:rPr>
        <w:t>Are there any non-preference PMA customers that need to be considered here? Or do all PMA customers qualify as preference for this analysis?</w:t>
      </w:r>
    </w:p>
    <w:p w14:paraId="5F20B063" w14:textId="112F77A4" w:rsidR="002C7EE9" w:rsidRDefault="002C7EE9" w:rsidP="002C7EE9">
      <w:pPr>
        <w:pStyle w:val="BodyText"/>
        <w:ind w:left="360" w:hanging="360"/>
      </w:pPr>
      <w:r>
        <w:t>-</w:t>
      </w:r>
      <w:r>
        <w:tab/>
      </w:r>
      <w:r w:rsidR="00F842A5" w:rsidRPr="00F842A5">
        <w:t>We focus on the preference customers because they represent the majority of PMA customers and they are the ones with which PMA typically have long-term contracts. Non-preference customers tend to not have firm power allocations from PMAs.</w:t>
      </w:r>
    </w:p>
    <w:p w14:paraId="041BA607" w14:textId="2936EEB6" w:rsidR="002C7EE9" w:rsidRDefault="002C7EE9" w:rsidP="002C7EE9">
      <w:pPr>
        <w:pStyle w:val="BodyText"/>
        <w:spacing w:after="0"/>
      </w:pPr>
      <w:r>
        <w:rPr>
          <w:i/>
        </w:rPr>
        <w:t>15.</w:t>
      </w:r>
      <w:r w:rsidR="00F842A5">
        <w:rPr>
          <w:i/>
        </w:rPr>
        <w:t>9</w:t>
      </w:r>
      <w:r>
        <w:rPr>
          <w:i/>
        </w:rPr>
        <w:t xml:space="preserve"> </w:t>
      </w:r>
      <w:r w:rsidR="00F842A5" w:rsidRPr="00F842A5">
        <w:rPr>
          <w:i/>
        </w:rPr>
        <w:t>What, if any, differences exist between BPA and non-BPA PMA data</w:t>
      </w:r>
      <w:r w:rsidR="00F7469B">
        <w:rPr>
          <w:i/>
        </w:rPr>
        <w:t>,</w:t>
      </w:r>
      <w:r w:rsidR="00F842A5" w:rsidRPr="00F842A5">
        <w:rPr>
          <w:i/>
        </w:rPr>
        <w:t xml:space="preserve"> given the two different data inputs (BPA monthly</w:t>
      </w:r>
      <w:r w:rsidR="00D64187">
        <w:rPr>
          <w:i/>
        </w:rPr>
        <w:t xml:space="preserve"> </w:t>
      </w:r>
      <w:r w:rsidR="005606E5">
        <w:rPr>
          <w:i/>
        </w:rPr>
        <w:t>data sets</w:t>
      </w:r>
      <w:r w:rsidR="00F7469B">
        <w:rPr>
          <w:i/>
        </w:rPr>
        <w:t>,</w:t>
      </w:r>
      <w:r w:rsidR="00F842A5" w:rsidRPr="00F842A5">
        <w:rPr>
          <w:i/>
        </w:rPr>
        <w:t xml:space="preserve"> and non-BPA PMA EIA Form 861).</w:t>
      </w:r>
    </w:p>
    <w:p w14:paraId="33BD08C6" w14:textId="5A203269" w:rsidR="002C7EE9" w:rsidRDefault="002C7EE9" w:rsidP="002C7EE9">
      <w:pPr>
        <w:pStyle w:val="BodyText"/>
        <w:ind w:left="360" w:hanging="360"/>
      </w:pPr>
      <w:r>
        <w:t>-</w:t>
      </w:r>
      <w:r>
        <w:tab/>
      </w:r>
      <w:r w:rsidR="00F842A5" w:rsidRPr="00F842A5">
        <w:t>The BPA</w:t>
      </w:r>
      <w:r w:rsidR="005606E5">
        <w:t xml:space="preserve"> data set </w:t>
      </w:r>
      <w:r w:rsidR="00F842A5" w:rsidRPr="00F842A5">
        <w:t>was provided by the PMA and contains monthly total retail load for each of its customers. For the rest of PMAs, the data come from EIA Form 861 and reflect the annual sales of the PMA preference customers to their end-use customers</w:t>
      </w:r>
      <w:r w:rsidRPr="00E41942">
        <w:t>.</w:t>
      </w:r>
    </w:p>
    <w:p w14:paraId="7606708A" w14:textId="55ADF6C4" w:rsidR="002C7EE9" w:rsidRDefault="002C7EE9" w:rsidP="002C7EE9">
      <w:pPr>
        <w:pStyle w:val="BodyText"/>
        <w:spacing w:after="0"/>
      </w:pPr>
      <w:r>
        <w:rPr>
          <w:i/>
        </w:rPr>
        <w:t>15.</w:t>
      </w:r>
      <w:r w:rsidR="00406CAF">
        <w:rPr>
          <w:i/>
        </w:rPr>
        <w:t>10</w:t>
      </w:r>
      <w:r>
        <w:rPr>
          <w:i/>
        </w:rPr>
        <w:t xml:space="preserve"> </w:t>
      </w:r>
      <w:r w:rsidR="00406CAF" w:rsidRPr="00406CAF">
        <w:rPr>
          <w:i/>
        </w:rPr>
        <w:t>What BPA-marketed plants are not part of multipurpose water developments?</w:t>
      </w:r>
    </w:p>
    <w:p w14:paraId="70184B73" w14:textId="61A035E2" w:rsidR="002C7EE9" w:rsidRDefault="002C7EE9" w:rsidP="002C7EE9">
      <w:pPr>
        <w:pStyle w:val="BodyText"/>
        <w:ind w:left="360" w:hanging="360"/>
      </w:pPr>
      <w:r>
        <w:t>-</w:t>
      </w:r>
      <w:r>
        <w:tab/>
      </w:r>
      <w:r w:rsidR="00406CAF" w:rsidRPr="00406CAF">
        <w:t xml:space="preserve">Based on 2019 data from the </w:t>
      </w:r>
      <w:r w:rsidR="00556766">
        <w:t>NID</w:t>
      </w:r>
      <w:r w:rsidR="00406CAF" w:rsidRPr="00406CAF">
        <w:t>, Big Cliff has hydropower as its only authorized purpose</w:t>
      </w:r>
      <w:r w:rsidRPr="00E41942">
        <w:t>.</w:t>
      </w:r>
    </w:p>
    <w:p w14:paraId="2CC5BE7F" w14:textId="2C484DFA" w:rsidR="00924272" w:rsidRDefault="00924272" w:rsidP="00924272">
      <w:pPr>
        <w:pStyle w:val="BodyText"/>
        <w:spacing w:after="0"/>
      </w:pPr>
      <w:r>
        <w:rPr>
          <w:i/>
        </w:rPr>
        <w:t xml:space="preserve">15.11 </w:t>
      </w:r>
      <w:r w:rsidR="00930433">
        <w:rPr>
          <w:i/>
        </w:rPr>
        <w:t>“</w:t>
      </w:r>
      <w:r w:rsidRPr="00924272">
        <w:rPr>
          <w:i/>
        </w:rPr>
        <w:t>Having the operational flexibility to shift the water allocation timing and volume from the winter to the summer months would be highly available for all PMAs, and particularly BPA.</w:t>
      </w:r>
      <w:r w:rsidR="00930433">
        <w:rPr>
          <w:i/>
        </w:rPr>
        <w:t>”</w:t>
      </w:r>
      <w:r w:rsidRPr="00924272">
        <w:rPr>
          <w:i/>
        </w:rPr>
        <w:t xml:space="preserve"> Whereas this is true, given how federal, multi-purpose water resource projects are operated, is a shift like this feasible? </w:t>
      </w:r>
      <w:r w:rsidRPr="00924272">
        <w:rPr>
          <w:i/>
        </w:rPr>
        <w:lastRenderedPageBreak/>
        <w:t>As is, the text implies that it may be</w:t>
      </w:r>
      <w:r w:rsidR="00F7469B">
        <w:rPr>
          <w:i/>
        </w:rPr>
        <w:t>;</w:t>
      </w:r>
      <w:r w:rsidRPr="00924272">
        <w:rPr>
          <w:i/>
        </w:rPr>
        <w:t xml:space="preserve"> however, that may not be the case. Recommend acknowledging the realities here.</w:t>
      </w:r>
    </w:p>
    <w:p w14:paraId="3929CAE8" w14:textId="59C0FE3E" w:rsidR="00924272" w:rsidRDefault="00924272" w:rsidP="00924272">
      <w:pPr>
        <w:pStyle w:val="BodyText"/>
        <w:ind w:left="360" w:hanging="360"/>
      </w:pPr>
      <w:r>
        <w:t>-</w:t>
      </w:r>
      <w:r>
        <w:tab/>
      </w:r>
      <w:r w:rsidR="002108F2" w:rsidRPr="002108F2">
        <w:t>We have added a statement clarifying that flexibility is quite limited</w:t>
      </w:r>
      <w:r w:rsidR="00930433">
        <w:t>:</w:t>
      </w:r>
      <w:r w:rsidR="002108F2" w:rsidRPr="002108F2">
        <w:t xml:space="preserve"> </w:t>
      </w:r>
      <w:r w:rsidR="00930433">
        <w:t>“</w:t>
      </w:r>
      <w:r w:rsidR="002108F2" w:rsidRPr="002108F2">
        <w:t>However, in federal multipurpose water resource projects, hydropower is typically not the highest priority purpose and the flexibility to change water allocation timing in response to changes in PMA customer demand is very limited</w:t>
      </w:r>
      <w:r w:rsidR="00930433">
        <w:t>.”</w:t>
      </w:r>
    </w:p>
    <w:p w14:paraId="1359E5AC" w14:textId="04B4D924" w:rsidR="00924272" w:rsidRDefault="00924272" w:rsidP="00924272">
      <w:pPr>
        <w:pStyle w:val="BodyText"/>
        <w:spacing w:after="0"/>
      </w:pPr>
      <w:r>
        <w:rPr>
          <w:i/>
        </w:rPr>
        <w:t>15.1</w:t>
      </w:r>
      <w:r w:rsidR="008D2A17">
        <w:rPr>
          <w:i/>
        </w:rPr>
        <w:t>2</w:t>
      </w:r>
      <w:r>
        <w:rPr>
          <w:i/>
        </w:rPr>
        <w:t xml:space="preserve"> </w:t>
      </w:r>
      <w:r w:rsidR="008D2A17" w:rsidRPr="008D2A17">
        <w:rPr>
          <w:i/>
        </w:rPr>
        <w:t xml:space="preserve">How were Hydropower Project owner/operators consulted with to define/validate project characteristics? It appears data </w:t>
      </w:r>
      <w:r w:rsidR="00B7138F">
        <w:rPr>
          <w:i/>
        </w:rPr>
        <w:t xml:space="preserve">were </w:t>
      </w:r>
      <w:r w:rsidR="008D2A17" w:rsidRPr="008D2A17">
        <w:rPr>
          <w:i/>
        </w:rPr>
        <w:t>reviewed by PMA staff but not owner/operator staff (e.g., USACE and Reclamation).</w:t>
      </w:r>
    </w:p>
    <w:p w14:paraId="7ACCC495" w14:textId="03D4563B" w:rsidR="00924272" w:rsidRDefault="00924272" w:rsidP="00924272">
      <w:pPr>
        <w:pStyle w:val="BodyText"/>
        <w:ind w:left="360" w:hanging="360"/>
      </w:pPr>
      <w:r>
        <w:t>-</w:t>
      </w:r>
      <w:r>
        <w:tab/>
      </w:r>
      <w:r w:rsidR="008D2A17" w:rsidRPr="008D2A17">
        <w:t>We rely on the information from another WPTO-supported effort</w:t>
      </w:r>
      <w:r w:rsidR="00F7469B">
        <w:t>,</w:t>
      </w:r>
      <w:r w:rsidR="008D2A17" w:rsidRPr="008D2A17">
        <w:t xml:space="preserve"> which provide</w:t>
      </w:r>
      <w:r w:rsidR="00F7469B">
        <w:t>s</w:t>
      </w:r>
      <w:r w:rsidR="008D2A17" w:rsidRPr="008D2A17">
        <w:t xml:space="preserve"> annual review/updat</w:t>
      </w:r>
      <w:r w:rsidR="00F7469B">
        <w:t>ing</w:t>
      </w:r>
      <w:r w:rsidR="008D2A17" w:rsidRPr="008D2A17">
        <w:t xml:space="preserve"> of existing US hydropower asset information (Johnson et al., 2021).</w:t>
      </w:r>
    </w:p>
    <w:p w14:paraId="1C9E84D0" w14:textId="7B8EEC0E" w:rsidR="00924272" w:rsidRDefault="00924272" w:rsidP="00924272">
      <w:pPr>
        <w:pStyle w:val="BodyText"/>
        <w:spacing w:after="0"/>
      </w:pPr>
      <w:r>
        <w:rPr>
          <w:i/>
        </w:rPr>
        <w:t>15.1</w:t>
      </w:r>
      <w:r w:rsidR="0070267D">
        <w:rPr>
          <w:i/>
        </w:rPr>
        <w:t>3</w:t>
      </w:r>
      <w:r>
        <w:rPr>
          <w:i/>
        </w:rPr>
        <w:t xml:space="preserve"> </w:t>
      </w:r>
      <w:r w:rsidR="0070267D" w:rsidRPr="0070267D">
        <w:rPr>
          <w:i/>
        </w:rPr>
        <w:t>In total</w:t>
      </w:r>
      <w:r w:rsidR="00F7469B">
        <w:rPr>
          <w:i/>
        </w:rPr>
        <w:t>,</w:t>
      </w:r>
      <w:r w:rsidR="0070267D" w:rsidRPr="0070267D">
        <w:rPr>
          <w:i/>
        </w:rPr>
        <w:t xml:space="preserve"> Reclamation owns 78 federal hydropower plants. Generation from 58 of the 78 is marketed by PMAs</w:t>
      </w:r>
      <w:r w:rsidR="00F7469B">
        <w:rPr>
          <w:i/>
        </w:rPr>
        <w:t>;</w:t>
      </w:r>
      <w:r w:rsidR="0070267D" w:rsidRPr="0070267D">
        <w:rPr>
          <w:i/>
        </w:rPr>
        <w:t xml:space="preserve"> however</w:t>
      </w:r>
      <w:r w:rsidR="00F7469B">
        <w:rPr>
          <w:i/>
        </w:rPr>
        <w:t>,</w:t>
      </w:r>
      <w:r w:rsidR="0070267D" w:rsidRPr="0070267D">
        <w:rPr>
          <w:i/>
        </w:rPr>
        <w:t xml:space="preserve"> 1 of the 58 is currently mothballed (Pilot Butte) and doesn</w:t>
      </w:r>
      <w:r w:rsidR="00805545">
        <w:rPr>
          <w:i/>
        </w:rPr>
        <w:t>’</w:t>
      </w:r>
      <w:r w:rsidR="0070267D" w:rsidRPr="0070267D">
        <w:rPr>
          <w:i/>
        </w:rPr>
        <w:t xml:space="preserve">t appear to be included in the study (and is not identified in </w:t>
      </w:r>
      <w:r w:rsidR="00470C04">
        <w:rPr>
          <w:i/>
        </w:rPr>
        <w:fldChar w:fldCharType="begin"/>
      </w:r>
      <w:r w:rsidR="00470C04">
        <w:rPr>
          <w:i/>
        </w:rPr>
        <w:instrText xml:space="preserve"> REF _Ref75948519 \r \h </w:instrText>
      </w:r>
      <w:r w:rsidR="00470C04">
        <w:rPr>
          <w:i/>
        </w:rPr>
      </w:r>
      <w:r w:rsidR="00470C04">
        <w:rPr>
          <w:i/>
        </w:rPr>
        <w:fldChar w:fldCharType="separate"/>
      </w:r>
      <w:r w:rsidR="00EE0BF5">
        <w:rPr>
          <w:i/>
        </w:rPr>
        <w:t>APPENDIX B</w:t>
      </w:r>
      <w:r w:rsidR="00470C04">
        <w:rPr>
          <w:i/>
        </w:rPr>
        <w:fldChar w:fldCharType="end"/>
      </w:r>
      <w:r w:rsidR="0070267D" w:rsidRPr="0070267D">
        <w:rPr>
          <w:i/>
        </w:rPr>
        <w:t>).</w:t>
      </w:r>
    </w:p>
    <w:p w14:paraId="0859DCA2" w14:textId="14549AA6" w:rsidR="00924272" w:rsidRDefault="00924272" w:rsidP="00924272">
      <w:pPr>
        <w:pStyle w:val="BodyText"/>
        <w:ind w:left="360" w:hanging="360"/>
      </w:pPr>
      <w:r>
        <w:t>-</w:t>
      </w:r>
      <w:r>
        <w:tab/>
      </w:r>
      <w:r w:rsidR="00936844" w:rsidRPr="00936844">
        <w:t xml:space="preserve">We removed Pilot Butte from the list during the review of previous 9505 assessment. </w:t>
      </w:r>
      <w:r w:rsidR="00F7469B">
        <w:t>Therefore</w:t>
      </w:r>
      <w:r w:rsidR="00936844" w:rsidRPr="00936844">
        <w:t>, we only listed 57 Reclamation hydropower plants in this study.</w:t>
      </w:r>
    </w:p>
    <w:p w14:paraId="741B76A7" w14:textId="2F6C8D60" w:rsidR="00EA4498" w:rsidRDefault="00EA4498" w:rsidP="00EA4498">
      <w:pPr>
        <w:pStyle w:val="BodyText"/>
      </w:pPr>
      <w:r w:rsidRPr="00DA1CA8">
        <w:rPr>
          <w:b/>
        </w:rPr>
        <w:t xml:space="preserve">Reviewer </w:t>
      </w:r>
      <w:r>
        <w:rPr>
          <w:b/>
        </w:rPr>
        <w:t>1</w:t>
      </w:r>
      <w:r w:rsidR="00B02780">
        <w:rPr>
          <w:b/>
        </w:rPr>
        <w:t>6</w:t>
      </w:r>
    </w:p>
    <w:p w14:paraId="5CA3D3A3" w14:textId="6F756FA8" w:rsidR="00EA4498" w:rsidRDefault="00EA4498" w:rsidP="00EA4498">
      <w:pPr>
        <w:pStyle w:val="BodyText"/>
        <w:spacing w:after="0"/>
      </w:pPr>
      <w:r>
        <w:rPr>
          <w:i/>
        </w:rPr>
        <w:t>1</w:t>
      </w:r>
      <w:r w:rsidR="00B02780">
        <w:rPr>
          <w:i/>
        </w:rPr>
        <w:t>6</w:t>
      </w:r>
      <w:r>
        <w:rPr>
          <w:i/>
        </w:rPr>
        <w:t xml:space="preserve">.1 </w:t>
      </w:r>
      <w:r w:rsidR="00B02780" w:rsidRPr="00B02780">
        <w:rPr>
          <w:i/>
        </w:rPr>
        <w:t>Overall, I found this to be a very thorough report. It is well written and fairly easy to follow for a semi-technical audience.</w:t>
      </w:r>
    </w:p>
    <w:p w14:paraId="13FAEE82" w14:textId="0F450D6C" w:rsidR="00EA4498" w:rsidRDefault="00EA4498" w:rsidP="00EA4498">
      <w:pPr>
        <w:pStyle w:val="BodyText"/>
        <w:ind w:left="360" w:hanging="360"/>
      </w:pPr>
      <w:r>
        <w:t>-</w:t>
      </w:r>
      <w:r>
        <w:tab/>
      </w:r>
      <w:r w:rsidR="00B02780" w:rsidRPr="00B02780">
        <w:t>Thank you. We appreciate your positive comment and encouragement.</w:t>
      </w:r>
    </w:p>
    <w:p w14:paraId="1C9C9FFC" w14:textId="510B5F0B" w:rsidR="00EA4498" w:rsidRDefault="00EA4498" w:rsidP="00EA4498">
      <w:pPr>
        <w:pStyle w:val="BodyText"/>
        <w:spacing w:after="0"/>
      </w:pPr>
      <w:r>
        <w:rPr>
          <w:i/>
        </w:rPr>
        <w:t>1</w:t>
      </w:r>
      <w:r w:rsidR="009C0472">
        <w:rPr>
          <w:i/>
        </w:rPr>
        <w:t>6</w:t>
      </w:r>
      <w:r>
        <w:rPr>
          <w:i/>
        </w:rPr>
        <w:t xml:space="preserve">.2 </w:t>
      </w:r>
      <w:r w:rsidR="009C0472" w:rsidRPr="009C0472">
        <w:rPr>
          <w:i/>
        </w:rPr>
        <w:t>Most of the report focused on the effects of climate/hydrological variables, which is fine. But the CMIP6 scenarios are combinations of RCPs and SSPs. There is some mention of demand projections from Hejazi et al., but little discussion of how these projections differ from the baseline or the role they play in the analysis. Presumably the populations in the projected data are larger than those in the baseline projections. Does that matter? I don</w:t>
      </w:r>
      <w:r w:rsidR="00805545">
        <w:rPr>
          <w:i/>
        </w:rPr>
        <w:t>’</w:t>
      </w:r>
      <w:r w:rsidR="009C0472" w:rsidRPr="009C0472">
        <w:rPr>
          <w:i/>
        </w:rPr>
        <w:t xml:space="preserve">t expect the authors to address demand in as much detail, but it would be worth some discussion. Why was Hejazi et al. chosen? It would be informative to discuss (at least a little) why there are </w:t>
      </w:r>
      <w:r w:rsidR="00F7469B">
        <w:rPr>
          <w:i/>
        </w:rPr>
        <w:t>two</w:t>
      </w:r>
      <w:r w:rsidR="009C0472" w:rsidRPr="009C0472">
        <w:rPr>
          <w:i/>
        </w:rPr>
        <w:t xml:space="preserve"> hydro models, </w:t>
      </w:r>
      <w:r w:rsidR="00F7469B">
        <w:rPr>
          <w:i/>
        </w:rPr>
        <w:t>six</w:t>
      </w:r>
      <w:r w:rsidR="009C0472" w:rsidRPr="009C0472">
        <w:rPr>
          <w:i/>
        </w:rPr>
        <w:t xml:space="preserve"> GCMs, Daymet and Livneh, but only one demand/population model</w:t>
      </w:r>
      <w:r w:rsidR="00F7469B">
        <w:rPr>
          <w:i/>
        </w:rPr>
        <w:t>?</w:t>
      </w:r>
    </w:p>
    <w:p w14:paraId="3FB24736" w14:textId="03C60042" w:rsidR="00EA4498" w:rsidRDefault="00EA4498" w:rsidP="00EA4498">
      <w:pPr>
        <w:pStyle w:val="BodyText"/>
        <w:ind w:left="360" w:hanging="360"/>
      </w:pPr>
      <w:r>
        <w:t>-</w:t>
      </w:r>
      <w:r>
        <w:tab/>
      </w:r>
      <w:r w:rsidR="009C0472" w:rsidRPr="009C0472">
        <w:t>This is a great point. We specify that we leverage Hejazi et al. (2015) water demand scenario and only use the 2010 level of water demand. This 2010 demand is the same through all the demand scenarios in Hejazi et al. (2015). Water demand scenarios have been shown to significantly disrupt water management operations while there is also larger uncertainties on those scenarios. Addressing population scenarios and future water demand scenarios was beyond the scope of this work for our approach with a multi-hydropower model approach where WRES does not address those changes. For this effort</w:t>
      </w:r>
      <w:r w:rsidR="00F7469B">
        <w:t>,</w:t>
      </w:r>
      <w:r w:rsidR="009C0472" w:rsidRPr="009C0472">
        <w:t xml:space="preserve"> we focused on the hydropower model structure uncertainties.</w:t>
      </w:r>
    </w:p>
    <w:p w14:paraId="6DD09E6B" w14:textId="68BB0BF1" w:rsidR="009C0472" w:rsidRDefault="009C0472" w:rsidP="009C0472">
      <w:pPr>
        <w:pStyle w:val="BodyText"/>
        <w:spacing w:after="0"/>
      </w:pPr>
      <w:r>
        <w:rPr>
          <w:i/>
        </w:rPr>
        <w:t xml:space="preserve">16.3 </w:t>
      </w:r>
      <w:r w:rsidRPr="009C0472">
        <w:rPr>
          <w:i/>
        </w:rPr>
        <w:t xml:space="preserve">Section 7 is extremely hard to follow. The authors should reread that section and put in plain English when possible, particularly in </w:t>
      </w:r>
      <w:r w:rsidR="00F7469B" w:rsidRPr="009C0472">
        <w:rPr>
          <w:i/>
        </w:rPr>
        <w:t xml:space="preserve">Section </w:t>
      </w:r>
      <w:r w:rsidRPr="009C0472">
        <w:rPr>
          <w:i/>
        </w:rPr>
        <w:t>7.1.1. Also, note that the text has subscripts but the figures it refers to does not.</w:t>
      </w:r>
    </w:p>
    <w:p w14:paraId="775A6867" w14:textId="1060F4BE" w:rsidR="009C0472" w:rsidRDefault="009C0472" w:rsidP="009C0472">
      <w:pPr>
        <w:pStyle w:val="BodyText"/>
        <w:ind w:left="360" w:hanging="360"/>
      </w:pPr>
      <w:r>
        <w:t>-</w:t>
      </w:r>
      <w:r>
        <w:tab/>
      </w:r>
      <w:r w:rsidR="00F7469B">
        <w:t xml:space="preserve">Thank you </w:t>
      </w:r>
      <w:r w:rsidRPr="009C0472">
        <w:t>for pointing this out. We have modified the text to make it more understandable.</w:t>
      </w:r>
    </w:p>
    <w:p w14:paraId="6264293B" w14:textId="40ABD081" w:rsidR="009C0472" w:rsidRDefault="009C0472" w:rsidP="009C0472">
      <w:pPr>
        <w:pStyle w:val="BodyText"/>
        <w:spacing w:after="0"/>
      </w:pPr>
      <w:r>
        <w:rPr>
          <w:i/>
        </w:rPr>
        <w:t>16.</w:t>
      </w:r>
      <w:r w:rsidR="00AE409F">
        <w:rPr>
          <w:i/>
        </w:rPr>
        <w:t>4</w:t>
      </w:r>
      <w:r>
        <w:rPr>
          <w:i/>
        </w:rPr>
        <w:t xml:space="preserve"> </w:t>
      </w:r>
      <w:r w:rsidR="006E3634" w:rsidRPr="006E3634">
        <w:rPr>
          <w:i/>
        </w:rPr>
        <w:t>Is the reader supposed to know where Ross, Bennett, Lake Calm, Lake Five-O, and White Bear are located and why they are relevant for this analysis?</w:t>
      </w:r>
    </w:p>
    <w:p w14:paraId="378EB957" w14:textId="54C01DB6" w:rsidR="009C0472" w:rsidRDefault="009C0472" w:rsidP="009C0472">
      <w:pPr>
        <w:pStyle w:val="BodyText"/>
        <w:ind w:left="360" w:hanging="360"/>
      </w:pPr>
      <w:r>
        <w:t>-</w:t>
      </w:r>
      <w:r>
        <w:tab/>
      </w:r>
      <w:r w:rsidR="006E3634" w:rsidRPr="006E3634">
        <w:t>These sites are the only ones where we could find in situ evaporation observation data (from eddy covariance or energy balance) for validation. We have provided more information in the revised report and added the states where these reservoirs are located.</w:t>
      </w:r>
    </w:p>
    <w:p w14:paraId="7C9179EF" w14:textId="1668A3DE" w:rsidR="009C0472" w:rsidRDefault="009C0472" w:rsidP="00F7469B">
      <w:pPr>
        <w:pStyle w:val="BodyText"/>
        <w:keepNext/>
        <w:spacing w:after="0"/>
      </w:pPr>
      <w:r>
        <w:rPr>
          <w:i/>
        </w:rPr>
        <w:lastRenderedPageBreak/>
        <w:t>16.</w:t>
      </w:r>
      <w:r w:rsidR="009B4065">
        <w:rPr>
          <w:i/>
        </w:rPr>
        <w:t>5</w:t>
      </w:r>
      <w:r>
        <w:rPr>
          <w:i/>
        </w:rPr>
        <w:t xml:space="preserve"> </w:t>
      </w:r>
      <w:r w:rsidR="000F4768" w:rsidRPr="000F4768">
        <w:rPr>
          <w:i/>
        </w:rPr>
        <w:t>If SSP5 is being used, wouldn</w:t>
      </w:r>
      <w:r w:rsidR="00805545">
        <w:rPr>
          <w:i/>
        </w:rPr>
        <w:t>’</w:t>
      </w:r>
      <w:r w:rsidR="000F4768" w:rsidRPr="000F4768">
        <w:rPr>
          <w:i/>
        </w:rPr>
        <w:t>t it include drivers like population and electrification trends?</w:t>
      </w:r>
      <w:r w:rsidRPr="00863080">
        <w:rPr>
          <w:i/>
        </w:rPr>
        <w:t>.</w:t>
      </w:r>
    </w:p>
    <w:p w14:paraId="73FFC067" w14:textId="1AA7A8AC" w:rsidR="009C0472" w:rsidRDefault="009C0472" w:rsidP="009C0472">
      <w:pPr>
        <w:pStyle w:val="BodyText"/>
        <w:ind w:left="360" w:hanging="360"/>
      </w:pPr>
      <w:r>
        <w:t>-</w:t>
      </w:r>
      <w:r>
        <w:tab/>
      </w:r>
      <w:r w:rsidR="000F4768" w:rsidRPr="000F4768">
        <w:t xml:space="preserve">A few sentences have been added to mention population projections consistent with SSP5. </w:t>
      </w:r>
      <w:r w:rsidR="00930433">
        <w:t>“</w:t>
      </w:r>
      <w:r w:rsidR="000F4768" w:rsidRPr="000F4768">
        <w:t>For population, Zoraghein and O</w:t>
      </w:r>
      <w:r w:rsidR="00805545">
        <w:t>’</w:t>
      </w:r>
      <w:r w:rsidR="000F4768" w:rsidRPr="000F4768">
        <w:t>Neill (2020) produce state-level estimates for 2050 and 2100 consistent with three different SSPs. In the SSP5 pathway, which is the one consistent with the climate projections in this analysis, the projected population growth in the three-state region where most BPA customers are located (Washington, Oregon, and Idaho) is a 67% increase from 2010 to 2050 and an additional 59% increase in the second half of the century. Therefore, population is a potential strong driver for load in the BPA region, especially when compounded with growth in AC penetration.</w:t>
      </w:r>
      <w:r w:rsidR="00930433">
        <w:t>”</w:t>
      </w:r>
    </w:p>
    <w:p w14:paraId="358535EA" w14:textId="0F9F85E6" w:rsidR="009C0472" w:rsidRDefault="009C0472" w:rsidP="009C0472">
      <w:pPr>
        <w:pStyle w:val="BodyText"/>
        <w:spacing w:after="0"/>
      </w:pPr>
      <w:r>
        <w:rPr>
          <w:i/>
        </w:rPr>
        <w:t>16.</w:t>
      </w:r>
      <w:r w:rsidR="009B4065">
        <w:rPr>
          <w:i/>
        </w:rPr>
        <w:t>6</w:t>
      </w:r>
      <w:r>
        <w:rPr>
          <w:i/>
        </w:rPr>
        <w:t xml:space="preserve"> </w:t>
      </w:r>
      <w:r w:rsidR="005443AC" w:rsidRPr="005443AC">
        <w:rPr>
          <w:i/>
        </w:rPr>
        <w:t xml:space="preserve">I found the numbered regions somewhat intuitive and could keep them straight in my head. The WAPA-CRSP, WAPA-DSW, </w:t>
      </w:r>
      <w:r w:rsidR="005606E5" w:rsidRPr="005606E5">
        <w:rPr>
          <w:i/>
        </w:rPr>
        <w:t>and so on</w:t>
      </w:r>
      <w:r w:rsidR="005443AC" w:rsidRPr="005443AC">
        <w:rPr>
          <w:i/>
        </w:rPr>
        <w:t xml:space="preserve"> were hard to keep track of. I don</w:t>
      </w:r>
      <w:r w:rsidR="00805545">
        <w:rPr>
          <w:i/>
        </w:rPr>
        <w:t>’</w:t>
      </w:r>
      <w:r w:rsidR="005443AC" w:rsidRPr="005443AC">
        <w:rPr>
          <w:i/>
        </w:rPr>
        <w:t>t know what the solution is here. Perhaps a map of where the regions are, especially how they relate to the numbered subregions I was already comfortable with.</w:t>
      </w:r>
    </w:p>
    <w:p w14:paraId="52722DA5" w14:textId="47C334CE" w:rsidR="009C0472" w:rsidRDefault="009C0472" w:rsidP="009C0472">
      <w:pPr>
        <w:pStyle w:val="BodyText"/>
        <w:ind w:left="360" w:hanging="360"/>
      </w:pPr>
      <w:r>
        <w:t>-</w:t>
      </w:r>
      <w:r>
        <w:tab/>
      </w:r>
      <w:r w:rsidR="005443AC" w:rsidRPr="005443AC">
        <w:t xml:space="preserve">A table showing the correspondence between the numbered study regions and the subregions used in the power marketing analysis is included in </w:t>
      </w:r>
      <w:r w:rsidR="00470C04">
        <w:fldChar w:fldCharType="begin"/>
      </w:r>
      <w:r w:rsidR="00470C04">
        <w:instrText xml:space="preserve"> REF _Ref81737985 \r \h </w:instrText>
      </w:r>
      <w:r w:rsidR="00470C04">
        <w:fldChar w:fldCharType="separate"/>
      </w:r>
      <w:r w:rsidR="00EE0BF5">
        <w:t>APPENDIX H</w:t>
      </w:r>
      <w:r w:rsidR="00470C04">
        <w:fldChar w:fldCharType="end"/>
      </w:r>
      <w:r w:rsidR="005443AC" w:rsidRPr="005443AC">
        <w:t xml:space="preserve"> (Table </w:t>
      </w:r>
      <w:r w:rsidR="00470C04">
        <w:t>H</w:t>
      </w:r>
      <w:r w:rsidR="005443AC" w:rsidRPr="005443AC">
        <w:t>.8)</w:t>
      </w:r>
      <w:r w:rsidRPr="00E41942">
        <w:t>.</w:t>
      </w:r>
    </w:p>
    <w:p w14:paraId="014DF267" w14:textId="29E94F6F" w:rsidR="009C0472" w:rsidRDefault="009C0472" w:rsidP="009C0472">
      <w:pPr>
        <w:pStyle w:val="BodyText"/>
        <w:spacing w:after="0"/>
      </w:pPr>
      <w:r>
        <w:rPr>
          <w:i/>
        </w:rPr>
        <w:t>16.</w:t>
      </w:r>
      <w:r w:rsidR="009B4065">
        <w:rPr>
          <w:i/>
        </w:rPr>
        <w:t>7</w:t>
      </w:r>
      <w:r>
        <w:rPr>
          <w:i/>
        </w:rPr>
        <w:t xml:space="preserve"> </w:t>
      </w:r>
      <w:r w:rsidR="00B64D5F" w:rsidRPr="00B64D5F">
        <w:rPr>
          <w:i/>
        </w:rPr>
        <w:t>Do we really think relationships in the ag</w:t>
      </w:r>
      <w:r w:rsidR="00F7469B">
        <w:rPr>
          <w:i/>
        </w:rPr>
        <w:t>ricultural</w:t>
      </w:r>
      <w:r w:rsidR="00B64D5F" w:rsidRPr="00B64D5F">
        <w:rPr>
          <w:i/>
        </w:rPr>
        <w:t xml:space="preserve"> sector are less understood than in the residential sector? I don</w:t>
      </w:r>
      <w:r w:rsidR="00805545">
        <w:rPr>
          <w:i/>
        </w:rPr>
        <w:t>’</w:t>
      </w:r>
      <w:r w:rsidR="00B64D5F" w:rsidRPr="00B64D5F">
        <w:rPr>
          <w:i/>
        </w:rPr>
        <w:t xml:space="preserve">t think so. We know a ton about water use in the </w:t>
      </w:r>
      <w:r w:rsidR="00F7469B" w:rsidRPr="00B64D5F">
        <w:rPr>
          <w:i/>
        </w:rPr>
        <w:t>ag</w:t>
      </w:r>
      <w:r w:rsidR="00F7469B">
        <w:rPr>
          <w:i/>
        </w:rPr>
        <w:t>ricultural</w:t>
      </w:r>
      <w:r w:rsidR="00F7469B" w:rsidRPr="00B64D5F" w:rsidDel="00F7469B">
        <w:rPr>
          <w:i/>
        </w:rPr>
        <w:t xml:space="preserve"> </w:t>
      </w:r>
      <w:r w:rsidR="00B64D5F" w:rsidRPr="00B64D5F">
        <w:rPr>
          <w:i/>
        </w:rPr>
        <w:t>sector. Some references or justifications are needed. Otherwise, I think this is just speculation.</w:t>
      </w:r>
    </w:p>
    <w:p w14:paraId="26591CA1" w14:textId="12028B62" w:rsidR="009C0472" w:rsidRDefault="009C0472" w:rsidP="009C0472">
      <w:pPr>
        <w:pStyle w:val="BodyText"/>
        <w:ind w:left="360" w:hanging="360"/>
      </w:pPr>
      <w:r>
        <w:t>-</w:t>
      </w:r>
      <w:r>
        <w:tab/>
      </w:r>
      <w:r w:rsidR="00B64D5F" w:rsidRPr="00B64D5F">
        <w:t xml:space="preserve">As you mention, water use for irrigation is well understood. However, data on electricity consumption associated with pumping that water are (to </w:t>
      </w:r>
      <w:r w:rsidR="00F7469B">
        <w:t xml:space="preserve">our </w:t>
      </w:r>
      <w:r w:rsidR="00B64D5F" w:rsidRPr="00B64D5F">
        <w:t xml:space="preserve">knowledge) not available with sufficient frequency and spatial detail to estimate its relationship with temperature. Thus, what </w:t>
      </w:r>
      <w:r w:rsidR="00F7469B">
        <w:t xml:space="preserve">we </w:t>
      </w:r>
      <w:r w:rsidR="00B64D5F" w:rsidRPr="00B64D5F">
        <w:t xml:space="preserve">meant by not being well understood is that </w:t>
      </w:r>
      <w:r w:rsidR="00F7469B">
        <w:t xml:space="preserve">we </w:t>
      </w:r>
      <w:r w:rsidR="00B64D5F" w:rsidRPr="00B64D5F">
        <w:t>don</w:t>
      </w:r>
      <w:r w:rsidR="00805545">
        <w:t>’</w:t>
      </w:r>
      <w:r w:rsidR="00B64D5F" w:rsidRPr="00B64D5F">
        <w:t xml:space="preserve">t know of estimates of that relationship in the peer-reviewed literature. The only peer-reviewed </w:t>
      </w:r>
      <w:r w:rsidR="00F7469B">
        <w:t xml:space="preserve">article we </w:t>
      </w:r>
      <w:r w:rsidR="00B64D5F" w:rsidRPr="00B64D5F">
        <w:t>have found (</w:t>
      </w:r>
      <w:r w:rsidR="00F7469B">
        <w:t xml:space="preserve">we </w:t>
      </w:r>
      <w:r w:rsidR="00B64D5F" w:rsidRPr="00B64D5F">
        <w:t>would welcome other references) that analyzes the determinants of the irrigation demand for electricity in the United States is Maddigan et al. (1982). The climate variable included in the electricity demand equation estimated in that paper is an aridity index rather than temperature. Electricity demand for irrigation is linked to the use of irrigation pumps. Beyond the data availability issues, irrigation requirements depend primarily on evapotranspiration and precipitation rather than temperature. Temperature is a driver of evapotranspiration, but their relationship is nonlinear. In the report</w:t>
      </w:r>
      <w:r w:rsidR="00F7469B">
        <w:t>,</w:t>
      </w:r>
      <w:r w:rsidR="00B64D5F" w:rsidRPr="00B64D5F">
        <w:t xml:space="preserve"> </w:t>
      </w:r>
      <w:r w:rsidR="00F7469B">
        <w:t xml:space="preserve">we </w:t>
      </w:r>
      <w:r w:rsidR="00B64D5F" w:rsidRPr="00B64D5F">
        <w:t xml:space="preserve">changed </w:t>
      </w:r>
      <w:r w:rsidR="00930433">
        <w:t>“</w:t>
      </w:r>
      <w:r w:rsidR="00B64D5F" w:rsidRPr="00B64D5F">
        <w:t>less understood</w:t>
      </w:r>
      <w:r w:rsidR="00930433">
        <w:t>”</w:t>
      </w:r>
      <w:r w:rsidR="00B64D5F" w:rsidRPr="00B64D5F">
        <w:t xml:space="preserve"> </w:t>
      </w:r>
      <w:r w:rsidR="00F7469B">
        <w:t xml:space="preserve">to </w:t>
      </w:r>
      <w:r w:rsidR="00930433">
        <w:t>“</w:t>
      </w:r>
      <w:r w:rsidR="00B64D5F" w:rsidRPr="00B64D5F">
        <w:t>has been less researched and might not be well captured by the linear demand equations estimated in this analysis</w:t>
      </w:r>
      <w:r w:rsidR="00930433">
        <w:t>.”</w:t>
      </w:r>
    </w:p>
    <w:p w14:paraId="4C52C68F" w14:textId="1ED6F58A" w:rsidR="00DF7D98" w:rsidRDefault="00DF7D98" w:rsidP="00DF7D98">
      <w:pPr>
        <w:pStyle w:val="BodyText"/>
        <w:ind w:left="720"/>
      </w:pPr>
      <w:r w:rsidRPr="00DF7D98">
        <w:rPr>
          <w:lang w:eastAsia="zh-TW"/>
        </w:rPr>
        <w:t>Maddigan</w:t>
      </w:r>
      <w:r>
        <w:rPr>
          <w:lang w:eastAsia="zh-TW"/>
        </w:rPr>
        <w:t xml:space="preserve"> et al. </w:t>
      </w:r>
      <w:r w:rsidRPr="00976056">
        <w:rPr>
          <w:lang w:eastAsia="zh-TW"/>
        </w:rPr>
        <w:t>(</w:t>
      </w:r>
      <w:r>
        <w:rPr>
          <w:lang w:eastAsia="zh-TW"/>
        </w:rPr>
        <w:t>1982</w:t>
      </w:r>
      <w:r w:rsidRPr="00976056">
        <w:rPr>
          <w:lang w:eastAsia="zh-TW"/>
        </w:rPr>
        <w:t xml:space="preserve">), </w:t>
      </w:r>
      <w:r w:rsidRPr="00DF7D98">
        <w:rPr>
          <w:lang w:eastAsia="zh-TW"/>
        </w:rPr>
        <w:t>The Irrigation Demand for Electricity</w:t>
      </w:r>
      <w:r w:rsidRPr="00976056">
        <w:rPr>
          <w:lang w:eastAsia="zh-TW"/>
        </w:rPr>
        <w:t xml:space="preserve">, </w:t>
      </w:r>
      <w:r w:rsidRPr="00DF7D98">
        <w:rPr>
          <w:i/>
          <w:iCs/>
          <w:lang w:eastAsia="zh-TW"/>
        </w:rPr>
        <w:t>American Journal of Agricultural Economics</w:t>
      </w:r>
      <w:r w:rsidRPr="00976056">
        <w:rPr>
          <w:lang w:eastAsia="zh-TW"/>
        </w:rPr>
        <w:t xml:space="preserve">, </w:t>
      </w:r>
      <w:r>
        <w:rPr>
          <w:i/>
          <w:iCs/>
          <w:lang w:eastAsia="zh-TW"/>
        </w:rPr>
        <w:t>64</w:t>
      </w:r>
      <w:r w:rsidRPr="00976056">
        <w:rPr>
          <w:lang w:eastAsia="zh-TW"/>
        </w:rPr>
        <w:t>(</w:t>
      </w:r>
      <w:r>
        <w:rPr>
          <w:lang w:eastAsia="zh-TW"/>
        </w:rPr>
        <w:t>4</w:t>
      </w:r>
      <w:r w:rsidRPr="00976056">
        <w:rPr>
          <w:lang w:eastAsia="zh-TW"/>
        </w:rPr>
        <w:t xml:space="preserve">), </w:t>
      </w:r>
      <w:r>
        <w:rPr>
          <w:lang w:eastAsia="zh-TW"/>
        </w:rPr>
        <w:t>673</w:t>
      </w:r>
      <w:r w:rsidRPr="00976056">
        <w:rPr>
          <w:lang w:eastAsia="zh-TW"/>
        </w:rPr>
        <w:t>–</w:t>
      </w:r>
      <w:r>
        <w:rPr>
          <w:lang w:eastAsia="zh-TW"/>
        </w:rPr>
        <w:t>680</w:t>
      </w:r>
      <w:r w:rsidRPr="00976056">
        <w:rPr>
          <w:lang w:eastAsia="zh-TW"/>
        </w:rPr>
        <w:t xml:space="preserve">, </w:t>
      </w:r>
      <w:hyperlink r:id="rId520" w:history="1">
        <w:r w:rsidR="00D776D5" w:rsidRPr="00E00258">
          <w:rPr>
            <w:rStyle w:val="Hyperlink"/>
            <w:lang w:eastAsia="zh-TW"/>
          </w:rPr>
          <w:t>https://doi.org/10.2307/1240576</w:t>
        </w:r>
      </w:hyperlink>
      <w:r w:rsidRPr="00976056">
        <w:rPr>
          <w:lang w:eastAsia="zh-TW"/>
        </w:rPr>
        <w:t>.</w:t>
      </w:r>
    </w:p>
    <w:p w14:paraId="63E34749" w14:textId="65621CCE" w:rsidR="00B02780" w:rsidRDefault="00B02780" w:rsidP="00B02780">
      <w:pPr>
        <w:pStyle w:val="BodyText"/>
      </w:pPr>
      <w:r w:rsidRPr="00DA1CA8">
        <w:rPr>
          <w:b/>
        </w:rPr>
        <w:t xml:space="preserve">Reviewer </w:t>
      </w:r>
      <w:r>
        <w:rPr>
          <w:b/>
        </w:rPr>
        <w:t>1</w:t>
      </w:r>
      <w:r w:rsidR="006C2858">
        <w:rPr>
          <w:b/>
        </w:rPr>
        <w:t>7</w:t>
      </w:r>
    </w:p>
    <w:p w14:paraId="2132B222" w14:textId="67C1303A" w:rsidR="00B02780" w:rsidRDefault="00B02780" w:rsidP="00B02780">
      <w:pPr>
        <w:pStyle w:val="BodyText"/>
        <w:spacing w:after="0"/>
      </w:pPr>
      <w:r>
        <w:rPr>
          <w:i/>
        </w:rPr>
        <w:t>1</w:t>
      </w:r>
      <w:r w:rsidR="00D05380">
        <w:rPr>
          <w:i/>
        </w:rPr>
        <w:t>7</w:t>
      </w:r>
      <w:r>
        <w:rPr>
          <w:i/>
        </w:rPr>
        <w:t xml:space="preserve">.1 </w:t>
      </w:r>
      <w:r w:rsidR="00E04CC0" w:rsidRPr="00E04CC0">
        <w:rPr>
          <w:i/>
        </w:rPr>
        <w:t>The multimodel approach provides potentially useful information about the uncertainties in assessing future hydropower. It uses widely used and accepted downscaling and hydrologic models, and reference meteorological observations. It uses to hydropower models that appear to be well calibrated to past operations. This is a very ambitious study that reveals a lot of information about current analytical techniques. The results could benefit from more discussion and interpretation.</w:t>
      </w:r>
    </w:p>
    <w:p w14:paraId="30E88A6F" w14:textId="463F59F7" w:rsidR="00B02780" w:rsidRDefault="00B02780" w:rsidP="00B02780">
      <w:pPr>
        <w:pStyle w:val="BodyText"/>
        <w:ind w:left="360" w:hanging="360"/>
      </w:pPr>
      <w:r>
        <w:t>-</w:t>
      </w:r>
      <w:r>
        <w:tab/>
      </w:r>
      <w:r w:rsidR="00E04CC0" w:rsidRPr="00E04CC0">
        <w:t>Thank you. We appreciate your positive comment and encouragement. We have included additional discussion/clarification following the suggestions made by various reviewers.</w:t>
      </w:r>
    </w:p>
    <w:p w14:paraId="6413941F" w14:textId="77B31D77" w:rsidR="00B02780" w:rsidRDefault="00B02780" w:rsidP="00B02780">
      <w:pPr>
        <w:pStyle w:val="BodyText"/>
        <w:spacing w:after="0"/>
      </w:pPr>
      <w:r>
        <w:rPr>
          <w:i/>
        </w:rPr>
        <w:t>1</w:t>
      </w:r>
      <w:r w:rsidR="00D05380">
        <w:rPr>
          <w:i/>
        </w:rPr>
        <w:t>7</w:t>
      </w:r>
      <w:r>
        <w:rPr>
          <w:i/>
        </w:rPr>
        <w:t xml:space="preserve">.2 </w:t>
      </w:r>
      <w:r w:rsidR="00CA5179" w:rsidRPr="00CA5179">
        <w:rPr>
          <w:i/>
        </w:rPr>
        <w:t>Limitation sections are insightful and point out shortcomings</w:t>
      </w:r>
      <w:r w:rsidRPr="00863080">
        <w:rPr>
          <w:i/>
        </w:rPr>
        <w:t>.</w:t>
      </w:r>
    </w:p>
    <w:p w14:paraId="5E265442" w14:textId="781D1628" w:rsidR="00B02780" w:rsidRDefault="00B02780" w:rsidP="00B02780">
      <w:pPr>
        <w:pStyle w:val="BodyText"/>
        <w:ind w:left="360" w:hanging="360"/>
      </w:pPr>
      <w:r>
        <w:t>-</w:t>
      </w:r>
      <w:r>
        <w:tab/>
      </w:r>
      <w:r w:rsidR="00CA5179" w:rsidRPr="00CA5179">
        <w:t>Thank you. We appreciate your positive comment and encouragement.</w:t>
      </w:r>
    </w:p>
    <w:p w14:paraId="0E436C88" w14:textId="78F0B974" w:rsidR="00D05380" w:rsidRDefault="00D05380" w:rsidP="00D05380">
      <w:pPr>
        <w:pStyle w:val="BodyText"/>
        <w:spacing w:after="0"/>
      </w:pPr>
      <w:r>
        <w:rPr>
          <w:i/>
        </w:rPr>
        <w:t>17.</w:t>
      </w:r>
      <w:r w:rsidR="00175344">
        <w:rPr>
          <w:i/>
        </w:rPr>
        <w:t>3</w:t>
      </w:r>
      <w:r>
        <w:rPr>
          <w:i/>
        </w:rPr>
        <w:t xml:space="preserve"> </w:t>
      </w:r>
      <w:r w:rsidR="00175344" w:rsidRPr="00175344">
        <w:rPr>
          <w:i/>
        </w:rPr>
        <w:t>There is not, but should be, an overall assessment of uncertainty in the future. What insights are there from the ANOVAs? What is the takeaway message?</w:t>
      </w:r>
    </w:p>
    <w:p w14:paraId="4BA74A83" w14:textId="0F839C04" w:rsidR="00D05380" w:rsidRDefault="00D05380" w:rsidP="00D05380">
      <w:pPr>
        <w:pStyle w:val="BodyText"/>
        <w:ind w:left="360" w:hanging="360"/>
      </w:pPr>
      <w:r>
        <w:lastRenderedPageBreak/>
        <w:t>-</w:t>
      </w:r>
      <w:r>
        <w:tab/>
      </w:r>
      <w:r w:rsidR="00175344" w:rsidRPr="00175344">
        <w:t>We agree with the needs to conduct a more in-depth uncertainty analysis in the future. We will provide the multimodel ensemble data from this study to support potential future studies.</w:t>
      </w:r>
    </w:p>
    <w:p w14:paraId="6BE26AC4" w14:textId="1961DABA" w:rsidR="00D05380" w:rsidRDefault="00D05380" w:rsidP="00D05380">
      <w:pPr>
        <w:pStyle w:val="BodyText"/>
        <w:spacing w:after="0"/>
      </w:pPr>
      <w:r>
        <w:rPr>
          <w:i/>
        </w:rPr>
        <w:t>17.</w:t>
      </w:r>
      <w:r w:rsidR="001E45A5">
        <w:rPr>
          <w:i/>
        </w:rPr>
        <w:t>4</w:t>
      </w:r>
      <w:r>
        <w:rPr>
          <w:i/>
        </w:rPr>
        <w:t xml:space="preserve"> </w:t>
      </w:r>
      <w:r w:rsidR="001E45A5" w:rsidRPr="001E45A5">
        <w:rPr>
          <w:i/>
        </w:rPr>
        <w:t>There is not, but should be, a comparison with results of past studies and explanation of why different or similar</w:t>
      </w:r>
      <w:r w:rsidRPr="00863080">
        <w:rPr>
          <w:i/>
        </w:rPr>
        <w:t>.</w:t>
      </w:r>
    </w:p>
    <w:p w14:paraId="6826BF9C" w14:textId="0392F3D1" w:rsidR="00D05380" w:rsidRDefault="00D05380" w:rsidP="00D05380">
      <w:pPr>
        <w:pStyle w:val="BodyText"/>
        <w:ind w:left="360" w:hanging="360"/>
      </w:pPr>
      <w:r>
        <w:t>-</w:t>
      </w:r>
      <w:r>
        <w:tab/>
      </w:r>
      <w:r w:rsidR="001E45A5" w:rsidRPr="001E45A5">
        <w:t>Thank you for the suggestion. However, given the large differences among CMIP3, CMIP5, and CMIP6, and other differences in temporal periods, emission scenarios, s and hydrologic/hydropower models, a direct numerical comparison with previous assessments will not be fair and can be misleading. We opt</w:t>
      </w:r>
      <w:r w:rsidR="00F7469B">
        <w:t>ed</w:t>
      </w:r>
      <w:r w:rsidR="001E45A5" w:rsidRPr="001E45A5">
        <w:t xml:space="preserve"> to keep our current high-level discussion focusing on the main findings.</w:t>
      </w:r>
    </w:p>
    <w:p w14:paraId="3191BEC8" w14:textId="7E16AAC6" w:rsidR="00D05380" w:rsidRDefault="00D05380" w:rsidP="00D05380">
      <w:pPr>
        <w:pStyle w:val="BodyText"/>
        <w:spacing w:after="0"/>
      </w:pPr>
      <w:r>
        <w:rPr>
          <w:i/>
        </w:rPr>
        <w:t>17.</w:t>
      </w:r>
      <w:r w:rsidR="00CF72E8">
        <w:rPr>
          <w:i/>
        </w:rPr>
        <w:t>5</w:t>
      </w:r>
      <w:r>
        <w:rPr>
          <w:i/>
        </w:rPr>
        <w:t xml:space="preserve"> </w:t>
      </w:r>
      <w:r w:rsidR="00CF72E8" w:rsidRPr="00CF72E8">
        <w:rPr>
          <w:i/>
        </w:rPr>
        <w:t xml:space="preserve">Although study constraints were well discussed/explained/justified, at the end there should be a discussion of how the results could be different if the study were not constrained in the many ways that it was: (one emission scenario, limited CMs that do not span the range of temp/precip of CMIP6 set; limitation of DS techniques, constant water demands, no consideration of new operating strategies that will be needed with new hydrologic regimes, </w:t>
      </w:r>
      <w:r w:rsidR="005606E5" w:rsidRPr="005606E5">
        <w:rPr>
          <w:i/>
        </w:rPr>
        <w:t>and so on</w:t>
      </w:r>
      <w:r w:rsidR="00CF72E8" w:rsidRPr="00CF72E8">
        <w:rPr>
          <w:i/>
        </w:rPr>
        <w:t>) Of course a quantitative analysis is not possible, but a qualitative discussion should be offered. this would also serve to summarize at the end all the acknowledged constraints.</w:t>
      </w:r>
    </w:p>
    <w:p w14:paraId="3F50C2D7" w14:textId="4726741D" w:rsidR="00D05380" w:rsidRDefault="00D05380" w:rsidP="00D05380">
      <w:pPr>
        <w:pStyle w:val="BodyText"/>
        <w:ind w:left="360" w:hanging="360"/>
      </w:pPr>
      <w:r>
        <w:t>-</w:t>
      </w:r>
      <w:r>
        <w:tab/>
      </w:r>
      <w:r w:rsidR="00CF72E8" w:rsidRPr="00CF72E8">
        <w:t>Thank you</w:t>
      </w:r>
      <w:r w:rsidR="00F7469B">
        <w:t>;</w:t>
      </w:r>
      <w:r w:rsidR="00CF72E8" w:rsidRPr="00CF72E8">
        <w:t xml:space="preserve"> we agree with this suggestion. We have added a new Section 8.2 to summarize the overall assessment limitations and implications.</w:t>
      </w:r>
    </w:p>
    <w:p w14:paraId="184F9730" w14:textId="27ABAE06" w:rsidR="00D05380" w:rsidRDefault="00D05380" w:rsidP="00D05380">
      <w:pPr>
        <w:pStyle w:val="BodyText"/>
        <w:spacing w:after="0"/>
      </w:pPr>
      <w:r>
        <w:rPr>
          <w:i/>
        </w:rPr>
        <w:t>17.</w:t>
      </w:r>
      <w:r w:rsidR="00B16A89">
        <w:rPr>
          <w:i/>
        </w:rPr>
        <w:t>6</w:t>
      </w:r>
      <w:r>
        <w:rPr>
          <w:i/>
        </w:rPr>
        <w:t xml:space="preserve"> </w:t>
      </w:r>
      <w:r w:rsidR="00B16A89" w:rsidRPr="00B16A89">
        <w:rPr>
          <w:i/>
        </w:rPr>
        <w:t xml:space="preserve">The most serious constraint is the lack of more CMs and greater range of CMs. Even with that constraint, the CMs are of course the greatest contributor to variance in results. However, it seems somewhat inconsistent or misleading to include this variability with the other uncertainties. Another approach would be to treat each CM as a possible future and then present the contributions to uncertainty from </w:t>
      </w:r>
      <w:r w:rsidR="00F7469B">
        <w:rPr>
          <w:i/>
        </w:rPr>
        <w:t xml:space="preserve">the </w:t>
      </w:r>
      <w:r w:rsidR="00B16A89" w:rsidRPr="00B16A89">
        <w:rPr>
          <w:i/>
        </w:rPr>
        <w:t xml:space="preserve">DS, MetF, HM, </w:t>
      </w:r>
      <w:r w:rsidR="00F7469B">
        <w:rPr>
          <w:i/>
        </w:rPr>
        <w:t xml:space="preserve">and </w:t>
      </w:r>
      <w:r w:rsidR="00B16A89" w:rsidRPr="00B16A89">
        <w:rPr>
          <w:i/>
        </w:rPr>
        <w:t xml:space="preserve">PM for each CM and each region. That would provide a view of the modeling/data uncertainties </w:t>
      </w:r>
      <w:r w:rsidR="005606E5">
        <w:rPr>
          <w:i/>
        </w:rPr>
        <w:t>(</w:t>
      </w:r>
      <w:r w:rsidR="00B16A89" w:rsidRPr="00B16A89">
        <w:rPr>
          <w:i/>
        </w:rPr>
        <w:t>i.e., the uncertainties introduced by the analytical methods undertaken in the process of going from a CM to a future generation</w:t>
      </w:r>
      <w:r w:rsidR="005606E5">
        <w:rPr>
          <w:i/>
        </w:rPr>
        <w:t>)</w:t>
      </w:r>
      <w:r w:rsidR="00B16A89" w:rsidRPr="00B16A89">
        <w:rPr>
          <w:i/>
        </w:rPr>
        <w:t>. (</w:t>
      </w:r>
      <w:r w:rsidR="005606E5" w:rsidRPr="00B16A89">
        <w:rPr>
          <w:i/>
        </w:rPr>
        <w:t xml:space="preserve">This </w:t>
      </w:r>
      <w:r w:rsidR="00B16A89" w:rsidRPr="00B16A89">
        <w:rPr>
          <w:i/>
        </w:rPr>
        <w:t xml:space="preserve">information is also inherent in the existing ANOVOs, but clouded by the inclusion of the CM </w:t>
      </w:r>
      <w:r w:rsidR="00930433">
        <w:rPr>
          <w:i/>
        </w:rPr>
        <w:t>“</w:t>
      </w:r>
      <w:r w:rsidR="00B16A89" w:rsidRPr="00B16A89">
        <w:rPr>
          <w:i/>
        </w:rPr>
        <w:t>uncertainties</w:t>
      </w:r>
      <w:r w:rsidR="00930433">
        <w:rPr>
          <w:i/>
        </w:rPr>
        <w:t>.”</w:t>
      </w:r>
      <w:r w:rsidR="00B16A89" w:rsidRPr="00B16A89">
        <w:rPr>
          <w:i/>
        </w:rPr>
        <w:t>)</w:t>
      </w:r>
    </w:p>
    <w:p w14:paraId="4067C130" w14:textId="3B1FFDE1" w:rsidR="00D05380" w:rsidRDefault="00D05380" w:rsidP="00D05380">
      <w:pPr>
        <w:pStyle w:val="BodyText"/>
        <w:ind w:left="360" w:hanging="360"/>
      </w:pPr>
      <w:r>
        <w:t>-</w:t>
      </w:r>
      <w:r>
        <w:tab/>
      </w:r>
      <w:r w:rsidR="00B16A89" w:rsidRPr="00B16A89">
        <w:t>CM</w:t>
      </w:r>
      <w:r w:rsidR="00F7469B">
        <w:t>s</w:t>
      </w:r>
      <w:r w:rsidR="00B16A89" w:rsidRPr="00B16A89">
        <w:t xml:space="preserve"> are widely included with other modeling components as demonstrated by several studies in the literatures. A detailed discussion is presented in Sections 2.1 and 2.9</w:t>
      </w:r>
      <w:r w:rsidRPr="00E41942">
        <w:t>.</w:t>
      </w:r>
    </w:p>
    <w:p w14:paraId="676B237B" w14:textId="322321AF" w:rsidR="00D05380" w:rsidRDefault="00D05380" w:rsidP="00D05380">
      <w:pPr>
        <w:pStyle w:val="BodyText"/>
        <w:spacing w:after="0"/>
      </w:pPr>
      <w:r>
        <w:rPr>
          <w:i/>
        </w:rPr>
        <w:t>17.</w:t>
      </w:r>
      <w:r w:rsidR="00427937">
        <w:rPr>
          <w:i/>
        </w:rPr>
        <w:t>7</w:t>
      </w:r>
      <w:r>
        <w:rPr>
          <w:i/>
        </w:rPr>
        <w:t xml:space="preserve"> </w:t>
      </w:r>
      <w:r w:rsidR="00427937" w:rsidRPr="00427937">
        <w:rPr>
          <w:i/>
        </w:rPr>
        <w:t xml:space="preserve">Issue with </w:t>
      </w:r>
      <w:r w:rsidR="00F7469B">
        <w:rPr>
          <w:i/>
        </w:rPr>
        <w:t xml:space="preserve">the </w:t>
      </w:r>
      <w:r w:rsidR="00427937" w:rsidRPr="00427937">
        <w:rPr>
          <w:i/>
        </w:rPr>
        <w:t>Exec</w:t>
      </w:r>
      <w:r w:rsidR="00F7469B">
        <w:rPr>
          <w:i/>
        </w:rPr>
        <w:t>utive</w:t>
      </w:r>
      <w:r w:rsidR="00427937" w:rsidRPr="00427937">
        <w:rPr>
          <w:i/>
        </w:rPr>
        <w:t xml:space="preserve"> Summary</w:t>
      </w:r>
      <w:r w:rsidR="00F7469B">
        <w:rPr>
          <w:i/>
        </w:rPr>
        <w:t>—</w:t>
      </w:r>
      <w:r w:rsidR="00427937" w:rsidRPr="00427937">
        <w:rPr>
          <w:i/>
        </w:rPr>
        <w:t xml:space="preserve">it summarizes key findings of </w:t>
      </w:r>
      <w:r w:rsidR="00F7469B">
        <w:rPr>
          <w:i/>
        </w:rPr>
        <w:t xml:space="preserve">the </w:t>
      </w:r>
      <w:r w:rsidR="00427937" w:rsidRPr="00427937">
        <w:rPr>
          <w:i/>
        </w:rPr>
        <w:t xml:space="preserve">past </w:t>
      </w:r>
      <w:r w:rsidR="00F7469B">
        <w:rPr>
          <w:i/>
        </w:rPr>
        <w:t xml:space="preserve">two </w:t>
      </w:r>
      <w:r w:rsidR="00427937" w:rsidRPr="00427937">
        <w:rPr>
          <w:i/>
        </w:rPr>
        <w:t>studies, all of which are nearly identical to findings in the current study. However, the quantitative results of the past studies are not presented and nowhere is there a comparison. There should be a summary of differences in outcomes with the previous studies and some explanation of the likely sources of those differences.</w:t>
      </w:r>
    </w:p>
    <w:p w14:paraId="143D05BF" w14:textId="2C29EDBF" w:rsidR="00D05380" w:rsidRDefault="00D05380" w:rsidP="00D05380">
      <w:pPr>
        <w:pStyle w:val="BodyText"/>
        <w:ind w:left="360" w:hanging="360"/>
      </w:pPr>
      <w:r>
        <w:t>-</w:t>
      </w:r>
      <w:r>
        <w:tab/>
      </w:r>
      <w:r w:rsidR="00D7059C" w:rsidRPr="00D7059C">
        <w:t>Thank you for the suggestion. However, given the large differences among CMIP3, CMIP5, and CMIP6, and other differences in temporal periods, emission scenarios, downscaling methods and hydrologic/hydropower models, a direct numerical comparison with previous assessments will not be fair and can be misleading. We opt</w:t>
      </w:r>
      <w:r w:rsidR="0063248B">
        <w:t>ed</w:t>
      </w:r>
      <w:r w:rsidR="00D7059C" w:rsidRPr="00D7059C">
        <w:t xml:space="preserve"> to keep our current high-level discussion focusing on the main findings.</w:t>
      </w:r>
    </w:p>
    <w:p w14:paraId="04121E9F" w14:textId="1A66A1D5" w:rsidR="00D05380" w:rsidRDefault="00D05380" w:rsidP="00D05380">
      <w:pPr>
        <w:pStyle w:val="BodyText"/>
        <w:spacing w:after="0"/>
      </w:pPr>
      <w:r>
        <w:rPr>
          <w:i/>
        </w:rPr>
        <w:t>17.</w:t>
      </w:r>
      <w:r w:rsidR="00195C27">
        <w:rPr>
          <w:i/>
        </w:rPr>
        <w:t>8</w:t>
      </w:r>
      <w:r>
        <w:rPr>
          <w:i/>
        </w:rPr>
        <w:t xml:space="preserve"> </w:t>
      </w:r>
      <w:r w:rsidR="00195C27" w:rsidRPr="00195C27">
        <w:rPr>
          <w:i/>
        </w:rPr>
        <w:t xml:space="preserve">The claim is that the study </w:t>
      </w:r>
      <w:r w:rsidR="00930433">
        <w:rPr>
          <w:i/>
        </w:rPr>
        <w:t>“</w:t>
      </w:r>
      <w:r w:rsidR="00195C27" w:rsidRPr="00195C27">
        <w:rPr>
          <w:i/>
        </w:rPr>
        <w:t>analyzes the variance associated with these factors to identify the key controlling factor in each variable and study area.</w:t>
      </w:r>
      <w:r w:rsidR="00930433">
        <w:rPr>
          <w:i/>
        </w:rPr>
        <w:t>”</w:t>
      </w:r>
      <w:r w:rsidR="00195C27" w:rsidRPr="00195C27">
        <w:rPr>
          <w:i/>
        </w:rPr>
        <w:t xml:space="preserve"> Does </w:t>
      </w:r>
      <w:r w:rsidR="00930433">
        <w:rPr>
          <w:i/>
        </w:rPr>
        <w:t>“</w:t>
      </w:r>
      <w:r w:rsidR="00195C27" w:rsidRPr="00195C27">
        <w:rPr>
          <w:i/>
        </w:rPr>
        <w:t>key controlling factor</w:t>
      </w:r>
      <w:r w:rsidR="00930433">
        <w:rPr>
          <w:i/>
        </w:rPr>
        <w:t>”</w:t>
      </w:r>
      <w:r w:rsidR="00195C27" w:rsidRPr="00195C27">
        <w:rPr>
          <w:i/>
        </w:rPr>
        <w:t xml:space="preserve"> mean </w:t>
      </w:r>
      <w:r w:rsidR="005367C2" w:rsidRPr="005367C2">
        <w:rPr>
          <w:i/>
        </w:rPr>
        <w:t xml:space="preserve">most dominant </w:t>
      </w:r>
      <w:r w:rsidR="00195C27" w:rsidRPr="00195C27">
        <w:rPr>
          <w:i/>
        </w:rPr>
        <w:t>contributor to variance? What is the value of this? It could simply be that the nature of the 2 HMs (and nature of the physical processes and how well the models are calibrated in this region) are such that their outcomes are quite different. What ultimately is the value of this, particularly if one model is known to be better performing than the other in the region</w:t>
      </w:r>
      <w:r w:rsidR="0063248B">
        <w:rPr>
          <w:i/>
        </w:rPr>
        <w:t>?</w:t>
      </w:r>
    </w:p>
    <w:p w14:paraId="462D7002" w14:textId="3E83882F" w:rsidR="00D05380" w:rsidRDefault="00D05380" w:rsidP="00D05380">
      <w:pPr>
        <w:pStyle w:val="BodyText"/>
        <w:ind w:left="360" w:hanging="360"/>
      </w:pPr>
      <w:r>
        <w:t>-</w:t>
      </w:r>
      <w:r>
        <w:tab/>
      </w:r>
      <w:r w:rsidR="00195C27" w:rsidRPr="00195C27">
        <w:t xml:space="preserve">In our view, it is important to reveal the influence of all factors (other than GCM selection) on future hydroclimate projections. And as we found, </w:t>
      </w:r>
      <w:r w:rsidR="0063248B">
        <w:t xml:space="preserve">although the </w:t>
      </w:r>
      <w:r w:rsidR="00195C27" w:rsidRPr="00195C27">
        <w:t xml:space="preserve">GCM remains the main source of uncertainty, other methodological choices may introduce non-negligible influences across different </w:t>
      </w:r>
      <w:r w:rsidR="00195C27" w:rsidRPr="00195C27">
        <w:lastRenderedPageBreak/>
        <w:t>seasons and geographical locations. For instance, we now know that the choice of HM matters a lot in regions such as BPA-3 but is less important in some other eastern watersheds.</w:t>
      </w:r>
    </w:p>
    <w:p w14:paraId="582EEA0C" w14:textId="0874CD51" w:rsidR="00D05380" w:rsidRDefault="00D05380" w:rsidP="00D05380">
      <w:pPr>
        <w:pStyle w:val="BodyText"/>
        <w:spacing w:after="0"/>
      </w:pPr>
      <w:r>
        <w:rPr>
          <w:i/>
        </w:rPr>
        <w:t>17.</w:t>
      </w:r>
      <w:r w:rsidR="000302C1">
        <w:rPr>
          <w:i/>
        </w:rPr>
        <w:t>9</w:t>
      </w:r>
      <w:r>
        <w:rPr>
          <w:i/>
        </w:rPr>
        <w:t xml:space="preserve"> </w:t>
      </w:r>
      <w:r w:rsidR="000302C1" w:rsidRPr="000302C1">
        <w:rPr>
          <w:i/>
        </w:rPr>
        <w:t xml:space="preserve">There is more analysis to be done w.r.t. the variance due to the PM. Table 2.3 indicates that both of the Hydropower models performed comparably well in both calibration and validation, excluding the Livneh Meteor. Obs. that were not available. The numerical results are not broken down into areas, which would be useful in later interpretation of results. We have the graphical results for the entire PMAs in Fig. 2.16. The comparison of the plots of the results of the 2 PMs with the observed in Fig 2.16 do not suggest the performance values shown in Table 2.3. However, there is a question about statement in line 1502 regarding WMP calibrated against the annual potential generation, that includes operating reserve, R. Is the </w:t>
      </w:r>
      <w:r w:rsidR="00930433">
        <w:rPr>
          <w:i/>
        </w:rPr>
        <w:t>“</w:t>
      </w:r>
      <w:r w:rsidR="000302C1" w:rsidRPr="000302C1">
        <w:rPr>
          <w:i/>
        </w:rPr>
        <w:t>observed</w:t>
      </w:r>
      <w:r w:rsidR="00930433">
        <w:rPr>
          <w:i/>
        </w:rPr>
        <w:t>”</w:t>
      </w:r>
      <w:r w:rsidR="000302C1" w:rsidRPr="000302C1">
        <w:rPr>
          <w:i/>
        </w:rPr>
        <w:t xml:space="preserve"> in Fig. 2.16 the actual generation G, or G+R? In comparing the 2 PMs, does WRES also include reserves? If not, there seems to be a difference in G inherent in the comparison. Beyond this, there is a question about how well the PMs each do in various PMAs and regions of PMAs. The ANOVA charts for generation indicate that after CM, PM is typically the next highest contributor of variance (</w:t>
      </w:r>
      <w:r w:rsidR="0063248B">
        <w:rPr>
          <w:i/>
        </w:rPr>
        <w:t>n</w:t>
      </w:r>
      <w:r w:rsidR="000302C1" w:rsidRPr="000302C1">
        <w:rPr>
          <w:i/>
        </w:rPr>
        <w:t>oting that BPA-3 is the highest generation region of BPA)</w:t>
      </w:r>
      <w:r w:rsidRPr="00863080">
        <w:rPr>
          <w:i/>
        </w:rPr>
        <w:t>.</w:t>
      </w:r>
    </w:p>
    <w:p w14:paraId="1AD5A8BA" w14:textId="7116259D" w:rsidR="00D05380" w:rsidRDefault="00D05380" w:rsidP="008C119D">
      <w:pPr>
        <w:pStyle w:val="BodyText"/>
        <w:ind w:left="360" w:hanging="360"/>
      </w:pPr>
      <w:r>
        <w:t>-</w:t>
      </w:r>
      <w:r>
        <w:tab/>
      </w:r>
      <w:r w:rsidR="008C119D">
        <w:t>In Fig</w:t>
      </w:r>
      <w:r w:rsidR="0063248B">
        <w:t>ure</w:t>
      </w:r>
      <w:r w:rsidR="008C119D">
        <w:t xml:space="preserve"> 2.16, the actual generation </w:t>
      </w:r>
      <w:r w:rsidR="008C119D" w:rsidRPr="009B4065">
        <w:rPr>
          <w:i/>
          <w:iCs/>
        </w:rPr>
        <w:t>G</w:t>
      </w:r>
      <w:r w:rsidR="008C119D">
        <w:t xml:space="preserve"> is shown. We clarify that WMP is calibrated for its operations to match the actual generation but also include non</w:t>
      </w:r>
      <w:r w:rsidR="0063248B">
        <w:t>-</w:t>
      </w:r>
      <w:r w:rsidR="008C119D">
        <w:t xml:space="preserve">generating release for accommodate reserve operations in the first step of calibration. In the second step, the calibration target is </w:t>
      </w:r>
      <w:r w:rsidR="008C119D" w:rsidRPr="009B4065">
        <w:rPr>
          <w:i/>
          <w:iCs/>
        </w:rPr>
        <w:t>G</w:t>
      </w:r>
      <w:r w:rsidR="008C119D">
        <w:t xml:space="preserve">. In that aspect, WMP and WRES both can be compared and evaluated with respect to </w:t>
      </w:r>
      <w:r w:rsidR="008C119D" w:rsidRPr="009B4065">
        <w:rPr>
          <w:i/>
          <w:iCs/>
        </w:rPr>
        <w:t>G</w:t>
      </w:r>
      <w:r w:rsidR="008C119D">
        <w:t>. For ANOVA, most often</w:t>
      </w:r>
      <w:r w:rsidR="0063248B">
        <w:t>,</w:t>
      </w:r>
      <w:r w:rsidR="008C119D">
        <w:t xml:space="preserve"> the HM is the largest contributor after </w:t>
      </w:r>
      <w:r w:rsidR="0063248B">
        <w:t xml:space="preserve">the </w:t>
      </w:r>
      <w:r w:rsidR="008C119D">
        <w:t xml:space="preserve">CM. In some regions however this is the PM. The sub-PMA ANOVA results and discussion are presented in each of the PMA </w:t>
      </w:r>
      <w:r w:rsidR="0063248B">
        <w:t xml:space="preserve">sections </w:t>
      </w:r>
      <w:r w:rsidR="008C119D">
        <w:t xml:space="preserve">(i.e., </w:t>
      </w:r>
      <w:r w:rsidR="0063248B">
        <w:t xml:space="preserve">Sections </w:t>
      </w:r>
      <w:r w:rsidR="008C119D">
        <w:t>3.3.1, 4.3.1, 5.3.1, and 6.3.1).</w:t>
      </w:r>
    </w:p>
    <w:p w14:paraId="11B69D4C" w14:textId="10F9E0C2" w:rsidR="00D05380" w:rsidRDefault="00D05380" w:rsidP="00D05380">
      <w:pPr>
        <w:pStyle w:val="BodyText"/>
        <w:spacing w:after="0"/>
      </w:pPr>
      <w:r>
        <w:rPr>
          <w:i/>
        </w:rPr>
        <w:t>17.</w:t>
      </w:r>
      <w:r w:rsidR="00A803E5">
        <w:rPr>
          <w:i/>
        </w:rPr>
        <w:t>10</w:t>
      </w:r>
      <w:r>
        <w:rPr>
          <w:i/>
        </w:rPr>
        <w:t xml:space="preserve"> </w:t>
      </w:r>
      <w:r w:rsidR="00A803E5" w:rsidRPr="00A803E5">
        <w:rPr>
          <w:i/>
        </w:rPr>
        <w:t>For BPA, there may be unaccounted-for complexity in the future scenarios. It was identified that the temperatures will increase and the precip will shift to greater winter and less summer runoff. It is likely that these changes will necessitate changes in operational policies, especially those that cater to the fish needs at different times of the year. These changes in operations will have an unknown effect on the hydro generation – the current models project that operating logic will remain the same into the future.</w:t>
      </w:r>
    </w:p>
    <w:p w14:paraId="25BD2927" w14:textId="79ADF9BC" w:rsidR="00D05380" w:rsidRDefault="00D05380" w:rsidP="00D05380">
      <w:pPr>
        <w:pStyle w:val="BodyText"/>
        <w:ind w:left="360" w:hanging="360"/>
      </w:pPr>
      <w:r>
        <w:t>-</w:t>
      </w:r>
      <w:r>
        <w:tab/>
      </w:r>
      <w:r w:rsidR="00A803E5" w:rsidRPr="00A803E5">
        <w:t xml:space="preserve">We fully agree with the comment. </w:t>
      </w:r>
      <w:r w:rsidR="0063248B">
        <w:t xml:space="preserve">Although </w:t>
      </w:r>
      <w:r w:rsidR="00A803E5" w:rsidRPr="00A803E5">
        <w:t>we must make this simplified assumption that the operation remains unchanged (given the large number of reservoirs), the future operation will likely be adaptive and adjusted for change in hydroclimate conditions. We have clearly specified this study limitation, and discussed the future research for basin-specific studies.</w:t>
      </w:r>
    </w:p>
    <w:p w14:paraId="64E08E03" w14:textId="235C48E1" w:rsidR="00D05380" w:rsidRDefault="00D05380" w:rsidP="00D05380">
      <w:pPr>
        <w:pStyle w:val="BodyText"/>
        <w:spacing w:after="0"/>
      </w:pPr>
      <w:r>
        <w:rPr>
          <w:i/>
        </w:rPr>
        <w:t>17.</w:t>
      </w:r>
      <w:r w:rsidR="00903A80">
        <w:rPr>
          <w:i/>
        </w:rPr>
        <w:t>11</w:t>
      </w:r>
      <w:r>
        <w:rPr>
          <w:i/>
        </w:rPr>
        <w:t xml:space="preserve"> </w:t>
      </w:r>
      <w:r w:rsidR="00903A80" w:rsidRPr="00903A80">
        <w:rPr>
          <w:i/>
        </w:rPr>
        <w:t>For BPA</w:t>
      </w:r>
      <w:r w:rsidR="0063248B">
        <w:rPr>
          <w:i/>
        </w:rPr>
        <w:t>-</w:t>
      </w:r>
      <w:r w:rsidR="00903A80" w:rsidRPr="00903A80">
        <w:rPr>
          <w:i/>
        </w:rPr>
        <w:t xml:space="preserve">3 lower Columbia (most of the HP), </w:t>
      </w:r>
      <w:r w:rsidR="0063248B">
        <w:rPr>
          <w:i/>
        </w:rPr>
        <w:t xml:space="preserve">the </w:t>
      </w:r>
      <w:r w:rsidR="00903A80" w:rsidRPr="00903A80">
        <w:rPr>
          <w:i/>
        </w:rPr>
        <w:t xml:space="preserve">PM is an important contributor to variance. This indicates that a more accurate model for this region could be useful. If the </w:t>
      </w:r>
      <w:r w:rsidR="0063248B">
        <w:rPr>
          <w:i/>
        </w:rPr>
        <w:t xml:space="preserve">two </w:t>
      </w:r>
      <w:r w:rsidR="00903A80" w:rsidRPr="00903A80">
        <w:rPr>
          <w:i/>
        </w:rPr>
        <w:t>PM</w:t>
      </w:r>
      <w:r w:rsidR="0063248B">
        <w:rPr>
          <w:i/>
        </w:rPr>
        <w:t>s</w:t>
      </w:r>
      <w:r w:rsidR="00903A80" w:rsidRPr="00903A80">
        <w:rPr>
          <w:i/>
        </w:rPr>
        <w:t xml:space="preserve"> performed so similarly in the validation phase, what caused this major difference in the future scenario?</w:t>
      </w:r>
    </w:p>
    <w:p w14:paraId="15B508EC" w14:textId="7C144F47" w:rsidR="00D05380" w:rsidRDefault="00D05380" w:rsidP="00D05380">
      <w:pPr>
        <w:pStyle w:val="BodyText"/>
        <w:ind w:left="360" w:hanging="360"/>
      </w:pPr>
      <w:r>
        <w:t>-</w:t>
      </w:r>
      <w:r>
        <w:tab/>
      </w:r>
      <w:r w:rsidR="00C96EDF" w:rsidRPr="00C96EDF">
        <w:t>In this report</w:t>
      </w:r>
      <w:r w:rsidR="0063248B">
        <w:t>,</w:t>
      </w:r>
      <w:r w:rsidR="00C96EDF" w:rsidRPr="00C96EDF">
        <w:t xml:space="preserve"> we provide a multimodel approach for future hydropower generation prediction, which combines different CM, HM, PM, and </w:t>
      </w:r>
      <w:r w:rsidR="00E80222">
        <w:t>DS</w:t>
      </w:r>
      <w:r w:rsidR="00C96EDF" w:rsidRPr="00C96EDF">
        <w:t xml:space="preserve">s. </w:t>
      </w:r>
      <w:r w:rsidR="0063248B">
        <w:t xml:space="preserve">The </w:t>
      </w:r>
      <w:r w:rsidR="00C96EDF" w:rsidRPr="00C96EDF">
        <w:t>PM is the second contributor to variance in BPA-3, suggesting that the choice of PM could lead to different answers in certain regions. To understand the reasons that cause such difference is not in the scope of this report. We are doing more analyses for our future publications on this topic.</w:t>
      </w:r>
    </w:p>
    <w:p w14:paraId="7F7B507F" w14:textId="61604A7D" w:rsidR="00B02780" w:rsidRDefault="00B02780" w:rsidP="00B02780">
      <w:pPr>
        <w:pStyle w:val="BodyText"/>
      </w:pPr>
      <w:r w:rsidRPr="00DA1CA8">
        <w:rPr>
          <w:b/>
        </w:rPr>
        <w:t xml:space="preserve">Reviewer </w:t>
      </w:r>
      <w:r>
        <w:rPr>
          <w:b/>
        </w:rPr>
        <w:t>1</w:t>
      </w:r>
      <w:r w:rsidR="00106365">
        <w:rPr>
          <w:b/>
        </w:rPr>
        <w:t>8</w:t>
      </w:r>
    </w:p>
    <w:p w14:paraId="38CC2740" w14:textId="441C724E" w:rsidR="00B02780" w:rsidRDefault="00B02780" w:rsidP="00B02780">
      <w:pPr>
        <w:pStyle w:val="BodyText"/>
        <w:spacing w:after="0"/>
      </w:pPr>
      <w:r>
        <w:rPr>
          <w:i/>
        </w:rPr>
        <w:t>1</w:t>
      </w:r>
      <w:r w:rsidR="00106365">
        <w:rPr>
          <w:i/>
        </w:rPr>
        <w:t>8</w:t>
      </w:r>
      <w:r>
        <w:rPr>
          <w:i/>
        </w:rPr>
        <w:t xml:space="preserve">.1 </w:t>
      </w:r>
      <w:r w:rsidR="00106365" w:rsidRPr="00106365">
        <w:rPr>
          <w:i/>
        </w:rPr>
        <w:t>I think the big picture item here is that yes, climate change will produce more rain resulting in more runoff, which can create more hydropower. In theory anyway, as it is much more complex and some of those hurdles to help utilize this means newer, different turbines than can withstand greater use and generate more as most are designed and max out at current operations, more use means more outages for maintenance, and most important is policy changes in how hydropower is generated meeting other river management requirements. It</w:t>
      </w:r>
      <w:r w:rsidR="005606E5">
        <w:rPr>
          <w:i/>
        </w:rPr>
        <w:t xml:space="preserve"> i</w:t>
      </w:r>
      <w:r w:rsidR="00106365" w:rsidRPr="00106365">
        <w:rPr>
          <w:i/>
        </w:rPr>
        <w:t>s not to be said that they can be done, but it</w:t>
      </w:r>
      <w:r w:rsidR="005606E5">
        <w:rPr>
          <w:i/>
        </w:rPr>
        <w:t xml:space="preserve"> i</w:t>
      </w:r>
      <w:r w:rsidR="00106365" w:rsidRPr="00106365">
        <w:rPr>
          <w:i/>
        </w:rPr>
        <w:t>s worth noting</w:t>
      </w:r>
      <w:r w:rsidR="005606E5">
        <w:rPr>
          <w:i/>
        </w:rPr>
        <w:t>,</w:t>
      </w:r>
      <w:r w:rsidR="00106365" w:rsidRPr="00106365">
        <w:rPr>
          <w:i/>
        </w:rPr>
        <w:t xml:space="preserve"> for this to have further thought in usage </w:t>
      </w:r>
      <w:r w:rsidR="005606E5">
        <w:rPr>
          <w:i/>
        </w:rPr>
        <w:t>(</w:t>
      </w:r>
      <w:r w:rsidR="00106365" w:rsidRPr="00106365">
        <w:rPr>
          <w:i/>
        </w:rPr>
        <w:t>if that is the intent of the study</w:t>
      </w:r>
      <w:r w:rsidR="005606E5">
        <w:rPr>
          <w:i/>
        </w:rPr>
        <w:t>),</w:t>
      </w:r>
      <w:r w:rsidR="00106365" w:rsidRPr="00106365">
        <w:rPr>
          <w:i/>
        </w:rPr>
        <w:t xml:space="preserve"> is to lay</w:t>
      </w:r>
      <w:r w:rsidR="005606E5">
        <w:rPr>
          <w:i/>
        </w:rPr>
        <w:t xml:space="preserve"> </w:t>
      </w:r>
      <w:r w:rsidR="00106365" w:rsidRPr="00106365">
        <w:rPr>
          <w:i/>
        </w:rPr>
        <w:t xml:space="preserve">out the findings and roadmap to </w:t>
      </w:r>
      <w:r w:rsidR="00106365" w:rsidRPr="00106365">
        <w:rPr>
          <w:i/>
        </w:rPr>
        <w:lastRenderedPageBreak/>
        <w:t xml:space="preserve">saying we can utilize the additional rainfall for green power </w:t>
      </w:r>
      <w:r w:rsidR="005606E5">
        <w:rPr>
          <w:i/>
        </w:rPr>
        <w:t>be</w:t>
      </w:r>
      <w:r w:rsidR="00106365" w:rsidRPr="00106365">
        <w:rPr>
          <w:i/>
        </w:rPr>
        <w:t>cause we can</w:t>
      </w:r>
      <w:r w:rsidR="005606E5">
        <w:rPr>
          <w:i/>
        </w:rPr>
        <w:t>,</w:t>
      </w:r>
      <w:r w:rsidR="00106365" w:rsidRPr="00106365">
        <w:rPr>
          <w:i/>
        </w:rPr>
        <w:t xml:space="preserve"> but some things will likely have to change to make it practical.</w:t>
      </w:r>
    </w:p>
    <w:p w14:paraId="0B0A99B2" w14:textId="1DD70C98" w:rsidR="00B02780" w:rsidRDefault="00B02780" w:rsidP="00B02780">
      <w:pPr>
        <w:pStyle w:val="BodyText"/>
        <w:ind w:left="360" w:hanging="360"/>
      </w:pPr>
      <w:r>
        <w:t>-</w:t>
      </w:r>
      <w:r>
        <w:tab/>
      </w:r>
      <w:r w:rsidR="00487A42" w:rsidRPr="00487A42">
        <w:t>We agree with this comment. Overall, this study focuse</w:t>
      </w:r>
      <w:r w:rsidR="007F5630">
        <w:t>d</w:t>
      </w:r>
      <w:r w:rsidR="00487A42" w:rsidRPr="00487A42">
        <w:t xml:space="preserve"> on 18 PMA study areas rather than individual reservoirs or power plants. Impacts on site-specific features, such as reservoir operation rules, water withdrawal/return, environmental flow requirements, and energy generation, were not explicitly modeled at each power plant. In other words, this current study provide</w:t>
      </w:r>
      <w:r w:rsidR="007F5630">
        <w:t>s</w:t>
      </w:r>
      <w:r w:rsidR="00487A42" w:rsidRPr="00487A42">
        <w:t xml:space="preserve"> a first-order assessment to identify areas with the highest risk under projected climate conditions. Further site-specific, more practical issues should be explored in follow-up studies.</w:t>
      </w:r>
    </w:p>
    <w:p w14:paraId="30B6F42B" w14:textId="5131C4BB" w:rsidR="00B02780" w:rsidRDefault="00B02780" w:rsidP="00B02780">
      <w:pPr>
        <w:pStyle w:val="BodyText"/>
        <w:spacing w:after="0"/>
      </w:pPr>
      <w:r>
        <w:rPr>
          <w:i/>
        </w:rPr>
        <w:t>1</w:t>
      </w:r>
      <w:r w:rsidR="005F3B43">
        <w:rPr>
          <w:i/>
        </w:rPr>
        <w:t>8</w:t>
      </w:r>
      <w:r>
        <w:rPr>
          <w:i/>
        </w:rPr>
        <w:t xml:space="preserve">.2 </w:t>
      </w:r>
      <w:r w:rsidR="005F3B43" w:rsidRPr="005F3B43">
        <w:rPr>
          <w:i/>
        </w:rPr>
        <w:t>There is confusion with the GCM data and results going to 2059 or 2060 as that is seen throughout the report. More clarity or consistency here would help.</w:t>
      </w:r>
    </w:p>
    <w:p w14:paraId="75C1D96E" w14:textId="2055BF4A" w:rsidR="00B02780" w:rsidRDefault="00B02780" w:rsidP="00B02780">
      <w:pPr>
        <w:pStyle w:val="BodyText"/>
        <w:ind w:left="360" w:hanging="360"/>
      </w:pPr>
      <w:r>
        <w:t>-</w:t>
      </w:r>
      <w:r>
        <w:tab/>
      </w:r>
      <w:r w:rsidR="005F3B43" w:rsidRPr="005F3B43">
        <w:t>We have tried to use 2059 (when possible) for more consisten</w:t>
      </w:r>
      <w:r w:rsidR="0063248B">
        <w:t>cy</w:t>
      </w:r>
      <w:r w:rsidR="005F3B43" w:rsidRPr="005F3B43">
        <w:t>. 2060 is only used for few visualizations in Section 2.3.</w:t>
      </w:r>
    </w:p>
    <w:p w14:paraId="4A03212D" w14:textId="5A4A954C" w:rsidR="005F3B43" w:rsidRDefault="005F3B43" w:rsidP="005F3B43">
      <w:pPr>
        <w:pStyle w:val="BodyText"/>
        <w:spacing w:after="0"/>
      </w:pPr>
      <w:r>
        <w:rPr>
          <w:i/>
        </w:rPr>
        <w:t xml:space="preserve">18.3 </w:t>
      </w:r>
      <w:r w:rsidRPr="005F3B43">
        <w:rPr>
          <w:i/>
        </w:rPr>
        <w:t>It may be helpful to quickly provide a history of what the two previous assessments did in comparison to this study with a sentence or two as it</w:t>
      </w:r>
      <w:r w:rsidR="00805545">
        <w:rPr>
          <w:i/>
        </w:rPr>
        <w:t>’</w:t>
      </w:r>
      <w:r w:rsidRPr="005F3B43">
        <w:rPr>
          <w:i/>
        </w:rPr>
        <w:t>s mentioned a few times but nothing is really said with how they compare or refer to further in the document.</w:t>
      </w:r>
    </w:p>
    <w:p w14:paraId="751C873F" w14:textId="23ED6F5C" w:rsidR="005F3B43" w:rsidRDefault="005F3B43" w:rsidP="005F3B43">
      <w:pPr>
        <w:pStyle w:val="BodyText"/>
        <w:ind w:left="360" w:hanging="360"/>
      </w:pPr>
      <w:r>
        <w:t>-</w:t>
      </w:r>
      <w:r>
        <w:tab/>
      </w:r>
      <w:r w:rsidRPr="005F3B43">
        <w:t>Thank you for the suggestion. A high-level comparison is showed in page xiv. Given the large differences among CMIP3, CMIP5, and CMIP6, and other differences in temporal periods, emission scenarios, downscaling methods</w:t>
      </w:r>
      <w:r w:rsidR="0063248B">
        <w:t>,</w:t>
      </w:r>
      <w:r w:rsidRPr="005F3B43">
        <w:t xml:space="preserve"> and hydrologic/hydropower models, a direct numerical comparison with previous assessments will not be fair and can be misleading. We opt</w:t>
      </w:r>
      <w:r w:rsidR="0063248B">
        <w:t>ed</w:t>
      </w:r>
      <w:r w:rsidRPr="005F3B43">
        <w:t xml:space="preserve"> to keep our current high-level discussion focusing on the main findings.</w:t>
      </w:r>
    </w:p>
    <w:p w14:paraId="28BF3990" w14:textId="782B962F" w:rsidR="00B02780" w:rsidRDefault="00B02780" w:rsidP="00B02780">
      <w:pPr>
        <w:pStyle w:val="BodyText"/>
      </w:pPr>
      <w:r w:rsidRPr="00DA1CA8">
        <w:rPr>
          <w:b/>
        </w:rPr>
        <w:t xml:space="preserve">Reviewer </w:t>
      </w:r>
      <w:r>
        <w:rPr>
          <w:b/>
        </w:rPr>
        <w:t>1</w:t>
      </w:r>
      <w:r w:rsidR="00586911">
        <w:rPr>
          <w:b/>
        </w:rPr>
        <w:t>9</w:t>
      </w:r>
    </w:p>
    <w:p w14:paraId="4B1012AB" w14:textId="32E57D32" w:rsidR="00B02780" w:rsidRDefault="00B02780" w:rsidP="00B02780">
      <w:pPr>
        <w:pStyle w:val="BodyText"/>
        <w:spacing w:after="0"/>
      </w:pPr>
      <w:r>
        <w:rPr>
          <w:i/>
        </w:rPr>
        <w:t>1</w:t>
      </w:r>
      <w:r w:rsidR="00586911">
        <w:rPr>
          <w:i/>
        </w:rPr>
        <w:t>9</w:t>
      </w:r>
      <w:r>
        <w:rPr>
          <w:i/>
        </w:rPr>
        <w:t xml:space="preserve">.1 </w:t>
      </w:r>
      <w:r w:rsidR="00586911" w:rsidRPr="00586911">
        <w:rPr>
          <w:i/>
        </w:rPr>
        <w:t>Reclamation</w:t>
      </w:r>
      <w:r w:rsidR="009B4065">
        <w:rPr>
          <w:i/>
        </w:rPr>
        <w:t xml:space="preserve"> </w:t>
      </w:r>
      <w:r w:rsidR="00586911" w:rsidRPr="00586911">
        <w:rPr>
          <w:i/>
        </w:rPr>
        <w:t>have been given guidance to use more than one emission scenario when evaluating potential future conditions. Note that the explanation on lines 864</w:t>
      </w:r>
      <w:r w:rsidR="0063248B">
        <w:rPr>
          <w:i/>
        </w:rPr>
        <w:t>–</w:t>
      </w:r>
      <w:r w:rsidR="00586911" w:rsidRPr="00586911">
        <w:rPr>
          <w:i/>
        </w:rPr>
        <w:t xml:space="preserve">880 only considers the </w:t>
      </w:r>
      <w:r w:rsidR="00930433">
        <w:rPr>
          <w:i/>
        </w:rPr>
        <w:t>“</w:t>
      </w:r>
      <w:r w:rsidR="00586911" w:rsidRPr="00586911">
        <w:rPr>
          <w:i/>
        </w:rPr>
        <w:t>higher</w:t>
      </w:r>
      <w:r w:rsidR="0063248B">
        <w:rPr>
          <w:i/>
        </w:rPr>
        <w:t>-</w:t>
      </w:r>
      <w:r w:rsidR="00586911" w:rsidRPr="00586911">
        <w:rPr>
          <w:i/>
        </w:rPr>
        <w:t>end</w:t>
      </w:r>
      <w:r w:rsidR="00930433">
        <w:rPr>
          <w:i/>
        </w:rPr>
        <w:t>”</w:t>
      </w:r>
      <w:r w:rsidR="00586911" w:rsidRPr="00586911">
        <w:rPr>
          <w:i/>
        </w:rPr>
        <w:t xml:space="preserve"> emissions scenarios. Why wasn</w:t>
      </w:r>
      <w:r w:rsidR="00805545">
        <w:rPr>
          <w:i/>
        </w:rPr>
        <w:t>’</w:t>
      </w:r>
      <w:r w:rsidR="00586911" w:rsidRPr="00586911">
        <w:rPr>
          <w:i/>
        </w:rPr>
        <w:t xml:space="preserve">t a </w:t>
      </w:r>
      <w:r w:rsidR="00930433">
        <w:rPr>
          <w:i/>
        </w:rPr>
        <w:t>“</w:t>
      </w:r>
      <w:r w:rsidR="00586911" w:rsidRPr="00586911">
        <w:rPr>
          <w:i/>
        </w:rPr>
        <w:t>lower</w:t>
      </w:r>
      <w:r w:rsidR="0063248B">
        <w:rPr>
          <w:i/>
        </w:rPr>
        <w:t>-end</w:t>
      </w:r>
      <w:r w:rsidR="00930433">
        <w:rPr>
          <w:i/>
        </w:rPr>
        <w:t>”</w:t>
      </w:r>
      <w:r w:rsidR="00586911" w:rsidRPr="00586911">
        <w:rPr>
          <w:i/>
        </w:rPr>
        <w:t xml:space="preserve"> or </w:t>
      </w:r>
      <w:r w:rsidR="00930433">
        <w:rPr>
          <w:i/>
        </w:rPr>
        <w:t>“</w:t>
      </w:r>
      <w:r w:rsidR="00586911" w:rsidRPr="00586911">
        <w:rPr>
          <w:i/>
        </w:rPr>
        <w:t>median</w:t>
      </w:r>
      <w:r w:rsidR="00930433">
        <w:rPr>
          <w:i/>
        </w:rPr>
        <w:t>”</w:t>
      </w:r>
      <w:r w:rsidR="00586911" w:rsidRPr="00586911">
        <w:rPr>
          <w:i/>
        </w:rPr>
        <w:t xml:space="preserve"> emission scenario considered?</w:t>
      </w:r>
    </w:p>
    <w:p w14:paraId="42A8FD4B" w14:textId="368E5041" w:rsidR="00B02780" w:rsidRDefault="00B02780" w:rsidP="00B02780">
      <w:pPr>
        <w:pStyle w:val="BodyText"/>
        <w:ind w:left="360" w:hanging="360"/>
      </w:pPr>
      <w:r>
        <w:t>-</w:t>
      </w:r>
      <w:r>
        <w:tab/>
      </w:r>
      <w:r w:rsidR="00D44155" w:rsidRPr="00D44155">
        <w:t>We make use of the dynamical as well as statistical downscaling of GCMs in our analyses. For consistency, we used the same models in both approaches. Unfortunately, not all of them had data available for low emission scenarios. Therefore, the use of low emission scenarios was out of the question in our case.</w:t>
      </w:r>
    </w:p>
    <w:p w14:paraId="54CC9D5C" w14:textId="420286C9" w:rsidR="00B02780" w:rsidRDefault="00B02780" w:rsidP="00B02780">
      <w:pPr>
        <w:pStyle w:val="BodyText"/>
      </w:pPr>
      <w:r w:rsidRPr="00DA1CA8">
        <w:rPr>
          <w:b/>
        </w:rPr>
        <w:t xml:space="preserve">Reviewer </w:t>
      </w:r>
      <w:r w:rsidR="00D44155">
        <w:rPr>
          <w:b/>
        </w:rPr>
        <w:t>20</w:t>
      </w:r>
    </w:p>
    <w:p w14:paraId="48BDA4B1" w14:textId="06A79F06" w:rsidR="00B02780" w:rsidRDefault="00D44155" w:rsidP="00B02780">
      <w:pPr>
        <w:pStyle w:val="BodyText"/>
        <w:spacing w:after="0"/>
      </w:pPr>
      <w:r>
        <w:rPr>
          <w:i/>
        </w:rPr>
        <w:t>20</w:t>
      </w:r>
      <w:r w:rsidR="00B02780">
        <w:rPr>
          <w:i/>
        </w:rPr>
        <w:t xml:space="preserve">.1 </w:t>
      </w:r>
      <w:r w:rsidRPr="00D44155">
        <w:rPr>
          <w:i/>
        </w:rPr>
        <w:t>There is value in noting and showing (in at least a table) the projected change (and total projected) monthly precipitation, particularly to be transparent about the potential risk of power shortfalls in the summer months (when electricity demand is increasing over time).</w:t>
      </w:r>
    </w:p>
    <w:p w14:paraId="2E640513" w14:textId="2D75C5F9" w:rsidR="00B02780" w:rsidRDefault="00B02780" w:rsidP="00B02780">
      <w:pPr>
        <w:pStyle w:val="BodyText"/>
        <w:ind w:left="360" w:hanging="360"/>
      </w:pPr>
      <w:r>
        <w:t>-</w:t>
      </w:r>
      <w:r>
        <w:tab/>
      </w:r>
      <w:r w:rsidR="00D44155" w:rsidRPr="00D44155">
        <w:t>Given the length limitation, we can only show the seasonal breakdown in the report. However, all underlying data will be shared publicly for further evaluation.</w:t>
      </w:r>
    </w:p>
    <w:p w14:paraId="4E237D86" w14:textId="1C387DB4" w:rsidR="00B02780" w:rsidRDefault="009025A2" w:rsidP="00B02780">
      <w:pPr>
        <w:pStyle w:val="BodyText"/>
        <w:spacing w:after="0"/>
      </w:pPr>
      <w:r>
        <w:rPr>
          <w:i/>
        </w:rPr>
        <w:t>20</w:t>
      </w:r>
      <w:r w:rsidR="00B02780">
        <w:rPr>
          <w:i/>
        </w:rPr>
        <w:t>.2</w:t>
      </w:r>
      <w:r w:rsidRPr="009025A2">
        <w:rPr>
          <w:i/>
        </w:rPr>
        <w:t xml:space="preserve"> </w:t>
      </w:r>
      <w:r>
        <w:rPr>
          <w:i/>
        </w:rPr>
        <w:t>I</w:t>
      </w:r>
      <w:r w:rsidRPr="009025A2">
        <w:rPr>
          <w:i/>
        </w:rPr>
        <w:t xml:space="preserve">t would be helpful to discuss the impact that increased inter-annual variability introduced by climate change could have on power marketing in the region. There is of course already large inter-annual variability in the system; how </w:t>
      </w:r>
      <w:r w:rsidR="0063248B">
        <w:rPr>
          <w:i/>
        </w:rPr>
        <w:t xml:space="preserve">might </w:t>
      </w:r>
      <w:r w:rsidRPr="009025A2">
        <w:rPr>
          <w:i/>
        </w:rPr>
        <w:t>increased variability affect operations?</w:t>
      </w:r>
    </w:p>
    <w:p w14:paraId="42934C6E" w14:textId="04CE0453" w:rsidR="00B02780" w:rsidRDefault="00B02780" w:rsidP="00B02780">
      <w:pPr>
        <w:pStyle w:val="BodyText"/>
        <w:ind w:left="360" w:hanging="360"/>
      </w:pPr>
      <w:r>
        <w:t>-</w:t>
      </w:r>
      <w:r>
        <w:tab/>
      </w:r>
      <w:r w:rsidR="009B4065">
        <w:t xml:space="preserve">We </w:t>
      </w:r>
      <w:r w:rsidR="009025A2" w:rsidRPr="009025A2">
        <w:t>focuse on climate change impacts on PMA customer demand and PMA power marketing. Commenting on the effects of interannual variability on operations is out of scope. For power marketing, more interannual variability would likely result in more variability in surplus power sale revenues which would ultimately be translated into more variability in the rates charged by BPA to its customers. The final sentence in the section</w:t>
      </w:r>
      <w:r w:rsidR="00930433">
        <w:t>,</w:t>
      </w:r>
      <w:r w:rsidR="009025A2" w:rsidRPr="009025A2">
        <w:t xml:space="preserve"> </w:t>
      </w:r>
      <w:r w:rsidR="00930433">
        <w:t>“</w:t>
      </w:r>
      <w:r w:rsidR="009025A2" w:rsidRPr="009025A2">
        <w:t>Finding ways to maximize the value of potential winter generation surpluses and minimize the needs for replacement power during the summer will be important to maintain competitive and affordable rates for BPA and ensure reliability</w:t>
      </w:r>
      <w:r w:rsidR="00930433">
        <w:t>,”</w:t>
      </w:r>
      <w:r w:rsidR="009025A2" w:rsidRPr="009025A2">
        <w:t xml:space="preserve"> applies not </w:t>
      </w:r>
      <w:r w:rsidR="009025A2" w:rsidRPr="009025A2">
        <w:lastRenderedPageBreak/>
        <w:t>only as a course of action for the PMA in response to changes in the seasonality of generation availability and customer demand</w:t>
      </w:r>
      <w:r w:rsidR="0063248B">
        <w:t>,</w:t>
      </w:r>
      <w:r w:rsidR="009025A2" w:rsidRPr="009025A2">
        <w:t xml:space="preserve"> but also to potential increases in interannual variability.</w:t>
      </w:r>
    </w:p>
    <w:p w14:paraId="425B5E16" w14:textId="4E21D370" w:rsidR="009025A2" w:rsidRDefault="009025A2" w:rsidP="009025A2">
      <w:pPr>
        <w:pStyle w:val="BodyText"/>
        <w:spacing w:after="0"/>
      </w:pPr>
      <w:r>
        <w:rPr>
          <w:i/>
        </w:rPr>
        <w:t>20.</w:t>
      </w:r>
      <w:r w:rsidR="00602EA3">
        <w:rPr>
          <w:i/>
        </w:rPr>
        <w:t>3</w:t>
      </w:r>
      <w:r>
        <w:rPr>
          <w:i/>
        </w:rPr>
        <w:t xml:space="preserve"> </w:t>
      </w:r>
      <w:r w:rsidR="00602EA3" w:rsidRPr="00602EA3">
        <w:rPr>
          <w:i/>
        </w:rPr>
        <w:t>It would be helpful to provide a table of the projected seasonal and monthly changes in hydropower capacity, resulting from modeled changes in temperature and precipitation.</w:t>
      </w:r>
    </w:p>
    <w:p w14:paraId="46353CD8" w14:textId="6E8888DD" w:rsidR="009025A2" w:rsidRDefault="009025A2" w:rsidP="009025A2">
      <w:pPr>
        <w:pStyle w:val="BodyText"/>
        <w:ind w:left="360" w:hanging="360"/>
      </w:pPr>
      <w:r>
        <w:t>-</w:t>
      </w:r>
      <w:r>
        <w:tab/>
      </w:r>
      <w:r w:rsidR="008201FA" w:rsidRPr="008201FA">
        <w:t xml:space="preserve">The modeling done for this report gives us results of projected seasonal changes in hydropower generation but not capacity. Those results are summarized in Figure 3.15. </w:t>
      </w:r>
      <w:r w:rsidR="0063248B">
        <w:t xml:space="preserve">We </w:t>
      </w:r>
      <w:r w:rsidR="008201FA" w:rsidRPr="008201FA">
        <w:t>added a reference to that figure within the discussion of the potential challenges for BPA due to projected decrease in hydropower generation during the summer coinciding with projected AC-driven increases in the load of their preference customers.</w:t>
      </w:r>
    </w:p>
    <w:p w14:paraId="036C15EC" w14:textId="26456F84" w:rsidR="009025A2" w:rsidRDefault="009025A2" w:rsidP="009025A2">
      <w:pPr>
        <w:pStyle w:val="BodyText"/>
        <w:spacing w:after="0"/>
      </w:pPr>
      <w:r>
        <w:rPr>
          <w:i/>
        </w:rPr>
        <w:t>20.</w:t>
      </w:r>
      <w:r w:rsidR="00C6149A">
        <w:rPr>
          <w:i/>
        </w:rPr>
        <w:t>4</w:t>
      </w:r>
      <w:r>
        <w:rPr>
          <w:i/>
        </w:rPr>
        <w:t xml:space="preserve"> </w:t>
      </w:r>
      <w:r w:rsidR="00C6149A" w:rsidRPr="00C6149A">
        <w:rPr>
          <w:i/>
        </w:rPr>
        <w:t>If possible, it would be helpful to include more information about expected population growth and its interaction with increased AC penetration (before line 2484).</w:t>
      </w:r>
    </w:p>
    <w:p w14:paraId="64919DFA" w14:textId="2372E2AA" w:rsidR="009025A2" w:rsidRDefault="009025A2" w:rsidP="009025A2">
      <w:pPr>
        <w:pStyle w:val="BodyText"/>
        <w:ind w:left="360" w:hanging="360"/>
      </w:pPr>
      <w:r>
        <w:t>-</w:t>
      </w:r>
      <w:r>
        <w:tab/>
      </w:r>
      <w:r w:rsidR="00C6149A">
        <w:t>The following description has been added in the revised report</w:t>
      </w:r>
      <w:r w:rsidR="00C6149A" w:rsidRPr="00C6149A">
        <w:t xml:space="preserve">: </w:t>
      </w:r>
      <w:r w:rsidR="00930433">
        <w:t>“</w:t>
      </w:r>
      <w:r w:rsidR="00C6149A" w:rsidRPr="00C6149A">
        <w:t>For population, Zoraghein and O</w:t>
      </w:r>
      <w:r w:rsidR="00805545">
        <w:t>’</w:t>
      </w:r>
      <w:r w:rsidR="00C6149A" w:rsidRPr="00C6149A">
        <w:t>Neill (2020) produce state-level estimates for 2050 and 2100 consistent with three different SSPs. In the SSP5 pathway, which is the one consistent with the climate projections in this analysis, the projected population growth in the three-state region where most BPA customers are located (Washington, Oregon, and Idaho) is a 67% increase from 2010 to 2050 and an additional 59% increase in the second half of the century. Therefore, population is a potential strong driver for load in the BPA region, especially when compounded with growth in AC penetration.</w:t>
      </w:r>
      <w:r w:rsidR="00930433">
        <w:t>”</w:t>
      </w:r>
    </w:p>
    <w:p w14:paraId="41667635" w14:textId="096E498F" w:rsidR="009025A2" w:rsidRDefault="009025A2" w:rsidP="009025A2">
      <w:pPr>
        <w:pStyle w:val="BodyText"/>
        <w:spacing w:after="0"/>
      </w:pPr>
      <w:r>
        <w:rPr>
          <w:i/>
        </w:rPr>
        <w:t>20.</w:t>
      </w:r>
      <w:r w:rsidR="00CC066F">
        <w:rPr>
          <w:i/>
        </w:rPr>
        <w:t>5</w:t>
      </w:r>
      <w:r>
        <w:rPr>
          <w:i/>
        </w:rPr>
        <w:t xml:space="preserve"> </w:t>
      </w:r>
      <w:r w:rsidR="00CC066F" w:rsidRPr="00CC066F">
        <w:rPr>
          <w:i/>
        </w:rPr>
        <w:t>Table 3.3 provides results on elasticities. Recommend providing information on the cumulative effect (particularly for summer months, which present increased power short-fall risk).</w:t>
      </w:r>
    </w:p>
    <w:p w14:paraId="12D1A8CC" w14:textId="26DA8226" w:rsidR="009025A2" w:rsidRDefault="009025A2" w:rsidP="009025A2">
      <w:pPr>
        <w:pStyle w:val="BodyText"/>
        <w:ind w:left="360" w:hanging="360"/>
      </w:pPr>
      <w:r>
        <w:t>-</w:t>
      </w:r>
      <w:r>
        <w:tab/>
      </w:r>
      <w:r w:rsidR="006C0CB7" w:rsidRPr="006C0CB7">
        <w:t>The cumulative effect is shown visually in Figure 3.19</w:t>
      </w:r>
      <w:r w:rsidRPr="00E41942">
        <w:t>.</w:t>
      </w:r>
    </w:p>
    <w:p w14:paraId="66AEEF5B" w14:textId="77777777" w:rsidR="007E69F2" w:rsidRDefault="007E69F2" w:rsidP="007E69F2">
      <w:pPr>
        <w:pStyle w:val="BodyText"/>
        <w:rPr>
          <w:snapToGrid/>
        </w:rPr>
      </w:pPr>
    </w:p>
    <w:p w14:paraId="60216DB8" w14:textId="77777777" w:rsidR="007E69F2" w:rsidRDefault="007E69F2" w:rsidP="007E69F2">
      <w:pPr>
        <w:pStyle w:val="BodyText"/>
        <w:rPr>
          <w:snapToGrid/>
        </w:rPr>
      </w:pPr>
    </w:p>
    <w:p w14:paraId="7D7B08C0" w14:textId="77777777" w:rsidR="007E69F2" w:rsidRDefault="007E69F2" w:rsidP="007E69F2">
      <w:pPr>
        <w:pStyle w:val="BodyText"/>
        <w:rPr>
          <w:snapToGrid/>
        </w:rPr>
        <w:sectPr w:rsidR="007E69F2" w:rsidSect="00CC3514">
          <w:footerReference w:type="default" r:id="rId521"/>
          <w:pgSz w:w="12240" w:h="15840" w:code="1"/>
          <w:pgMar w:top="1440" w:right="1440" w:bottom="1440" w:left="1440" w:header="720" w:footer="720" w:gutter="0"/>
          <w:pgNumType w:start="1" w:chapStyle="9"/>
          <w:cols w:space="720"/>
          <w:docGrid w:linePitch="360"/>
        </w:sectPr>
      </w:pPr>
    </w:p>
    <w:bookmarkEnd w:id="609"/>
    <w:bookmarkEnd w:id="610"/>
    <w:bookmarkEnd w:id="611"/>
    <w:bookmarkEnd w:id="612"/>
    <w:bookmarkEnd w:id="613"/>
    <w:bookmarkEnd w:id="614"/>
    <w:p w14:paraId="7D4EE985" w14:textId="133C3262" w:rsidR="006C09B3" w:rsidRDefault="006C09B3" w:rsidP="00A9239C">
      <w:pPr>
        <w:pStyle w:val="BodyText"/>
        <w:rPr>
          <w:rFonts w:eastAsiaTheme="minorEastAsia"/>
          <w:lang w:eastAsia="zh-TW"/>
        </w:rPr>
      </w:pPr>
    </w:p>
    <w:p w14:paraId="0765A7C1" w14:textId="61E15BE5" w:rsidR="006C09B3" w:rsidRDefault="006C09B3" w:rsidP="00A9239C">
      <w:pPr>
        <w:pStyle w:val="BodyText"/>
        <w:rPr>
          <w:rFonts w:eastAsiaTheme="minorEastAsia"/>
          <w:lang w:eastAsia="zh-TW"/>
        </w:rPr>
      </w:pPr>
    </w:p>
    <w:p w14:paraId="1D8F56A8" w14:textId="77777777" w:rsidR="006C09B3" w:rsidRDefault="006C09B3" w:rsidP="00A9239C">
      <w:pPr>
        <w:pStyle w:val="BodyText"/>
        <w:rPr>
          <w:rFonts w:eastAsiaTheme="minorEastAsia"/>
          <w:lang w:eastAsia="zh-TW"/>
        </w:rPr>
      </w:pPr>
    </w:p>
    <w:sectPr w:rsidR="006C09B3" w:rsidSect="00CC3514">
      <w:footerReference w:type="default" r:id="rId522"/>
      <w:pgSz w:w="12240" w:h="15840" w:code="1"/>
      <w:pgMar w:top="1440" w:right="1440" w:bottom="1440" w:left="1440" w:header="720" w:footer="720" w:gutter="0"/>
      <w:pgNumType w:start="1" w:chapStyle="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D30EED" w14:textId="77777777" w:rsidR="008043C8" w:rsidRDefault="008043C8" w:rsidP="00706B38">
      <w:pPr>
        <w:spacing w:before="0" w:after="0" w:line="240" w:lineRule="auto"/>
      </w:pPr>
      <w:r>
        <w:separator/>
      </w:r>
    </w:p>
  </w:endnote>
  <w:endnote w:type="continuationSeparator" w:id="0">
    <w:p w14:paraId="50BCDC7A" w14:textId="77777777" w:rsidR="008043C8" w:rsidRDefault="008043C8" w:rsidP="00706B38">
      <w:pPr>
        <w:spacing w:before="0" w:after="0" w:line="240" w:lineRule="auto"/>
      </w:pPr>
      <w:r>
        <w:continuationSeparator/>
      </w:r>
    </w:p>
  </w:endnote>
  <w:endnote w:type="continuationNotice" w:id="1">
    <w:p w14:paraId="0B6AE956" w14:textId="77777777" w:rsidR="008043C8" w:rsidRDefault="008043C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20208030705050203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Open Sans">
    <w:altName w:val="Open Sans"/>
    <w:charset w:val="00"/>
    <w:family w:val="swiss"/>
    <w:pitch w:val="variable"/>
    <w:sig w:usb0="E00002EF" w:usb1="4000205B" w:usb2="00000028" w:usb3="00000000" w:csb0="0000019F"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AFFC5" w14:textId="77777777" w:rsidR="0010273D" w:rsidRDefault="0010273D" w:rsidP="00F45BBA">
    <w:pPr>
      <w:pStyle w:val="Footer"/>
      <w:ind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806CA"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3C676"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84F4D"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93148"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63BBB"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D2F1B"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BB6F1"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34FBF" w14:textId="64D9921F" w:rsidR="0010273D" w:rsidRDefault="0010273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F331A" w14:textId="77777777" w:rsidR="0010273D" w:rsidRDefault="0010273D">
    <w:pPr>
      <w:pStyle w:val="Footer"/>
      <w:jc w:val="center"/>
    </w:pPr>
    <w:r>
      <w:t>i</w:t>
    </w:r>
  </w:p>
  <w:p w14:paraId="1BE82265" w14:textId="77777777" w:rsidR="0010273D" w:rsidRPr="00567F76" w:rsidRDefault="0010273D" w:rsidP="00445558">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E7F90" w14:textId="77777777" w:rsidR="0010273D" w:rsidRPr="00D27B14" w:rsidRDefault="0010273D" w:rsidP="00D27B1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158C" w14:textId="77777777" w:rsidR="0010273D" w:rsidRDefault="0010273D">
    <w:pPr>
      <w:pStyle w:val="Footer"/>
      <w:jc w:val="center"/>
    </w:pPr>
    <w:r>
      <w:fldChar w:fldCharType="begin"/>
    </w:r>
    <w:r>
      <w:instrText xml:space="preserve"> PAGE   \* MERGEFORMAT </w:instrText>
    </w:r>
    <w:r>
      <w:fldChar w:fldCharType="separate"/>
    </w:r>
    <w:r>
      <w:rPr>
        <w:noProof/>
      </w:rPr>
      <w:t>v</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6AB65" w14:textId="77777777" w:rsidR="0010273D" w:rsidRDefault="0010273D">
    <w:pPr>
      <w:pStyle w:val="Footer"/>
      <w:jc w:val="center"/>
    </w:pPr>
    <w:r>
      <w:fldChar w:fldCharType="begin"/>
    </w:r>
    <w:r>
      <w:instrText xml:space="preserve"> PAGE   \* MERGEFORMAT </w:instrText>
    </w:r>
    <w:r>
      <w:fldChar w:fldCharType="separate"/>
    </w:r>
    <w:r>
      <w:rPr>
        <w:noProof/>
      </w:rPr>
      <w:t>10</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B972E" w14:textId="77777777" w:rsidR="0010273D" w:rsidRDefault="0010273D">
    <w:pPr>
      <w:pStyle w:val="Footer"/>
      <w:jc w:val="center"/>
    </w:pPr>
    <w:r>
      <w:fldChar w:fldCharType="begin"/>
    </w:r>
    <w:r>
      <w:instrText xml:space="preserve"> PAGE   \* MERGEFORMAT </w:instrText>
    </w:r>
    <w:r>
      <w:fldChar w:fldCharType="separate"/>
    </w:r>
    <w:r>
      <w:rPr>
        <w:noProof/>
      </w:rPr>
      <w:t>195</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65822" w14:textId="6EF5823D"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82F4D"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A5913" w14:textId="77777777" w:rsidR="0010273D" w:rsidRDefault="0010273D">
    <w:pPr>
      <w:pStyle w:val="Footer"/>
      <w:jc w:val="center"/>
    </w:pPr>
    <w:r>
      <w:fldChar w:fldCharType="begin"/>
    </w:r>
    <w:r>
      <w:instrText xml:space="preserve"> PAGE   \* MERGEFORMAT </w:instrText>
    </w:r>
    <w:r>
      <w:fldChar w:fldCharType="separate"/>
    </w:r>
    <w:r>
      <w:t>G-1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136ADC" w14:textId="77777777" w:rsidR="008043C8" w:rsidRDefault="008043C8" w:rsidP="00DE36AC">
      <w:pPr>
        <w:spacing w:before="0" w:after="0" w:line="240" w:lineRule="auto"/>
        <w:ind w:firstLine="0"/>
      </w:pPr>
      <w:r>
        <w:separator/>
      </w:r>
    </w:p>
  </w:footnote>
  <w:footnote w:type="continuationSeparator" w:id="0">
    <w:p w14:paraId="4F721BBA" w14:textId="77777777" w:rsidR="008043C8" w:rsidRDefault="008043C8" w:rsidP="00706B38">
      <w:pPr>
        <w:spacing w:before="0" w:after="0" w:line="240" w:lineRule="auto"/>
      </w:pPr>
      <w:r>
        <w:continuationSeparator/>
      </w:r>
    </w:p>
  </w:footnote>
  <w:footnote w:type="continuationNotice" w:id="1">
    <w:p w14:paraId="4A9E7664" w14:textId="77777777" w:rsidR="008043C8" w:rsidRDefault="008043C8">
      <w:pPr>
        <w:spacing w:before="0" w:after="0" w:line="240" w:lineRule="auto"/>
      </w:pPr>
    </w:p>
  </w:footnote>
  <w:footnote w:id="2">
    <w:p w14:paraId="008EADE3" w14:textId="7468D800" w:rsidR="0010273D" w:rsidRDefault="0010273D" w:rsidP="00A27B38">
      <w:pPr>
        <w:pStyle w:val="FootnoteText"/>
      </w:pPr>
      <w:r>
        <w:rPr>
          <w:rStyle w:val="FootnoteReference"/>
        </w:rPr>
        <w:footnoteRef/>
      </w:r>
      <w:r>
        <w:t xml:space="preserve"> A power system is a system </w:t>
      </w:r>
      <w:r w:rsidR="00101ACD">
        <w:t xml:space="preserve">composed </w:t>
      </w:r>
      <w:r>
        <w:t>of one or more projects hydraulically and/or electrically integrated and treated as one unit for the purpose of establishing rates.</w:t>
      </w:r>
    </w:p>
  </w:footnote>
  <w:footnote w:id="3">
    <w:p w14:paraId="334FA73F" w14:textId="77777777" w:rsidR="0010273D" w:rsidRDefault="0010273D" w:rsidP="00A27B38">
      <w:pPr>
        <w:pStyle w:val="FootnoteText"/>
      </w:pPr>
      <w:r>
        <w:rPr>
          <w:rStyle w:val="FootnoteReference"/>
        </w:rPr>
        <w:footnoteRef/>
      </w:r>
      <w:r>
        <w:t xml:space="preserve"> Firm power is an allocation of both capacity and energy.</w:t>
      </w:r>
    </w:p>
  </w:footnote>
  <w:footnote w:id="4">
    <w:p w14:paraId="029D4398" w14:textId="77777777" w:rsidR="00F20100" w:rsidRDefault="00F20100" w:rsidP="00F20100">
      <w:pPr>
        <w:pStyle w:val="FootnoteText"/>
      </w:pPr>
      <w:r>
        <w:rPr>
          <w:rStyle w:val="FootnoteReference"/>
        </w:rPr>
        <w:footnoteRef/>
      </w:r>
      <w:r>
        <w:t xml:space="preserve"> Source: </w:t>
      </w:r>
      <w:hyperlink r:id="rId1" w:history="1">
        <w:r w:rsidRPr="00FE3809">
          <w:rPr>
            <w:rStyle w:val="Hyperlink"/>
          </w:rPr>
          <w:t>https://esgf-node.llnl.gov/search/cmip6</w:t>
        </w:r>
      </w:hyperlink>
    </w:p>
  </w:footnote>
  <w:footnote w:id="5">
    <w:p w14:paraId="045B00DF" w14:textId="667EB6C4" w:rsidR="0010273D" w:rsidRPr="00EF5CD2" w:rsidRDefault="0010273D" w:rsidP="00B535F1">
      <w:pPr>
        <w:pStyle w:val="FootnoteText"/>
      </w:pPr>
      <w:r>
        <w:rPr>
          <w:rStyle w:val="FootnoteReference"/>
        </w:rPr>
        <w:footnoteRef/>
      </w:r>
      <w:r>
        <w:t xml:space="preserve"> </w:t>
      </w:r>
      <w:r w:rsidR="00903CFF">
        <w:t>The</w:t>
      </w:r>
      <w:r>
        <w:t xml:space="preserve"> definition of historical baseline period (1980–2019) is based on the maximum length of Daymet observation</w:t>
      </w:r>
      <w:r w:rsidRPr="00EF5CD2">
        <w:t>.</w:t>
      </w:r>
      <w:r>
        <w:t xml:space="preserve"> It should not be confused with the historic period of CMIP6 (1870–2014) when the historic </w:t>
      </w:r>
      <w:r w:rsidR="00C65511" w:rsidRPr="00C65511">
        <w:t>greenhouse gas</w:t>
      </w:r>
      <w:r>
        <w:t xml:space="preserve"> emission was used to drive GCM simulations.</w:t>
      </w:r>
    </w:p>
  </w:footnote>
  <w:footnote w:id="6">
    <w:p w14:paraId="77A7D857" w14:textId="77777777" w:rsidR="00FD438C" w:rsidRDefault="00FD438C" w:rsidP="00FD438C">
      <w:pPr>
        <w:pStyle w:val="FootnoteText"/>
      </w:pPr>
      <w:r>
        <w:rPr>
          <w:rStyle w:val="FootnoteReference"/>
        </w:rPr>
        <w:footnoteRef/>
      </w:r>
      <w:r>
        <w:t xml:space="preserve"> Among the 132 federal hydropower plants considered in this study, </w:t>
      </w:r>
      <w:r w:rsidRPr="002F1214">
        <w:t xml:space="preserve">four plants are not represented </w:t>
      </w:r>
      <w:r>
        <w:t xml:space="preserve">in WMP </w:t>
      </w:r>
      <w:r w:rsidRPr="002F1214">
        <w:t>because they are either pumped storage plants or plant</w:t>
      </w:r>
      <w:r>
        <w:t>s</w:t>
      </w:r>
      <w:r w:rsidRPr="002F1214">
        <w:t xml:space="preserve"> with capacity less than 1 MW</w:t>
      </w:r>
      <w:r>
        <w:t>.</w:t>
      </w:r>
    </w:p>
  </w:footnote>
  <w:footnote w:id="7">
    <w:p w14:paraId="6AF34FB9" w14:textId="41D388DB" w:rsidR="0010273D" w:rsidRDefault="0010273D" w:rsidP="00C12CD4">
      <w:pPr>
        <w:pStyle w:val="FootnoteText"/>
      </w:pPr>
      <w:r>
        <w:rPr>
          <w:rStyle w:val="FootnoteReference"/>
        </w:rPr>
        <w:footnoteRef/>
      </w:r>
      <w:r>
        <w:t xml:space="preserve"> One exception is the direct sales from BPA to </w:t>
      </w:r>
      <w:r w:rsidR="00C731B2">
        <w:t>d</w:t>
      </w:r>
      <w:r>
        <w:t>irect</w:t>
      </w:r>
      <w:r w:rsidR="00C731B2">
        <w:t>-s</w:t>
      </w:r>
      <w:r>
        <w:t xml:space="preserve">ervice </w:t>
      </w:r>
      <w:r w:rsidR="00C731B2">
        <w:t>i</w:t>
      </w:r>
      <w:r>
        <w:t xml:space="preserve">ndustries. Historically, BPA served many </w:t>
      </w:r>
      <w:r w:rsidR="00331076">
        <w:t>direct-service industries</w:t>
      </w:r>
      <w:r>
        <w:t xml:space="preserve"> (</w:t>
      </w:r>
      <w:r w:rsidR="00B43BFB">
        <w:t xml:space="preserve">largely </w:t>
      </w:r>
      <w:r>
        <w:t xml:space="preserve">aluminum smelters). Today, BPA just serves one </w:t>
      </w:r>
      <w:r w:rsidR="00331076">
        <w:t>direct-service industry</w:t>
      </w:r>
      <w:r>
        <w:t>.</w:t>
      </w:r>
    </w:p>
  </w:footnote>
  <w:footnote w:id="8">
    <w:p w14:paraId="13465782" w14:textId="77777777" w:rsidR="0010273D" w:rsidRDefault="0010273D" w:rsidP="00C12CD4">
      <w:pPr>
        <w:pStyle w:val="FootnoteText"/>
      </w:pPr>
      <w:r>
        <w:rPr>
          <w:rStyle w:val="FootnoteReference"/>
        </w:rPr>
        <w:footnoteRef/>
      </w:r>
      <w:r>
        <w:t xml:space="preserve"> Total sales = residential sales + commercial sales + industrial sales + transportation sales. </w:t>
      </w:r>
    </w:p>
  </w:footnote>
  <w:footnote w:id="9">
    <w:p w14:paraId="43FB0CFB" w14:textId="77777777" w:rsidR="00F71B8C" w:rsidRDefault="00F71B8C" w:rsidP="00F71B8C">
      <w:pPr>
        <w:pStyle w:val="FootnoteText"/>
      </w:pPr>
      <w:r>
        <w:rPr>
          <w:rStyle w:val="FootnoteReference"/>
        </w:rPr>
        <w:footnoteRef/>
      </w:r>
      <w:r>
        <w:t xml:space="preserve"> Total retail load means all retail electric power consumption, including electric system losses and excluding nonfirm loads, interruptible loads, and transfer loads.</w:t>
      </w:r>
    </w:p>
  </w:footnote>
  <w:footnote w:id="10">
    <w:p w14:paraId="60345711" w14:textId="3AEBF468" w:rsidR="0010273D" w:rsidRPr="00EF5CD2" w:rsidRDefault="0010273D" w:rsidP="00E82EE8">
      <w:pPr>
        <w:pStyle w:val="FootnoteText"/>
      </w:pPr>
      <w:r>
        <w:rPr>
          <w:rStyle w:val="FootnoteReference"/>
        </w:rPr>
        <w:footnoteRef/>
      </w:r>
      <w:r>
        <w:t xml:space="preserve"> The </w:t>
      </w:r>
      <w:r w:rsidRPr="00EF5CD2">
        <w:t xml:space="preserve">correspondence between the 18 </w:t>
      </w:r>
      <w:r>
        <w:t>study areas</w:t>
      </w:r>
      <w:r w:rsidRPr="00EF5CD2">
        <w:t xml:space="preserve"> and nine subregions used for the power marketing analysis </w:t>
      </w:r>
      <w:r>
        <w:t xml:space="preserve">and further details </w:t>
      </w:r>
      <w:r w:rsidR="005606E5">
        <w:t xml:space="preserve">of </w:t>
      </w:r>
      <w:r>
        <w:t xml:space="preserve">the hydropower facilities marketed by each PMA area are listed in </w:t>
      </w:r>
      <w:r>
        <w:rPr>
          <w:lang w:eastAsia="zh-TW"/>
        </w:rPr>
        <w:fldChar w:fldCharType="begin"/>
      </w:r>
      <w:r>
        <w:rPr>
          <w:lang w:eastAsia="zh-TW"/>
        </w:rPr>
        <w:instrText xml:space="preserve"> REF _Ref81737985 \n \h </w:instrText>
      </w:r>
      <w:r>
        <w:rPr>
          <w:lang w:eastAsia="zh-TW"/>
        </w:rPr>
      </w:r>
      <w:r>
        <w:rPr>
          <w:lang w:eastAsia="zh-TW"/>
        </w:rPr>
        <w:fldChar w:fldCharType="separate"/>
      </w:r>
      <w:r w:rsidR="00EE0BF5">
        <w:rPr>
          <w:lang w:eastAsia="zh-TW"/>
        </w:rPr>
        <w:t>APPENDIX H</w:t>
      </w:r>
      <w:r>
        <w:rPr>
          <w:lang w:eastAsia="zh-TW"/>
        </w:rPr>
        <w:fldChar w:fldCharType="end"/>
      </w:r>
      <w:r w:rsidRPr="00EF5CD2">
        <w:t>.</w:t>
      </w:r>
    </w:p>
  </w:footnote>
  <w:footnote w:id="11">
    <w:p w14:paraId="0DAE31FC" w14:textId="77777777" w:rsidR="00D65513" w:rsidRDefault="00D65513" w:rsidP="00D65513">
      <w:pPr>
        <w:pStyle w:val="FootnoteText"/>
      </w:pPr>
      <w:r>
        <w:rPr>
          <w:rStyle w:val="FootnoteReference"/>
        </w:rPr>
        <w:footnoteRef/>
      </w:r>
      <w:r>
        <w:t xml:space="preserve"> The census Place boundary includes both incorporated places and census-designated places.</w:t>
      </w:r>
    </w:p>
  </w:footnote>
  <w:footnote w:id="12">
    <w:p w14:paraId="770203AA" w14:textId="64B45D50" w:rsidR="0010273D" w:rsidRDefault="0010273D" w:rsidP="009F09AE">
      <w:pPr>
        <w:pStyle w:val="FootnoteText"/>
      </w:pPr>
      <w:r>
        <w:rPr>
          <w:rStyle w:val="FootnoteReference"/>
        </w:rPr>
        <w:footnoteRef/>
      </w:r>
      <w:r>
        <w:t xml:space="preserve"> The Hausman test assesses whether the individual effects are correlated with the regressors. If the null hypothesis of no correlation cannot be rejected, the random effects model is preferred; if the null hypothesis is rejected, only the fixed effects model is consistent. A Breusch</w:t>
      </w:r>
      <w:r w:rsidR="00143F40">
        <w:t>–</w:t>
      </w:r>
      <w:r>
        <w:t xml:space="preserve">Pagan </w:t>
      </w:r>
      <w:r w:rsidR="006F5662" w:rsidRPr="006F5662">
        <w:t>Lagrange multiplier</w:t>
      </w:r>
      <w:r>
        <w:t xml:space="preserve"> test considers the null hypothesis of zero variance across utilities. If not rejected, the pooled estimator is the preferred option.</w:t>
      </w:r>
    </w:p>
  </w:footnote>
  <w:footnote w:id="13">
    <w:p w14:paraId="12C21B9A" w14:textId="766CA6CB" w:rsidR="0010273D" w:rsidRDefault="0010273D" w:rsidP="00C12CD4">
      <w:pPr>
        <w:pStyle w:val="FootnoteText"/>
      </w:pPr>
      <w:r>
        <w:rPr>
          <w:rStyle w:val="FootnoteReference"/>
        </w:rPr>
        <w:footnoteRef/>
      </w:r>
      <w:r>
        <w:t xml:space="preserve"> </w:t>
      </w:r>
      <w:r w:rsidRPr="00515D70">
        <w:t>A modified version of the R</w:t>
      </w:r>
      <w:r w:rsidRPr="00515D70">
        <w:rPr>
          <w:vertAlign w:val="superscript"/>
        </w:rPr>
        <w:t>2</w:t>
      </w:r>
      <w:r w:rsidR="009E6244">
        <w:t xml:space="preserve">, </w:t>
      </w:r>
      <w:r w:rsidRPr="00515D70">
        <w:t>which is adjusted by the number of regressors</w:t>
      </w:r>
      <w:r w:rsidR="00143F40">
        <w:t>,</w:t>
      </w:r>
      <w:r w:rsidRPr="00515D70">
        <w:t xml:space="preserve"> </w:t>
      </w:r>
      <w:r w:rsidR="00143F40">
        <w:t xml:space="preserve">was </w:t>
      </w:r>
      <w:r w:rsidRPr="00515D70">
        <w:t>used. This adjusted R</w:t>
      </w:r>
      <w:r w:rsidRPr="00515D70">
        <w:rPr>
          <w:vertAlign w:val="superscript"/>
        </w:rPr>
        <w:t>2</w:t>
      </w:r>
      <w:r w:rsidRPr="00143F40">
        <w:t xml:space="preserve"> </w:t>
      </w:r>
      <w:r w:rsidRPr="00515D70">
        <w:t>only increase</w:t>
      </w:r>
      <w:r w:rsidR="00143F40">
        <w:t>d</w:t>
      </w:r>
      <w:r w:rsidRPr="00515D70">
        <w:t xml:space="preserve"> upon introduction of a new regressor if the explanatory power of the model increase</w:t>
      </w:r>
      <w:r w:rsidR="00143F40">
        <w:t>d</w:t>
      </w:r>
      <w:r w:rsidRPr="00515D70">
        <w:t xml:space="preserve"> by more than what would be expected by chance; otherwise, it decrease</w:t>
      </w:r>
      <w:r w:rsidR="00143F40">
        <w:t>d</w:t>
      </w:r>
      <w:r w:rsidRPr="00515D70">
        <w:t>.</w:t>
      </w:r>
    </w:p>
  </w:footnote>
  <w:footnote w:id="14">
    <w:p w14:paraId="674F31C8" w14:textId="2D35B161" w:rsidR="0010273D" w:rsidRDefault="0010273D" w:rsidP="00E82EE8">
      <w:pPr>
        <w:pStyle w:val="FootnoteText"/>
      </w:pPr>
      <w:r>
        <w:rPr>
          <w:rStyle w:val="FootnoteReference"/>
        </w:rPr>
        <w:footnoteRef/>
      </w:r>
      <w:r>
        <w:t xml:space="preserve"> The Northwest Power Act also led to the creation of BPA</w:t>
      </w:r>
      <w:r w:rsidR="00805545">
        <w:t>’</w:t>
      </w:r>
      <w:r>
        <w:t xml:space="preserve">s Residential Exchange Program through which BPA makes payments to </w:t>
      </w:r>
      <w:r w:rsidR="00767DBD">
        <w:t>IOUs</w:t>
      </w:r>
      <w:r>
        <w:t xml:space="preserve"> so that their residential and small farm customers pay similar rates for their power as BPA preference customers.</w:t>
      </w:r>
    </w:p>
  </w:footnote>
  <w:footnote w:id="15">
    <w:p w14:paraId="17C00587" w14:textId="77777777" w:rsidR="0010273D" w:rsidRDefault="0010273D" w:rsidP="00B044F2">
      <w:pPr>
        <w:pStyle w:val="FootnoteText"/>
      </w:pPr>
      <w:r>
        <w:rPr>
          <w:rStyle w:val="FootnoteReference"/>
        </w:rPr>
        <w:footnoteRef/>
      </w:r>
      <w:r>
        <w:t xml:space="preserve"> </w:t>
      </w:r>
      <w:r w:rsidRPr="001B49D4">
        <w:t>https://www.bpa.gov/p/Generation/White-Book/wb/2019-WBK-Summary.pdf</w:t>
      </w:r>
    </w:p>
  </w:footnote>
  <w:footnote w:id="16">
    <w:p w14:paraId="3024F5D5" w14:textId="3724F9F4" w:rsidR="0010273D" w:rsidRDefault="0010273D" w:rsidP="00B044F2">
      <w:pPr>
        <w:pStyle w:val="FootnoteText"/>
      </w:pPr>
      <w:r>
        <w:rPr>
          <w:rStyle w:val="FootnoteReference"/>
        </w:rPr>
        <w:footnoteRef/>
      </w:r>
      <w:r>
        <w:t xml:space="preserve"> In the 2020 edition of its Resource Program analysis, BPA concluded that the least cost mix of resources to meet BPA</w:t>
      </w:r>
      <w:r w:rsidR="00805545">
        <w:t>’</w:t>
      </w:r>
      <w:r>
        <w:t>s expected energy needs is a combination of energy efficiency and energy purchased from the wholesale market (rather than building or maintaining additional generation resources).</w:t>
      </w:r>
    </w:p>
  </w:footnote>
  <w:footnote w:id="17">
    <w:p w14:paraId="612F0FD6" w14:textId="77777777" w:rsidR="0010273D" w:rsidRDefault="0010273D" w:rsidP="00E82EE8">
      <w:pPr>
        <w:pStyle w:val="FootnoteText"/>
      </w:pPr>
      <w:r>
        <w:rPr>
          <w:rStyle w:val="FootnoteReference"/>
        </w:rPr>
        <w:footnoteRef/>
      </w:r>
      <w:r>
        <w:t xml:space="preserve"> </w:t>
      </w:r>
      <w:r w:rsidRPr="00433690">
        <w:t>https://www.bpa.gov/StrategicPlan/StrategicPlan/2018-Strategic-Plan.pdf</w:t>
      </w:r>
    </w:p>
  </w:footnote>
  <w:footnote w:id="18">
    <w:p w14:paraId="4461C8DB" w14:textId="2B1FEC73" w:rsidR="0010273D" w:rsidRDefault="0010273D" w:rsidP="008E7619">
      <w:pPr>
        <w:pStyle w:val="FootnoteText"/>
      </w:pPr>
      <w:r>
        <w:rPr>
          <w:rStyle w:val="FootnoteReference"/>
        </w:rPr>
        <w:footnoteRef/>
      </w:r>
      <w:r>
        <w:t xml:space="preserve"> </w:t>
      </w:r>
      <w:r w:rsidRPr="00CC72A2">
        <w:rPr>
          <w:lang w:bidi="en-US"/>
        </w:rPr>
        <w:t xml:space="preserve">Interannual variability refers to the differences </w:t>
      </w:r>
      <w:r>
        <w:rPr>
          <w:lang w:bidi="en-US"/>
        </w:rPr>
        <w:t>seen</w:t>
      </w:r>
      <w:r w:rsidRPr="00CC72A2">
        <w:rPr>
          <w:lang w:bidi="en-US"/>
        </w:rPr>
        <w:t xml:space="preserve"> between the years</w:t>
      </w:r>
      <w:r>
        <w:rPr>
          <w:lang w:bidi="en-US"/>
        </w:rPr>
        <w:t>,</w:t>
      </w:r>
      <w:r w:rsidRPr="00CC72A2">
        <w:rPr>
          <w:lang w:bidi="en-US"/>
        </w:rPr>
        <w:t xml:space="preserve"> and the trend refers to the trend in temperature </w:t>
      </w:r>
      <w:r>
        <w:rPr>
          <w:lang w:bidi="en-US"/>
        </w:rPr>
        <w:t>seen</w:t>
      </w:r>
      <w:r w:rsidRPr="00CC72A2">
        <w:rPr>
          <w:lang w:bidi="en-US"/>
        </w:rPr>
        <w:t xml:space="preserve"> from 1980 to 20</w:t>
      </w:r>
      <w:r>
        <w:rPr>
          <w:lang w:bidi="en-US"/>
        </w:rPr>
        <w:t>59</w:t>
      </w:r>
      <w:r w:rsidRPr="00CC72A2">
        <w:rPr>
          <w:lang w:bidi="en-US"/>
        </w:rPr>
        <w:t xml:space="preserve"> in the models and 1980 to 2019 in the observations</w:t>
      </w:r>
      <w:r>
        <w:rPr>
          <w:lang w:bidi="en-US"/>
        </w:rPr>
        <w:t>. This applies to Section</w:t>
      </w:r>
      <w:r w:rsidR="00321D04">
        <w:rPr>
          <w:lang w:bidi="en-US"/>
        </w:rPr>
        <w:t>s</w:t>
      </w:r>
      <w:r>
        <w:rPr>
          <w:lang w:bidi="en-US"/>
        </w:rPr>
        <w:t xml:space="preserve"> </w:t>
      </w:r>
      <w:r>
        <w:rPr>
          <w:lang w:bidi="en-US"/>
        </w:rPr>
        <w:fldChar w:fldCharType="begin"/>
      </w:r>
      <w:r>
        <w:rPr>
          <w:lang w:bidi="en-US"/>
        </w:rPr>
        <w:instrText xml:space="preserve"> REF _Ref425756396 \n \h </w:instrText>
      </w:r>
      <w:r>
        <w:rPr>
          <w:lang w:bidi="en-US"/>
        </w:rPr>
      </w:r>
      <w:r>
        <w:rPr>
          <w:lang w:bidi="en-US"/>
        </w:rPr>
        <w:fldChar w:fldCharType="separate"/>
      </w:r>
      <w:r w:rsidR="00EE0BF5">
        <w:rPr>
          <w:lang w:bidi="en-US"/>
        </w:rPr>
        <w:t>4.2.1</w:t>
      </w:r>
      <w:r>
        <w:rPr>
          <w:lang w:bidi="en-US"/>
        </w:rPr>
        <w:fldChar w:fldCharType="end"/>
      </w:r>
      <w:r w:rsidR="00321D04">
        <w:rPr>
          <w:lang w:bidi="en-US"/>
        </w:rPr>
        <w:t xml:space="preserve">, </w:t>
      </w:r>
      <w:r>
        <w:rPr>
          <w:lang w:bidi="en-US"/>
        </w:rPr>
        <w:fldChar w:fldCharType="begin"/>
      </w:r>
      <w:r>
        <w:rPr>
          <w:lang w:bidi="en-US"/>
        </w:rPr>
        <w:instrText xml:space="preserve"> REF _Ref81829390 \n \h </w:instrText>
      </w:r>
      <w:r>
        <w:rPr>
          <w:lang w:bidi="en-US"/>
        </w:rPr>
      </w:r>
      <w:r>
        <w:rPr>
          <w:lang w:bidi="en-US"/>
        </w:rPr>
        <w:fldChar w:fldCharType="separate"/>
      </w:r>
      <w:r w:rsidR="00EE0BF5">
        <w:rPr>
          <w:lang w:bidi="en-US"/>
        </w:rPr>
        <w:t>5.2.1</w:t>
      </w:r>
      <w:r>
        <w:rPr>
          <w:lang w:bidi="en-US"/>
        </w:rPr>
        <w:fldChar w:fldCharType="end"/>
      </w:r>
      <w:r w:rsidR="00321D04">
        <w:rPr>
          <w:lang w:bidi="en-US"/>
        </w:rPr>
        <w:t xml:space="preserve">, and </w:t>
      </w:r>
      <w:r>
        <w:rPr>
          <w:lang w:bidi="en-US"/>
        </w:rPr>
        <w:fldChar w:fldCharType="begin"/>
      </w:r>
      <w:r>
        <w:rPr>
          <w:lang w:bidi="en-US"/>
        </w:rPr>
        <w:instrText xml:space="preserve"> REF _Ref81829397 \n \h </w:instrText>
      </w:r>
      <w:r>
        <w:rPr>
          <w:lang w:bidi="en-US"/>
        </w:rPr>
      </w:r>
      <w:r>
        <w:rPr>
          <w:lang w:bidi="en-US"/>
        </w:rPr>
        <w:fldChar w:fldCharType="separate"/>
      </w:r>
      <w:r w:rsidR="00EE0BF5">
        <w:rPr>
          <w:lang w:bidi="en-US"/>
        </w:rPr>
        <w:t>6.2.1</w:t>
      </w:r>
      <w:r>
        <w:rPr>
          <w:lang w:bidi="en-US"/>
        </w:rPr>
        <w:fldChar w:fldCharType="end"/>
      </w:r>
      <w:r>
        <w:rPr>
          <w:lang w:bidi="en-US"/>
        </w:rPr>
        <w:t>.</w:t>
      </w:r>
    </w:p>
  </w:footnote>
  <w:footnote w:id="19">
    <w:p w14:paraId="7BE3CBC4" w14:textId="77777777" w:rsidR="00AB0C7F" w:rsidRDefault="00AB0C7F" w:rsidP="00AB0C7F">
      <w:pPr>
        <w:pStyle w:val="FootnoteText"/>
      </w:pPr>
      <w:r>
        <w:rPr>
          <w:rStyle w:val="FootnoteReference"/>
        </w:rPr>
        <w:footnoteRef/>
      </w:r>
      <w:r>
        <w:t xml:space="preserve"> Although the total retail load information was available for all 134 BPA preference customers, some of the other variables used to estimate the load equation (e.g., price and income) were only available for 91 preference customers.</w:t>
      </w:r>
    </w:p>
  </w:footnote>
  <w:footnote w:id="20">
    <w:p w14:paraId="6D0D181C" w14:textId="6B8E0250" w:rsidR="00AB0C7F" w:rsidRDefault="00AB0C7F" w:rsidP="00AB0C7F">
      <w:pPr>
        <w:pStyle w:val="FootnoteText"/>
      </w:pPr>
      <w:r>
        <w:rPr>
          <w:rStyle w:val="FootnoteReference"/>
        </w:rPr>
        <w:footnoteRef/>
      </w:r>
      <w:r>
        <w:t xml:space="preserve"> A description of the method used for estimating air conditioning penetration is presented in </w:t>
      </w:r>
      <w:r>
        <w:rPr>
          <w:lang w:eastAsia="zh-TW"/>
        </w:rPr>
        <w:fldChar w:fldCharType="begin"/>
      </w:r>
      <w:r>
        <w:rPr>
          <w:lang w:eastAsia="zh-TW"/>
        </w:rPr>
        <w:instrText xml:space="preserve"> REF _Ref81737985 \n \h </w:instrText>
      </w:r>
      <w:r>
        <w:rPr>
          <w:lang w:eastAsia="zh-TW"/>
        </w:rPr>
      </w:r>
      <w:r>
        <w:rPr>
          <w:lang w:eastAsia="zh-TW"/>
        </w:rPr>
        <w:fldChar w:fldCharType="separate"/>
      </w:r>
      <w:r w:rsidR="00EE0BF5">
        <w:rPr>
          <w:lang w:eastAsia="zh-TW"/>
        </w:rPr>
        <w:t>APPENDIX H</w:t>
      </w:r>
      <w:r>
        <w:rPr>
          <w:lang w:eastAsia="zh-TW"/>
        </w:rPr>
        <w:fldChar w:fldCharType="end"/>
      </w:r>
      <w:r>
        <w:t>.</w:t>
      </w:r>
    </w:p>
  </w:footnote>
  <w:footnote w:id="21">
    <w:p w14:paraId="2A62D865" w14:textId="463FD2A6" w:rsidR="00AB0C7F" w:rsidRDefault="00AB0C7F" w:rsidP="00AB0C7F">
      <w:pPr>
        <w:pStyle w:val="FootnoteText"/>
      </w:pPr>
      <w:r>
        <w:rPr>
          <w:rStyle w:val="FootnoteReference"/>
        </w:rPr>
        <w:footnoteRef/>
      </w:r>
      <w:r>
        <w:t xml:space="preserve"> Average HDDs and CDDs in the BPA region in 2006–2019 are 4,069 and 364 in the Daymet data</w:t>
      </w:r>
      <w:r w:rsidR="005606E5">
        <w:t xml:space="preserve"> </w:t>
      </w:r>
      <w:r>
        <w:t xml:space="preserve">set. </w:t>
      </w:r>
    </w:p>
  </w:footnote>
  <w:footnote w:id="22">
    <w:p w14:paraId="3390DBE3" w14:textId="525F3637" w:rsidR="0010273D" w:rsidRDefault="0010273D" w:rsidP="00C45D3F">
      <w:pPr>
        <w:pStyle w:val="FootnoteText"/>
      </w:pPr>
      <w:r>
        <w:rPr>
          <w:rStyle w:val="FootnoteReference"/>
        </w:rPr>
        <w:footnoteRef/>
      </w:r>
      <w:r>
        <w:t xml:space="preserve"> The appropriate classification of months into seasons for estimating the response of load to temperature may be affected by climate change. For instance, as temperatures warm, the CDD response seen for summer may extend into September. </w:t>
      </w:r>
    </w:p>
  </w:footnote>
  <w:footnote w:id="23">
    <w:p w14:paraId="13D3F55D" w14:textId="533F4191" w:rsidR="000D1DB1" w:rsidRDefault="000D1DB1" w:rsidP="000D1DB1">
      <w:pPr>
        <w:pStyle w:val="FootnoteText"/>
      </w:pPr>
      <w:r>
        <w:rPr>
          <w:rStyle w:val="FootnoteReference"/>
        </w:rPr>
        <w:footnoteRef/>
      </w:r>
      <w:r>
        <w:t xml:space="preserve"> The weights applied to each of the net load changes are as follows: 0.26 (winter, other customers), 0.03 (winter, large irrigation customers), 0.21 (spring, other customers), 0.03 (spring, large irrigation customers), 0.19 (summer, other customers), 0.04 (summer, large irrigation loads), 0.21 (fall, other customers), 0.03 (fall, large irrigation customers). </w:t>
      </w:r>
    </w:p>
  </w:footnote>
  <w:footnote w:id="24">
    <w:p w14:paraId="7AAD2255" w14:textId="77777777" w:rsidR="0010273D" w:rsidRDefault="0010273D" w:rsidP="00317F1F">
      <w:pPr>
        <w:pStyle w:val="FootnoteText"/>
      </w:pPr>
      <w:r>
        <w:rPr>
          <w:rStyle w:val="FootnoteReference"/>
        </w:rPr>
        <w:footnoteRef/>
      </w:r>
      <w:r>
        <w:t xml:space="preserve"> </w:t>
      </w:r>
      <w:r w:rsidRPr="007D083D">
        <w:t>https://www.wapa.gov/newsroom/Publications/Documents/25yr-history_2.pdf</w:t>
      </w:r>
    </w:p>
  </w:footnote>
  <w:footnote w:id="25">
    <w:p w14:paraId="0B15875E" w14:textId="31BF36F1" w:rsidR="0010273D" w:rsidRDefault="0010273D" w:rsidP="00317F1F">
      <w:pPr>
        <w:pStyle w:val="FootnoteText"/>
      </w:pPr>
      <w:r>
        <w:rPr>
          <w:rStyle w:val="FootnoteReference"/>
        </w:rPr>
        <w:footnoteRef/>
      </w:r>
      <w:r>
        <w:t xml:space="preserve"> The Olmsted power plant is more than 100 years old </w:t>
      </w:r>
      <w:r w:rsidR="008A7F6E">
        <w:t xml:space="preserve">and </w:t>
      </w:r>
      <w:r>
        <w:t>was acquired from PacifiCorp by the US government in condemnation proceedings in 1990. However, the agreement was for PacifiCorp to continue operating the facility until 2015</w:t>
      </w:r>
      <w:r w:rsidR="008A7F6E">
        <w:t>,</w:t>
      </w:r>
      <w:r>
        <w:t xml:space="preserve"> at which point it became Reclamation</w:t>
      </w:r>
      <w:r w:rsidR="00805545">
        <w:t>’</w:t>
      </w:r>
      <w:r>
        <w:t>s responsibility. As part of an implementation agreement signed in 2015 by the Central Utah Water Conservancy District, Department of the Interior, Reclamation, and WAPA, the District replaced the old plant with a new powerhouse. The new facility started operation in 2018</w:t>
      </w:r>
      <w:r w:rsidR="008A7F6E">
        <w:t>,</w:t>
      </w:r>
      <w:r>
        <w:t xml:space="preserve"> and WAPA markets its power. </w:t>
      </w:r>
    </w:p>
  </w:footnote>
  <w:footnote w:id="26">
    <w:p w14:paraId="53F6C5F0" w14:textId="42B1C478" w:rsidR="0010273D" w:rsidRDefault="0010273D" w:rsidP="00317F1F">
      <w:pPr>
        <w:pStyle w:val="FootnoteText"/>
      </w:pPr>
      <w:r>
        <w:rPr>
          <w:rStyle w:val="FootnoteReference"/>
        </w:rPr>
        <w:footnoteRef/>
      </w:r>
      <w:r>
        <w:t xml:space="preserve"> For the Central Valley Project, WAPA can develop custom products additional to a set percentage of the project</w:t>
      </w:r>
      <w:r w:rsidR="00805545">
        <w:t>’</w:t>
      </w:r>
      <w:r>
        <w:t>s marketable energy. Those customer products include firming power, ancillary services, reserves, and scheduling coordinator services. Additionally, WAPA manages an exchange program among the Central Valley Project customers to ensure any energy that cannot be used in real time by the customer to whom it is allocated is made available to others.</w:t>
      </w:r>
    </w:p>
  </w:footnote>
  <w:footnote w:id="27">
    <w:p w14:paraId="54B371E1" w14:textId="5F2D44E4" w:rsidR="0010273D" w:rsidRDefault="0010273D" w:rsidP="00153EAC">
      <w:pPr>
        <w:pStyle w:val="FootnoteText"/>
      </w:pPr>
      <w:r>
        <w:rPr>
          <w:rStyle w:val="FootnoteReference"/>
        </w:rPr>
        <w:footnoteRef/>
      </w:r>
      <w:r>
        <w:t xml:space="preserve"> An </w:t>
      </w:r>
      <w:r w:rsidR="005F69EF">
        <w:t>EIM</w:t>
      </w:r>
      <w:r>
        <w:t xml:space="preserve"> is a real-time market (5-minute dispatch intervals) that resolves the imbalance between the supply and demand day-ahead forecasts and real-time needs. There are important differences in joining an </w:t>
      </w:r>
      <w:r w:rsidR="005F69EF">
        <w:t>EIM</w:t>
      </w:r>
      <w:r>
        <w:t xml:space="preserve"> vs</w:t>
      </w:r>
      <w:r w:rsidR="005F69EF">
        <w:t>.</w:t>
      </w:r>
      <w:r>
        <w:t xml:space="preserve"> an ISO/RTO. Resource offers in an </w:t>
      </w:r>
      <w:r w:rsidR="005F69EF">
        <w:t>EIM</w:t>
      </w:r>
      <w:r>
        <w:t xml:space="preserve"> are voluntary and each balancing authority conducts its own transmission and reserves planning. Joining an ISO/RTO gives access to more markets (day-ahead, real-time energy and ancillary services markets) but also requires joint transmission planning and resource adequacy planning, which reduces the balancing authority</w:t>
      </w:r>
      <w:r w:rsidR="00805545">
        <w:t>’</w:t>
      </w:r>
      <w:r>
        <w:t>s autonomy.</w:t>
      </w:r>
    </w:p>
  </w:footnote>
  <w:footnote w:id="28">
    <w:p w14:paraId="43368A2C" w14:textId="77777777" w:rsidR="00F60D9F" w:rsidRDefault="00F60D9F" w:rsidP="00F60D9F">
      <w:pPr>
        <w:pStyle w:val="FootnoteText"/>
      </w:pPr>
      <w:r>
        <w:rPr>
          <w:rStyle w:val="FootnoteReference"/>
        </w:rPr>
        <w:footnoteRef/>
      </w:r>
      <w:r>
        <w:t xml:space="preserve"> A significant fraction of WAPA preference customers in these subregions are federal agencies, state agencies, Native American tribes, and irrigation districts. They typically do not qualify as electric utilities and do not have to file EIA Form 861.</w:t>
      </w:r>
    </w:p>
  </w:footnote>
  <w:footnote w:id="29">
    <w:p w14:paraId="7E8771F9" w14:textId="3A56612B" w:rsidR="0010273D" w:rsidRDefault="0010273D" w:rsidP="00A1410F">
      <w:pPr>
        <w:pStyle w:val="FootnoteText"/>
      </w:pPr>
      <w:r>
        <w:rPr>
          <w:rStyle w:val="FootnoteReference"/>
        </w:rPr>
        <w:footnoteRef/>
      </w:r>
      <w:r w:rsidRPr="00994F41">
        <w:rPr>
          <w:spacing w:val="-4"/>
          <w:kern w:val="0"/>
        </w:rPr>
        <w:t xml:space="preserve"> </w:t>
      </w:r>
      <w:r w:rsidRPr="00994F41">
        <w:rPr>
          <w:kern w:val="0"/>
        </w:rPr>
        <w:t>For the Robert D. Willis Hydropower Project, USACE built the dam in 1951</w:t>
      </w:r>
      <w:r w:rsidR="00A9158C" w:rsidRPr="00994F41">
        <w:rPr>
          <w:kern w:val="0"/>
        </w:rPr>
        <w:t>,</w:t>
      </w:r>
      <w:r w:rsidRPr="00994F41">
        <w:rPr>
          <w:kern w:val="0"/>
        </w:rPr>
        <w:t xml:space="preserve"> but a hydropower facility was not added until the 1980s</w:t>
      </w:r>
      <w:r w:rsidR="00A9158C" w:rsidRPr="00994F41">
        <w:rPr>
          <w:kern w:val="0"/>
        </w:rPr>
        <w:t>,</w:t>
      </w:r>
      <w:r w:rsidRPr="00994F41">
        <w:rPr>
          <w:kern w:val="0"/>
        </w:rPr>
        <w:t xml:space="preserve"> and its construction was financed by Sam Rayburn Municipal Power Agency. In exchange for funding the hydropower construction costs, Sam Rayburn Municipal Power Agency receives all the capacity and energy from the project for a period of 50 years.</w:t>
      </w:r>
    </w:p>
  </w:footnote>
  <w:footnote w:id="30">
    <w:p w14:paraId="18C0360F" w14:textId="69F315B0" w:rsidR="00D17507" w:rsidRDefault="00D17507">
      <w:pPr>
        <w:pStyle w:val="FootnoteText"/>
      </w:pPr>
      <w:r>
        <w:rPr>
          <w:rStyle w:val="FootnoteReference"/>
        </w:rPr>
        <w:footnoteRef/>
      </w:r>
      <w:r>
        <w:t xml:space="preserve"> </w:t>
      </w:r>
      <w:hyperlink r:id="rId2" w:history="1">
        <w:r w:rsidRPr="006C3C5F">
          <w:rPr>
            <w:rStyle w:val="Hyperlink"/>
            <w:rFonts w:eastAsiaTheme="minorEastAsia"/>
            <w:lang w:eastAsia="zh-TW"/>
          </w:rPr>
          <w:t>https://www.ncl.ucar.edu/Document/Functions/Contributed/stat_dispersion.shtml</w:t>
        </w:r>
      </w:hyperlink>
    </w:p>
  </w:footnote>
  <w:footnote w:id="31">
    <w:p w14:paraId="6702F142" w14:textId="4BECECF9" w:rsidR="00DF485F" w:rsidRDefault="00DF485F">
      <w:pPr>
        <w:pStyle w:val="FootnoteText"/>
      </w:pPr>
      <w:r>
        <w:rPr>
          <w:rStyle w:val="FootnoteReference"/>
        </w:rPr>
        <w:footnoteRef/>
      </w:r>
      <w:r>
        <w:t xml:space="preserve"> </w:t>
      </w:r>
      <w:hyperlink r:id="rId3" w:history="1">
        <w:r w:rsidRPr="00984852">
          <w:rPr>
            <w:rStyle w:val="Hyperlink"/>
            <w:rFonts w:eastAsiaTheme="minorEastAsia"/>
            <w:lang w:eastAsia="zh-TW"/>
          </w:rPr>
          <w:t>https://climatedataguide.ucar.edu/climate-data</w:t>
        </w:r>
      </w:hyperlink>
    </w:p>
  </w:footnote>
  <w:footnote w:id="32">
    <w:p w14:paraId="504FE858" w14:textId="77777777" w:rsidR="0010273D" w:rsidRDefault="0010273D" w:rsidP="006C09B3">
      <w:pPr>
        <w:pStyle w:val="FootnoteText"/>
      </w:pPr>
      <w:r>
        <w:rPr>
          <w:rStyle w:val="FootnoteReference"/>
        </w:rPr>
        <w:footnoteRef/>
      </w:r>
      <w:r>
        <w:t xml:space="preserve"> Annual CDDs were computed using temperature data from Daymet and a </w:t>
      </w:r>
      <w:r w:rsidRPr="00EA61E9">
        <w:rPr>
          <w:i/>
          <w:iCs/>
        </w:rPr>
        <w:t>BLP</w:t>
      </w:r>
      <w:r>
        <w:t xml:space="preserve"> of 64</w:t>
      </w:r>
      <w:r>
        <w:rPr>
          <w:rFonts w:cstheme="minorHAnsi"/>
        </w:rPr>
        <w:t>°</w:t>
      </w:r>
      <w:r>
        <w:t>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07628" w14:textId="1CC0799A" w:rsidR="0010273D" w:rsidRPr="006A6F64" w:rsidRDefault="0010273D" w:rsidP="006A6F64">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15E42"/>
    <w:multiLevelType w:val="hybridMultilevel"/>
    <w:tmpl w:val="C7D4A5B4"/>
    <w:lvl w:ilvl="0" w:tplc="97C03C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945962"/>
    <w:multiLevelType w:val="multilevel"/>
    <w:tmpl w:val="146491D6"/>
    <w:lvl w:ilvl="0">
      <w:start w:val="1"/>
      <w:numFmt w:val="upperLetter"/>
      <w:pStyle w:val="Heading9"/>
      <w:suff w:val="space"/>
      <w:lvlText w:val="APPENDIX %1."/>
      <w:lvlJc w:val="left"/>
      <w:pPr>
        <w:ind w:left="9720" w:hanging="360"/>
      </w:pPr>
      <w:rPr>
        <w:rFonts w:ascii="Times New Roman" w:hAnsi="Times New Roman" w:hint="default"/>
        <w:b/>
        <w:i w:val="0"/>
        <w:caps/>
        <w:sz w:val="22"/>
        <w:szCs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015286E"/>
    <w:multiLevelType w:val="hybridMultilevel"/>
    <w:tmpl w:val="FEA829B4"/>
    <w:lvl w:ilvl="0" w:tplc="761CB43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F6B7A88"/>
    <w:multiLevelType w:val="multilevel"/>
    <w:tmpl w:val="706AF70C"/>
    <w:styleLink w:val="Style1"/>
    <w:lvl w:ilvl="0">
      <w:start w:val="1"/>
      <w:numFmt w:val="upperLetter"/>
      <w:suff w:val="space"/>
      <w:lvlText w:val="APPENDIX %1."/>
      <w:lvlJc w:val="left"/>
      <w:pPr>
        <w:ind w:left="720" w:hanging="360"/>
      </w:pPr>
      <w:rPr>
        <w:rFonts w:ascii="Cambria" w:hAnsi="Cambria" w:hint="default"/>
        <w:b/>
        <w:i w:val="0"/>
        <w:caps/>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2E472583"/>
    <w:multiLevelType w:val="hybridMultilevel"/>
    <w:tmpl w:val="2E12C0DE"/>
    <w:lvl w:ilvl="0" w:tplc="ABAA40F4">
      <w:start w:val="1"/>
      <w:numFmt w:val="bullet"/>
      <w:pStyle w:val="BulletList2"/>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110586"/>
    <w:multiLevelType w:val="hybridMultilevel"/>
    <w:tmpl w:val="EE20D748"/>
    <w:lvl w:ilvl="0" w:tplc="04090001">
      <w:start w:val="1"/>
      <w:numFmt w:val="bullet"/>
      <w:lvlText w:val=""/>
      <w:lvlJc w:val="left"/>
      <w:pPr>
        <w:ind w:left="720" w:hanging="360"/>
      </w:pPr>
      <w:rPr>
        <w:rFonts w:ascii="Symbol" w:hAnsi="Symbol" w:hint="default"/>
      </w:rPr>
    </w:lvl>
    <w:lvl w:ilvl="1" w:tplc="7B12DF50">
      <w:start w:val="1"/>
      <w:numFmt w:val="bullet"/>
      <w:pStyle w:val="BulletListo"/>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942741"/>
    <w:multiLevelType w:val="hybridMultilevel"/>
    <w:tmpl w:val="4B24FC7A"/>
    <w:lvl w:ilvl="0" w:tplc="D996C746">
      <w:start w:val="1"/>
      <w:numFmt w:val="lowerLetter"/>
      <w:lvlText w:val="(%1)"/>
      <w:lvlJc w:val="left"/>
      <w:pPr>
        <w:ind w:left="804" w:hanging="44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EB24F4"/>
    <w:multiLevelType w:val="hybridMultilevel"/>
    <w:tmpl w:val="0352C174"/>
    <w:lvl w:ilvl="0" w:tplc="97C03C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7E6257B"/>
    <w:multiLevelType w:val="hybridMultilevel"/>
    <w:tmpl w:val="DA1E740C"/>
    <w:lvl w:ilvl="0" w:tplc="E3944E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877111B"/>
    <w:multiLevelType w:val="hybridMultilevel"/>
    <w:tmpl w:val="DC44CC58"/>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8B56E08"/>
    <w:multiLevelType w:val="hybridMultilevel"/>
    <w:tmpl w:val="5D305838"/>
    <w:lvl w:ilvl="0" w:tplc="04905EBA">
      <w:start w:val="1"/>
      <w:numFmt w:val="upperLetter"/>
      <w:lvlText w:val="(%1)"/>
      <w:lvlJc w:val="left"/>
      <w:pPr>
        <w:ind w:left="1116" w:hanging="39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9E91B81"/>
    <w:multiLevelType w:val="hybridMultilevel"/>
    <w:tmpl w:val="478C52D6"/>
    <w:lvl w:ilvl="0" w:tplc="1C4A8420">
      <w:start w:val="1"/>
      <w:numFmt w:val="decimal"/>
      <w:lvlText w:val="(%1)"/>
      <w:lvlJc w:val="left"/>
      <w:pPr>
        <w:ind w:left="1800" w:hanging="360"/>
      </w:pPr>
      <w:rPr>
        <w:rFont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63091E46"/>
    <w:multiLevelType w:val="multilevel"/>
    <w:tmpl w:val="139A6D7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65FF402A"/>
    <w:multiLevelType w:val="hybridMultilevel"/>
    <w:tmpl w:val="478C52D6"/>
    <w:lvl w:ilvl="0" w:tplc="FFFFFFFF">
      <w:start w:val="1"/>
      <w:numFmt w:val="decimal"/>
      <w:lvlText w:val="(%1)"/>
      <w:lvlJc w:val="left"/>
      <w:pPr>
        <w:ind w:left="1800" w:hanging="360"/>
      </w:pPr>
      <w:rPr>
        <w:rFont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4" w15:restartNumberingAfterBreak="0">
    <w:nsid w:val="6A4D62E9"/>
    <w:multiLevelType w:val="hybridMultilevel"/>
    <w:tmpl w:val="0352C174"/>
    <w:lvl w:ilvl="0" w:tplc="97C03C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B208D3"/>
    <w:multiLevelType w:val="hybridMultilevel"/>
    <w:tmpl w:val="09FED460"/>
    <w:lvl w:ilvl="0" w:tplc="254ACEF2">
      <w:start w:val="1"/>
      <w:numFmt w:val="bullet"/>
      <w:pStyle w:val="Bullet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F55691E"/>
    <w:multiLevelType w:val="hybridMultilevel"/>
    <w:tmpl w:val="E4DC4B04"/>
    <w:lvl w:ilvl="0" w:tplc="97C03C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FA85BE6"/>
    <w:multiLevelType w:val="hybridMultilevel"/>
    <w:tmpl w:val="0352C174"/>
    <w:lvl w:ilvl="0" w:tplc="97C03C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9283759"/>
    <w:multiLevelType w:val="hybridMultilevel"/>
    <w:tmpl w:val="5D305838"/>
    <w:lvl w:ilvl="0" w:tplc="04905EBA">
      <w:start w:val="1"/>
      <w:numFmt w:val="upperLetter"/>
      <w:lvlText w:val="(%1)"/>
      <w:lvlJc w:val="left"/>
      <w:pPr>
        <w:ind w:left="1116" w:hanging="39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9952CE8"/>
    <w:multiLevelType w:val="hybridMultilevel"/>
    <w:tmpl w:val="D100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E5B4701"/>
    <w:multiLevelType w:val="hybridMultilevel"/>
    <w:tmpl w:val="2FC4E950"/>
    <w:lvl w:ilvl="0" w:tplc="56E2B27E">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6"/>
  </w:num>
  <w:num w:numId="3">
    <w:abstractNumId w:val="17"/>
  </w:num>
  <w:num w:numId="4">
    <w:abstractNumId w:val="18"/>
  </w:num>
  <w:num w:numId="5">
    <w:abstractNumId w:val="7"/>
  </w:num>
  <w:num w:numId="6">
    <w:abstractNumId w:val="10"/>
  </w:num>
  <w:num w:numId="7">
    <w:abstractNumId w:val="2"/>
  </w:num>
  <w:num w:numId="8">
    <w:abstractNumId w:val="14"/>
  </w:num>
  <w:num w:numId="9">
    <w:abstractNumId w:val="20"/>
  </w:num>
  <w:num w:numId="10">
    <w:abstractNumId w:val="4"/>
  </w:num>
  <w:num w:numId="11">
    <w:abstractNumId w:val="19"/>
  </w:num>
  <w:num w:numId="12">
    <w:abstractNumId w:val="3"/>
  </w:num>
  <w:num w:numId="13">
    <w:abstractNumId w:val="9"/>
  </w:num>
  <w:num w:numId="14">
    <w:abstractNumId w:val="8"/>
  </w:num>
  <w:num w:numId="15">
    <w:abstractNumId w:val="11"/>
  </w:num>
  <w:num w:numId="16">
    <w:abstractNumId w:val="5"/>
  </w:num>
  <w:num w:numId="17">
    <w:abstractNumId w:val="16"/>
  </w:num>
  <w:num w:numId="18">
    <w:abstractNumId w:val="0"/>
  </w:num>
  <w:num w:numId="19">
    <w:abstractNumId w:val="12"/>
  </w:num>
  <w:num w:numId="20">
    <w:abstractNumId w:val="1"/>
  </w:num>
  <w:num w:numId="21">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B38"/>
    <w:rsid w:val="0000030A"/>
    <w:rsid w:val="0000064E"/>
    <w:rsid w:val="000007C1"/>
    <w:rsid w:val="00000832"/>
    <w:rsid w:val="00000C5C"/>
    <w:rsid w:val="00000D7A"/>
    <w:rsid w:val="00000FA8"/>
    <w:rsid w:val="00001158"/>
    <w:rsid w:val="000011B1"/>
    <w:rsid w:val="000013E5"/>
    <w:rsid w:val="000013F7"/>
    <w:rsid w:val="00001483"/>
    <w:rsid w:val="00001DF2"/>
    <w:rsid w:val="0000211C"/>
    <w:rsid w:val="000024B6"/>
    <w:rsid w:val="0000386D"/>
    <w:rsid w:val="000038E5"/>
    <w:rsid w:val="00003BCC"/>
    <w:rsid w:val="00004223"/>
    <w:rsid w:val="000043A4"/>
    <w:rsid w:val="00004469"/>
    <w:rsid w:val="0000450B"/>
    <w:rsid w:val="00004624"/>
    <w:rsid w:val="00004B8D"/>
    <w:rsid w:val="00004C92"/>
    <w:rsid w:val="00004CED"/>
    <w:rsid w:val="00004DDB"/>
    <w:rsid w:val="00004F50"/>
    <w:rsid w:val="00005310"/>
    <w:rsid w:val="00005347"/>
    <w:rsid w:val="00005582"/>
    <w:rsid w:val="00005ADA"/>
    <w:rsid w:val="00005B6F"/>
    <w:rsid w:val="00005BF3"/>
    <w:rsid w:val="00005C92"/>
    <w:rsid w:val="0000608A"/>
    <w:rsid w:val="00006184"/>
    <w:rsid w:val="000061A9"/>
    <w:rsid w:val="00006345"/>
    <w:rsid w:val="000068B9"/>
    <w:rsid w:val="00006B74"/>
    <w:rsid w:val="00006EF9"/>
    <w:rsid w:val="00007147"/>
    <w:rsid w:val="000076B5"/>
    <w:rsid w:val="000101F9"/>
    <w:rsid w:val="0001088E"/>
    <w:rsid w:val="000108A3"/>
    <w:rsid w:val="00010CAC"/>
    <w:rsid w:val="00010FBC"/>
    <w:rsid w:val="0001155D"/>
    <w:rsid w:val="000118F2"/>
    <w:rsid w:val="000119B6"/>
    <w:rsid w:val="00011B26"/>
    <w:rsid w:val="00011C10"/>
    <w:rsid w:val="00011E25"/>
    <w:rsid w:val="000120CE"/>
    <w:rsid w:val="00012347"/>
    <w:rsid w:val="000124C6"/>
    <w:rsid w:val="000124ED"/>
    <w:rsid w:val="000125DB"/>
    <w:rsid w:val="00012689"/>
    <w:rsid w:val="00012A89"/>
    <w:rsid w:val="00012B27"/>
    <w:rsid w:val="00012CA3"/>
    <w:rsid w:val="000133D7"/>
    <w:rsid w:val="00013688"/>
    <w:rsid w:val="00013BE3"/>
    <w:rsid w:val="000140FC"/>
    <w:rsid w:val="00014B33"/>
    <w:rsid w:val="00014CAE"/>
    <w:rsid w:val="00015035"/>
    <w:rsid w:val="0001576F"/>
    <w:rsid w:val="000157C4"/>
    <w:rsid w:val="00015A2F"/>
    <w:rsid w:val="00015A52"/>
    <w:rsid w:val="00015CBF"/>
    <w:rsid w:val="00015FB9"/>
    <w:rsid w:val="000167C9"/>
    <w:rsid w:val="0001681D"/>
    <w:rsid w:val="000169C9"/>
    <w:rsid w:val="00017026"/>
    <w:rsid w:val="00017D00"/>
    <w:rsid w:val="000206EF"/>
    <w:rsid w:val="00020AF1"/>
    <w:rsid w:val="00020B93"/>
    <w:rsid w:val="00020C41"/>
    <w:rsid w:val="0002182A"/>
    <w:rsid w:val="0002196D"/>
    <w:rsid w:val="00021C45"/>
    <w:rsid w:val="00021D7E"/>
    <w:rsid w:val="00021FAA"/>
    <w:rsid w:val="0002226F"/>
    <w:rsid w:val="00022382"/>
    <w:rsid w:val="000224AD"/>
    <w:rsid w:val="00022517"/>
    <w:rsid w:val="00022617"/>
    <w:rsid w:val="00022629"/>
    <w:rsid w:val="00022C23"/>
    <w:rsid w:val="00022CDD"/>
    <w:rsid w:val="00023183"/>
    <w:rsid w:val="00023359"/>
    <w:rsid w:val="000233B3"/>
    <w:rsid w:val="000235D6"/>
    <w:rsid w:val="0002395C"/>
    <w:rsid w:val="00023EE1"/>
    <w:rsid w:val="000247D7"/>
    <w:rsid w:val="00024A50"/>
    <w:rsid w:val="00024B4E"/>
    <w:rsid w:val="0002518F"/>
    <w:rsid w:val="0002543E"/>
    <w:rsid w:val="0002559D"/>
    <w:rsid w:val="000255C9"/>
    <w:rsid w:val="0002583D"/>
    <w:rsid w:val="00025938"/>
    <w:rsid w:val="00025FFC"/>
    <w:rsid w:val="00026804"/>
    <w:rsid w:val="00026AC0"/>
    <w:rsid w:val="00026D61"/>
    <w:rsid w:val="00026F9B"/>
    <w:rsid w:val="00027153"/>
    <w:rsid w:val="000276F0"/>
    <w:rsid w:val="00027805"/>
    <w:rsid w:val="0003012E"/>
    <w:rsid w:val="000302C1"/>
    <w:rsid w:val="0003068E"/>
    <w:rsid w:val="0003073E"/>
    <w:rsid w:val="00030C19"/>
    <w:rsid w:val="000315B6"/>
    <w:rsid w:val="00031C5C"/>
    <w:rsid w:val="00031CF4"/>
    <w:rsid w:val="00031DD5"/>
    <w:rsid w:val="00032298"/>
    <w:rsid w:val="000323B2"/>
    <w:rsid w:val="0003241C"/>
    <w:rsid w:val="00032B0D"/>
    <w:rsid w:val="00032FFB"/>
    <w:rsid w:val="00033113"/>
    <w:rsid w:val="000335DF"/>
    <w:rsid w:val="00033679"/>
    <w:rsid w:val="00033795"/>
    <w:rsid w:val="0003382C"/>
    <w:rsid w:val="000339F7"/>
    <w:rsid w:val="00033AAB"/>
    <w:rsid w:val="00033B19"/>
    <w:rsid w:val="00033B6E"/>
    <w:rsid w:val="00033D39"/>
    <w:rsid w:val="000340FB"/>
    <w:rsid w:val="000342BF"/>
    <w:rsid w:val="000343E0"/>
    <w:rsid w:val="000349A5"/>
    <w:rsid w:val="00034B2C"/>
    <w:rsid w:val="00034D6C"/>
    <w:rsid w:val="000352DD"/>
    <w:rsid w:val="0003548B"/>
    <w:rsid w:val="000354C9"/>
    <w:rsid w:val="00035690"/>
    <w:rsid w:val="000363AC"/>
    <w:rsid w:val="000364AE"/>
    <w:rsid w:val="000364E4"/>
    <w:rsid w:val="000369C7"/>
    <w:rsid w:val="00036AC3"/>
    <w:rsid w:val="00036CDD"/>
    <w:rsid w:val="00036D83"/>
    <w:rsid w:val="00036EA1"/>
    <w:rsid w:val="00036F80"/>
    <w:rsid w:val="00037697"/>
    <w:rsid w:val="00037948"/>
    <w:rsid w:val="00037A59"/>
    <w:rsid w:val="00037A99"/>
    <w:rsid w:val="00037FA0"/>
    <w:rsid w:val="000408FB"/>
    <w:rsid w:val="00041000"/>
    <w:rsid w:val="00041722"/>
    <w:rsid w:val="000418F0"/>
    <w:rsid w:val="00041B4C"/>
    <w:rsid w:val="00041E4C"/>
    <w:rsid w:val="00041F8F"/>
    <w:rsid w:val="0004262E"/>
    <w:rsid w:val="000429CC"/>
    <w:rsid w:val="00043096"/>
    <w:rsid w:val="0004322C"/>
    <w:rsid w:val="00043247"/>
    <w:rsid w:val="0004377F"/>
    <w:rsid w:val="00043925"/>
    <w:rsid w:val="00043AB8"/>
    <w:rsid w:val="00044380"/>
    <w:rsid w:val="0004447D"/>
    <w:rsid w:val="000445D7"/>
    <w:rsid w:val="0004479E"/>
    <w:rsid w:val="000451F8"/>
    <w:rsid w:val="00045472"/>
    <w:rsid w:val="000455D4"/>
    <w:rsid w:val="000455F6"/>
    <w:rsid w:val="00045B0B"/>
    <w:rsid w:val="00045EB0"/>
    <w:rsid w:val="00045F48"/>
    <w:rsid w:val="00046731"/>
    <w:rsid w:val="00046C34"/>
    <w:rsid w:val="00047003"/>
    <w:rsid w:val="0004704E"/>
    <w:rsid w:val="000471FE"/>
    <w:rsid w:val="00047395"/>
    <w:rsid w:val="0004789D"/>
    <w:rsid w:val="000479CB"/>
    <w:rsid w:val="00047A1E"/>
    <w:rsid w:val="00047B9A"/>
    <w:rsid w:val="00047CE0"/>
    <w:rsid w:val="00047E7F"/>
    <w:rsid w:val="000501CD"/>
    <w:rsid w:val="000502E3"/>
    <w:rsid w:val="00050448"/>
    <w:rsid w:val="00050694"/>
    <w:rsid w:val="000509F9"/>
    <w:rsid w:val="00050F6C"/>
    <w:rsid w:val="000510D3"/>
    <w:rsid w:val="00051211"/>
    <w:rsid w:val="00051263"/>
    <w:rsid w:val="000513AD"/>
    <w:rsid w:val="000518AE"/>
    <w:rsid w:val="0005194A"/>
    <w:rsid w:val="00051E6D"/>
    <w:rsid w:val="000523AA"/>
    <w:rsid w:val="000524AE"/>
    <w:rsid w:val="000527C8"/>
    <w:rsid w:val="00052869"/>
    <w:rsid w:val="00052C92"/>
    <w:rsid w:val="00053046"/>
    <w:rsid w:val="00053049"/>
    <w:rsid w:val="00053625"/>
    <w:rsid w:val="00053861"/>
    <w:rsid w:val="00053872"/>
    <w:rsid w:val="0005429B"/>
    <w:rsid w:val="00054351"/>
    <w:rsid w:val="00054A88"/>
    <w:rsid w:val="00054E21"/>
    <w:rsid w:val="000552BC"/>
    <w:rsid w:val="00055498"/>
    <w:rsid w:val="00055871"/>
    <w:rsid w:val="000558E2"/>
    <w:rsid w:val="00055CE9"/>
    <w:rsid w:val="00055D99"/>
    <w:rsid w:val="000561F3"/>
    <w:rsid w:val="0005642D"/>
    <w:rsid w:val="00056698"/>
    <w:rsid w:val="00056ED7"/>
    <w:rsid w:val="00056FB6"/>
    <w:rsid w:val="00056FDB"/>
    <w:rsid w:val="000570DE"/>
    <w:rsid w:val="000572A2"/>
    <w:rsid w:val="00057718"/>
    <w:rsid w:val="0005780B"/>
    <w:rsid w:val="000578E6"/>
    <w:rsid w:val="00057938"/>
    <w:rsid w:val="0006018B"/>
    <w:rsid w:val="0006049D"/>
    <w:rsid w:val="00060528"/>
    <w:rsid w:val="00060775"/>
    <w:rsid w:val="000607A7"/>
    <w:rsid w:val="00061527"/>
    <w:rsid w:val="000615D9"/>
    <w:rsid w:val="00061838"/>
    <w:rsid w:val="00061A72"/>
    <w:rsid w:val="00061A86"/>
    <w:rsid w:val="00061CAD"/>
    <w:rsid w:val="00061DE7"/>
    <w:rsid w:val="00061F12"/>
    <w:rsid w:val="00061FF9"/>
    <w:rsid w:val="00062065"/>
    <w:rsid w:val="00062259"/>
    <w:rsid w:val="000624D4"/>
    <w:rsid w:val="000626FF"/>
    <w:rsid w:val="00062BF4"/>
    <w:rsid w:val="00062DA0"/>
    <w:rsid w:val="00063066"/>
    <w:rsid w:val="000634D0"/>
    <w:rsid w:val="00063557"/>
    <w:rsid w:val="00063CAA"/>
    <w:rsid w:val="00063DB9"/>
    <w:rsid w:val="00063FE4"/>
    <w:rsid w:val="00064301"/>
    <w:rsid w:val="00064408"/>
    <w:rsid w:val="00064579"/>
    <w:rsid w:val="00064658"/>
    <w:rsid w:val="00064802"/>
    <w:rsid w:val="00064993"/>
    <w:rsid w:val="00064E9F"/>
    <w:rsid w:val="000650C8"/>
    <w:rsid w:val="00065243"/>
    <w:rsid w:val="000653B7"/>
    <w:rsid w:val="000654E9"/>
    <w:rsid w:val="000656E3"/>
    <w:rsid w:val="00065980"/>
    <w:rsid w:val="00065A78"/>
    <w:rsid w:val="00065D1F"/>
    <w:rsid w:val="00065EA6"/>
    <w:rsid w:val="000662E2"/>
    <w:rsid w:val="000663B2"/>
    <w:rsid w:val="0006641E"/>
    <w:rsid w:val="00066600"/>
    <w:rsid w:val="00066C46"/>
    <w:rsid w:val="00066E8A"/>
    <w:rsid w:val="00067064"/>
    <w:rsid w:val="0006725B"/>
    <w:rsid w:val="00067317"/>
    <w:rsid w:val="000676EB"/>
    <w:rsid w:val="000677BD"/>
    <w:rsid w:val="000677C8"/>
    <w:rsid w:val="00067B0F"/>
    <w:rsid w:val="00067F71"/>
    <w:rsid w:val="00067FCC"/>
    <w:rsid w:val="000701F4"/>
    <w:rsid w:val="00070263"/>
    <w:rsid w:val="0007094C"/>
    <w:rsid w:val="00070BC5"/>
    <w:rsid w:val="00070C60"/>
    <w:rsid w:val="00070E8B"/>
    <w:rsid w:val="0007116C"/>
    <w:rsid w:val="0007130E"/>
    <w:rsid w:val="00071637"/>
    <w:rsid w:val="00072200"/>
    <w:rsid w:val="00072369"/>
    <w:rsid w:val="00072586"/>
    <w:rsid w:val="0007270B"/>
    <w:rsid w:val="0007298E"/>
    <w:rsid w:val="00072DA5"/>
    <w:rsid w:val="00072F64"/>
    <w:rsid w:val="0007309A"/>
    <w:rsid w:val="000730A0"/>
    <w:rsid w:val="0007318D"/>
    <w:rsid w:val="00073761"/>
    <w:rsid w:val="000737D6"/>
    <w:rsid w:val="000737DA"/>
    <w:rsid w:val="000739EB"/>
    <w:rsid w:val="00073A31"/>
    <w:rsid w:val="00073B3B"/>
    <w:rsid w:val="00073BC1"/>
    <w:rsid w:val="00073E73"/>
    <w:rsid w:val="00073FD3"/>
    <w:rsid w:val="000743FC"/>
    <w:rsid w:val="00074C9D"/>
    <w:rsid w:val="0007520E"/>
    <w:rsid w:val="00075BEF"/>
    <w:rsid w:val="00075D21"/>
    <w:rsid w:val="00076574"/>
    <w:rsid w:val="00076666"/>
    <w:rsid w:val="000767C3"/>
    <w:rsid w:val="0007692E"/>
    <w:rsid w:val="00076937"/>
    <w:rsid w:val="00076A2C"/>
    <w:rsid w:val="00076B73"/>
    <w:rsid w:val="00076E2C"/>
    <w:rsid w:val="000771C8"/>
    <w:rsid w:val="000771DD"/>
    <w:rsid w:val="00077256"/>
    <w:rsid w:val="0007729B"/>
    <w:rsid w:val="000774F6"/>
    <w:rsid w:val="00077785"/>
    <w:rsid w:val="000778FC"/>
    <w:rsid w:val="000779F2"/>
    <w:rsid w:val="00077A1E"/>
    <w:rsid w:val="00077B74"/>
    <w:rsid w:val="00077E28"/>
    <w:rsid w:val="0008004D"/>
    <w:rsid w:val="00080759"/>
    <w:rsid w:val="00080AED"/>
    <w:rsid w:val="00080C71"/>
    <w:rsid w:val="00080D80"/>
    <w:rsid w:val="00080EDD"/>
    <w:rsid w:val="000810DF"/>
    <w:rsid w:val="000813D4"/>
    <w:rsid w:val="00081AE6"/>
    <w:rsid w:val="00081E88"/>
    <w:rsid w:val="00081EA1"/>
    <w:rsid w:val="00082213"/>
    <w:rsid w:val="00082C38"/>
    <w:rsid w:val="00082C75"/>
    <w:rsid w:val="00082D52"/>
    <w:rsid w:val="00082D5C"/>
    <w:rsid w:val="00082DC6"/>
    <w:rsid w:val="00082DE2"/>
    <w:rsid w:val="00082F90"/>
    <w:rsid w:val="00082FC0"/>
    <w:rsid w:val="00083018"/>
    <w:rsid w:val="0008333D"/>
    <w:rsid w:val="0008357B"/>
    <w:rsid w:val="000839D0"/>
    <w:rsid w:val="00083D22"/>
    <w:rsid w:val="000840CA"/>
    <w:rsid w:val="0008413C"/>
    <w:rsid w:val="0008433A"/>
    <w:rsid w:val="00084528"/>
    <w:rsid w:val="00084771"/>
    <w:rsid w:val="000848A7"/>
    <w:rsid w:val="000848F5"/>
    <w:rsid w:val="00084C78"/>
    <w:rsid w:val="00084DC6"/>
    <w:rsid w:val="00084F2B"/>
    <w:rsid w:val="0008548D"/>
    <w:rsid w:val="000855D1"/>
    <w:rsid w:val="00085775"/>
    <w:rsid w:val="00085A7A"/>
    <w:rsid w:val="00085C3B"/>
    <w:rsid w:val="00086101"/>
    <w:rsid w:val="00086174"/>
    <w:rsid w:val="000862EE"/>
    <w:rsid w:val="00086332"/>
    <w:rsid w:val="000863BB"/>
    <w:rsid w:val="00086BE3"/>
    <w:rsid w:val="00086DEF"/>
    <w:rsid w:val="0008713E"/>
    <w:rsid w:val="000874A8"/>
    <w:rsid w:val="0008768A"/>
    <w:rsid w:val="00087754"/>
    <w:rsid w:val="00087814"/>
    <w:rsid w:val="00087820"/>
    <w:rsid w:val="00087B15"/>
    <w:rsid w:val="00087E79"/>
    <w:rsid w:val="00087EBB"/>
    <w:rsid w:val="000901B3"/>
    <w:rsid w:val="0009024F"/>
    <w:rsid w:val="00090566"/>
    <w:rsid w:val="00090AF4"/>
    <w:rsid w:val="00090F53"/>
    <w:rsid w:val="00091388"/>
    <w:rsid w:val="00091C15"/>
    <w:rsid w:val="00091C94"/>
    <w:rsid w:val="00091EA9"/>
    <w:rsid w:val="0009208D"/>
    <w:rsid w:val="00092109"/>
    <w:rsid w:val="00092278"/>
    <w:rsid w:val="00092764"/>
    <w:rsid w:val="00092FAA"/>
    <w:rsid w:val="000930AA"/>
    <w:rsid w:val="00093173"/>
    <w:rsid w:val="00093279"/>
    <w:rsid w:val="0009394C"/>
    <w:rsid w:val="00093CC9"/>
    <w:rsid w:val="00093E00"/>
    <w:rsid w:val="00094342"/>
    <w:rsid w:val="00094481"/>
    <w:rsid w:val="00094554"/>
    <w:rsid w:val="0009460F"/>
    <w:rsid w:val="000946E5"/>
    <w:rsid w:val="000948C6"/>
    <w:rsid w:val="000953D4"/>
    <w:rsid w:val="00095533"/>
    <w:rsid w:val="0009571B"/>
    <w:rsid w:val="0009593A"/>
    <w:rsid w:val="0009606F"/>
    <w:rsid w:val="000964A5"/>
    <w:rsid w:val="000964B4"/>
    <w:rsid w:val="0009675B"/>
    <w:rsid w:val="00096AE9"/>
    <w:rsid w:val="00096CF5"/>
    <w:rsid w:val="00096D67"/>
    <w:rsid w:val="00096FF9"/>
    <w:rsid w:val="0009708D"/>
    <w:rsid w:val="0009742C"/>
    <w:rsid w:val="00097501"/>
    <w:rsid w:val="00097652"/>
    <w:rsid w:val="000976E5"/>
    <w:rsid w:val="000979D0"/>
    <w:rsid w:val="00097B94"/>
    <w:rsid w:val="000A0091"/>
    <w:rsid w:val="000A0923"/>
    <w:rsid w:val="000A0CE6"/>
    <w:rsid w:val="000A1028"/>
    <w:rsid w:val="000A10E2"/>
    <w:rsid w:val="000A1206"/>
    <w:rsid w:val="000A13A2"/>
    <w:rsid w:val="000A1A21"/>
    <w:rsid w:val="000A1A75"/>
    <w:rsid w:val="000A1AB6"/>
    <w:rsid w:val="000A2A2C"/>
    <w:rsid w:val="000A2BE8"/>
    <w:rsid w:val="000A2EC7"/>
    <w:rsid w:val="000A2F4D"/>
    <w:rsid w:val="000A3384"/>
    <w:rsid w:val="000A37A9"/>
    <w:rsid w:val="000A3D56"/>
    <w:rsid w:val="000A3F91"/>
    <w:rsid w:val="000A3FF3"/>
    <w:rsid w:val="000A4431"/>
    <w:rsid w:val="000A453C"/>
    <w:rsid w:val="000A49DE"/>
    <w:rsid w:val="000A4ACD"/>
    <w:rsid w:val="000A4E48"/>
    <w:rsid w:val="000A4FED"/>
    <w:rsid w:val="000A5031"/>
    <w:rsid w:val="000A5217"/>
    <w:rsid w:val="000A5310"/>
    <w:rsid w:val="000A5597"/>
    <w:rsid w:val="000A55D7"/>
    <w:rsid w:val="000A56D2"/>
    <w:rsid w:val="000A5DCB"/>
    <w:rsid w:val="000A5E40"/>
    <w:rsid w:val="000A6228"/>
    <w:rsid w:val="000A6250"/>
    <w:rsid w:val="000A651A"/>
    <w:rsid w:val="000A6534"/>
    <w:rsid w:val="000A6591"/>
    <w:rsid w:val="000A68C3"/>
    <w:rsid w:val="000A6B0D"/>
    <w:rsid w:val="000A6D6D"/>
    <w:rsid w:val="000A6EAD"/>
    <w:rsid w:val="000A7154"/>
    <w:rsid w:val="000A71C8"/>
    <w:rsid w:val="000A776F"/>
    <w:rsid w:val="000A7997"/>
    <w:rsid w:val="000A7B4A"/>
    <w:rsid w:val="000A7BE3"/>
    <w:rsid w:val="000B008D"/>
    <w:rsid w:val="000B01D1"/>
    <w:rsid w:val="000B04AC"/>
    <w:rsid w:val="000B0793"/>
    <w:rsid w:val="000B0AF3"/>
    <w:rsid w:val="000B0CBE"/>
    <w:rsid w:val="000B1676"/>
    <w:rsid w:val="000B1720"/>
    <w:rsid w:val="000B1F57"/>
    <w:rsid w:val="000B21CB"/>
    <w:rsid w:val="000B22E0"/>
    <w:rsid w:val="000B268B"/>
    <w:rsid w:val="000B2735"/>
    <w:rsid w:val="000B27B7"/>
    <w:rsid w:val="000B2A68"/>
    <w:rsid w:val="000B2D3A"/>
    <w:rsid w:val="000B2DDB"/>
    <w:rsid w:val="000B3304"/>
    <w:rsid w:val="000B333D"/>
    <w:rsid w:val="000B368D"/>
    <w:rsid w:val="000B3733"/>
    <w:rsid w:val="000B399C"/>
    <w:rsid w:val="000B3D79"/>
    <w:rsid w:val="000B4087"/>
    <w:rsid w:val="000B41AF"/>
    <w:rsid w:val="000B4334"/>
    <w:rsid w:val="000B44C2"/>
    <w:rsid w:val="000B458C"/>
    <w:rsid w:val="000B478D"/>
    <w:rsid w:val="000B4836"/>
    <w:rsid w:val="000B489D"/>
    <w:rsid w:val="000B4CA6"/>
    <w:rsid w:val="000B4DF8"/>
    <w:rsid w:val="000B537E"/>
    <w:rsid w:val="000B5594"/>
    <w:rsid w:val="000B560D"/>
    <w:rsid w:val="000B583C"/>
    <w:rsid w:val="000B5A6A"/>
    <w:rsid w:val="000B5D20"/>
    <w:rsid w:val="000B5F35"/>
    <w:rsid w:val="000B61CC"/>
    <w:rsid w:val="000B6364"/>
    <w:rsid w:val="000B6463"/>
    <w:rsid w:val="000B6609"/>
    <w:rsid w:val="000B6662"/>
    <w:rsid w:val="000B6DA5"/>
    <w:rsid w:val="000B7354"/>
    <w:rsid w:val="000B765C"/>
    <w:rsid w:val="000C0C3B"/>
    <w:rsid w:val="000C10FE"/>
    <w:rsid w:val="000C1377"/>
    <w:rsid w:val="000C187D"/>
    <w:rsid w:val="000C1A50"/>
    <w:rsid w:val="000C1CD4"/>
    <w:rsid w:val="000C1DF9"/>
    <w:rsid w:val="000C1EC2"/>
    <w:rsid w:val="000C2211"/>
    <w:rsid w:val="000C233B"/>
    <w:rsid w:val="000C2A12"/>
    <w:rsid w:val="000C2C99"/>
    <w:rsid w:val="000C314C"/>
    <w:rsid w:val="000C3472"/>
    <w:rsid w:val="000C3656"/>
    <w:rsid w:val="000C389B"/>
    <w:rsid w:val="000C3B37"/>
    <w:rsid w:val="000C3F94"/>
    <w:rsid w:val="000C4049"/>
    <w:rsid w:val="000C46C9"/>
    <w:rsid w:val="000C488D"/>
    <w:rsid w:val="000C4E1D"/>
    <w:rsid w:val="000C50FB"/>
    <w:rsid w:val="000C5134"/>
    <w:rsid w:val="000C52D8"/>
    <w:rsid w:val="000C5372"/>
    <w:rsid w:val="000C53F5"/>
    <w:rsid w:val="000C572B"/>
    <w:rsid w:val="000C5A37"/>
    <w:rsid w:val="000C5AD2"/>
    <w:rsid w:val="000C6051"/>
    <w:rsid w:val="000C62DD"/>
    <w:rsid w:val="000C64D8"/>
    <w:rsid w:val="000C6573"/>
    <w:rsid w:val="000C66E8"/>
    <w:rsid w:val="000C698B"/>
    <w:rsid w:val="000C69DA"/>
    <w:rsid w:val="000C6AA9"/>
    <w:rsid w:val="000C6ABC"/>
    <w:rsid w:val="000C6F90"/>
    <w:rsid w:val="000C7001"/>
    <w:rsid w:val="000C7638"/>
    <w:rsid w:val="000C7B06"/>
    <w:rsid w:val="000C7B57"/>
    <w:rsid w:val="000C7BA0"/>
    <w:rsid w:val="000C7DC8"/>
    <w:rsid w:val="000D00CA"/>
    <w:rsid w:val="000D00CF"/>
    <w:rsid w:val="000D015F"/>
    <w:rsid w:val="000D0CE1"/>
    <w:rsid w:val="000D0E04"/>
    <w:rsid w:val="000D0F33"/>
    <w:rsid w:val="000D140E"/>
    <w:rsid w:val="000D185C"/>
    <w:rsid w:val="000D1896"/>
    <w:rsid w:val="000D1AB0"/>
    <w:rsid w:val="000D1CDF"/>
    <w:rsid w:val="000D1DB1"/>
    <w:rsid w:val="000D1E09"/>
    <w:rsid w:val="000D20F4"/>
    <w:rsid w:val="000D252A"/>
    <w:rsid w:val="000D2845"/>
    <w:rsid w:val="000D298B"/>
    <w:rsid w:val="000D29B1"/>
    <w:rsid w:val="000D2A05"/>
    <w:rsid w:val="000D2A50"/>
    <w:rsid w:val="000D2E2E"/>
    <w:rsid w:val="000D2EB0"/>
    <w:rsid w:val="000D329C"/>
    <w:rsid w:val="000D3611"/>
    <w:rsid w:val="000D3651"/>
    <w:rsid w:val="000D37C5"/>
    <w:rsid w:val="000D40DF"/>
    <w:rsid w:val="000D412A"/>
    <w:rsid w:val="000D463C"/>
    <w:rsid w:val="000D47FB"/>
    <w:rsid w:val="000D4B0E"/>
    <w:rsid w:val="000D4D38"/>
    <w:rsid w:val="000D4E35"/>
    <w:rsid w:val="000D4EF1"/>
    <w:rsid w:val="000D502B"/>
    <w:rsid w:val="000D50D4"/>
    <w:rsid w:val="000D519F"/>
    <w:rsid w:val="000D53DF"/>
    <w:rsid w:val="000D573D"/>
    <w:rsid w:val="000D57B7"/>
    <w:rsid w:val="000D5BB6"/>
    <w:rsid w:val="000D5E3E"/>
    <w:rsid w:val="000D617C"/>
    <w:rsid w:val="000D6323"/>
    <w:rsid w:val="000D6CCA"/>
    <w:rsid w:val="000D6E49"/>
    <w:rsid w:val="000D708B"/>
    <w:rsid w:val="000D76C6"/>
    <w:rsid w:val="000D7865"/>
    <w:rsid w:val="000D79DF"/>
    <w:rsid w:val="000D7A26"/>
    <w:rsid w:val="000E00F9"/>
    <w:rsid w:val="000E04D6"/>
    <w:rsid w:val="000E0861"/>
    <w:rsid w:val="000E0CD3"/>
    <w:rsid w:val="000E0FC4"/>
    <w:rsid w:val="000E146D"/>
    <w:rsid w:val="000E160B"/>
    <w:rsid w:val="000E16EB"/>
    <w:rsid w:val="000E17D7"/>
    <w:rsid w:val="000E2331"/>
    <w:rsid w:val="000E2527"/>
    <w:rsid w:val="000E2666"/>
    <w:rsid w:val="000E336B"/>
    <w:rsid w:val="000E3537"/>
    <w:rsid w:val="000E36EC"/>
    <w:rsid w:val="000E3A17"/>
    <w:rsid w:val="000E3C3B"/>
    <w:rsid w:val="000E3D62"/>
    <w:rsid w:val="000E3FF1"/>
    <w:rsid w:val="000E41F6"/>
    <w:rsid w:val="000E4792"/>
    <w:rsid w:val="000E479E"/>
    <w:rsid w:val="000E4BAE"/>
    <w:rsid w:val="000E4FB5"/>
    <w:rsid w:val="000E4FFE"/>
    <w:rsid w:val="000E5374"/>
    <w:rsid w:val="000E55CE"/>
    <w:rsid w:val="000E587E"/>
    <w:rsid w:val="000E58EA"/>
    <w:rsid w:val="000E590A"/>
    <w:rsid w:val="000E5A48"/>
    <w:rsid w:val="000E6013"/>
    <w:rsid w:val="000E607E"/>
    <w:rsid w:val="000E61B1"/>
    <w:rsid w:val="000E61B2"/>
    <w:rsid w:val="000E61CC"/>
    <w:rsid w:val="000E6233"/>
    <w:rsid w:val="000E6283"/>
    <w:rsid w:val="000E6411"/>
    <w:rsid w:val="000E67DD"/>
    <w:rsid w:val="000E6C84"/>
    <w:rsid w:val="000E6EB2"/>
    <w:rsid w:val="000E6F1D"/>
    <w:rsid w:val="000E70DC"/>
    <w:rsid w:val="000E71BC"/>
    <w:rsid w:val="000E75AB"/>
    <w:rsid w:val="000E76A8"/>
    <w:rsid w:val="000E781D"/>
    <w:rsid w:val="000E78A0"/>
    <w:rsid w:val="000E793D"/>
    <w:rsid w:val="000E7AB9"/>
    <w:rsid w:val="000E7F13"/>
    <w:rsid w:val="000F08A0"/>
    <w:rsid w:val="000F095E"/>
    <w:rsid w:val="000F0CE2"/>
    <w:rsid w:val="000F0FD6"/>
    <w:rsid w:val="000F1154"/>
    <w:rsid w:val="000F122F"/>
    <w:rsid w:val="000F1289"/>
    <w:rsid w:val="000F1455"/>
    <w:rsid w:val="000F183C"/>
    <w:rsid w:val="000F188C"/>
    <w:rsid w:val="000F193F"/>
    <w:rsid w:val="000F19E5"/>
    <w:rsid w:val="000F1A75"/>
    <w:rsid w:val="000F1E85"/>
    <w:rsid w:val="000F1EF1"/>
    <w:rsid w:val="000F26F1"/>
    <w:rsid w:val="000F2A5E"/>
    <w:rsid w:val="000F2D52"/>
    <w:rsid w:val="000F39BD"/>
    <w:rsid w:val="000F3C9D"/>
    <w:rsid w:val="000F3D76"/>
    <w:rsid w:val="000F3F0C"/>
    <w:rsid w:val="000F43F3"/>
    <w:rsid w:val="000F441C"/>
    <w:rsid w:val="000F4543"/>
    <w:rsid w:val="000F464D"/>
    <w:rsid w:val="000F4768"/>
    <w:rsid w:val="000F4ADC"/>
    <w:rsid w:val="000F4B08"/>
    <w:rsid w:val="000F4FD3"/>
    <w:rsid w:val="000F51BC"/>
    <w:rsid w:val="000F5222"/>
    <w:rsid w:val="000F54AA"/>
    <w:rsid w:val="000F55DE"/>
    <w:rsid w:val="000F5723"/>
    <w:rsid w:val="000F58DE"/>
    <w:rsid w:val="000F621B"/>
    <w:rsid w:val="000F674E"/>
    <w:rsid w:val="000F6771"/>
    <w:rsid w:val="000F67D8"/>
    <w:rsid w:val="000F67E8"/>
    <w:rsid w:val="000F6B44"/>
    <w:rsid w:val="000F6DD9"/>
    <w:rsid w:val="000F72AC"/>
    <w:rsid w:val="000F7328"/>
    <w:rsid w:val="000F7828"/>
    <w:rsid w:val="000F7C7F"/>
    <w:rsid w:val="00100060"/>
    <w:rsid w:val="001001DA"/>
    <w:rsid w:val="00100EF3"/>
    <w:rsid w:val="00101151"/>
    <w:rsid w:val="0010118E"/>
    <w:rsid w:val="001011BC"/>
    <w:rsid w:val="001011F5"/>
    <w:rsid w:val="00101263"/>
    <w:rsid w:val="00101564"/>
    <w:rsid w:val="001015D1"/>
    <w:rsid w:val="001016BF"/>
    <w:rsid w:val="00101ACD"/>
    <w:rsid w:val="00101B7F"/>
    <w:rsid w:val="00101B8E"/>
    <w:rsid w:val="00101BEB"/>
    <w:rsid w:val="00101EA1"/>
    <w:rsid w:val="0010203A"/>
    <w:rsid w:val="001022B6"/>
    <w:rsid w:val="0010249C"/>
    <w:rsid w:val="0010273D"/>
    <w:rsid w:val="00102823"/>
    <w:rsid w:val="00102F08"/>
    <w:rsid w:val="0010312B"/>
    <w:rsid w:val="001031D6"/>
    <w:rsid w:val="001031E3"/>
    <w:rsid w:val="001033E6"/>
    <w:rsid w:val="0010348E"/>
    <w:rsid w:val="00103884"/>
    <w:rsid w:val="00103F99"/>
    <w:rsid w:val="00104568"/>
    <w:rsid w:val="00104738"/>
    <w:rsid w:val="001048E3"/>
    <w:rsid w:val="00104B79"/>
    <w:rsid w:val="00104C3D"/>
    <w:rsid w:val="00104F58"/>
    <w:rsid w:val="00104FB4"/>
    <w:rsid w:val="00105B5C"/>
    <w:rsid w:val="00105D90"/>
    <w:rsid w:val="00106365"/>
    <w:rsid w:val="001063BC"/>
    <w:rsid w:val="001063C7"/>
    <w:rsid w:val="0010651D"/>
    <w:rsid w:val="0010664D"/>
    <w:rsid w:val="0010670E"/>
    <w:rsid w:val="00106B2D"/>
    <w:rsid w:val="00106F05"/>
    <w:rsid w:val="00106F17"/>
    <w:rsid w:val="00107066"/>
    <w:rsid w:val="00107069"/>
    <w:rsid w:val="00107233"/>
    <w:rsid w:val="001073D2"/>
    <w:rsid w:val="001073FB"/>
    <w:rsid w:val="0010778D"/>
    <w:rsid w:val="00107844"/>
    <w:rsid w:val="00107F9E"/>
    <w:rsid w:val="001100CF"/>
    <w:rsid w:val="00110530"/>
    <w:rsid w:val="001105FE"/>
    <w:rsid w:val="00110660"/>
    <w:rsid w:val="00110722"/>
    <w:rsid w:val="00110919"/>
    <w:rsid w:val="00110A2C"/>
    <w:rsid w:val="00110A4A"/>
    <w:rsid w:val="00110C2F"/>
    <w:rsid w:val="001111AF"/>
    <w:rsid w:val="00111B50"/>
    <w:rsid w:val="00111C11"/>
    <w:rsid w:val="00111C73"/>
    <w:rsid w:val="00112DCA"/>
    <w:rsid w:val="00112F8F"/>
    <w:rsid w:val="0011335A"/>
    <w:rsid w:val="001135D6"/>
    <w:rsid w:val="0011361F"/>
    <w:rsid w:val="00113915"/>
    <w:rsid w:val="00113ADB"/>
    <w:rsid w:val="00113D3D"/>
    <w:rsid w:val="001140B9"/>
    <w:rsid w:val="00114489"/>
    <w:rsid w:val="00114524"/>
    <w:rsid w:val="00114C9C"/>
    <w:rsid w:val="00114E25"/>
    <w:rsid w:val="00114EF8"/>
    <w:rsid w:val="00114F99"/>
    <w:rsid w:val="00115140"/>
    <w:rsid w:val="00115165"/>
    <w:rsid w:val="001153D0"/>
    <w:rsid w:val="001154DA"/>
    <w:rsid w:val="001155D3"/>
    <w:rsid w:val="0011580D"/>
    <w:rsid w:val="001158EF"/>
    <w:rsid w:val="00115B0C"/>
    <w:rsid w:val="00115CC7"/>
    <w:rsid w:val="00115F96"/>
    <w:rsid w:val="00116774"/>
    <w:rsid w:val="00116AA4"/>
    <w:rsid w:val="00116B69"/>
    <w:rsid w:val="00116E61"/>
    <w:rsid w:val="00116F11"/>
    <w:rsid w:val="00117082"/>
    <w:rsid w:val="00117173"/>
    <w:rsid w:val="00117310"/>
    <w:rsid w:val="0011780C"/>
    <w:rsid w:val="00117AA6"/>
    <w:rsid w:val="00117CB1"/>
    <w:rsid w:val="00117F68"/>
    <w:rsid w:val="001214E4"/>
    <w:rsid w:val="00121528"/>
    <w:rsid w:val="0012155C"/>
    <w:rsid w:val="0012165B"/>
    <w:rsid w:val="001216C3"/>
    <w:rsid w:val="0012196B"/>
    <w:rsid w:val="00121A65"/>
    <w:rsid w:val="00121B6E"/>
    <w:rsid w:val="00121C09"/>
    <w:rsid w:val="00121F0A"/>
    <w:rsid w:val="0012217D"/>
    <w:rsid w:val="001223CB"/>
    <w:rsid w:val="00122513"/>
    <w:rsid w:val="00122552"/>
    <w:rsid w:val="001227A1"/>
    <w:rsid w:val="0012286E"/>
    <w:rsid w:val="00122BA2"/>
    <w:rsid w:val="001235D6"/>
    <w:rsid w:val="00123DD5"/>
    <w:rsid w:val="00124037"/>
    <w:rsid w:val="001242D5"/>
    <w:rsid w:val="00124348"/>
    <w:rsid w:val="00124A00"/>
    <w:rsid w:val="00125600"/>
    <w:rsid w:val="00125909"/>
    <w:rsid w:val="00125AAF"/>
    <w:rsid w:val="001260DC"/>
    <w:rsid w:val="001263F2"/>
    <w:rsid w:val="001266C2"/>
    <w:rsid w:val="001268F6"/>
    <w:rsid w:val="00126922"/>
    <w:rsid w:val="00126A91"/>
    <w:rsid w:val="00126BAF"/>
    <w:rsid w:val="00126C8C"/>
    <w:rsid w:val="00127082"/>
    <w:rsid w:val="001270B7"/>
    <w:rsid w:val="001272A3"/>
    <w:rsid w:val="001272ED"/>
    <w:rsid w:val="00127460"/>
    <w:rsid w:val="00127A40"/>
    <w:rsid w:val="0013029E"/>
    <w:rsid w:val="00130435"/>
    <w:rsid w:val="001304DD"/>
    <w:rsid w:val="00130695"/>
    <w:rsid w:val="00130FD1"/>
    <w:rsid w:val="00131344"/>
    <w:rsid w:val="001314E2"/>
    <w:rsid w:val="001316D5"/>
    <w:rsid w:val="00131844"/>
    <w:rsid w:val="00131B40"/>
    <w:rsid w:val="00131C9F"/>
    <w:rsid w:val="00131E45"/>
    <w:rsid w:val="0013221F"/>
    <w:rsid w:val="00132445"/>
    <w:rsid w:val="001324FA"/>
    <w:rsid w:val="00132671"/>
    <w:rsid w:val="00132A00"/>
    <w:rsid w:val="00132CF5"/>
    <w:rsid w:val="00132D1A"/>
    <w:rsid w:val="00132E4A"/>
    <w:rsid w:val="00132ED2"/>
    <w:rsid w:val="00133BEB"/>
    <w:rsid w:val="00133F9C"/>
    <w:rsid w:val="001342CA"/>
    <w:rsid w:val="001343DE"/>
    <w:rsid w:val="001344BA"/>
    <w:rsid w:val="00134ABA"/>
    <w:rsid w:val="00135130"/>
    <w:rsid w:val="00135484"/>
    <w:rsid w:val="00135495"/>
    <w:rsid w:val="001354DE"/>
    <w:rsid w:val="00135607"/>
    <w:rsid w:val="0013589B"/>
    <w:rsid w:val="00135B0D"/>
    <w:rsid w:val="00135EA2"/>
    <w:rsid w:val="0013632A"/>
    <w:rsid w:val="00136506"/>
    <w:rsid w:val="001366C1"/>
    <w:rsid w:val="001368D8"/>
    <w:rsid w:val="0013695A"/>
    <w:rsid w:val="00136C3D"/>
    <w:rsid w:val="001370DB"/>
    <w:rsid w:val="00137915"/>
    <w:rsid w:val="00137AD1"/>
    <w:rsid w:val="00137B18"/>
    <w:rsid w:val="00137DED"/>
    <w:rsid w:val="00137E56"/>
    <w:rsid w:val="00140050"/>
    <w:rsid w:val="001404D1"/>
    <w:rsid w:val="00140588"/>
    <w:rsid w:val="001408F0"/>
    <w:rsid w:val="00140AE0"/>
    <w:rsid w:val="00140D1B"/>
    <w:rsid w:val="001410F3"/>
    <w:rsid w:val="00141542"/>
    <w:rsid w:val="00141AC8"/>
    <w:rsid w:val="00141B0A"/>
    <w:rsid w:val="00141CEE"/>
    <w:rsid w:val="00141D8F"/>
    <w:rsid w:val="00141DB0"/>
    <w:rsid w:val="00141E1B"/>
    <w:rsid w:val="00142017"/>
    <w:rsid w:val="00142038"/>
    <w:rsid w:val="00142240"/>
    <w:rsid w:val="00142659"/>
    <w:rsid w:val="001429AD"/>
    <w:rsid w:val="001429EE"/>
    <w:rsid w:val="00142CCA"/>
    <w:rsid w:val="00142D3C"/>
    <w:rsid w:val="00142E22"/>
    <w:rsid w:val="0014328A"/>
    <w:rsid w:val="001432A8"/>
    <w:rsid w:val="001434BD"/>
    <w:rsid w:val="00143B70"/>
    <w:rsid w:val="00143F40"/>
    <w:rsid w:val="001444B5"/>
    <w:rsid w:val="0014452C"/>
    <w:rsid w:val="00144620"/>
    <w:rsid w:val="001447EE"/>
    <w:rsid w:val="00144805"/>
    <w:rsid w:val="00144A50"/>
    <w:rsid w:val="00144CF6"/>
    <w:rsid w:val="00144DAD"/>
    <w:rsid w:val="001452F9"/>
    <w:rsid w:val="001453CB"/>
    <w:rsid w:val="00145867"/>
    <w:rsid w:val="00145C2C"/>
    <w:rsid w:val="00145EA5"/>
    <w:rsid w:val="00146025"/>
    <w:rsid w:val="0014626D"/>
    <w:rsid w:val="00146372"/>
    <w:rsid w:val="001464D3"/>
    <w:rsid w:val="00147154"/>
    <w:rsid w:val="00147230"/>
    <w:rsid w:val="001472BD"/>
    <w:rsid w:val="0014755F"/>
    <w:rsid w:val="001479CE"/>
    <w:rsid w:val="00147A06"/>
    <w:rsid w:val="00147C02"/>
    <w:rsid w:val="00147E3F"/>
    <w:rsid w:val="00147EF7"/>
    <w:rsid w:val="00150649"/>
    <w:rsid w:val="0015096F"/>
    <w:rsid w:val="00150CE0"/>
    <w:rsid w:val="00151403"/>
    <w:rsid w:val="00151488"/>
    <w:rsid w:val="001514ED"/>
    <w:rsid w:val="0015155C"/>
    <w:rsid w:val="0015162E"/>
    <w:rsid w:val="00151A61"/>
    <w:rsid w:val="001521DC"/>
    <w:rsid w:val="00152623"/>
    <w:rsid w:val="00152730"/>
    <w:rsid w:val="00152769"/>
    <w:rsid w:val="001527F4"/>
    <w:rsid w:val="00152EEA"/>
    <w:rsid w:val="00152EEB"/>
    <w:rsid w:val="001531CF"/>
    <w:rsid w:val="00153A57"/>
    <w:rsid w:val="00153C00"/>
    <w:rsid w:val="00153C65"/>
    <w:rsid w:val="00153D27"/>
    <w:rsid w:val="00153E7D"/>
    <w:rsid w:val="00153EAC"/>
    <w:rsid w:val="00154280"/>
    <w:rsid w:val="00154714"/>
    <w:rsid w:val="001547F8"/>
    <w:rsid w:val="001549D6"/>
    <w:rsid w:val="00154A21"/>
    <w:rsid w:val="00154ECE"/>
    <w:rsid w:val="0015514D"/>
    <w:rsid w:val="0015566F"/>
    <w:rsid w:val="00155671"/>
    <w:rsid w:val="00155B7E"/>
    <w:rsid w:val="00155E19"/>
    <w:rsid w:val="00156005"/>
    <w:rsid w:val="00156086"/>
    <w:rsid w:val="0015628F"/>
    <w:rsid w:val="00156485"/>
    <w:rsid w:val="0015686C"/>
    <w:rsid w:val="00156D99"/>
    <w:rsid w:val="00156E28"/>
    <w:rsid w:val="00157146"/>
    <w:rsid w:val="0015751D"/>
    <w:rsid w:val="00157633"/>
    <w:rsid w:val="00157D57"/>
    <w:rsid w:val="00157E93"/>
    <w:rsid w:val="00160020"/>
    <w:rsid w:val="00160289"/>
    <w:rsid w:val="00160498"/>
    <w:rsid w:val="001604DD"/>
    <w:rsid w:val="0016094C"/>
    <w:rsid w:val="00160A98"/>
    <w:rsid w:val="00160C39"/>
    <w:rsid w:val="00160F81"/>
    <w:rsid w:val="0016175F"/>
    <w:rsid w:val="00161A1D"/>
    <w:rsid w:val="00162541"/>
    <w:rsid w:val="00162694"/>
    <w:rsid w:val="00162926"/>
    <w:rsid w:val="00162E89"/>
    <w:rsid w:val="00163187"/>
    <w:rsid w:val="001632C2"/>
    <w:rsid w:val="001633F1"/>
    <w:rsid w:val="0016341C"/>
    <w:rsid w:val="00163533"/>
    <w:rsid w:val="001636E8"/>
    <w:rsid w:val="00163BB4"/>
    <w:rsid w:val="00163BE5"/>
    <w:rsid w:val="00163D39"/>
    <w:rsid w:val="0016420F"/>
    <w:rsid w:val="001642BD"/>
    <w:rsid w:val="0016452D"/>
    <w:rsid w:val="0016487F"/>
    <w:rsid w:val="0016498B"/>
    <w:rsid w:val="00164A5C"/>
    <w:rsid w:val="00164C73"/>
    <w:rsid w:val="00164D32"/>
    <w:rsid w:val="00164D33"/>
    <w:rsid w:val="001655CF"/>
    <w:rsid w:val="00166063"/>
    <w:rsid w:val="00166538"/>
    <w:rsid w:val="0016674E"/>
    <w:rsid w:val="001668ED"/>
    <w:rsid w:val="00166ABC"/>
    <w:rsid w:val="00166E64"/>
    <w:rsid w:val="0016795E"/>
    <w:rsid w:val="00167AAA"/>
    <w:rsid w:val="00167CB3"/>
    <w:rsid w:val="00167DF7"/>
    <w:rsid w:val="00167F8D"/>
    <w:rsid w:val="001700FA"/>
    <w:rsid w:val="0017069D"/>
    <w:rsid w:val="00170A28"/>
    <w:rsid w:val="0017170E"/>
    <w:rsid w:val="001719BA"/>
    <w:rsid w:val="00171E6A"/>
    <w:rsid w:val="00171F67"/>
    <w:rsid w:val="00172422"/>
    <w:rsid w:val="00172A49"/>
    <w:rsid w:val="00172DD2"/>
    <w:rsid w:val="001731A2"/>
    <w:rsid w:val="001735E9"/>
    <w:rsid w:val="00173AED"/>
    <w:rsid w:val="00173C00"/>
    <w:rsid w:val="00173C44"/>
    <w:rsid w:val="00173CBA"/>
    <w:rsid w:val="00173FCC"/>
    <w:rsid w:val="001741E6"/>
    <w:rsid w:val="0017426E"/>
    <w:rsid w:val="00174313"/>
    <w:rsid w:val="00174318"/>
    <w:rsid w:val="00174379"/>
    <w:rsid w:val="00174534"/>
    <w:rsid w:val="001747CB"/>
    <w:rsid w:val="001748D3"/>
    <w:rsid w:val="00174AEF"/>
    <w:rsid w:val="00174C05"/>
    <w:rsid w:val="00174C83"/>
    <w:rsid w:val="00174ED0"/>
    <w:rsid w:val="0017516F"/>
    <w:rsid w:val="00175344"/>
    <w:rsid w:val="0017546C"/>
    <w:rsid w:val="001757E2"/>
    <w:rsid w:val="00175B00"/>
    <w:rsid w:val="00175D8B"/>
    <w:rsid w:val="00175DA8"/>
    <w:rsid w:val="00175E6E"/>
    <w:rsid w:val="00176156"/>
    <w:rsid w:val="00176385"/>
    <w:rsid w:val="001765D4"/>
    <w:rsid w:val="00176A93"/>
    <w:rsid w:val="00176E5C"/>
    <w:rsid w:val="00176F9E"/>
    <w:rsid w:val="00177212"/>
    <w:rsid w:val="001776B4"/>
    <w:rsid w:val="00180243"/>
    <w:rsid w:val="00180569"/>
    <w:rsid w:val="001807D8"/>
    <w:rsid w:val="00180920"/>
    <w:rsid w:val="00180B52"/>
    <w:rsid w:val="00180F92"/>
    <w:rsid w:val="0018130C"/>
    <w:rsid w:val="001815FA"/>
    <w:rsid w:val="0018168D"/>
    <w:rsid w:val="001819C9"/>
    <w:rsid w:val="001819EF"/>
    <w:rsid w:val="00181D81"/>
    <w:rsid w:val="00181E48"/>
    <w:rsid w:val="00181FA6"/>
    <w:rsid w:val="00182796"/>
    <w:rsid w:val="00182A20"/>
    <w:rsid w:val="00182CEC"/>
    <w:rsid w:val="00182D23"/>
    <w:rsid w:val="0018337F"/>
    <w:rsid w:val="001834BF"/>
    <w:rsid w:val="001836D7"/>
    <w:rsid w:val="00183CB0"/>
    <w:rsid w:val="00183EF6"/>
    <w:rsid w:val="001844DC"/>
    <w:rsid w:val="001847EA"/>
    <w:rsid w:val="001848B1"/>
    <w:rsid w:val="001848BC"/>
    <w:rsid w:val="0018496D"/>
    <w:rsid w:val="00184DE8"/>
    <w:rsid w:val="00185002"/>
    <w:rsid w:val="001850E8"/>
    <w:rsid w:val="001852A5"/>
    <w:rsid w:val="0018530E"/>
    <w:rsid w:val="00185444"/>
    <w:rsid w:val="001857E0"/>
    <w:rsid w:val="00185828"/>
    <w:rsid w:val="00185C2E"/>
    <w:rsid w:val="00185D05"/>
    <w:rsid w:val="00185F9F"/>
    <w:rsid w:val="00186117"/>
    <w:rsid w:val="00186E24"/>
    <w:rsid w:val="00187190"/>
    <w:rsid w:val="00187752"/>
    <w:rsid w:val="0018798E"/>
    <w:rsid w:val="00187D56"/>
    <w:rsid w:val="00187E2F"/>
    <w:rsid w:val="0019039B"/>
    <w:rsid w:val="00190CDE"/>
    <w:rsid w:val="00190E08"/>
    <w:rsid w:val="00190E22"/>
    <w:rsid w:val="00191098"/>
    <w:rsid w:val="001912B2"/>
    <w:rsid w:val="001913BE"/>
    <w:rsid w:val="001918D2"/>
    <w:rsid w:val="00192278"/>
    <w:rsid w:val="001922E9"/>
    <w:rsid w:val="0019235D"/>
    <w:rsid w:val="001923E3"/>
    <w:rsid w:val="00192D8E"/>
    <w:rsid w:val="0019313D"/>
    <w:rsid w:val="00193393"/>
    <w:rsid w:val="001933FD"/>
    <w:rsid w:val="0019342C"/>
    <w:rsid w:val="00193A8B"/>
    <w:rsid w:val="00194358"/>
    <w:rsid w:val="0019443E"/>
    <w:rsid w:val="00194770"/>
    <w:rsid w:val="001949AD"/>
    <w:rsid w:val="00194BF4"/>
    <w:rsid w:val="00194E57"/>
    <w:rsid w:val="00194FDE"/>
    <w:rsid w:val="00194FE9"/>
    <w:rsid w:val="00195490"/>
    <w:rsid w:val="001955E0"/>
    <w:rsid w:val="00195A25"/>
    <w:rsid w:val="00195C27"/>
    <w:rsid w:val="00195CB1"/>
    <w:rsid w:val="00195FC0"/>
    <w:rsid w:val="0019604A"/>
    <w:rsid w:val="001960F8"/>
    <w:rsid w:val="001962F0"/>
    <w:rsid w:val="001965F8"/>
    <w:rsid w:val="0019667F"/>
    <w:rsid w:val="0019677B"/>
    <w:rsid w:val="00196944"/>
    <w:rsid w:val="0019796A"/>
    <w:rsid w:val="00197ECD"/>
    <w:rsid w:val="00197FE3"/>
    <w:rsid w:val="001A005D"/>
    <w:rsid w:val="001A0347"/>
    <w:rsid w:val="001A08B5"/>
    <w:rsid w:val="001A0906"/>
    <w:rsid w:val="001A0C6B"/>
    <w:rsid w:val="001A0DC1"/>
    <w:rsid w:val="001A1029"/>
    <w:rsid w:val="001A11B1"/>
    <w:rsid w:val="001A1C62"/>
    <w:rsid w:val="001A27A3"/>
    <w:rsid w:val="001A28E5"/>
    <w:rsid w:val="001A2A76"/>
    <w:rsid w:val="001A2D11"/>
    <w:rsid w:val="001A319A"/>
    <w:rsid w:val="001A32BD"/>
    <w:rsid w:val="001A357E"/>
    <w:rsid w:val="001A3744"/>
    <w:rsid w:val="001A385F"/>
    <w:rsid w:val="001A3971"/>
    <w:rsid w:val="001A3A04"/>
    <w:rsid w:val="001A3AC6"/>
    <w:rsid w:val="001A4100"/>
    <w:rsid w:val="001A42E1"/>
    <w:rsid w:val="001A4335"/>
    <w:rsid w:val="001A4473"/>
    <w:rsid w:val="001A461E"/>
    <w:rsid w:val="001A4A78"/>
    <w:rsid w:val="001A4AD9"/>
    <w:rsid w:val="001A4E94"/>
    <w:rsid w:val="001A50CA"/>
    <w:rsid w:val="001A5184"/>
    <w:rsid w:val="001A56C6"/>
    <w:rsid w:val="001A629A"/>
    <w:rsid w:val="001A65D7"/>
    <w:rsid w:val="001A69A5"/>
    <w:rsid w:val="001A6E2D"/>
    <w:rsid w:val="001A6E3D"/>
    <w:rsid w:val="001A71F5"/>
    <w:rsid w:val="001A767D"/>
    <w:rsid w:val="001A78E0"/>
    <w:rsid w:val="001A7AB8"/>
    <w:rsid w:val="001A7DC7"/>
    <w:rsid w:val="001B02D8"/>
    <w:rsid w:val="001B03B6"/>
    <w:rsid w:val="001B0C3D"/>
    <w:rsid w:val="001B0CF9"/>
    <w:rsid w:val="001B0E04"/>
    <w:rsid w:val="001B0EEE"/>
    <w:rsid w:val="001B10AC"/>
    <w:rsid w:val="001B1231"/>
    <w:rsid w:val="001B1E8B"/>
    <w:rsid w:val="001B1F00"/>
    <w:rsid w:val="001B21FE"/>
    <w:rsid w:val="001B22DF"/>
    <w:rsid w:val="001B27B5"/>
    <w:rsid w:val="001B27FD"/>
    <w:rsid w:val="001B2A9C"/>
    <w:rsid w:val="001B2AC0"/>
    <w:rsid w:val="001B2BFD"/>
    <w:rsid w:val="001B2EEB"/>
    <w:rsid w:val="001B3263"/>
    <w:rsid w:val="001B3327"/>
    <w:rsid w:val="001B3597"/>
    <w:rsid w:val="001B3B65"/>
    <w:rsid w:val="001B3C94"/>
    <w:rsid w:val="001B3E06"/>
    <w:rsid w:val="001B3F6F"/>
    <w:rsid w:val="001B437F"/>
    <w:rsid w:val="001B45E7"/>
    <w:rsid w:val="001B45F8"/>
    <w:rsid w:val="001B46D0"/>
    <w:rsid w:val="001B498E"/>
    <w:rsid w:val="001B4FFC"/>
    <w:rsid w:val="001B5373"/>
    <w:rsid w:val="001B5590"/>
    <w:rsid w:val="001B58B9"/>
    <w:rsid w:val="001B5E53"/>
    <w:rsid w:val="001B5F23"/>
    <w:rsid w:val="001B61BB"/>
    <w:rsid w:val="001B6247"/>
    <w:rsid w:val="001B6652"/>
    <w:rsid w:val="001B6B60"/>
    <w:rsid w:val="001B6F6D"/>
    <w:rsid w:val="001B6FA1"/>
    <w:rsid w:val="001B7107"/>
    <w:rsid w:val="001B75C3"/>
    <w:rsid w:val="001B76F7"/>
    <w:rsid w:val="001B773D"/>
    <w:rsid w:val="001B7864"/>
    <w:rsid w:val="001B79A3"/>
    <w:rsid w:val="001B7A72"/>
    <w:rsid w:val="001B7B04"/>
    <w:rsid w:val="001B7C03"/>
    <w:rsid w:val="001B7F39"/>
    <w:rsid w:val="001B7FAF"/>
    <w:rsid w:val="001B7FE3"/>
    <w:rsid w:val="001C012C"/>
    <w:rsid w:val="001C0A57"/>
    <w:rsid w:val="001C0D73"/>
    <w:rsid w:val="001C12C6"/>
    <w:rsid w:val="001C13B6"/>
    <w:rsid w:val="001C1442"/>
    <w:rsid w:val="001C1584"/>
    <w:rsid w:val="001C1602"/>
    <w:rsid w:val="001C1788"/>
    <w:rsid w:val="001C19EC"/>
    <w:rsid w:val="001C1BDB"/>
    <w:rsid w:val="001C1C8A"/>
    <w:rsid w:val="001C1D0B"/>
    <w:rsid w:val="001C2127"/>
    <w:rsid w:val="001C23E7"/>
    <w:rsid w:val="001C24A5"/>
    <w:rsid w:val="001C26F9"/>
    <w:rsid w:val="001C295A"/>
    <w:rsid w:val="001C2C18"/>
    <w:rsid w:val="001C2C3B"/>
    <w:rsid w:val="001C2CC0"/>
    <w:rsid w:val="001C2CDB"/>
    <w:rsid w:val="001C2EA0"/>
    <w:rsid w:val="001C2EBC"/>
    <w:rsid w:val="001C312A"/>
    <w:rsid w:val="001C36BE"/>
    <w:rsid w:val="001C373F"/>
    <w:rsid w:val="001C37C4"/>
    <w:rsid w:val="001C3AA2"/>
    <w:rsid w:val="001C3E3C"/>
    <w:rsid w:val="001C49F4"/>
    <w:rsid w:val="001C4E16"/>
    <w:rsid w:val="001C5353"/>
    <w:rsid w:val="001C576F"/>
    <w:rsid w:val="001C5C77"/>
    <w:rsid w:val="001C5CB2"/>
    <w:rsid w:val="001C5D14"/>
    <w:rsid w:val="001C6001"/>
    <w:rsid w:val="001C6180"/>
    <w:rsid w:val="001C618A"/>
    <w:rsid w:val="001C62B6"/>
    <w:rsid w:val="001C6385"/>
    <w:rsid w:val="001C6AA4"/>
    <w:rsid w:val="001C7462"/>
    <w:rsid w:val="001C74B6"/>
    <w:rsid w:val="001C7B62"/>
    <w:rsid w:val="001C7EC1"/>
    <w:rsid w:val="001D012A"/>
    <w:rsid w:val="001D063B"/>
    <w:rsid w:val="001D06D1"/>
    <w:rsid w:val="001D0742"/>
    <w:rsid w:val="001D07C3"/>
    <w:rsid w:val="001D0BAB"/>
    <w:rsid w:val="001D0F52"/>
    <w:rsid w:val="001D1003"/>
    <w:rsid w:val="001D1072"/>
    <w:rsid w:val="001D1230"/>
    <w:rsid w:val="001D13D1"/>
    <w:rsid w:val="001D1834"/>
    <w:rsid w:val="001D19C2"/>
    <w:rsid w:val="001D1AAD"/>
    <w:rsid w:val="001D1F53"/>
    <w:rsid w:val="001D2857"/>
    <w:rsid w:val="001D2C4C"/>
    <w:rsid w:val="001D2D7B"/>
    <w:rsid w:val="001D3071"/>
    <w:rsid w:val="001D32A6"/>
    <w:rsid w:val="001D3816"/>
    <w:rsid w:val="001D38A4"/>
    <w:rsid w:val="001D3ABD"/>
    <w:rsid w:val="001D3AD7"/>
    <w:rsid w:val="001D3CDD"/>
    <w:rsid w:val="001D4373"/>
    <w:rsid w:val="001D4385"/>
    <w:rsid w:val="001D438A"/>
    <w:rsid w:val="001D4584"/>
    <w:rsid w:val="001D462B"/>
    <w:rsid w:val="001D466E"/>
    <w:rsid w:val="001D484E"/>
    <w:rsid w:val="001D4879"/>
    <w:rsid w:val="001D4903"/>
    <w:rsid w:val="001D5107"/>
    <w:rsid w:val="001D586D"/>
    <w:rsid w:val="001D5A14"/>
    <w:rsid w:val="001D5AA2"/>
    <w:rsid w:val="001D5B79"/>
    <w:rsid w:val="001D5C12"/>
    <w:rsid w:val="001D5CE1"/>
    <w:rsid w:val="001D5DA7"/>
    <w:rsid w:val="001D5F8C"/>
    <w:rsid w:val="001D621E"/>
    <w:rsid w:val="001D62C9"/>
    <w:rsid w:val="001D651E"/>
    <w:rsid w:val="001D67D9"/>
    <w:rsid w:val="001D6C08"/>
    <w:rsid w:val="001D6F22"/>
    <w:rsid w:val="001D70C8"/>
    <w:rsid w:val="001D7176"/>
    <w:rsid w:val="001D7185"/>
    <w:rsid w:val="001D7B30"/>
    <w:rsid w:val="001D7D3A"/>
    <w:rsid w:val="001D7ECD"/>
    <w:rsid w:val="001E00B5"/>
    <w:rsid w:val="001E00F4"/>
    <w:rsid w:val="001E01B8"/>
    <w:rsid w:val="001E025A"/>
    <w:rsid w:val="001E0750"/>
    <w:rsid w:val="001E0D4D"/>
    <w:rsid w:val="001E0F84"/>
    <w:rsid w:val="001E1102"/>
    <w:rsid w:val="001E125E"/>
    <w:rsid w:val="001E14CC"/>
    <w:rsid w:val="001E14E4"/>
    <w:rsid w:val="001E1865"/>
    <w:rsid w:val="001E1DC5"/>
    <w:rsid w:val="001E1ECF"/>
    <w:rsid w:val="001E2053"/>
    <w:rsid w:val="001E268A"/>
    <w:rsid w:val="001E2719"/>
    <w:rsid w:val="001E2BB3"/>
    <w:rsid w:val="001E2C1A"/>
    <w:rsid w:val="001E2C43"/>
    <w:rsid w:val="001E2CD5"/>
    <w:rsid w:val="001E2EA7"/>
    <w:rsid w:val="001E3447"/>
    <w:rsid w:val="001E3594"/>
    <w:rsid w:val="001E35A3"/>
    <w:rsid w:val="001E36F8"/>
    <w:rsid w:val="001E3758"/>
    <w:rsid w:val="001E3D6C"/>
    <w:rsid w:val="001E45A5"/>
    <w:rsid w:val="001E46DC"/>
    <w:rsid w:val="001E4839"/>
    <w:rsid w:val="001E496F"/>
    <w:rsid w:val="001E4DA1"/>
    <w:rsid w:val="001E5030"/>
    <w:rsid w:val="001E50CA"/>
    <w:rsid w:val="001E578F"/>
    <w:rsid w:val="001E5A53"/>
    <w:rsid w:val="001E5EC5"/>
    <w:rsid w:val="001E5F95"/>
    <w:rsid w:val="001E61B9"/>
    <w:rsid w:val="001E622F"/>
    <w:rsid w:val="001E6996"/>
    <w:rsid w:val="001E6B6E"/>
    <w:rsid w:val="001E6BAC"/>
    <w:rsid w:val="001E6EBC"/>
    <w:rsid w:val="001E7287"/>
    <w:rsid w:val="001E7301"/>
    <w:rsid w:val="001E73DE"/>
    <w:rsid w:val="001E74AF"/>
    <w:rsid w:val="001E76BE"/>
    <w:rsid w:val="001E76CE"/>
    <w:rsid w:val="001E780F"/>
    <w:rsid w:val="001E78B4"/>
    <w:rsid w:val="001E7975"/>
    <w:rsid w:val="001E7A51"/>
    <w:rsid w:val="001E7E0B"/>
    <w:rsid w:val="001E7F25"/>
    <w:rsid w:val="001E825D"/>
    <w:rsid w:val="001F0011"/>
    <w:rsid w:val="001F0283"/>
    <w:rsid w:val="001F0369"/>
    <w:rsid w:val="001F03DF"/>
    <w:rsid w:val="001F08B1"/>
    <w:rsid w:val="001F0BB2"/>
    <w:rsid w:val="001F0C51"/>
    <w:rsid w:val="001F1167"/>
    <w:rsid w:val="001F1912"/>
    <w:rsid w:val="001F1A63"/>
    <w:rsid w:val="001F1BC0"/>
    <w:rsid w:val="001F1C0A"/>
    <w:rsid w:val="001F27CE"/>
    <w:rsid w:val="001F28D9"/>
    <w:rsid w:val="001F2A62"/>
    <w:rsid w:val="001F2D01"/>
    <w:rsid w:val="001F2F9E"/>
    <w:rsid w:val="001F3706"/>
    <w:rsid w:val="001F3800"/>
    <w:rsid w:val="001F3E50"/>
    <w:rsid w:val="001F3F03"/>
    <w:rsid w:val="001F3F31"/>
    <w:rsid w:val="001F4108"/>
    <w:rsid w:val="001F4184"/>
    <w:rsid w:val="001F41B1"/>
    <w:rsid w:val="001F4A98"/>
    <w:rsid w:val="001F4D4E"/>
    <w:rsid w:val="001F5626"/>
    <w:rsid w:val="001F569A"/>
    <w:rsid w:val="001F5848"/>
    <w:rsid w:val="001F5DCD"/>
    <w:rsid w:val="001F673F"/>
    <w:rsid w:val="001F6AD0"/>
    <w:rsid w:val="001F6B11"/>
    <w:rsid w:val="001F6BF0"/>
    <w:rsid w:val="001F6D7C"/>
    <w:rsid w:val="001F71B5"/>
    <w:rsid w:val="001F77C3"/>
    <w:rsid w:val="001F7CFD"/>
    <w:rsid w:val="0020027C"/>
    <w:rsid w:val="002004BD"/>
    <w:rsid w:val="00200873"/>
    <w:rsid w:val="00200F74"/>
    <w:rsid w:val="00201267"/>
    <w:rsid w:val="002013FD"/>
    <w:rsid w:val="0020171A"/>
    <w:rsid w:val="00201D00"/>
    <w:rsid w:val="00201DCD"/>
    <w:rsid w:val="00201E95"/>
    <w:rsid w:val="002021EB"/>
    <w:rsid w:val="0020221F"/>
    <w:rsid w:val="0020234E"/>
    <w:rsid w:val="00202568"/>
    <w:rsid w:val="002025A0"/>
    <w:rsid w:val="0020269E"/>
    <w:rsid w:val="00202894"/>
    <w:rsid w:val="00202955"/>
    <w:rsid w:val="00202969"/>
    <w:rsid w:val="00202A3C"/>
    <w:rsid w:val="00202A48"/>
    <w:rsid w:val="00202AA6"/>
    <w:rsid w:val="00202E53"/>
    <w:rsid w:val="00203367"/>
    <w:rsid w:val="002034F7"/>
    <w:rsid w:val="002037D3"/>
    <w:rsid w:val="00203956"/>
    <w:rsid w:val="00203ACE"/>
    <w:rsid w:val="0020410E"/>
    <w:rsid w:val="002041B5"/>
    <w:rsid w:val="002042D9"/>
    <w:rsid w:val="002049FD"/>
    <w:rsid w:val="00204D20"/>
    <w:rsid w:val="00204E5C"/>
    <w:rsid w:val="00204F70"/>
    <w:rsid w:val="00205291"/>
    <w:rsid w:val="002052D8"/>
    <w:rsid w:val="002052DE"/>
    <w:rsid w:val="002055E6"/>
    <w:rsid w:val="002058FC"/>
    <w:rsid w:val="00205C39"/>
    <w:rsid w:val="00206252"/>
    <w:rsid w:val="0020648F"/>
    <w:rsid w:val="00206754"/>
    <w:rsid w:val="00206A97"/>
    <w:rsid w:val="0020715F"/>
    <w:rsid w:val="00207210"/>
    <w:rsid w:val="00207243"/>
    <w:rsid w:val="0020726C"/>
    <w:rsid w:val="0020728A"/>
    <w:rsid w:val="002075E0"/>
    <w:rsid w:val="002100ED"/>
    <w:rsid w:val="00210462"/>
    <w:rsid w:val="0021076E"/>
    <w:rsid w:val="00210806"/>
    <w:rsid w:val="0021089F"/>
    <w:rsid w:val="002108F2"/>
    <w:rsid w:val="00210AD2"/>
    <w:rsid w:val="00210B97"/>
    <w:rsid w:val="00210C30"/>
    <w:rsid w:val="00210CBD"/>
    <w:rsid w:val="00210FB5"/>
    <w:rsid w:val="002111BF"/>
    <w:rsid w:val="002113CE"/>
    <w:rsid w:val="002121E8"/>
    <w:rsid w:val="002125A3"/>
    <w:rsid w:val="00212696"/>
    <w:rsid w:val="002126C1"/>
    <w:rsid w:val="002128C6"/>
    <w:rsid w:val="002129E4"/>
    <w:rsid w:val="00212AA9"/>
    <w:rsid w:val="00212E91"/>
    <w:rsid w:val="00212F10"/>
    <w:rsid w:val="002130DE"/>
    <w:rsid w:val="0021349A"/>
    <w:rsid w:val="00213831"/>
    <w:rsid w:val="00213C3E"/>
    <w:rsid w:val="00213C8C"/>
    <w:rsid w:val="002140C1"/>
    <w:rsid w:val="002144B2"/>
    <w:rsid w:val="002145ED"/>
    <w:rsid w:val="00214BD4"/>
    <w:rsid w:val="00214C2A"/>
    <w:rsid w:val="00214F69"/>
    <w:rsid w:val="0021514F"/>
    <w:rsid w:val="002153D7"/>
    <w:rsid w:val="00215646"/>
    <w:rsid w:val="002159D9"/>
    <w:rsid w:val="002169ED"/>
    <w:rsid w:val="00216DA9"/>
    <w:rsid w:val="002171B3"/>
    <w:rsid w:val="002175EA"/>
    <w:rsid w:val="00217B06"/>
    <w:rsid w:val="00217C13"/>
    <w:rsid w:val="0022007E"/>
    <w:rsid w:val="00220099"/>
    <w:rsid w:val="0022052B"/>
    <w:rsid w:val="0022069E"/>
    <w:rsid w:val="002207AD"/>
    <w:rsid w:val="00220A14"/>
    <w:rsid w:val="00220C8C"/>
    <w:rsid w:val="00220E3C"/>
    <w:rsid w:val="00221447"/>
    <w:rsid w:val="00221919"/>
    <w:rsid w:val="00221979"/>
    <w:rsid w:val="00221D1C"/>
    <w:rsid w:val="00221E7E"/>
    <w:rsid w:val="00222040"/>
    <w:rsid w:val="002221A9"/>
    <w:rsid w:val="0022247A"/>
    <w:rsid w:val="002227E6"/>
    <w:rsid w:val="00222B5C"/>
    <w:rsid w:val="00222EA2"/>
    <w:rsid w:val="00223062"/>
    <w:rsid w:val="0022319C"/>
    <w:rsid w:val="002231DE"/>
    <w:rsid w:val="002233EC"/>
    <w:rsid w:val="0022347E"/>
    <w:rsid w:val="0022365C"/>
    <w:rsid w:val="002238EE"/>
    <w:rsid w:val="00223AA3"/>
    <w:rsid w:val="00223AC6"/>
    <w:rsid w:val="00223B5C"/>
    <w:rsid w:val="00223E0B"/>
    <w:rsid w:val="002241C0"/>
    <w:rsid w:val="0022429E"/>
    <w:rsid w:val="0022437C"/>
    <w:rsid w:val="0022440A"/>
    <w:rsid w:val="00224577"/>
    <w:rsid w:val="00224D7D"/>
    <w:rsid w:val="002250DC"/>
    <w:rsid w:val="00225140"/>
    <w:rsid w:val="00225248"/>
    <w:rsid w:val="0022586D"/>
    <w:rsid w:val="00225E1A"/>
    <w:rsid w:val="00226061"/>
    <w:rsid w:val="0022666D"/>
    <w:rsid w:val="002266BF"/>
    <w:rsid w:val="002271B3"/>
    <w:rsid w:val="0022737A"/>
    <w:rsid w:val="002276D0"/>
    <w:rsid w:val="00227930"/>
    <w:rsid w:val="00227DB1"/>
    <w:rsid w:val="0023010F"/>
    <w:rsid w:val="00230A64"/>
    <w:rsid w:val="0023150A"/>
    <w:rsid w:val="00231555"/>
    <w:rsid w:val="00231E12"/>
    <w:rsid w:val="00231F0E"/>
    <w:rsid w:val="00232025"/>
    <w:rsid w:val="002323C0"/>
    <w:rsid w:val="00232443"/>
    <w:rsid w:val="002324C5"/>
    <w:rsid w:val="00232505"/>
    <w:rsid w:val="00232937"/>
    <w:rsid w:val="00232E4D"/>
    <w:rsid w:val="0023300D"/>
    <w:rsid w:val="00233322"/>
    <w:rsid w:val="00233362"/>
    <w:rsid w:val="00233421"/>
    <w:rsid w:val="0023343B"/>
    <w:rsid w:val="00233447"/>
    <w:rsid w:val="0023351F"/>
    <w:rsid w:val="002335C7"/>
    <w:rsid w:val="002335CC"/>
    <w:rsid w:val="00233634"/>
    <w:rsid w:val="002337BF"/>
    <w:rsid w:val="00233808"/>
    <w:rsid w:val="002338FA"/>
    <w:rsid w:val="00233A4B"/>
    <w:rsid w:val="002340EF"/>
    <w:rsid w:val="00234452"/>
    <w:rsid w:val="002349BD"/>
    <w:rsid w:val="00235374"/>
    <w:rsid w:val="00235482"/>
    <w:rsid w:val="00235673"/>
    <w:rsid w:val="0023574F"/>
    <w:rsid w:val="002359D7"/>
    <w:rsid w:val="00235A33"/>
    <w:rsid w:val="00235F1E"/>
    <w:rsid w:val="00235FC3"/>
    <w:rsid w:val="002362EA"/>
    <w:rsid w:val="002363D9"/>
    <w:rsid w:val="0023694A"/>
    <w:rsid w:val="00236BD0"/>
    <w:rsid w:val="00236E9C"/>
    <w:rsid w:val="002370C5"/>
    <w:rsid w:val="0023712D"/>
    <w:rsid w:val="00237157"/>
    <w:rsid w:val="0023717D"/>
    <w:rsid w:val="00237253"/>
    <w:rsid w:val="00237543"/>
    <w:rsid w:val="002375BC"/>
    <w:rsid w:val="002378DF"/>
    <w:rsid w:val="00237B88"/>
    <w:rsid w:val="00237FF8"/>
    <w:rsid w:val="0024009D"/>
    <w:rsid w:val="0024016B"/>
    <w:rsid w:val="0024029C"/>
    <w:rsid w:val="002402F2"/>
    <w:rsid w:val="002403BB"/>
    <w:rsid w:val="00240457"/>
    <w:rsid w:val="0024098B"/>
    <w:rsid w:val="002409DF"/>
    <w:rsid w:val="00240E30"/>
    <w:rsid w:val="002410DB"/>
    <w:rsid w:val="002411F0"/>
    <w:rsid w:val="002414C6"/>
    <w:rsid w:val="002417C1"/>
    <w:rsid w:val="0024187A"/>
    <w:rsid w:val="00241A03"/>
    <w:rsid w:val="00241C14"/>
    <w:rsid w:val="00241C48"/>
    <w:rsid w:val="00241C7D"/>
    <w:rsid w:val="00241C90"/>
    <w:rsid w:val="00241F00"/>
    <w:rsid w:val="002421AD"/>
    <w:rsid w:val="00242C58"/>
    <w:rsid w:val="00242D85"/>
    <w:rsid w:val="00242F82"/>
    <w:rsid w:val="0024339A"/>
    <w:rsid w:val="00243527"/>
    <w:rsid w:val="00243C39"/>
    <w:rsid w:val="00243CD6"/>
    <w:rsid w:val="00243D8C"/>
    <w:rsid w:val="00243E14"/>
    <w:rsid w:val="00243FDB"/>
    <w:rsid w:val="00244068"/>
    <w:rsid w:val="002442D5"/>
    <w:rsid w:val="00244603"/>
    <w:rsid w:val="00244608"/>
    <w:rsid w:val="002448C4"/>
    <w:rsid w:val="00244A07"/>
    <w:rsid w:val="00244D98"/>
    <w:rsid w:val="00244F03"/>
    <w:rsid w:val="00245073"/>
    <w:rsid w:val="002450A8"/>
    <w:rsid w:val="00245450"/>
    <w:rsid w:val="002454D0"/>
    <w:rsid w:val="0024586D"/>
    <w:rsid w:val="00245C3E"/>
    <w:rsid w:val="002463E9"/>
    <w:rsid w:val="0024649B"/>
    <w:rsid w:val="002467D9"/>
    <w:rsid w:val="00246A15"/>
    <w:rsid w:val="00246D32"/>
    <w:rsid w:val="00247010"/>
    <w:rsid w:val="00247314"/>
    <w:rsid w:val="00247345"/>
    <w:rsid w:val="00247388"/>
    <w:rsid w:val="002473BD"/>
    <w:rsid w:val="002477EC"/>
    <w:rsid w:val="00247C0A"/>
    <w:rsid w:val="00247CFB"/>
    <w:rsid w:val="00247D8A"/>
    <w:rsid w:val="002502D1"/>
    <w:rsid w:val="00250A02"/>
    <w:rsid w:val="00250AC5"/>
    <w:rsid w:val="00250C48"/>
    <w:rsid w:val="00250E96"/>
    <w:rsid w:val="00250F3B"/>
    <w:rsid w:val="002512B4"/>
    <w:rsid w:val="00251347"/>
    <w:rsid w:val="0025162C"/>
    <w:rsid w:val="00251977"/>
    <w:rsid w:val="00251F36"/>
    <w:rsid w:val="00252119"/>
    <w:rsid w:val="00252568"/>
    <w:rsid w:val="002525E7"/>
    <w:rsid w:val="002526D1"/>
    <w:rsid w:val="00252FB8"/>
    <w:rsid w:val="0025328F"/>
    <w:rsid w:val="00253506"/>
    <w:rsid w:val="00253961"/>
    <w:rsid w:val="0025396B"/>
    <w:rsid w:val="00253A32"/>
    <w:rsid w:val="00253CD1"/>
    <w:rsid w:val="002540E9"/>
    <w:rsid w:val="00254124"/>
    <w:rsid w:val="0025492D"/>
    <w:rsid w:val="00254992"/>
    <w:rsid w:val="00254CD2"/>
    <w:rsid w:val="002552B1"/>
    <w:rsid w:val="0025545A"/>
    <w:rsid w:val="00255614"/>
    <w:rsid w:val="00255670"/>
    <w:rsid w:val="00255999"/>
    <w:rsid w:val="00255A56"/>
    <w:rsid w:val="00255AE9"/>
    <w:rsid w:val="00255DA1"/>
    <w:rsid w:val="00255DCD"/>
    <w:rsid w:val="00255F4E"/>
    <w:rsid w:val="00255FF7"/>
    <w:rsid w:val="00256272"/>
    <w:rsid w:val="00256437"/>
    <w:rsid w:val="0025657C"/>
    <w:rsid w:val="0025665D"/>
    <w:rsid w:val="00256BF2"/>
    <w:rsid w:val="00256D62"/>
    <w:rsid w:val="00257162"/>
    <w:rsid w:val="00257184"/>
    <w:rsid w:val="002574C5"/>
    <w:rsid w:val="00257748"/>
    <w:rsid w:val="0025782C"/>
    <w:rsid w:val="00257C6C"/>
    <w:rsid w:val="00257CBE"/>
    <w:rsid w:val="002603ED"/>
    <w:rsid w:val="0026049F"/>
    <w:rsid w:val="0026052B"/>
    <w:rsid w:val="002605AB"/>
    <w:rsid w:val="00260B81"/>
    <w:rsid w:val="00260C75"/>
    <w:rsid w:val="00261398"/>
    <w:rsid w:val="00261658"/>
    <w:rsid w:val="002619E5"/>
    <w:rsid w:val="00261B3E"/>
    <w:rsid w:val="00261D11"/>
    <w:rsid w:val="00262227"/>
    <w:rsid w:val="00262528"/>
    <w:rsid w:val="002626E7"/>
    <w:rsid w:val="00262B3C"/>
    <w:rsid w:val="00262B60"/>
    <w:rsid w:val="00262C0E"/>
    <w:rsid w:val="00263662"/>
    <w:rsid w:val="002636EF"/>
    <w:rsid w:val="00263CAB"/>
    <w:rsid w:val="00263EA3"/>
    <w:rsid w:val="00264016"/>
    <w:rsid w:val="002641D0"/>
    <w:rsid w:val="00264429"/>
    <w:rsid w:val="0026483B"/>
    <w:rsid w:val="002648CF"/>
    <w:rsid w:val="002651F0"/>
    <w:rsid w:val="00265624"/>
    <w:rsid w:val="00265683"/>
    <w:rsid w:val="0026595A"/>
    <w:rsid w:val="002663DB"/>
    <w:rsid w:val="0026689A"/>
    <w:rsid w:val="00266A6F"/>
    <w:rsid w:val="00266ACF"/>
    <w:rsid w:val="00266C91"/>
    <w:rsid w:val="00266DE1"/>
    <w:rsid w:val="00266EAC"/>
    <w:rsid w:val="00266FED"/>
    <w:rsid w:val="00267051"/>
    <w:rsid w:val="00267093"/>
    <w:rsid w:val="0026774C"/>
    <w:rsid w:val="00267967"/>
    <w:rsid w:val="00267E6B"/>
    <w:rsid w:val="00267E76"/>
    <w:rsid w:val="00270283"/>
    <w:rsid w:val="00270805"/>
    <w:rsid w:val="002709A6"/>
    <w:rsid w:val="00270B58"/>
    <w:rsid w:val="00270BFA"/>
    <w:rsid w:val="00271426"/>
    <w:rsid w:val="0027143B"/>
    <w:rsid w:val="00271728"/>
    <w:rsid w:val="0027178F"/>
    <w:rsid w:val="0027194A"/>
    <w:rsid w:val="002720DD"/>
    <w:rsid w:val="00272531"/>
    <w:rsid w:val="00272600"/>
    <w:rsid w:val="0027293A"/>
    <w:rsid w:val="00272A88"/>
    <w:rsid w:val="00272ADA"/>
    <w:rsid w:val="00272DF5"/>
    <w:rsid w:val="00272F1E"/>
    <w:rsid w:val="0027307F"/>
    <w:rsid w:val="002730F4"/>
    <w:rsid w:val="00273639"/>
    <w:rsid w:val="00273A60"/>
    <w:rsid w:val="00273A6D"/>
    <w:rsid w:val="00273DED"/>
    <w:rsid w:val="00273EC7"/>
    <w:rsid w:val="002741B8"/>
    <w:rsid w:val="00274367"/>
    <w:rsid w:val="002744C4"/>
    <w:rsid w:val="0027464C"/>
    <w:rsid w:val="00274BA6"/>
    <w:rsid w:val="00275445"/>
    <w:rsid w:val="00275B1A"/>
    <w:rsid w:val="00275B8F"/>
    <w:rsid w:val="00276048"/>
    <w:rsid w:val="00276539"/>
    <w:rsid w:val="002765CD"/>
    <w:rsid w:val="00276655"/>
    <w:rsid w:val="0027665D"/>
    <w:rsid w:val="00276767"/>
    <w:rsid w:val="0027687B"/>
    <w:rsid w:val="00276BCF"/>
    <w:rsid w:val="0027704C"/>
    <w:rsid w:val="0027718B"/>
    <w:rsid w:val="00277674"/>
    <w:rsid w:val="00277933"/>
    <w:rsid w:val="002802A9"/>
    <w:rsid w:val="002802ED"/>
    <w:rsid w:val="0028033B"/>
    <w:rsid w:val="0028057E"/>
    <w:rsid w:val="00280DB3"/>
    <w:rsid w:val="00280EF5"/>
    <w:rsid w:val="00281378"/>
    <w:rsid w:val="0028140F"/>
    <w:rsid w:val="00281C15"/>
    <w:rsid w:val="00281F3D"/>
    <w:rsid w:val="002821BD"/>
    <w:rsid w:val="002821C1"/>
    <w:rsid w:val="002826C5"/>
    <w:rsid w:val="00282AE7"/>
    <w:rsid w:val="00282EE2"/>
    <w:rsid w:val="00283260"/>
    <w:rsid w:val="002834C9"/>
    <w:rsid w:val="00283768"/>
    <w:rsid w:val="002839BA"/>
    <w:rsid w:val="00283C7E"/>
    <w:rsid w:val="00283DD0"/>
    <w:rsid w:val="0028401D"/>
    <w:rsid w:val="00284049"/>
    <w:rsid w:val="002840EF"/>
    <w:rsid w:val="00284569"/>
    <w:rsid w:val="00284598"/>
    <w:rsid w:val="00284660"/>
    <w:rsid w:val="00284856"/>
    <w:rsid w:val="00284B69"/>
    <w:rsid w:val="00284CC0"/>
    <w:rsid w:val="00284DDB"/>
    <w:rsid w:val="00284E8E"/>
    <w:rsid w:val="00284F02"/>
    <w:rsid w:val="00285116"/>
    <w:rsid w:val="002851A5"/>
    <w:rsid w:val="0028554B"/>
    <w:rsid w:val="0028569D"/>
    <w:rsid w:val="0028577A"/>
    <w:rsid w:val="00285D69"/>
    <w:rsid w:val="00285DA3"/>
    <w:rsid w:val="00286154"/>
    <w:rsid w:val="002863A6"/>
    <w:rsid w:val="00286456"/>
    <w:rsid w:val="00286516"/>
    <w:rsid w:val="00286999"/>
    <w:rsid w:val="00286CC8"/>
    <w:rsid w:val="0028772D"/>
    <w:rsid w:val="0028784F"/>
    <w:rsid w:val="00290390"/>
    <w:rsid w:val="0029058C"/>
    <w:rsid w:val="0029067F"/>
    <w:rsid w:val="002907F7"/>
    <w:rsid w:val="00290B81"/>
    <w:rsid w:val="00290D2A"/>
    <w:rsid w:val="00290D98"/>
    <w:rsid w:val="00290F24"/>
    <w:rsid w:val="00290FD0"/>
    <w:rsid w:val="00291000"/>
    <w:rsid w:val="0029160A"/>
    <w:rsid w:val="0029167D"/>
    <w:rsid w:val="00291760"/>
    <w:rsid w:val="00291781"/>
    <w:rsid w:val="002918D1"/>
    <w:rsid w:val="00291A85"/>
    <w:rsid w:val="00291B06"/>
    <w:rsid w:val="00291DDC"/>
    <w:rsid w:val="00292442"/>
    <w:rsid w:val="00292842"/>
    <w:rsid w:val="00292B5D"/>
    <w:rsid w:val="00292BB7"/>
    <w:rsid w:val="00292D99"/>
    <w:rsid w:val="00292E0B"/>
    <w:rsid w:val="00292F06"/>
    <w:rsid w:val="00293273"/>
    <w:rsid w:val="00293929"/>
    <w:rsid w:val="002939E3"/>
    <w:rsid w:val="00293D75"/>
    <w:rsid w:val="00293DDB"/>
    <w:rsid w:val="00293F5D"/>
    <w:rsid w:val="00294112"/>
    <w:rsid w:val="0029454A"/>
    <w:rsid w:val="0029487F"/>
    <w:rsid w:val="002948F4"/>
    <w:rsid w:val="00294B88"/>
    <w:rsid w:val="00294C3D"/>
    <w:rsid w:val="00294CBF"/>
    <w:rsid w:val="00294F5B"/>
    <w:rsid w:val="002954B5"/>
    <w:rsid w:val="002954B7"/>
    <w:rsid w:val="00296172"/>
    <w:rsid w:val="002961D2"/>
    <w:rsid w:val="002961DA"/>
    <w:rsid w:val="00296B3B"/>
    <w:rsid w:val="00296C77"/>
    <w:rsid w:val="00296F34"/>
    <w:rsid w:val="00296F67"/>
    <w:rsid w:val="00297153"/>
    <w:rsid w:val="00297761"/>
    <w:rsid w:val="002978D3"/>
    <w:rsid w:val="00297931"/>
    <w:rsid w:val="00297E44"/>
    <w:rsid w:val="002A01BF"/>
    <w:rsid w:val="002A0207"/>
    <w:rsid w:val="002A046C"/>
    <w:rsid w:val="002A0682"/>
    <w:rsid w:val="002A06C0"/>
    <w:rsid w:val="002A078A"/>
    <w:rsid w:val="002A0DC9"/>
    <w:rsid w:val="002A0F15"/>
    <w:rsid w:val="002A1195"/>
    <w:rsid w:val="002A1308"/>
    <w:rsid w:val="002A15E4"/>
    <w:rsid w:val="002A1978"/>
    <w:rsid w:val="002A1E44"/>
    <w:rsid w:val="002A1E49"/>
    <w:rsid w:val="002A22F1"/>
    <w:rsid w:val="002A2493"/>
    <w:rsid w:val="002A285F"/>
    <w:rsid w:val="002A29C2"/>
    <w:rsid w:val="002A3697"/>
    <w:rsid w:val="002A3ACA"/>
    <w:rsid w:val="002A3CB9"/>
    <w:rsid w:val="002A3E97"/>
    <w:rsid w:val="002A41D2"/>
    <w:rsid w:val="002A447F"/>
    <w:rsid w:val="002A4964"/>
    <w:rsid w:val="002A4A8C"/>
    <w:rsid w:val="002A5372"/>
    <w:rsid w:val="002A55A1"/>
    <w:rsid w:val="002A560B"/>
    <w:rsid w:val="002A562F"/>
    <w:rsid w:val="002A5AF3"/>
    <w:rsid w:val="002A5BAC"/>
    <w:rsid w:val="002A5C5F"/>
    <w:rsid w:val="002A5E6E"/>
    <w:rsid w:val="002A6041"/>
    <w:rsid w:val="002A64F4"/>
    <w:rsid w:val="002A684A"/>
    <w:rsid w:val="002A6979"/>
    <w:rsid w:val="002A6B86"/>
    <w:rsid w:val="002A7316"/>
    <w:rsid w:val="002A7339"/>
    <w:rsid w:val="002A76EB"/>
    <w:rsid w:val="002A7E8C"/>
    <w:rsid w:val="002B0187"/>
    <w:rsid w:val="002B01D2"/>
    <w:rsid w:val="002B01EC"/>
    <w:rsid w:val="002B054E"/>
    <w:rsid w:val="002B0573"/>
    <w:rsid w:val="002B05E1"/>
    <w:rsid w:val="002B0639"/>
    <w:rsid w:val="002B0AE1"/>
    <w:rsid w:val="002B0B86"/>
    <w:rsid w:val="002B0EE9"/>
    <w:rsid w:val="002B0F8F"/>
    <w:rsid w:val="002B1200"/>
    <w:rsid w:val="002B1530"/>
    <w:rsid w:val="002B1B23"/>
    <w:rsid w:val="002B1C40"/>
    <w:rsid w:val="002B1D2F"/>
    <w:rsid w:val="002B1E9D"/>
    <w:rsid w:val="002B1F50"/>
    <w:rsid w:val="002B204B"/>
    <w:rsid w:val="002B21A7"/>
    <w:rsid w:val="002B2210"/>
    <w:rsid w:val="002B22AD"/>
    <w:rsid w:val="002B24FA"/>
    <w:rsid w:val="002B2531"/>
    <w:rsid w:val="002B254B"/>
    <w:rsid w:val="002B25C6"/>
    <w:rsid w:val="002B2D01"/>
    <w:rsid w:val="002B3136"/>
    <w:rsid w:val="002B3512"/>
    <w:rsid w:val="002B3D60"/>
    <w:rsid w:val="002B4024"/>
    <w:rsid w:val="002B44B1"/>
    <w:rsid w:val="002B4D6D"/>
    <w:rsid w:val="002B4DA8"/>
    <w:rsid w:val="002B4F8A"/>
    <w:rsid w:val="002B4FD1"/>
    <w:rsid w:val="002B5277"/>
    <w:rsid w:val="002B5289"/>
    <w:rsid w:val="002B52BB"/>
    <w:rsid w:val="002B5A0B"/>
    <w:rsid w:val="002B5E4E"/>
    <w:rsid w:val="002B5E87"/>
    <w:rsid w:val="002B60B7"/>
    <w:rsid w:val="002B659B"/>
    <w:rsid w:val="002B6669"/>
    <w:rsid w:val="002B69E2"/>
    <w:rsid w:val="002B6C3C"/>
    <w:rsid w:val="002B6D8F"/>
    <w:rsid w:val="002B72C0"/>
    <w:rsid w:val="002B76BB"/>
    <w:rsid w:val="002B7B65"/>
    <w:rsid w:val="002B7C65"/>
    <w:rsid w:val="002B7ED8"/>
    <w:rsid w:val="002C00E0"/>
    <w:rsid w:val="002C0324"/>
    <w:rsid w:val="002C0369"/>
    <w:rsid w:val="002C0831"/>
    <w:rsid w:val="002C093D"/>
    <w:rsid w:val="002C0E94"/>
    <w:rsid w:val="002C0EC9"/>
    <w:rsid w:val="002C1CDB"/>
    <w:rsid w:val="002C1E0C"/>
    <w:rsid w:val="002C1FFA"/>
    <w:rsid w:val="002C2461"/>
    <w:rsid w:val="002C2551"/>
    <w:rsid w:val="002C2648"/>
    <w:rsid w:val="002C2766"/>
    <w:rsid w:val="002C2973"/>
    <w:rsid w:val="002C3061"/>
    <w:rsid w:val="002C32F0"/>
    <w:rsid w:val="002C383D"/>
    <w:rsid w:val="002C3B0B"/>
    <w:rsid w:val="002C3C7A"/>
    <w:rsid w:val="002C3DE1"/>
    <w:rsid w:val="002C3F3D"/>
    <w:rsid w:val="002C3F7F"/>
    <w:rsid w:val="002C40C9"/>
    <w:rsid w:val="002C4468"/>
    <w:rsid w:val="002C499F"/>
    <w:rsid w:val="002C4B81"/>
    <w:rsid w:val="002C4D29"/>
    <w:rsid w:val="002C4E80"/>
    <w:rsid w:val="002C4F1A"/>
    <w:rsid w:val="002C4FF6"/>
    <w:rsid w:val="002C5082"/>
    <w:rsid w:val="002C5188"/>
    <w:rsid w:val="002C51BA"/>
    <w:rsid w:val="002C51C2"/>
    <w:rsid w:val="002C5448"/>
    <w:rsid w:val="002C549B"/>
    <w:rsid w:val="002C604A"/>
    <w:rsid w:val="002C61FE"/>
    <w:rsid w:val="002C65E7"/>
    <w:rsid w:val="002C6CF4"/>
    <w:rsid w:val="002C7118"/>
    <w:rsid w:val="002C72C8"/>
    <w:rsid w:val="002C72E7"/>
    <w:rsid w:val="002C7437"/>
    <w:rsid w:val="002C74CF"/>
    <w:rsid w:val="002C7EE9"/>
    <w:rsid w:val="002D0243"/>
    <w:rsid w:val="002D0AF6"/>
    <w:rsid w:val="002D0AFE"/>
    <w:rsid w:val="002D0EBA"/>
    <w:rsid w:val="002D1151"/>
    <w:rsid w:val="002D11B8"/>
    <w:rsid w:val="002D1317"/>
    <w:rsid w:val="002D265C"/>
    <w:rsid w:val="002D298F"/>
    <w:rsid w:val="002D29A2"/>
    <w:rsid w:val="002D2A7E"/>
    <w:rsid w:val="002D2DAE"/>
    <w:rsid w:val="002D304F"/>
    <w:rsid w:val="002D31BA"/>
    <w:rsid w:val="002D325D"/>
    <w:rsid w:val="002D32CC"/>
    <w:rsid w:val="002D3827"/>
    <w:rsid w:val="002D398A"/>
    <w:rsid w:val="002D3AB8"/>
    <w:rsid w:val="002D3B39"/>
    <w:rsid w:val="002D3C5C"/>
    <w:rsid w:val="002D3CF7"/>
    <w:rsid w:val="002D3DE5"/>
    <w:rsid w:val="002D3E27"/>
    <w:rsid w:val="002D3E73"/>
    <w:rsid w:val="002D42D0"/>
    <w:rsid w:val="002D453E"/>
    <w:rsid w:val="002D4598"/>
    <w:rsid w:val="002D49C0"/>
    <w:rsid w:val="002D4B75"/>
    <w:rsid w:val="002D4C66"/>
    <w:rsid w:val="002D53A2"/>
    <w:rsid w:val="002D56C2"/>
    <w:rsid w:val="002D5A25"/>
    <w:rsid w:val="002D5B21"/>
    <w:rsid w:val="002D5B5E"/>
    <w:rsid w:val="002D5F5F"/>
    <w:rsid w:val="002D62E9"/>
    <w:rsid w:val="002D63FD"/>
    <w:rsid w:val="002D66C8"/>
    <w:rsid w:val="002D67CF"/>
    <w:rsid w:val="002D6947"/>
    <w:rsid w:val="002D6CF6"/>
    <w:rsid w:val="002D6DC7"/>
    <w:rsid w:val="002D6F38"/>
    <w:rsid w:val="002D7084"/>
    <w:rsid w:val="002D7181"/>
    <w:rsid w:val="002D7435"/>
    <w:rsid w:val="002D75CC"/>
    <w:rsid w:val="002D7AA6"/>
    <w:rsid w:val="002D7B58"/>
    <w:rsid w:val="002D7C6D"/>
    <w:rsid w:val="002D7F75"/>
    <w:rsid w:val="002D7F87"/>
    <w:rsid w:val="002E02BC"/>
    <w:rsid w:val="002E033E"/>
    <w:rsid w:val="002E0445"/>
    <w:rsid w:val="002E12D3"/>
    <w:rsid w:val="002E12DB"/>
    <w:rsid w:val="002E1635"/>
    <w:rsid w:val="002E16DF"/>
    <w:rsid w:val="002E1A2B"/>
    <w:rsid w:val="002E1A34"/>
    <w:rsid w:val="002E1AFF"/>
    <w:rsid w:val="002E1CDA"/>
    <w:rsid w:val="002E1DCD"/>
    <w:rsid w:val="002E1F4D"/>
    <w:rsid w:val="002E2288"/>
    <w:rsid w:val="002E2A0E"/>
    <w:rsid w:val="002E2A20"/>
    <w:rsid w:val="002E2A4B"/>
    <w:rsid w:val="002E2DC7"/>
    <w:rsid w:val="002E2E03"/>
    <w:rsid w:val="002E2E73"/>
    <w:rsid w:val="002E3180"/>
    <w:rsid w:val="002E321D"/>
    <w:rsid w:val="002E32F4"/>
    <w:rsid w:val="002E36ED"/>
    <w:rsid w:val="002E383A"/>
    <w:rsid w:val="002E3A8E"/>
    <w:rsid w:val="002E3C95"/>
    <w:rsid w:val="002E3EC4"/>
    <w:rsid w:val="002E459A"/>
    <w:rsid w:val="002E49CB"/>
    <w:rsid w:val="002E4B14"/>
    <w:rsid w:val="002E4E38"/>
    <w:rsid w:val="002E5042"/>
    <w:rsid w:val="002E5217"/>
    <w:rsid w:val="002E564B"/>
    <w:rsid w:val="002E56B5"/>
    <w:rsid w:val="002E575C"/>
    <w:rsid w:val="002E5962"/>
    <w:rsid w:val="002E5E08"/>
    <w:rsid w:val="002E5F9A"/>
    <w:rsid w:val="002E602F"/>
    <w:rsid w:val="002E60B9"/>
    <w:rsid w:val="002E60DB"/>
    <w:rsid w:val="002E6AAD"/>
    <w:rsid w:val="002E6FB4"/>
    <w:rsid w:val="002E7163"/>
    <w:rsid w:val="002E71B4"/>
    <w:rsid w:val="002E73CB"/>
    <w:rsid w:val="002E7888"/>
    <w:rsid w:val="002E79C4"/>
    <w:rsid w:val="002E7D23"/>
    <w:rsid w:val="002F01EA"/>
    <w:rsid w:val="002F0481"/>
    <w:rsid w:val="002F05A9"/>
    <w:rsid w:val="002F070A"/>
    <w:rsid w:val="002F0738"/>
    <w:rsid w:val="002F08AB"/>
    <w:rsid w:val="002F0E8B"/>
    <w:rsid w:val="002F1048"/>
    <w:rsid w:val="002F1214"/>
    <w:rsid w:val="002F15CA"/>
    <w:rsid w:val="002F15E5"/>
    <w:rsid w:val="002F1EE9"/>
    <w:rsid w:val="002F1F6E"/>
    <w:rsid w:val="002F3965"/>
    <w:rsid w:val="002F3982"/>
    <w:rsid w:val="002F39AF"/>
    <w:rsid w:val="002F3C94"/>
    <w:rsid w:val="002F4123"/>
    <w:rsid w:val="002F43D4"/>
    <w:rsid w:val="002F4575"/>
    <w:rsid w:val="002F481A"/>
    <w:rsid w:val="002F4ABC"/>
    <w:rsid w:val="002F4B1A"/>
    <w:rsid w:val="002F4B9E"/>
    <w:rsid w:val="002F51C6"/>
    <w:rsid w:val="002F5D93"/>
    <w:rsid w:val="002F5FDC"/>
    <w:rsid w:val="002F6012"/>
    <w:rsid w:val="002F6619"/>
    <w:rsid w:val="002F6644"/>
    <w:rsid w:val="002F6680"/>
    <w:rsid w:val="002F6718"/>
    <w:rsid w:val="002F67CF"/>
    <w:rsid w:val="002F697F"/>
    <w:rsid w:val="002F6E74"/>
    <w:rsid w:val="002F71E7"/>
    <w:rsid w:val="002F7217"/>
    <w:rsid w:val="002F72C8"/>
    <w:rsid w:val="002F765F"/>
    <w:rsid w:val="002F77DD"/>
    <w:rsid w:val="002F7BAF"/>
    <w:rsid w:val="002F7CAA"/>
    <w:rsid w:val="003000A8"/>
    <w:rsid w:val="003003FD"/>
    <w:rsid w:val="00300BA4"/>
    <w:rsid w:val="00300DA2"/>
    <w:rsid w:val="00300EA6"/>
    <w:rsid w:val="00300F0F"/>
    <w:rsid w:val="00300F22"/>
    <w:rsid w:val="00301000"/>
    <w:rsid w:val="00301376"/>
    <w:rsid w:val="0030154C"/>
    <w:rsid w:val="003015BE"/>
    <w:rsid w:val="00302151"/>
    <w:rsid w:val="00302A21"/>
    <w:rsid w:val="00302BD1"/>
    <w:rsid w:val="0030329A"/>
    <w:rsid w:val="00303442"/>
    <w:rsid w:val="003036AF"/>
    <w:rsid w:val="00304104"/>
    <w:rsid w:val="00304581"/>
    <w:rsid w:val="00304C61"/>
    <w:rsid w:val="00304F20"/>
    <w:rsid w:val="00305146"/>
    <w:rsid w:val="003052B3"/>
    <w:rsid w:val="00305C02"/>
    <w:rsid w:val="0030652C"/>
    <w:rsid w:val="00306773"/>
    <w:rsid w:val="00306C31"/>
    <w:rsid w:val="00306EC4"/>
    <w:rsid w:val="0030729A"/>
    <w:rsid w:val="0030737E"/>
    <w:rsid w:val="0030764A"/>
    <w:rsid w:val="00307951"/>
    <w:rsid w:val="00307A3A"/>
    <w:rsid w:val="00307A7B"/>
    <w:rsid w:val="00307B5F"/>
    <w:rsid w:val="00307EA4"/>
    <w:rsid w:val="003103B3"/>
    <w:rsid w:val="003106F1"/>
    <w:rsid w:val="00310C64"/>
    <w:rsid w:val="003114D8"/>
    <w:rsid w:val="0031151D"/>
    <w:rsid w:val="00311811"/>
    <w:rsid w:val="00311D34"/>
    <w:rsid w:val="00311D8D"/>
    <w:rsid w:val="00311E73"/>
    <w:rsid w:val="00312220"/>
    <w:rsid w:val="00312486"/>
    <w:rsid w:val="003127BB"/>
    <w:rsid w:val="00312FAC"/>
    <w:rsid w:val="003130A9"/>
    <w:rsid w:val="0031313D"/>
    <w:rsid w:val="003131AE"/>
    <w:rsid w:val="00313269"/>
    <w:rsid w:val="00313771"/>
    <w:rsid w:val="00313C99"/>
    <w:rsid w:val="00313D52"/>
    <w:rsid w:val="00313E15"/>
    <w:rsid w:val="00313EB4"/>
    <w:rsid w:val="00314182"/>
    <w:rsid w:val="00314854"/>
    <w:rsid w:val="00314AB7"/>
    <w:rsid w:val="00315354"/>
    <w:rsid w:val="00315A19"/>
    <w:rsid w:val="00315A3C"/>
    <w:rsid w:val="00315A85"/>
    <w:rsid w:val="00315FAA"/>
    <w:rsid w:val="003160E3"/>
    <w:rsid w:val="00316176"/>
    <w:rsid w:val="0031659B"/>
    <w:rsid w:val="00316F6F"/>
    <w:rsid w:val="00316FCA"/>
    <w:rsid w:val="0031725C"/>
    <w:rsid w:val="00317327"/>
    <w:rsid w:val="003174C1"/>
    <w:rsid w:val="0031777D"/>
    <w:rsid w:val="00317B2C"/>
    <w:rsid w:val="00317E53"/>
    <w:rsid w:val="00317F1F"/>
    <w:rsid w:val="00320144"/>
    <w:rsid w:val="0032019C"/>
    <w:rsid w:val="00320415"/>
    <w:rsid w:val="00320971"/>
    <w:rsid w:val="003209D7"/>
    <w:rsid w:val="00320E76"/>
    <w:rsid w:val="00321389"/>
    <w:rsid w:val="003214E4"/>
    <w:rsid w:val="00321745"/>
    <w:rsid w:val="0032174D"/>
    <w:rsid w:val="00321A44"/>
    <w:rsid w:val="00321AEB"/>
    <w:rsid w:val="00321D04"/>
    <w:rsid w:val="00321F02"/>
    <w:rsid w:val="00321F6A"/>
    <w:rsid w:val="00322653"/>
    <w:rsid w:val="003228FF"/>
    <w:rsid w:val="00322C10"/>
    <w:rsid w:val="00322E2C"/>
    <w:rsid w:val="00322EE5"/>
    <w:rsid w:val="00322F5F"/>
    <w:rsid w:val="0032306C"/>
    <w:rsid w:val="00323264"/>
    <w:rsid w:val="00323A6F"/>
    <w:rsid w:val="00323BBD"/>
    <w:rsid w:val="003244AC"/>
    <w:rsid w:val="003246CF"/>
    <w:rsid w:val="0032498C"/>
    <w:rsid w:val="00324B48"/>
    <w:rsid w:val="00324B88"/>
    <w:rsid w:val="00324BA7"/>
    <w:rsid w:val="003252CD"/>
    <w:rsid w:val="0032530B"/>
    <w:rsid w:val="00325447"/>
    <w:rsid w:val="00325842"/>
    <w:rsid w:val="003258F9"/>
    <w:rsid w:val="003262E7"/>
    <w:rsid w:val="003268FE"/>
    <w:rsid w:val="0032777B"/>
    <w:rsid w:val="003279AD"/>
    <w:rsid w:val="00327A2E"/>
    <w:rsid w:val="00327CDA"/>
    <w:rsid w:val="0033001C"/>
    <w:rsid w:val="00330185"/>
    <w:rsid w:val="00330358"/>
    <w:rsid w:val="003304F6"/>
    <w:rsid w:val="0033053A"/>
    <w:rsid w:val="00330C85"/>
    <w:rsid w:val="00330DCF"/>
    <w:rsid w:val="00331076"/>
    <w:rsid w:val="003311F0"/>
    <w:rsid w:val="003312A2"/>
    <w:rsid w:val="0033162E"/>
    <w:rsid w:val="00331CAA"/>
    <w:rsid w:val="00332571"/>
    <w:rsid w:val="003325E0"/>
    <w:rsid w:val="0033270D"/>
    <w:rsid w:val="00332B86"/>
    <w:rsid w:val="00332C2D"/>
    <w:rsid w:val="00332C68"/>
    <w:rsid w:val="00332CC0"/>
    <w:rsid w:val="00332F9C"/>
    <w:rsid w:val="00332FED"/>
    <w:rsid w:val="00333609"/>
    <w:rsid w:val="00333948"/>
    <w:rsid w:val="003339D2"/>
    <w:rsid w:val="00333E29"/>
    <w:rsid w:val="00333ECB"/>
    <w:rsid w:val="0033441C"/>
    <w:rsid w:val="0033442C"/>
    <w:rsid w:val="00334480"/>
    <w:rsid w:val="003346E5"/>
    <w:rsid w:val="003348C5"/>
    <w:rsid w:val="00334B8B"/>
    <w:rsid w:val="00334E58"/>
    <w:rsid w:val="00334EEE"/>
    <w:rsid w:val="00335106"/>
    <w:rsid w:val="00335265"/>
    <w:rsid w:val="0033543E"/>
    <w:rsid w:val="00335465"/>
    <w:rsid w:val="003354C5"/>
    <w:rsid w:val="003355FE"/>
    <w:rsid w:val="0033573F"/>
    <w:rsid w:val="003358D0"/>
    <w:rsid w:val="003359FF"/>
    <w:rsid w:val="00335CCA"/>
    <w:rsid w:val="00336255"/>
    <w:rsid w:val="003365A4"/>
    <w:rsid w:val="003368BD"/>
    <w:rsid w:val="0033691D"/>
    <w:rsid w:val="00336BCB"/>
    <w:rsid w:val="00336C76"/>
    <w:rsid w:val="00337807"/>
    <w:rsid w:val="003378E2"/>
    <w:rsid w:val="00337915"/>
    <w:rsid w:val="00337965"/>
    <w:rsid w:val="003402E9"/>
    <w:rsid w:val="0034050E"/>
    <w:rsid w:val="00340676"/>
    <w:rsid w:val="00340A48"/>
    <w:rsid w:val="00340A86"/>
    <w:rsid w:val="00340BA9"/>
    <w:rsid w:val="00340CD9"/>
    <w:rsid w:val="00340E3C"/>
    <w:rsid w:val="00341047"/>
    <w:rsid w:val="003410EC"/>
    <w:rsid w:val="0034158C"/>
    <w:rsid w:val="003415CA"/>
    <w:rsid w:val="00341A4E"/>
    <w:rsid w:val="00341ADA"/>
    <w:rsid w:val="00341B2E"/>
    <w:rsid w:val="00341C07"/>
    <w:rsid w:val="0034239D"/>
    <w:rsid w:val="003423E1"/>
    <w:rsid w:val="003424AC"/>
    <w:rsid w:val="003427E6"/>
    <w:rsid w:val="0034280D"/>
    <w:rsid w:val="00342A53"/>
    <w:rsid w:val="0034302B"/>
    <w:rsid w:val="003436D6"/>
    <w:rsid w:val="0034384E"/>
    <w:rsid w:val="00343980"/>
    <w:rsid w:val="00343BE0"/>
    <w:rsid w:val="00343DBC"/>
    <w:rsid w:val="00343ED5"/>
    <w:rsid w:val="00344010"/>
    <w:rsid w:val="003445FB"/>
    <w:rsid w:val="00344889"/>
    <w:rsid w:val="00344A70"/>
    <w:rsid w:val="00344D80"/>
    <w:rsid w:val="00345068"/>
    <w:rsid w:val="003450B4"/>
    <w:rsid w:val="003450E9"/>
    <w:rsid w:val="00345100"/>
    <w:rsid w:val="00345121"/>
    <w:rsid w:val="003455BA"/>
    <w:rsid w:val="003455CB"/>
    <w:rsid w:val="003455FA"/>
    <w:rsid w:val="0034563D"/>
    <w:rsid w:val="003457BB"/>
    <w:rsid w:val="00345869"/>
    <w:rsid w:val="00345D30"/>
    <w:rsid w:val="00345EDC"/>
    <w:rsid w:val="003461F5"/>
    <w:rsid w:val="00346500"/>
    <w:rsid w:val="0034658F"/>
    <w:rsid w:val="00346639"/>
    <w:rsid w:val="00346801"/>
    <w:rsid w:val="00347110"/>
    <w:rsid w:val="00347324"/>
    <w:rsid w:val="0034736A"/>
    <w:rsid w:val="00347566"/>
    <w:rsid w:val="0034781D"/>
    <w:rsid w:val="003479D3"/>
    <w:rsid w:val="00347BA5"/>
    <w:rsid w:val="00347DCD"/>
    <w:rsid w:val="0035006A"/>
    <w:rsid w:val="00350267"/>
    <w:rsid w:val="00350762"/>
    <w:rsid w:val="003509A6"/>
    <w:rsid w:val="00350ABE"/>
    <w:rsid w:val="00350C14"/>
    <w:rsid w:val="00350DB5"/>
    <w:rsid w:val="003510A7"/>
    <w:rsid w:val="00351ADA"/>
    <w:rsid w:val="00351C81"/>
    <w:rsid w:val="00351E42"/>
    <w:rsid w:val="003525C0"/>
    <w:rsid w:val="0035302C"/>
    <w:rsid w:val="003530BA"/>
    <w:rsid w:val="003530DA"/>
    <w:rsid w:val="003539CD"/>
    <w:rsid w:val="00353A04"/>
    <w:rsid w:val="00353A2B"/>
    <w:rsid w:val="00353CCF"/>
    <w:rsid w:val="00353FD6"/>
    <w:rsid w:val="00354254"/>
    <w:rsid w:val="003542AC"/>
    <w:rsid w:val="00354404"/>
    <w:rsid w:val="003544F6"/>
    <w:rsid w:val="003545E5"/>
    <w:rsid w:val="0035468D"/>
    <w:rsid w:val="00354904"/>
    <w:rsid w:val="00354B78"/>
    <w:rsid w:val="00354E12"/>
    <w:rsid w:val="00354E76"/>
    <w:rsid w:val="003550BB"/>
    <w:rsid w:val="003550DF"/>
    <w:rsid w:val="003552E1"/>
    <w:rsid w:val="003555D2"/>
    <w:rsid w:val="0035562D"/>
    <w:rsid w:val="003556E8"/>
    <w:rsid w:val="003556F3"/>
    <w:rsid w:val="00355732"/>
    <w:rsid w:val="00355735"/>
    <w:rsid w:val="003557F3"/>
    <w:rsid w:val="00355D51"/>
    <w:rsid w:val="00355DC9"/>
    <w:rsid w:val="00356197"/>
    <w:rsid w:val="0035623D"/>
    <w:rsid w:val="00356894"/>
    <w:rsid w:val="00356899"/>
    <w:rsid w:val="0035694C"/>
    <w:rsid w:val="00356A9E"/>
    <w:rsid w:val="00356ADC"/>
    <w:rsid w:val="00356F09"/>
    <w:rsid w:val="00357508"/>
    <w:rsid w:val="00357780"/>
    <w:rsid w:val="003577BE"/>
    <w:rsid w:val="00357BBE"/>
    <w:rsid w:val="00357D25"/>
    <w:rsid w:val="00357E5F"/>
    <w:rsid w:val="00357F86"/>
    <w:rsid w:val="00357FC8"/>
    <w:rsid w:val="00360164"/>
    <w:rsid w:val="003601FE"/>
    <w:rsid w:val="003602A4"/>
    <w:rsid w:val="003602E5"/>
    <w:rsid w:val="0036071A"/>
    <w:rsid w:val="003608BC"/>
    <w:rsid w:val="003608E6"/>
    <w:rsid w:val="00360A6F"/>
    <w:rsid w:val="0036118F"/>
    <w:rsid w:val="003611AF"/>
    <w:rsid w:val="003612C0"/>
    <w:rsid w:val="003617BE"/>
    <w:rsid w:val="003617F9"/>
    <w:rsid w:val="00361C07"/>
    <w:rsid w:val="00361DBC"/>
    <w:rsid w:val="00361FDA"/>
    <w:rsid w:val="00362042"/>
    <w:rsid w:val="003620BE"/>
    <w:rsid w:val="00362194"/>
    <w:rsid w:val="003624CB"/>
    <w:rsid w:val="003624D1"/>
    <w:rsid w:val="003624F1"/>
    <w:rsid w:val="003627EE"/>
    <w:rsid w:val="00362A9B"/>
    <w:rsid w:val="00362AE4"/>
    <w:rsid w:val="00362B9F"/>
    <w:rsid w:val="00362E04"/>
    <w:rsid w:val="00362F4C"/>
    <w:rsid w:val="00363135"/>
    <w:rsid w:val="0036316D"/>
    <w:rsid w:val="0036363D"/>
    <w:rsid w:val="003638EC"/>
    <w:rsid w:val="003641DB"/>
    <w:rsid w:val="003642AE"/>
    <w:rsid w:val="003646A1"/>
    <w:rsid w:val="00364809"/>
    <w:rsid w:val="00365094"/>
    <w:rsid w:val="003653BD"/>
    <w:rsid w:val="00365408"/>
    <w:rsid w:val="00365437"/>
    <w:rsid w:val="003658E7"/>
    <w:rsid w:val="00365E58"/>
    <w:rsid w:val="00366918"/>
    <w:rsid w:val="00366A93"/>
    <w:rsid w:val="00366DB6"/>
    <w:rsid w:val="00367253"/>
    <w:rsid w:val="0036734D"/>
    <w:rsid w:val="003673BD"/>
    <w:rsid w:val="00367434"/>
    <w:rsid w:val="003676EB"/>
    <w:rsid w:val="00367A12"/>
    <w:rsid w:val="00370588"/>
    <w:rsid w:val="0037066A"/>
    <w:rsid w:val="003709C2"/>
    <w:rsid w:val="00370A50"/>
    <w:rsid w:val="00370B31"/>
    <w:rsid w:val="00370B32"/>
    <w:rsid w:val="00370B80"/>
    <w:rsid w:val="00370D04"/>
    <w:rsid w:val="00370E0B"/>
    <w:rsid w:val="003713DF"/>
    <w:rsid w:val="00371EC6"/>
    <w:rsid w:val="003720D5"/>
    <w:rsid w:val="003726A7"/>
    <w:rsid w:val="00372808"/>
    <w:rsid w:val="003729A7"/>
    <w:rsid w:val="00372AB7"/>
    <w:rsid w:val="003733A2"/>
    <w:rsid w:val="00373C35"/>
    <w:rsid w:val="00373D3C"/>
    <w:rsid w:val="00373FB3"/>
    <w:rsid w:val="0037470B"/>
    <w:rsid w:val="00374A78"/>
    <w:rsid w:val="00374C33"/>
    <w:rsid w:val="00374E0A"/>
    <w:rsid w:val="00374F05"/>
    <w:rsid w:val="0037503D"/>
    <w:rsid w:val="003750EB"/>
    <w:rsid w:val="003751AE"/>
    <w:rsid w:val="00375316"/>
    <w:rsid w:val="0037550E"/>
    <w:rsid w:val="0037572D"/>
    <w:rsid w:val="003757D0"/>
    <w:rsid w:val="00375809"/>
    <w:rsid w:val="00375920"/>
    <w:rsid w:val="00375C3D"/>
    <w:rsid w:val="00375C76"/>
    <w:rsid w:val="00375CA9"/>
    <w:rsid w:val="003763C1"/>
    <w:rsid w:val="00376AA8"/>
    <w:rsid w:val="00376BA2"/>
    <w:rsid w:val="00376C13"/>
    <w:rsid w:val="00376C71"/>
    <w:rsid w:val="00376E75"/>
    <w:rsid w:val="00376E8C"/>
    <w:rsid w:val="00377078"/>
    <w:rsid w:val="00377446"/>
    <w:rsid w:val="00377673"/>
    <w:rsid w:val="00377793"/>
    <w:rsid w:val="00377C44"/>
    <w:rsid w:val="00380663"/>
    <w:rsid w:val="00380BFE"/>
    <w:rsid w:val="00380E76"/>
    <w:rsid w:val="00380FEC"/>
    <w:rsid w:val="003810BA"/>
    <w:rsid w:val="0038159E"/>
    <w:rsid w:val="00381A14"/>
    <w:rsid w:val="00381A9E"/>
    <w:rsid w:val="00381FFB"/>
    <w:rsid w:val="00382123"/>
    <w:rsid w:val="00382483"/>
    <w:rsid w:val="00382492"/>
    <w:rsid w:val="00382734"/>
    <w:rsid w:val="00382B41"/>
    <w:rsid w:val="00382CD6"/>
    <w:rsid w:val="003830AA"/>
    <w:rsid w:val="00383164"/>
    <w:rsid w:val="0038342D"/>
    <w:rsid w:val="003838A5"/>
    <w:rsid w:val="0038393E"/>
    <w:rsid w:val="00384106"/>
    <w:rsid w:val="003841D8"/>
    <w:rsid w:val="00384331"/>
    <w:rsid w:val="003843EC"/>
    <w:rsid w:val="00384D1B"/>
    <w:rsid w:val="003850D4"/>
    <w:rsid w:val="003854AD"/>
    <w:rsid w:val="00385666"/>
    <w:rsid w:val="00385C0D"/>
    <w:rsid w:val="00385DE8"/>
    <w:rsid w:val="00385E07"/>
    <w:rsid w:val="00385E49"/>
    <w:rsid w:val="00385EC4"/>
    <w:rsid w:val="00385F6A"/>
    <w:rsid w:val="0038600C"/>
    <w:rsid w:val="003860AC"/>
    <w:rsid w:val="0038664F"/>
    <w:rsid w:val="003872CF"/>
    <w:rsid w:val="003872E8"/>
    <w:rsid w:val="0038762D"/>
    <w:rsid w:val="00387660"/>
    <w:rsid w:val="003877D6"/>
    <w:rsid w:val="003878D0"/>
    <w:rsid w:val="003878D1"/>
    <w:rsid w:val="00387DAA"/>
    <w:rsid w:val="003900EF"/>
    <w:rsid w:val="00390940"/>
    <w:rsid w:val="003909FB"/>
    <w:rsid w:val="00390AD6"/>
    <w:rsid w:val="00390C2C"/>
    <w:rsid w:val="00390CB9"/>
    <w:rsid w:val="00390CD6"/>
    <w:rsid w:val="003913B7"/>
    <w:rsid w:val="003918D7"/>
    <w:rsid w:val="00391E71"/>
    <w:rsid w:val="0039281C"/>
    <w:rsid w:val="00393734"/>
    <w:rsid w:val="003937BD"/>
    <w:rsid w:val="00393B90"/>
    <w:rsid w:val="00393C0A"/>
    <w:rsid w:val="00393CC6"/>
    <w:rsid w:val="0039422B"/>
    <w:rsid w:val="00394C57"/>
    <w:rsid w:val="00395B6E"/>
    <w:rsid w:val="00395ED0"/>
    <w:rsid w:val="00395EF2"/>
    <w:rsid w:val="00395F75"/>
    <w:rsid w:val="0039623B"/>
    <w:rsid w:val="003962F3"/>
    <w:rsid w:val="00396456"/>
    <w:rsid w:val="0039660C"/>
    <w:rsid w:val="00396A0E"/>
    <w:rsid w:val="00396C1D"/>
    <w:rsid w:val="00396C9A"/>
    <w:rsid w:val="003978CA"/>
    <w:rsid w:val="00397B39"/>
    <w:rsid w:val="00397E21"/>
    <w:rsid w:val="00397F15"/>
    <w:rsid w:val="003A0117"/>
    <w:rsid w:val="003A029B"/>
    <w:rsid w:val="003A02AE"/>
    <w:rsid w:val="003A05C2"/>
    <w:rsid w:val="003A06AC"/>
    <w:rsid w:val="003A0717"/>
    <w:rsid w:val="003A0932"/>
    <w:rsid w:val="003A1504"/>
    <w:rsid w:val="003A175A"/>
    <w:rsid w:val="003A1B8F"/>
    <w:rsid w:val="003A1E0F"/>
    <w:rsid w:val="003A21C5"/>
    <w:rsid w:val="003A22F7"/>
    <w:rsid w:val="003A2316"/>
    <w:rsid w:val="003A264C"/>
    <w:rsid w:val="003A28FF"/>
    <w:rsid w:val="003A2920"/>
    <w:rsid w:val="003A2D03"/>
    <w:rsid w:val="003A34B0"/>
    <w:rsid w:val="003A37BD"/>
    <w:rsid w:val="003A3A01"/>
    <w:rsid w:val="003A3BE2"/>
    <w:rsid w:val="003A4032"/>
    <w:rsid w:val="003A4073"/>
    <w:rsid w:val="003A4495"/>
    <w:rsid w:val="003A449F"/>
    <w:rsid w:val="003A4814"/>
    <w:rsid w:val="003A4BDF"/>
    <w:rsid w:val="003A4CA8"/>
    <w:rsid w:val="003A554C"/>
    <w:rsid w:val="003A55A2"/>
    <w:rsid w:val="003A5729"/>
    <w:rsid w:val="003A572B"/>
    <w:rsid w:val="003A58FE"/>
    <w:rsid w:val="003A5EE5"/>
    <w:rsid w:val="003A6001"/>
    <w:rsid w:val="003A623B"/>
    <w:rsid w:val="003A647B"/>
    <w:rsid w:val="003A66A0"/>
    <w:rsid w:val="003A6913"/>
    <w:rsid w:val="003A6A7D"/>
    <w:rsid w:val="003A6B02"/>
    <w:rsid w:val="003A6B8E"/>
    <w:rsid w:val="003A7062"/>
    <w:rsid w:val="003A7218"/>
    <w:rsid w:val="003A72A2"/>
    <w:rsid w:val="003A74A9"/>
    <w:rsid w:val="003A76CB"/>
    <w:rsid w:val="003B09D1"/>
    <w:rsid w:val="003B0AF1"/>
    <w:rsid w:val="003B0D42"/>
    <w:rsid w:val="003B0F6A"/>
    <w:rsid w:val="003B1C77"/>
    <w:rsid w:val="003B1C78"/>
    <w:rsid w:val="003B1DFA"/>
    <w:rsid w:val="003B21FA"/>
    <w:rsid w:val="003B25FC"/>
    <w:rsid w:val="003B2B16"/>
    <w:rsid w:val="003B2BDA"/>
    <w:rsid w:val="003B2C53"/>
    <w:rsid w:val="003B2EEE"/>
    <w:rsid w:val="003B2F2A"/>
    <w:rsid w:val="003B31C9"/>
    <w:rsid w:val="003B338F"/>
    <w:rsid w:val="003B37AB"/>
    <w:rsid w:val="003B3CA0"/>
    <w:rsid w:val="003B3F85"/>
    <w:rsid w:val="003B4229"/>
    <w:rsid w:val="003B42A5"/>
    <w:rsid w:val="003B4300"/>
    <w:rsid w:val="003B44FD"/>
    <w:rsid w:val="003B484A"/>
    <w:rsid w:val="003B4890"/>
    <w:rsid w:val="003B4AB1"/>
    <w:rsid w:val="003B4B0B"/>
    <w:rsid w:val="003B4DF3"/>
    <w:rsid w:val="003B501A"/>
    <w:rsid w:val="003B518A"/>
    <w:rsid w:val="003B519B"/>
    <w:rsid w:val="003B51DF"/>
    <w:rsid w:val="003B533A"/>
    <w:rsid w:val="003B58F7"/>
    <w:rsid w:val="003B626A"/>
    <w:rsid w:val="003B62FE"/>
    <w:rsid w:val="003B68CE"/>
    <w:rsid w:val="003B6BB5"/>
    <w:rsid w:val="003B70A9"/>
    <w:rsid w:val="003B71C1"/>
    <w:rsid w:val="003B762D"/>
    <w:rsid w:val="003B7679"/>
    <w:rsid w:val="003B796D"/>
    <w:rsid w:val="003C00EA"/>
    <w:rsid w:val="003C0809"/>
    <w:rsid w:val="003C09E0"/>
    <w:rsid w:val="003C0E03"/>
    <w:rsid w:val="003C0E3C"/>
    <w:rsid w:val="003C1383"/>
    <w:rsid w:val="003C172E"/>
    <w:rsid w:val="003C17C4"/>
    <w:rsid w:val="003C1B50"/>
    <w:rsid w:val="003C1E87"/>
    <w:rsid w:val="003C1FEC"/>
    <w:rsid w:val="003C2012"/>
    <w:rsid w:val="003C2323"/>
    <w:rsid w:val="003C24EC"/>
    <w:rsid w:val="003C24F7"/>
    <w:rsid w:val="003C2CF8"/>
    <w:rsid w:val="003C2D05"/>
    <w:rsid w:val="003C304D"/>
    <w:rsid w:val="003C3138"/>
    <w:rsid w:val="003C3DC1"/>
    <w:rsid w:val="003C427A"/>
    <w:rsid w:val="003C471A"/>
    <w:rsid w:val="003C478E"/>
    <w:rsid w:val="003C4CBF"/>
    <w:rsid w:val="003C5061"/>
    <w:rsid w:val="003C51A6"/>
    <w:rsid w:val="003C5222"/>
    <w:rsid w:val="003C58AB"/>
    <w:rsid w:val="003C58AE"/>
    <w:rsid w:val="003C58DE"/>
    <w:rsid w:val="003C5DD0"/>
    <w:rsid w:val="003C5FE7"/>
    <w:rsid w:val="003C600F"/>
    <w:rsid w:val="003C6028"/>
    <w:rsid w:val="003C6F42"/>
    <w:rsid w:val="003C703A"/>
    <w:rsid w:val="003C7668"/>
    <w:rsid w:val="003C77EC"/>
    <w:rsid w:val="003C77F1"/>
    <w:rsid w:val="003C7807"/>
    <w:rsid w:val="003C78FE"/>
    <w:rsid w:val="003C7F9D"/>
    <w:rsid w:val="003D0190"/>
    <w:rsid w:val="003D01A5"/>
    <w:rsid w:val="003D045E"/>
    <w:rsid w:val="003D095D"/>
    <w:rsid w:val="003D09F9"/>
    <w:rsid w:val="003D0BA1"/>
    <w:rsid w:val="003D0DC2"/>
    <w:rsid w:val="003D0E24"/>
    <w:rsid w:val="003D1664"/>
    <w:rsid w:val="003D17FB"/>
    <w:rsid w:val="003D1870"/>
    <w:rsid w:val="003D1F12"/>
    <w:rsid w:val="003D1F48"/>
    <w:rsid w:val="003D2205"/>
    <w:rsid w:val="003D24CC"/>
    <w:rsid w:val="003D2B13"/>
    <w:rsid w:val="003D2E4D"/>
    <w:rsid w:val="003D2E8A"/>
    <w:rsid w:val="003D2F96"/>
    <w:rsid w:val="003D30A4"/>
    <w:rsid w:val="003D30F7"/>
    <w:rsid w:val="003D3494"/>
    <w:rsid w:val="003D3762"/>
    <w:rsid w:val="003D396A"/>
    <w:rsid w:val="003D3B34"/>
    <w:rsid w:val="003D3B80"/>
    <w:rsid w:val="003D3DF7"/>
    <w:rsid w:val="003D4319"/>
    <w:rsid w:val="003D44CA"/>
    <w:rsid w:val="003D4598"/>
    <w:rsid w:val="003D476C"/>
    <w:rsid w:val="003D47F3"/>
    <w:rsid w:val="003D4928"/>
    <w:rsid w:val="003D4DFB"/>
    <w:rsid w:val="003D4EF8"/>
    <w:rsid w:val="003D4F98"/>
    <w:rsid w:val="003D5029"/>
    <w:rsid w:val="003D571B"/>
    <w:rsid w:val="003D57EF"/>
    <w:rsid w:val="003D58B8"/>
    <w:rsid w:val="003D5A1A"/>
    <w:rsid w:val="003D64C5"/>
    <w:rsid w:val="003D6B9E"/>
    <w:rsid w:val="003D7209"/>
    <w:rsid w:val="003D73DD"/>
    <w:rsid w:val="003D7583"/>
    <w:rsid w:val="003D7914"/>
    <w:rsid w:val="003D7B96"/>
    <w:rsid w:val="003D7C68"/>
    <w:rsid w:val="003D7D03"/>
    <w:rsid w:val="003D7D9A"/>
    <w:rsid w:val="003D7F32"/>
    <w:rsid w:val="003D7FFB"/>
    <w:rsid w:val="003E0004"/>
    <w:rsid w:val="003E00DD"/>
    <w:rsid w:val="003E07A6"/>
    <w:rsid w:val="003E095E"/>
    <w:rsid w:val="003E0BD3"/>
    <w:rsid w:val="003E0C52"/>
    <w:rsid w:val="003E0E01"/>
    <w:rsid w:val="003E11C3"/>
    <w:rsid w:val="003E1672"/>
    <w:rsid w:val="003E1754"/>
    <w:rsid w:val="003E18CA"/>
    <w:rsid w:val="003E1A85"/>
    <w:rsid w:val="003E1DD1"/>
    <w:rsid w:val="003E1DD4"/>
    <w:rsid w:val="003E1E35"/>
    <w:rsid w:val="003E27F8"/>
    <w:rsid w:val="003E2916"/>
    <w:rsid w:val="003E2DB6"/>
    <w:rsid w:val="003E306B"/>
    <w:rsid w:val="003E3453"/>
    <w:rsid w:val="003E3485"/>
    <w:rsid w:val="003E391D"/>
    <w:rsid w:val="003E3CF1"/>
    <w:rsid w:val="003E4717"/>
    <w:rsid w:val="003E4777"/>
    <w:rsid w:val="003E481C"/>
    <w:rsid w:val="003E49BF"/>
    <w:rsid w:val="003E53AD"/>
    <w:rsid w:val="003E53DB"/>
    <w:rsid w:val="003E5573"/>
    <w:rsid w:val="003E5789"/>
    <w:rsid w:val="003E58D2"/>
    <w:rsid w:val="003E591E"/>
    <w:rsid w:val="003E5E96"/>
    <w:rsid w:val="003E630F"/>
    <w:rsid w:val="003E667E"/>
    <w:rsid w:val="003E66B6"/>
    <w:rsid w:val="003E6721"/>
    <w:rsid w:val="003E69CA"/>
    <w:rsid w:val="003E6DC4"/>
    <w:rsid w:val="003E7571"/>
    <w:rsid w:val="003E78CE"/>
    <w:rsid w:val="003E7B31"/>
    <w:rsid w:val="003E7C91"/>
    <w:rsid w:val="003E7F66"/>
    <w:rsid w:val="003E7FC5"/>
    <w:rsid w:val="003E7FCB"/>
    <w:rsid w:val="003F0064"/>
    <w:rsid w:val="003F019E"/>
    <w:rsid w:val="003F042A"/>
    <w:rsid w:val="003F04A1"/>
    <w:rsid w:val="003F05AD"/>
    <w:rsid w:val="003F0937"/>
    <w:rsid w:val="003F09E2"/>
    <w:rsid w:val="003F0A02"/>
    <w:rsid w:val="003F10DB"/>
    <w:rsid w:val="003F10ED"/>
    <w:rsid w:val="003F11A4"/>
    <w:rsid w:val="003F12F3"/>
    <w:rsid w:val="003F185E"/>
    <w:rsid w:val="003F199F"/>
    <w:rsid w:val="003F1FA4"/>
    <w:rsid w:val="003F21E0"/>
    <w:rsid w:val="003F2239"/>
    <w:rsid w:val="003F22BB"/>
    <w:rsid w:val="003F23A1"/>
    <w:rsid w:val="003F23A4"/>
    <w:rsid w:val="003F29FD"/>
    <w:rsid w:val="003F30C5"/>
    <w:rsid w:val="003F31C7"/>
    <w:rsid w:val="003F3330"/>
    <w:rsid w:val="003F3658"/>
    <w:rsid w:val="003F3692"/>
    <w:rsid w:val="003F36E8"/>
    <w:rsid w:val="003F3710"/>
    <w:rsid w:val="003F383B"/>
    <w:rsid w:val="003F3961"/>
    <w:rsid w:val="003F3B3C"/>
    <w:rsid w:val="003F3D81"/>
    <w:rsid w:val="003F3DC0"/>
    <w:rsid w:val="003F3FD3"/>
    <w:rsid w:val="003F419B"/>
    <w:rsid w:val="003F4692"/>
    <w:rsid w:val="003F484F"/>
    <w:rsid w:val="003F49B1"/>
    <w:rsid w:val="003F4AE9"/>
    <w:rsid w:val="003F53B4"/>
    <w:rsid w:val="003F562D"/>
    <w:rsid w:val="003F5697"/>
    <w:rsid w:val="003F5A22"/>
    <w:rsid w:val="003F5A57"/>
    <w:rsid w:val="003F607F"/>
    <w:rsid w:val="003F60D7"/>
    <w:rsid w:val="003F61D6"/>
    <w:rsid w:val="003F6C94"/>
    <w:rsid w:val="003F6FE2"/>
    <w:rsid w:val="003F706C"/>
    <w:rsid w:val="003F70C9"/>
    <w:rsid w:val="003F722A"/>
    <w:rsid w:val="004000EE"/>
    <w:rsid w:val="004001BA"/>
    <w:rsid w:val="00400488"/>
    <w:rsid w:val="004005F5"/>
    <w:rsid w:val="00400674"/>
    <w:rsid w:val="004009D1"/>
    <w:rsid w:val="00400A76"/>
    <w:rsid w:val="00400AA4"/>
    <w:rsid w:val="00400C3C"/>
    <w:rsid w:val="00400EFE"/>
    <w:rsid w:val="00400F1A"/>
    <w:rsid w:val="004012A2"/>
    <w:rsid w:val="00401D5E"/>
    <w:rsid w:val="00402146"/>
    <w:rsid w:val="00402458"/>
    <w:rsid w:val="004026E5"/>
    <w:rsid w:val="00402AEA"/>
    <w:rsid w:val="00402B1B"/>
    <w:rsid w:val="00402D60"/>
    <w:rsid w:val="00402EC8"/>
    <w:rsid w:val="0040376D"/>
    <w:rsid w:val="00403A99"/>
    <w:rsid w:val="00403B46"/>
    <w:rsid w:val="00403CBC"/>
    <w:rsid w:val="00404024"/>
    <w:rsid w:val="0040407E"/>
    <w:rsid w:val="004042D9"/>
    <w:rsid w:val="004044F5"/>
    <w:rsid w:val="0040487A"/>
    <w:rsid w:val="00404C84"/>
    <w:rsid w:val="00404CA0"/>
    <w:rsid w:val="00404D45"/>
    <w:rsid w:val="004054AC"/>
    <w:rsid w:val="00405717"/>
    <w:rsid w:val="004057C3"/>
    <w:rsid w:val="00405A6F"/>
    <w:rsid w:val="00405A78"/>
    <w:rsid w:val="00405B06"/>
    <w:rsid w:val="00405D0F"/>
    <w:rsid w:val="00405E9E"/>
    <w:rsid w:val="00406148"/>
    <w:rsid w:val="0040618A"/>
    <w:rsid w:val="00406589"/>
    <w:rsid w:val="0040664D"/>
    <w:rsid w:val="004068D7"/>
    <w:rsid w:val="00406980"/>
    <w:rsid w:val="00406998"/>
    <w:rsid w:val="00406B2D"/>
    <w:rsid w:val="00406CAF"/>
    <w:rsid w:val="004070AA"/>
    <w:rsid w:val="00407206"/>
    <w:rsid w:val="00407219"/>
    <w:rsid w:val="00407D0B"/>
    <w:rsid w:val="00407D1F"/>
    <w:rsid w:val="00407F19"/>
    <w:rsid w:val="004102C6"/>
    <w:rsid w:val="00410473"/>
    <w:rsid w:val="004108CB"/>
    <w:rsid w:val="004108E9"/>
    <w:rsid w:val="00410AA7"/>
    <w:rsid w:val="00410CA5"/>
    <w:rsid w:val="00411580"/>
    <w:rsid w:val="00411738"/>
    <w:rsid w:val="00411ACC"/>
    <w:rsid w:val="00411B2E"/>
    <w:rsid w:val="00412034"/>
    <w:rsid w:val="004125F9"/>
    <w:rsid w:val="00412953"/>
    <w:rsid w:val="00412AB2"/>
    <w:rsid w:val="00412E98"/>
    <w:rsid w:val="0041351C"/>
    <w:rsid w:val="00413C0F"/>
    <w:rsid w:val="00413F6F"/>
    <w:rsid w:val="00414179"/>
    <w:rsid w:val="004142E3"/>
    <w:rsid w:val="00414A94"/>
    <w:rsid w:val="00414F21"/>
    <w:rsid w:val="00415304"/>
    <w:rsid w:val="0041533F"/>
    <w:rsid w:val="0041564D"/>
    <w:rsid w:val="00415986"/>
    <w:rsid w:val="0041599F"/>
    <w:rsid w:val="004168E9"/>
    <w:rsid w:val="00416A35"/>
    <w:rsid w:val="004170FB"/>
    <w:rsid w:val="00417202"/>
    <w:rsid w:val="0041729F"/>
    <w:rsid w:val="0041738B"/>
    <w:rsid w:val="0041766B"/>
    <w:rsid w:val="004176BE"/>
    <w:rsid w:val="00417A09"/>
    <w:rsid w:val="0042039A"/>
    <w:rsid w:val="00420444"/>
    <w:rsid w:val="0042078D"/>
    <w:rsid w:val="004207D6"/>
    <w:rsid w:val="00420A4C"/>
    <w:rsid w:val="00420B4F"/>
    <w:rsid w:val="00420B68"/>
    <w:rsid w:val="00420BFE"/>
    <w:rsid w:val="00420D40"/>
    <w:rsid w:val="00420DAB"/>
    <w:rsid w:val="00421255"/>
    <w:rsid w:val="004213A1"/>
    <w:rsid w:val="00421624"/>
    <w:rsid w:val="0042162D"/>
    <w:rsid w:val="0042174D"/>
    <w:rsid w:val="00421776"/>
    <w:rsid w:val="004218F9"/>
    <w:rsid w:val="00422178"/>
    <w:rsid w:val="00422185"/>
    <w:rsid w:val="00422684"/>
    <w:rsid w:val="0042269F"/>
    <w:rsid w:val="0042284E"/>
    <w:rsid w:val="00422866"/>
    <w:rsid w:val="00422CC5"/>
    <w:rsid w:val="004231F9"/>
    <w:rsid w:val="00423505"/>
    <w:rsid w:val="0042350B"/>
    <w:rsid w:val="00423535"/>
    <w:rsid w:val="004235C2"/>
    <w:rsid w:val="0042403F"/>
    <w:rsid w:val="0042405B"/>
    <w:rsid w:val="0042417D"/>
    <w:rsid w:val="004242ED"/>
    <w:rsid w:val="00424619"/>
    <w:rsid w:val="0042469A"/>
    <w:rsid w:val="00424898"/>
    <w:rsid w:val="0042494A"/>
    <w:rsid w:val="00424F68"/>
    <w:rsid w:val="0042530C"/>
    <w:rsid w:val="004253F7"/>
    <w:rsid w:val="00425542"/>
    <w:rsid w:val="00425B11"/>
    <w:rsid w:val="00425D6C"/>
    <w:rsid w:val="00425EC8"/>
    <w:rsid w:val="0042620E"/>
    <w:rsid w:val="00426323"/>
    <w:rsid w:val="00426423"/>
    <w:rsid w:val="0042648B"/>
    <w:rsid w:val="0042670B"/>
    <w:rsid w:val="00426B76"/>
    <w:rsid w:val="00426C82"/>
    <w:rsid w:val="004272D0"/>
    <w:rsid w:val="00427610"/>
    <w:rsid w:val="00427937"/>
    <w:rsid w:val="0042796E"/>
    <w:rsid w:val="00427E3C"/>
    <w:rsid w:val="00427E54"/>
    <w:rsid w:val="00430046"/>
    <w:rsid w:val="004301B3"/>
    <w:rsid w:val="004305EA"/>
    <w:rsid w:val="004307C5"/>
    <w:rsid w:val="004309D4"/>
    <w:rsid w:val="00430DBA"/>
    <w:rsid w:val="00430E72"/>
    <w:rsid w:val="00430F4F"/>
    <w:rsid w:val="00430FC5"/>
    <w:rsid w:val="00431F61"/>
    <w:rsid w:val="0043213F"/>
    <w:rsid w:val="004321B6"/>
    <w:rsid w:val="004323C6"/>
    <w:rsid w:val="00432511"/>
    <w:rsid w:val="00432581"/>
    <w:rsid w:val="00432629"/>
    <w:rsid w:val="00432ACA"/>
    <w:rsid w:val="00432EF7"/>
    <w:rsid w:val="004333E5"/>
    <w:rsid w:val="0043341A"/>
    <w:rsid w:val="004338CF"/>
    <w:rsid w:val="004339D7"/>
    <w:rsid w:val="00433B4D"/>
    <w:rsid w:val="00433E77"/>
    <w:rsid w:val="00434396"/>
    <w:rsid w:val="00434873"/>
    <w:rsid w:val="004348A3"/>
    <w:rsid w:val="00434A01"/>
    <w:rsid w:val="00434C77"/>
    <w:rsid w:val="0043504F"/>
    <w:rsid w:val="0043509C"/>
    <w:rsid w:val="00435290"/>
    <w:rsid w:val="004356CA"/>
    <w:rsid w:val="004359A6"/>
    <w:rsid w:val="00435BC6"/>
    <w:rsid w:val="00435FD6"/>
    <w:rsid w:val="0043608D"/>
    <w:rsid w:val="00436362"/>
    <w:rsid w:val="004364CD"/>
    <w:rsid w:val="00436515"/>
    <w:rsid w:val="004368C5"/>
    <w:rsid w:val="00436C9F"/>
    <w:rsid w:val="00436E9E"/>
    <w:rsid w:val="00436F39"/>
    <w:rsid w:val="00436F61"/>
    <w:rsid w:val="0043728A"/>
    <w:rsid w:val="004373A4"/>
    <w:rsid w:val="004375B1"/>
    <w:rsid w:val="00437CD0"/>
    <w:rsid w:val="00437DD6"/>
    <w:rsid w:val="00437E0F"/>
    <w:rsid w:val="00437FA6"/>
    <w:rsid w:val="004401AE"/>
    <w:rsid w:val="00440464"/>
    <w:rsid w:val="00440635"/>
    <w:rsid w:val="00440BBA"/>
    <w:rsid w:val="00440F42"/>
    <w:rsid w:val="00441091"/>
    <w:rsid w:val="0044140A"/>
    <w:rsid w:val="0044145E"/>
    <w:rsid w:val="004414F7"/>
    <w:rsid w:val="004416A2"/>
    <w:rsid w:val="00441B02"/>
    <w:rsid w:val="00441B56"/>
    <w:rsid w:val="00441CAA"/>
    <w:rsid w:val="00441CCD"/>
    <w:rsid w:val="00441D20"/>
    <w:rsid w:val="00442060"/>
    <w:rsid w:val="004422D2"/>
    <w:rsid w:val="004425EB"/>
    <w:rsid w:val="00442AE2"/>
    <w:rsid w:val="00442B3C"/>
    <w:rsid w:val="00442BBB"/>
    <w:rsid w:val="00442CFC"/>
    <w:rsid w:val="00442D17"/>
    <w:rsid w:val="00442D31"/>
    <w:rsid w:val="00443498"/>
    <w:rsid w:val="004434E4"/>
    <w:rsid w:val="00443D9C"/>
    <w:rsid w:val="00444028"/>
    <w:rsid w:val="0044431F"/>
    <w:rsid w:val="00444427"/>
    <w:rsid w:val="0044513A"/>
    <w:rsid w:val="00445558"/>
    <w:rsid w:val="00445679"/>
    <w:rsid w:val="004456D8"/>
    <w:rsid w:val="00445C74"/>
    <w:rsid w:val="00445CE1"/>
    <w:rsid w:val="00445EC8"/>
    <w:rsid w:val="004462DF"/>
    <w:rsid w:val="004468CE"/>
    <w:rsid w:val="00446D6F"/>
    <w:rsid w:val="0044747D"/>
    <w:rsid w:val="00447A51"/>
    <w:rsid w:val="00447E27"/>
    <w:rsid w:val="00450055"/>
    <w:rsid w:val="00450669"/>
    <w:rsid w:val="00450CAC"/>
    <w:rsid w:val="004516CE"/>
    <w:rsid w:val="0045198B"/>
    <w:rsid w:val="00451D21"/>
    <w:rsid w:val="00451F71"/>
    <w:rsid w:val="00452426"/>
    <w:rsid w:val="004526C5"/>
    <w:rsid w:val="004529EC"/>
    <w:rsid w:val="00452A16"/>
    <w:rsid w:val="00452A37"/>
    <w:rsid w:val="00452F9E"/>
    <w:rsid w:val="0045311C"/>
    <w:rsid w:val="00453505"/>
    <w:rsid w:val="00453694"/>
    <w:rsid w:val="00453982"/>
    <w:rsid w:val="00453C20"/>
    <w:rsid w:val="00453D0D"/>
    <w:rsid w:val="004540AF"/>
    <w:rsid w:val="004543A4"/>
    <w:rsid w:val="00454423"/>
    <w:rsid w:val="004545CE"/>
    <w:rsid w:val="00454603"/>
    <w:rsid w:val="004549F9"/>
    <w:rsid w:val="00454BD5"/>
    <w:rsid w:val="00454D9C"/>
    <w:rsid w:val="00454E4E"/>
    <w:rsid w:val="004554AA"/>
    <w:rsid w:val="004556A4"/>
    <w:rsid w:val="00455708"/>
    <w:rsid w:val="0045570D"/>
    <w:rsid w:val="00455881"/>
    <w:rsid w:val="00455928"/>
    <w:rsid w:val="00455B53"/>
    <w:rsid w:val="00455CB3"/>
    <w:rsid w:val="00455FC1"/>
    <w:rsid w:val="004560C4"/>
    <w:rsid w:val="004561F0"/>
    <w:rsid w:val="004561F5"/>
    <w:rsid w:val="00456333"/>
    <w:rsid w:val="00456449"/>
    <w:rsid w:val="00456591"/>
    <w:rsid w:val="00456664"/>
    <w:rsid w:val="00456C63"/>
    <w:rsid w:val="00457367"/>
    <w:rsid w:val="0045736C"/>
    <w:rsid w:val="00457402"/>
    <w:rsid w:val="004575B8"/>
    <w:rsid w:val="00457F0F"/>
    <w:rsid w:val="00460091"/>
    <w:rsid w:val="004605EA"/>
    <w:rsid w:val="00460653"/>
    <w:rsid w:val="004606EB"/>
    <w:rsid w:val="00460924"/>
    <w:rsid w:val="00460A07"/>
    <w:rsid w:val="00460D30"/>
    <w:rsid w:val="00460F40"/>
    <w:rsid w:val="00460F6D"/>
    <w:rsid w:val="00461388"/>
    <w:rsid w:val="00461397"/>
    <w:rsid w:val="00461473"/>
    <w:rsid w:val="00461763"/>
    <w:rsid w:val="00461D94"/>
    <w:rsid w:val="00462303"/>
    <w:rsid w:val="00462CD8"/>
    <w:rsid w:val="0046305F"/>
    <w:rsid w:val="00463130"/>
    <w:rsid w:val="004631E6"/>
    <w:rsid w:val="0046333F"/>
    <w:rsid w:val="004634A6"/>
    <w:rsid w:val="00463807"/>
    <w:rsid w:val="004639AB"/>
    <w:rsid w:val="00464627"/>
    <w:rsid w:val="004648CA"/>
    <w:rsid w:val="0046496B"/>
    <w:rsid w:val="00464F1A"/>
    <w:rsid w:val="00465019"/>
    <w:rsid w:val="004655A2"/>
    <w:rsid w:val="00465DEE"/>
    <w:rsid w:val="0046639B"/>
    <w:rsid w:val="0046672A"/>
    <w:rsid w:val="00466C85"/>
    <w:rsid w:val="00466CBE"/>
    <w:rsid w:val="00466CF8"/>
    <w:rsid w:val="00466E2E"/>
    <w:rsid w:val="00466ECE"/>
    <w:rsid w:val="00466FBB"/>
    <w:rsid w:val="004671BE"/>
    <w:rsid w:val="004676AB"/>
    <w:rsid w:val="004677A3"/>
    <w:rsid w:val="004678B2"/>
    <w:rsid w:val="00467A6B"/>
    <w:rsid w:val="00467C07"/>
    <w:rsid w:val="00467D61"/>
    <w:rsid w:val="00470243"/>
    <w:rsid w:val="0047036D"/>
    <w:rsid w:val="00470A8E"/>
    <w:rsid w:val="00470C04"/>
    <w:rsid w:val="00470D6C"/>
    <w:rsid w:val="0047128D"/>
    <w:rsid w:val="004712E3"/>
    <w:rsid w:val="00471562"/>
    <w:rsid w:val="0047160E"/>
    <w:rsid w:val="00471743"/>
    <w:rsid w:val="00471881"/>
    <w:rsid w:val="004718F3"/>
    <w:rsid w:val="004719E0"/>
    <w:rsid w:val="00471E42"/>
    <w:rsid w:val="004729E9"/>
    <w:rsid w:val="00472CB5"/>
    <w:rsid w:val="00473366"/>
    <w:rsid w:val="00473508"/>
    <w:rsid w:val="0047351F"/>
    <w:rsid w:val="00473C39"/>
    <w:rsid w:val="00473D71"/>
    <w:rsid w:val="0047430E"/>
    <w:rsid w:val="004743D5"/>
    <w:rsid w:val="004746D1"/>
    <w:rsid w:val="00474B8B"/>
    <w:rsid w:val="00474D13"/>
    <w:rsid w:val="00475027"/>
    <w:rsid w:val="00475422"/>
    <w:rsid w:val="0047564A"/>
    <w:rsid w:val="0047567A"/>
    <w:rsid w:val="0047569F"/>
    <w:rsid w:val="00475836"/>
    <w:rsid w:val="00475E3E"/>
    <w:rsid w:val="004761DE"/>
    <w:rsid w:val="0047622E"/>
    <w:rsid w:val="00476610"/>
    <w:rsid w:val="00476AB0"/>
    <w:rsid w:val="00476AE3"/>
    <w:rsid w:val="00476B89"/>
    <w:rsid w:val="00476D89"/>
    <w:rsid w:val="00476E21"/>
    <w:rsid w:val="004779F1"/>
    <w:rsid w:val="00477BFC"/>
    <w:rsid w:val="004801B8"/>
    <w:rsid w:val="00480393"/>
    <w:rsid w:val="004803F2"/>
    <w:rsid w:val="00480610"/>
    <w:rsid w:val="0048061D"/>
    <w:rsid w:val="00480BE5"/>
    <w:rsid w:val="00480DA7"/>
    <w:rsid w:val="00480DB5"/>
    <w:rsid w:val="00480E5B"/>
    <w:rsid w:val="00481232"/>
    <w:rsid w:val="004816C3"/>
    <w:rsid w:val="00481C48"/>
    <w:rsid w:val="004820AA"/>
    <w:rsid w:val="004823BB"/>
    <w:rsid w:val="0048248E"/>
    <w:rsid w:val="004824AD"/>
    <w:rsid w:val="00482655"/>
    <w:rsid w:val="00482726"/>
    <w:rsid w:val="00482D5B"/>
    <w:rsid w:val="004836E0"/>
    <w:rsid w:val="004837BC"/>
    <w:rsid w:val="00483D58"/>
    <w:rsid w:val="00483D72"/>
    <w:rsid w:val="004840FF"/>
    <w:rsid w:val="00484B5A"/>
    <w:rsid w:val="004853BF"/>
    <w:rsid w:val="004856AD"/>
    <w:rsid w:val="004857A8"/>
    <w:rsid w:val="00485A9E"/>
    <w:rsid w:val="00485AD4"/>
    <w:rsid w:val="00485B4A"/>
    <w:rsid w:val="00485CC8"/>
    <w:rsid w:val="00485CE6"/>
    <w:rsid w:val="00485D84"/>
    <w:rsid w:val="00486825"/>
    <w:rsid w:val="00486E79"/>
    <w:rsid w:val="00486EC6"/>
    <w:rsid w:val="00486EEE"/>
    <w:rsid w:val="004870DA"/>
    <w:rsid w:val="004870E7"/>
    <w:rsid w:val="00487430"/>
    <w:rsid w:val="00487571"/>
    <w:rsid w:val="004877E0"/>
    <w:rsid w:val="0048782A"/>
    <w:rsid w:val="00487883"/>
    <w:rsid w:val="00487A42"/>
    <w:rsid w:val="0049004E"/>
    <w:rsid w:val="004903DC"/>
    <w:rsid w:val="00490707"/>
    <w:rsid w:val="00490772"/>
    <w:rsid w:val="00490864"/>
    <w:rsid w:val="00490875"/>
    <w:rsid w:val="004909B3"/>
    <w:rsid w:val="00490B2A"/>
    <w:rsid w:val="00490CBE"/>
    <w:rsid w:val="004911A4"/>
    <w:rsid w:val="00491450"/>
    <w:rsid w:val="004914E8"/>
    <w:rsid w:val="004916AF"/>
    <w:rsid w:val="004917E3"/>
    <w:rsid w:val="00491DC3"/>
    <w:rsid w:val="00491DE7"/>
    <w:rsid w:val="00492465"/>
    <w:rsid w:val="00492467"/>
    <w:rsid w:val="00492767"/>
    <w:rsid w:val="00492875"/>
    <w:rsid w:val="00492B37"/>
    <w:rsid w:val="00492B60"/>
    <w:rsid w:val="00493954"/>
    <w:rsid w:val="00493B6C"/>
    <w:rsid w:val="00493BCA"/>
    <w:rsid w:val="00494232"/>
    <w:rsid w:val="00494476"/>
    <w:rsid w:val="00494864"/>
    <w:rsid w:val="00494EAB"/>
    <w:rsid w:val="00495803"/>
    <w:rsid w:val="00495959"/>
    <w:rsid w:val="00495979"/>
    <w:rsid w:val="00495D47"/>
    <w:rsid w:val="00495DA4"/>
    <w:rsid w:val="004961E6"/>
    <w:rsid w:val="0049656F"/>
    <w:rsid w:val="00496743"/>
    <w:rsid w:val="0049678A"/>
    <w:rsid w:val="00496CB7"/>
    <w:rsid w:val="00496F9A"/>
    <w:rsid w:val="0049701F"/>
    <w:rsid w:val="004972DE"/>
    <w:rsid w:val="004973D5"/>
    <w:rsid w:val="00497678"/>
    <w:rsid w:val="004976D4"/>
    <w:rsid w:val="004977DD"/>
    <w:rsid w:val="00497EDF"/>
    <w:rsid w:val="00497EE8"/>
    <w:rsid w:val="004A04E1"/>
    <w:rsid w:val="004A0749"/>
    <w:rsid w:val="004A0809"/>
    <w:rsid w:val="004A0ED9"/>
    <w:rsid w:val="004A0FCE"/>
    <w:rsid w:val="004A132B"/>
    <w:rsid w:val="004A13D2"/>
    <w:rsid w:val="004A158B"/>
    <w:rsid w:val="004A21FD"/>
    <w:rsid w:val="004A24CC"/>
    <w:rsid w:val="004A2652"/>
    <w:rsid w:val="004A26B0"/>
    <w:rsid w:val="004A2722"/>
    <w:rsid w:val="004A29F5"/>
    <w:rsid w:val="004A29F9"/>
    <w:rsid w:val="004A2A1A"/>
    <w:rsid w:val="004A2BE1"/>
    <w:rsid w:val="004A2E35"/>
    <w:rsid w:val="004A3384"/>
    <w:rsid w:val="004A33B6"/>
    <w:rsid w:val="004A34C0"/>
    <w:rsid w:val="004A3722"/>
    <w:rsid w:val="004A4125"/>
    <w:rsid w:val="004A4382"/>
    <w:rsid w:val="004A4ADE"/>
    <w:rsid w:val="004A4C87"/>
    <w:rsid w:val="004A4F42"/>
    <w:rsid w:val="004A511E"/>
    <w:rsid w:val="004A5578"/>
    <w:rsid w:val="004A55F5"/>
    <w:rsid w:val="004A56A4"/>
    <w:rsid w:val="004A5AA3"/>
    <w:rsid w:val="004A5B9A"/>
    <w:rsid w:val="004A5D39"/>
    <w:rsid w:val="004A5EC6"/>
    <w:rsid w:val="004A6072"/>
    <w:rsid w:val="004A665A"/>
    <w:rsid w:val="004A6B0B"/>
    <w:rsid w:val="004A6B98"/>
    <w:rsid w:val="004A6DAF"/>
    <w:rsid w:val="004A6FB0"/>
    <w:rsid w:val="004A743F"/>
    <w:rsid w:val="004A7C6B"/>
    <w:rsid w:val="004A7DAB"/>
    <w:rsid w:val="004A7F02"/>
    <w:rsid w:val="004A7FCD"/>
    <w:rsid w:val="004B00FE"/>
    <w:rsid w:val="004B03D8"/>
    <w:rsid w:val="004B071F"/>
    <w:rsid w:val="004B075B"/>
    <w:rsid w:val="004B08B8"/>
    <w:rsid w:val="004B0A1A"/>
    <w:rsid w:val="004B0A53"/>
    <w:rsid w:val="004B0CBF"/>
    <w:rsid w:val="004B0D81"/>
    <w:rsid w:val="004B1005"/>
    <w:rsid w:val="004B100E"/>
    <w:rsid w:val="004B1207"/>
    <w:rsid w:val="004B1670"/>
    <w:rsid w:val="004B1730"/>
    <w:rsid w:val="004B180E"/>
    <w:rsid w:val="004B1A74"/>
    <w:rsid w:val="004B1C6C"/>
    <w:rsid w:val="004B1F36"/>
    <w:rsid w:val="004B25B7"/>
    <w:rsid w:val="004B2A4E"/>
    <w:rsid w:val="004B2AF9"/>
    <w:rsid w:val="004B3076"/>
    <w:rsid w:val="004B39A5"/>
    <w:rsid w:val="004B3B5A"/>
    <w:rsid w:val="004B3DB8"/>
    <w:rsid w:val="004B3ED5"/>
    <w:rsid w:val="004B4421"/>
    <w:rsid w:val="004B485F"/>
    <w:rsid w:val="004B4949"/>
    <w:rsid w:val="004B4950"/>
    <w:rsid w:val="004B4D6C"/>
    <w:rsid w:val="004B585F"/>
    <w:rsid w:val="004B5CC9"/>
    <w:rsid w:val="004B5D1C"/>
    <w:rsid w:val="004B5D96"/>
    <w:rsid w:val="004B5FA6"/>
    <w:rsid w:val="004B600E"/>
    <w:rsid w:val="004B6106"/>
    <w:rsid w:val="004B70A4"/>
    <w:rsid w:val="004B72C5"/>
    <w:rsid w:val="004B7502"/>
    <w:rsid w:val="004B7510"/>
    <w:rsid w:val="004B760D"/>
    <w:rsid w:val="004B7646"/>
    <w:rsid w:val="004B7CB4"/>
    <w:rsid w:val="004B7DCC"/>
    <w:rsid w:val="004B7EA2"/>
    <w:rsid w:val="004C009F"/>
    <w:rsid w:val="004C01A2"/>
    <w:rsid w:val="004C041D"/>
    <w:rsid w:val="004C04D9"/>
    <w:rsid w:val="004C09F9"/>
    <w:rsid w:val="004C0BD0"/>
    <w:rsid w:val="004C0D92"/>
    <w:rsid w:val="004C109C"/>
    <w:rsid w:val="004C1524"/>
    <w:rsid w:val="004C15F1"/>
    <w:rsid w:val="004C1656"/>
    <w:rsid w:val="004C166A"/>
    <w:rsid w:val="004C172E"/>
    <w:rsid w:val="004C18C2"/>
    <w:rsid w:val="004C18FC"/>
    <w:rsid w:val="004C1D80"/>
    <w:rsid w:val="004C1E25"/>
    <w:rsid w:val="004C225E"/>
    <w:rsid w:val="004C2323"/>
    <w:rsid w:val="004C2327"/>
    <w:rsid w:val="004C2570"/>
    <w:rsid w:val="004C2C7B"/>
    <w:rsid w:val="004C303A"/>
    <w:rsid w:val="004C3060"/>
    <w:rsid w:val="004C3514"/>
    <w:rsid w:val="004C44A0"/>
    <w:rsid w:val="004C486E"/>
    <w:rsid w:val="004C49C2"/>
    <w:rsid w:val="004C4CB5"/>
    <w:rsid w:val="004C4D0B"/>
    <w:rsid w:val="004C4E97"/>
    <w:rsid w:val="004C4FF7"/>
    <w:rsid w:val="004C504D"/>
    <w:rsid w:val="004C5117"/>
    <w:rsid w:val="004C5651"/>
    <w:rsid w:val="004C5675"/>
    <w:rsid w:val="004C5793"/>
    <w:rsid w:val="004C585D"/>
    <w:rsid w:val="004C5A0B"/>
    <w:rsid w:val="004C5E8B"/>
    <w:rsid w:val="004C5F3C"/>
    <w:rsid w:val="004C5FCF"/>
    <w:rsid w:val="004C64B7"/>
    <w:rsid w:val="004C695A"/>
    <w:rsid w:val="004C69E9"/>
    <w:rsid w:val="004C6AF0"/>
    <w:rsid w:val="004C6BFC"/>
    <w:rsid w:val="004C6E2B"/>
    <w:rsid w:val="004C70DE"/>
    <w:rsid w:val="004C7561"/>
    <w:rsid w:val="004C757D"/>
    <w:rsid w:val="004C78CE"/>
    <w:rsid w:val="004C7A70"/>
    <w:rsid w:val="004C7E17"/>
    <w:rsid w:val="004D0287"/>
    <w:rsid w:val="004D03A4"/>
    <w:rsid w:val="004D0543"/>
    <w:rsid w:val="004D0DA4"/>
    <w:rsid w:val="004D0F47"/>
    <w:rsid w:val="004D0F7B"/>
    <w:rsid w:val="004D1296"/>
    <w:rsid w:val="004D12D7"/>
    <w:rsid w:val="004D1363"/>
    <w:rsid w:val="004D1512"/>
    <w:rsid w:val="004D153F"/>
    <w:rsid w:val="004D1CD2"/>
    <w:rsid w:val="004D22A8"/>
    <w:rsid w:val="004D2300"/>
    <w:rsid w:val="004D247D"/>
    <w:rsid w:val="004D268A"/>
    <w:rsid w:val="004D2698"/>
    <w:rsid w:val="004D2755"/>
    <w:rsid w:val="004D2E1F"/>
    <w:rsid w:val="004D2E64"/>
    <w:rsid w:val="004D304F"/>
    <w:rsid w:val="004D3151"/>
    <w:rsid w:val="004D31AB"/>
    <w:rsid w:val="004D35FC"/>
    <w:rsid w:val="004D3A56"/>
    <w:rsid w:val="004D3CDD"/>
    <w:rsid w:val="004D3D5A"/>
    <w:rsid w:val="004D3F39"/>
    <w:rsid w:val="004D4045"/>
    <w:rsid w:val="004D4807"/>
    <w:rsid w:val="004D48C3"/>
    <w:rsid w:val="004D4A36"/>
    <w:rsid w:val="004D4C8E"/>
    <w:rsid w:val="004D4D0F"/>
    <w:rsid w:val="004D5104"/>
    <w:rsid w:val="004D52E4"/>
    <w:rsid w:val="004D53C9"/>
    <w:rsid w:val="004D5798"/>
    <w:rsid w:val="004D5A3D"/>
    <w:rsid w:val="004D5F09"/>
    <w:rsid w:val="004D6090"/>
    <w:rsid w:val="004D63A5"/>
    <w:rsid w:val="004D6450"/>
    <w:rsid w:val="004D6697"/>
    <w:rsid w:val="004D66B9"/>
    <w:rsid w:val="004D675B"/>
    <w:rsid w:val="004D734B"/>
    <w:rsid w:val="004D740E"/>
    <w:rsid w:val="004D74C1"/>
    <w:rsid w:val="004D7853"/>
    <w:rsid w:val="004D7A12"/>
    <w:rsid w:val="004D7AFD"/>
    <w:rsid w:val="004D7B2E"/>
    <w:rsid w:val="004E061F"/>
    <w:rsid w:val="004E0D89"/>
    <w:rsid w:val="004E0FE0"/>
    <w:rsid w:val="004E0FE9"/>
    <w:rsid w:val="004E1401"/>
    <w:rsid w:val="004E169A"/>
    <w:rsid w:val="004E16A0"/>
    <w:rsid w:val="004E16CD"/>
    <w:rsid w:val="004E1875"/>
    <w:rsid w:val="004E1BAC"/>
    <w:rsid w:val="004E1D68"/>
    <w:rsid w:val="004E1D8B"/>
    <w:rsid w:val="004E1F11"/>
    <w:rsid w:val="004E205E"/>
    <w:rsid w:val="004E220F"/>
    <w:rsid w:val="004E2268"/>
    <w:rsid w:val="004E255B"/>
    <w:rsid w:val="004E2674"/>
    <w:rsid w:val="004E2AA8"/>
    <w:rsid w:val="004E2CA1"/>
    <w:rsid w:val="004E2E55"/>
    <w:rsid w:val="004E31D7"/>
    <w:rsid w:val="004E327B"/>
    <w:rsid w:val="004E32C8"/>
    <w:rsid w:val="004E3835"/>
    <w:rsid w:val="004E3898"/>
    <w:rsid w:val="004E3B6A"/>
    <w:rsid w:val="004E3E7A"/>
    <w:rsid w:val="004E3F3D"/>
    <w:rsid w:val="004E4043"/>
    <w:rsid w:val="004E4342"/>
    <w:rsid w:val="004E434E"/>
    <w:rsid w:val="004E44C5"/>
    <w:rsid w:val="004E44ED"/>
    <w:rsid w:val="004E4526"/>
    <w:rsid w:val="004E46E4"/>
    <w:rsid w:val="004E4A15"/>
    <w:rsid w:val="004E4ABC"/>
    <w:rsid w:val="004E4AF2"/>
    <w:rsid w:val="004E4D07"/>
    <w:rsid w:val="004E4DB0"/>
    <w:rsid w:val="004E50AE"/>
    <w:rsid w:val="004E543D"/>
    <w:rsid w:val="004E5483"/>
    <w:rsid w:val="004E5EC5"/>
    <w:rsid w:val="004E5F8F"/>
    <w:rsid w:val="004E68AF"/>
    <w:rsid w:val="004E694C"/>
    <w:rsid w:val="004E695C"/>
    <w:rsid w:val="004E6A47"/>
    <w:rsid w:val="004E6A90"/>
    <w:rsid w:val="004E6F6C"/>
    <w:rsid w:val="004E7098"/>
    <w:rsid w:val="004E727B"/>
    <w:rsid w:val="004E7637"/>
    <w:rsid w:val="004E78CF"/>
    <w:rsid w:val="004E79BB"/>
    <w:rsid w:val="004F003A"/>
    <w:rsid w:val="004F01CF"/>
    <w:rsid w:val="004F0657"/>
    <w:rsid w:val="004F0AB7"/>
    <w:rsid w:val="004F0FD3"/>
    <w:rsid w:val="004F10DF"/>
    <w:rsid w:val="004F130B"/>
    <w:rsid w:val="004F1362"/>
    <w:rsid w:val="004F1523"/>
    <w:rsid w:val="004F1541"/>
    <w:rsid w:val="004F155E"/>
    <w:rsid w:val="004F18DD"/>
    <w:rsid w:val="004F1965"/>
    <w:rsid w:val="004F1AC9"/>
    <w:rsid w:val="004F1BAE"/>
    <w:rsid w:val="004F1C0D"/>
    <w:rsid w:val="004F1C8E"/>
    <w:rsid w:val="004F1E93"/>
    <w:rsid w:val="004F2118"/>
    <w:rsid w:val="004F2429"/>
    <w:rsid w:val="004F29D7"/>
    <w:rsid w:val="004F2A42"/>
    <w:rsid w:val="004F2B74"/>
    <w:rsid w:val="004F3003"/>
    <w:rsid w:val="004F3141"/>
    <w:rsid w:val="004F31A5"/>
    <w:rsid w:val="004F38AB"/>
    <w:rsid w:val="004F3B3C"/>
    <w:rsid w:val="004F3ED3"/>
    <w:rsid w:val="004F406F"/>
    <w:rsid w:val="004F41D9"/>
    <w:rsid w:val="004F42BA"/>
    <w:rsid w:val="004F4FB8"/>
    <w:rsid w:val="004F52FE"/>
    <w:rsid w:val="004F5BBE"/>
    <w:rsid w:val="004F5BF9"/>
    <w:rsid w:val="004F5DAA"/>
    <w:rsid w:val="004F60E8"/>
    <w:rsid w:val="004F615B"/>
    <w:rsid w:val="004F62CD"/>
    <w:rsid w:val="004F67F8"/>
    <w:rsid w:val="004F6A3C"/>
    <w:rsid w:val="004F6B2F"/>
    <w:rsid w:val="004F6FC8"/>
    <w:rsid w:val="004F7176"/>
    <w:rsid w:val="004F718B"/>
    <w:rsid w:val="004F760C"/>
    <w:rsid w:val="004F76EF"/>
    <w:rsid w:val="004F7C56"/>
    <w:rsid w:val="004F7E56"/>
    <w:rsid w:val="00500498"/>
    <w:rsid w:val="00500542"/>
    <w:rsid w:val="00500558"/>
    <w:rsid w:val="0050055F"/>
    <w:rsid w:val="00500584"/>
    <w:rsid w:val="00500600"/>
    <w:rsid w:val="00500746"/>
    <w:rsid w:val="0050080F"/>
    <w:rsid w:val="00500DC8"/>
    <w:rsid w:val="005013E0"/>
    <w:rsid w:val="0050152A"/>
    <w:rsid w:val="00501678"/>
    <w:rsid w:val="00501693"/>
    <w:rsid w:val="00501866"/>
    <w:rsid w:val="00501C17"/>
    <w:rsid w:val="00501C82"/>
    <w:rsid w:val="00501D83"/>
    <w:rsid w:val="00501EFF"/>
    <w:rsid w:val="005021E5"/>
    <w:rsid w:val="00502349"/>
    <w:rsid w:val="005029D0"/>
    <w:rsid w:val="00502CBF"/>
    <w:rsid w:val="005035B7"/>
    <w:rsid w:val="005035D2"/>
    <w:rsid w:val="005035D9"/>
    <w:rsid w:val="00503C41"/>
    <w:rsid w:val="00504009"/>
    <w:rsid w:val="00504038"/>
    <w:rsid w:val="0050416A"/>
    <w:rsid w:val="005041BE"/>
    <w:rsid w:val="005045B5"/>
    <w:rsid w:val="00504984"/>
    <w:rsid w:val="00504B39"/>
    <w:rsid w:val="00505134"/>
    <w:rsid w:val="0050548C"/>
    <w:rsid w:val="00505646"/>
    <w:rsid w:val="00505941"/>
    <w:rsid w:val="0050626D"/>
    <w:rsid w:val="005062A4"/>
    <w:rsid w:val="00506476"/>
    <w:rsid w:val="0050651A"/>
    <w:rsid w:val="0050677E"/>
    <w:rsid w:val="005068DC"/>
    <w:rsid w:val="005074FA"/>
    <w:rsid w:val="005075E3"/>
    <w:rsid w:val="005078F6"/>
    <w:rsid w:val="00507DDC"/>
    <w:rsid w:val="00507EA0"/>
    <w:rsid w:val="00507F75"/>
    <w:rsid w:val="00507FC1"/>
    <w:rsid w:val="0051061D"/>
    <w:rsid w:val="0051074D"/>
    <w:rsid w:val="00510874"/>
    <w:rsid w:val="00510B4A"/>
    <w:rsid w:val="00511395"/>
    <w:rsid w:val="005116F0"/>
    <w:rsid w:val="00511B0D"/>
    <w:rsid w:val="00511BF8"/>
    <w:rsid w:val="00511BFC"/>
    <w:rsid w:val="00512AED"/>
    <w:rsid w:val="00512AF6"/>
    <w:rsid w:val="00512D46"/>
    <w:rsid w:val="00513777"/>
    <w:rsid w:val="00514021"/>
    <w:rsid w:val="00514171"/>
    <w:rsid w:val="005143FC"/>
    <w:rsid w:val="005147A1"/>
    <w:rsid w:val="00514840"/>
    <w:rsid w:val="00514964"/>
    <w:rsid w:val="00514DB5"/>
    <w:rsid w:val="00514E3E"/>
    <w:rsid w:val="00514EDF"/>
    <w:rsid w:val="005153A1"/>
    <w:rsid w:val="005153DB"/>
    <w:rsid w:val="005154FB"/>
    <w:rsid w:val="005158B7"/>
    <w:rsid w:val="005158CB"/>
    <w:rsid w:val="00515943"/>
    <w:rsid w:val="00515E1D"/>
    <w:rsid w:val="00515F5D"/>
    <w:rsid w:val="00515FF5"/>
    <w:rsid w:val="00516064"/>
    <w:rsid w:val="00516280"/>
    <w:rsid w:val="0051674E"/>
    <w:rsid w:val="00516D26"/>
    <w:rsid w:val="00516E45"/>
    <w:rsid w:val="005173D7"/>
    <w:rsid w:val="00517555"/>
    <w:rsid w:val="00517842"/>
    <w:rsid w:val="0051794F"/>
    <w:rsid w:val="00517B73"/>
    <w:rsid w:val="00517CFC"/>
    <w:rsid w:val="00517FD1"/>
    <w:rsid w:val="00520310"/>
    <w:rsid w:val="00520B93"/>
    <w:rsid w:val="00520C1A"/>
    <w:rsid w:val="00521187"/>
    <w:rsid w:val="005213E9"/>
    <w:rsid w:val="005215F9"/>
    <w:rsid w:val="005216DC"/>
    <w:rsid w:val="00521BBF"/>
    <w:rsid w:val="00521DFC"/>
    <w:rsid w:val="00521EE6"/>
    <w:rsid w:val="005224B9"/>
    <w:rsid w:val="00522B67"/>
    <w:rsid w:val="00522B81"/>
    <w:rsid w:val="005230E5"/>
    <w:rsid w:val="00523246"/>
    <w:rsid w:val="0052328E"/>
    <w:rsid w:val="00523326"/>
    <w:rsid w:val="00523C2E"/>
    <w:rsid w:val="00523E2D"/>
    <w:rsid w:val="00523F48"/>
    <w:rsid w:val="005247EE"/>
    <w:rsid w:val="00524DA9"/>
    <w:rsid w:val="00524EF6"/>
    <w:rsid w:val="0052552B"/>
    <w:rsid w:val="00525568"/>
    <w:rsid w:val="00525FF1"/>
    <w:rsid w:val="005266B0"/>
    <w:rsid w:val="005267C9"/>
    <w:rsid w:val="00526835"/>
    <w:rsid w:val="00526C85"/>
    <w:rsid w:val="00526D99"/>
    <w:rsid w:val="00526EF8"/>
    <w:rsid w:val="0052746C"/>
    <w:rsid w:val="00527521"/>
    <w:rsid w:val="0052775B"/>
    <w:rsid w:val="00527B67"/>
    <w:rsid w:val="00527BB3"/>
    <w:rsid w:val="00527DC7"/>
    <w:rsid w:val="005300D2"/>
    <w:rsid w:val="0053047B"/>
    <w:rsid w:val="005307CC"/>
    <w:rsid w:val="005307E9"/>
    <w:rsid w:val="005308F9"/>
    <w:rsid w:val="00530B0C"/>
    <w:rsid w:val="00530BA0"/>
    <w:rsid w:val="00530E96"/>
    <w:rsid w:val="00530ED1"/>
    <w:rsid w:val="00530FFC"/>
    <w:rsid w:val="00531187"/>
    <w:rsid w:val="0053131F"/>
    <w:rsid w:val="005313DB"/>
    <w:rsid w:val="00531454"/>
    <w:rsid w:val="0053156A"/>
    <w:rsid w:val="00531765"/>
    <w:rsid w:val="0053182B"/>
    <w:rsid w:val="0053187F"/>
    <w:rsid w:val="005318FF"/>
    <w:rsid w:val="00531AC9"/>
    <w:rsid w:val="00531AFA"/>
    <w:rsid w:val="00531F2E"/>
    <w:rsid w:val="00531F88"/>
    <w:rsid w:val="0053217C"/>
    <w:rsid w:val="0053252E"/>
    <w:rsid w:val="005325C1"/>
    <w:rsid w:val="0053268E"/>
    <w:rsid w:val="00532989"/>
    <w:rsid w:val="00532C80"/>
    <w:rsid w:val="00532FAC"/>
    <w:rsid w:val="00533504"/>
    <w:rsid w:val="00533593"/>
    <w:rsid w:val="00533B44"/>
    <w:rsid w:val="00533BA1"/>
    <w:rsid w:val="00533D84"/>
    <w:rsid w:val="0053433E"/>
    <w:rsid w:val="005347BD"/>
    <w:rsid w:val="005348AB"/>
    <w:rsid w:val="00534A27"/>
    <w:rsid w:val="00534C03"/>
    <w:rsid w:val="00534CCB"/>
    <w:rsid w:val="00534EAC"/>
    <w:rsid w:val="005354AE"/>
    <w:rsid w:val="005359B0"/>
    <w:rsid w:val="00535A59"/>
    <w:rsid w:val="0053606B"/>
    <w:rsid w:val="00536124"/>
    <w:rsid w:val="005367C2"/>
    <w:rsid w:val="00536B69"/>
    <w:rsid w:val="00536B94"/>
    <w:rsid w:val="00536DDD"/>
    <w:rsid w:val="00537391"/>
    <w:rsid w:val="005375DC"/>
    <w:rsid w:val="00537876"/>
    <w:rsid w:val="00537C44"/>
    <w:rsid w:val="00537D76"/>
    <w:rsid w:val="00537ED3"/>
    <w:rsid w:val="00537ED9"/>
    <w:rsid w:val="00537FD3"/>
    <w:rsid w:val="0054002F"/>
    <w:rsid w:val="00540388"/>
    <w:rsid w:val="005403EE"/>
    <w:rsid w:val="00540E87"/>
    <w:rsid w:val="00540F1B"/>
    <w:rsid w:val="0054101A"/>
    <w:rsid w:val="0054109B"/>
    <w:rsid w:val="00541878"/>
    <w:rsid w:val="005418E9"/>
    <w:rsid w:val="00542056"/>
    <w:rsid w:val="00542484"/>
    <w:rsid w:val="00542731"/>
    <w:rsid w:val="00542ECA"/>
    <w:rsid w:val="0054304B"/>
    <w:rsid w:val="0054318D"/>
    <w:rsid w:val="00543637"/>
    <w:rsid w:val="00543904"/>
    <w:rsid w:val="005439DE"/>
    <w:rsid w:val="00543A46"/>
    <w:rsid w:val="00543F52"/>
    <w:rsid w:val="0054402B"/>
    <w:rsid w:val="00544255"/>
    <w:rsid w:val="00544361"/>
    <w:rsid w:val="005443AC"/>
    <w:rsid w:val="005445BF"/>
    <w:rsid w:val="00544674"/>
    <w:rsid w:val="005447C1"/>
    <w:rsid w:val="0054487E"/>
    <w:rsid w:val="005448D7"/>
    <w:rsid w:val="005448EC"/>
    <w:rsid w:val="00544DC8"/>
    <w:rsid w:val="00544FA9"/>
    <w:rsid w:val="00545149"/>
    <w:rsid w:val="005456A1"/>
    <w:rsid w:val="0054587E"/>
    <w:rsid w:val="005463D6"/>
    <w:rsid w:val="005463F8"/>
    <w:rsid w:val="0054643E"/>
    <w:rsid w:val="005468C3"/>
    <w:rsid w:val="00546BD1"/>
    <w:rsid w:val="00546D1D"/>
    <w:rsid w:val="00546DB3"/>
    <w:rsid w:val="00546DDC"/>
    <w:rsid w:val="005474F5"/>
    <w:rsid w:val="0054761A"/>
    <w:rsid w:val="005501E5"/>
    <w:rsid w:val="00550262"/>
    <w:rsid w:val="005504BD"/>
    <w:rsid w:val="005510F7"/>
    <w:rsid w:val="00551152"/>
    <w:rsid w:val="00551176"/>
    <w:rsid w:val="0055144F"/>
    <w:rsid w:val="005516AC"/>
    <w:rsid w:val="00551956"/>
    <w:rsid w:val="00551AC5"/>
    <w:rsid w:val="00551BD1"/>
    <w:rsid w:val="00551D5E"/>
    <w:rsid w:val="00551EE8"/>
    <w:rsid w:val="00552113"/>
    <w:rsid w:val="005521EE"/>
    <w:rsid w:val="0055220B"/>
    <w:rsid w:val="0055243B"/>
    <w:rsid w:val="005525BB"/>
    <w:rsid w:val="00552B79"/>
    <w:rsid w:val="00553469"/>
    <w:rsid w:val="005534B4"/>
    <w:rsid w:val="00553680"/>
    <w:rsid w:val="0055399D"/>
    <w:rsid w:val="00553A7C"/>
    <w:rsid w:val="00554228"/>
    <w:rsid w:val="0055423B"/>
    <w:rsid w:val="00554713"/>
    <w:rsid w:val="005548F8"/>
    <w:rsid w:val="0055496E"/>
    <w:rsid w:val="00554BB1"/>
    <w:rsid w:val="00554D0D"/>
    <w:rsid w:val="00554D66"/>
    <w:rsid w:val="0055566D"/>
    <w:rsid w:val="005556BE"/>
    <w:rsid w:val="0055598A"/>
    <w:rsid w:val="00555A4D"/>
    <w:rsid w:val="00555CA8"/>
    <w:rsid w:val="0055622B"/>
    <w:rsid w:val="00556590"/>
    <w:rsid w:val="00556766"/>
    <w:rsid w:val="00556A49"/>
    <w:rsid w:val="00557058"/>
    <w:rsid w:val="0055732D"/>
    <w:rsid w:val="00557799"/>
    <w:rsid w:val="00557A1B"/>
    <w:rsid w:val="00557BD6"/>
    <w:rsid w:val="00557F4B"/>
    <w:rsid w:val="005606E5"/>
    <w:rsid w:val="00560B23"/>
    <w:rsid w:val="005610E7"/>
    <w:rsid w:val="005612B0"/>
    <w:rsid w:val="00561BEF"/>
    <w:rsid w:val="00561F22"/>
    <w:rsid w:val="00562471"/>
    <w:rsid w:val="00562609"/>
    <w:rsid w:val="0056279B"/>
    <w:rsid w:val="00562944"/>
    <w:rsid w:val="00562A24"/>
    <w:rsid w:val="005634D2"/>
    <w:rsid w:val="00563613"/>
    <w:rsid w:val="00563639"/>
    <w:rsid w:val="005636F4"/>
    <w:rsid w:val="00563735"/>
    <w:rsid w:val="005638B9"/>
    <w:rsid w:val="00563904"/>
    <w:rsid w:val="00563C64"/>
    <w:rsid w:val="0056403F"/>
    <w:rsid w:val="00564478"/>
    <w:rsid w:val="0056496B"/>
    <w:rsid w:val="00564C46"/>
    <w:rsid w:val="0056500D"/>
    <w:rsid w:val="00565083"/>
    <w:rsid w:val="0056534E"/>
    <w:rsid w:val="005653E2"/>
    <w:rsid w:val="0056543C"/>
    <w:rsid w:val="005654F7"/>
    <w:rsid w:val="005655B9"/>
    <w:rsid w:val="005657B1"/>
    <w:rsid w:val="00565B56"/>
    <w:rsid w:val="00565BA5"/>
    <w:rsid w:val="00565E8D"/>
    <w:rsid w:val="005665AA"/>
    <w:rsid w:val="00566D16"/>
    <w:rsid w:val="00566F67"/>
    <w:rsid w:val="005670DB"/>
    <w:rsid w:val="00567103"/>
    <w:rsid w:val="005672D6"/>
    <w:rsid w:val="005676E5"/>
    <w:rsid w:val="0056785B"/>
    <w:rsid w:val="0056788A"/>
    <w:rsid w:val="00567D48"/>
    <w:rsid w:val="00570727"/>
    <w:rsid w:val="005709F4"/>
    <w:rsid w:val="00570BD6"/>
    <w:rsid w:val="00570D3F"/>
    <w:rsid w:val="0057117E"/>
    <w:rsid w:val="0057182C"/>
    <w:rsid w:val="00571981"/>
    <w:rsid w:val="00571C3F"/>
    <w:rsid w:val="005720CF"/>
    <w:rsid w:val="005724FA"/>
    <w:rsid w:val="00572609"/>
    <w:rsid w:val="005727FA"/>
    <w:rsid w:val="00572828"/>
    <w:rsid w:val="005728DA"/>
    <w:rsid w:val="0057298B"/>
    <w:rsid w:val="005731CA"/>
    <w:rsid w:val="00573254"/>
    <w:rsid w:val="00573451"/>
    <w:rsid w:val="00573521"/>
    <w:rsid w:val="005735C1"/>
    <w:rsid w:val="00573FE8"/>
    <w:rsid w:val="0057402D"/>
    <w:rsid w:val="00574141"/>
    <w:rsid w:val="005742FD"/>
    <w:rsid w:val="00574480"/>
    <w:rsid w:val="0057484B"/>
    <w:rsid w:val="0057489D"/>
    <w:rsid w:val="00574FC6"/>
    <w:rsid w:val="00575330"/>
    <w:rsid w:val="00575454"/>
    <w:rsid w:val="00575585"/>
    <w:rsid w:val="00575A74"/>
    <w:rsid w:val="00575AE5"/>
    <w:rsid w:val="00575B26"/>
    <w:rsid w:val="00575E55"/>
    <w:rsid w:val="00575FAF"/>
    <w:rsid w:val="005763DD"/>
    <w:rsid w:val="005764DE"/>
    <w:rsid w:val="00576587"/>
    <w:rsid w:val="0057698E"/>
    <w:rsid w:val="00576BA4"/>
    <w:rsid w:val="00577036"/>
    <w:rsid w:val="00577131"/>
    <w:rsid w:val="00577354"/>
    <w:rsid w:val="00577479"/>
    <w:rsid w:val="00577762"/>
    <w:rsid w:val="00577891"/>
    <w:rsid w:val="00577A9D"/>
    <w:rsid w:val="00577FA5"/>
    <w:rsid w:val="005808D5"/>
    <w:rsid w:val="00580D82"/>
    <w:rsid w:val="005812F4"/>
    <w:rsid w:val="00581631"/>
    <w:rsid w:val="00581792"/>
    <w:rsid w:val="00581797"/>
    <w:rsid w:val="00581929"/>
    <w:rsid w:val="00581B0A"/>
    <w:rsid w:val="00581C65"/>
    <w:rsid w:val="00581F3F"/>
    <w:rsid w:val="00581F6B"/>
    <w:rsid w:val="00582050"/>
    <w:rsid w:val="005821BC"/>
    <w:rsid w:val="005821E3"/>
    <w:rsid w:val="00582294"/>
    <w:rsid w:val="00582394"/>
    <w:rsid w:val="005823DE"/>
    <w:rsid w:val="00582430"/>
    <w:rsid w:val="00582B3D"/>
    <w:rsid w:val="00582EEB"/>
    <w:rsid w:val="0058311D"/>
    <w:rsid w:val="0058319D"/>
    <w:rsid w:val="00583451"/>
    <w:rsid w:val="00583C4A"/>
    <w:rsid w:val="005841CF"/>
    <w:rsid w:val="005844D6"/>
    <w:rsid w:val="00584681"/>
    <w:rsid w:val="00584943"/>
    <w:rsid w:val="00584A10"/>
    <w:rsid w:val="00584CDA"/>
    <w:rsid w:val="00584D6C"/>
    <w:rsid w:val="005855F1"/>
    <w:rsid w:val="00585D17"/>
    <w:rsid w:val="00585D25"/>
    <w:rsid w:val="005860EA"/>
    <w:rsid w:val="00586130"/>
    <w:rsid w:val="00586196"/>
    <w:rsid w:val="005861E8"/>
    <w:rsid w:val="0058627C"/>
    <w:rsid w:val="00586580"/>
    <w:rsid w:val="005867A3"/>
    <w:rsid w:val="005867DA"/>
    <w:rsid w:val="00586911"/>
    <w:rsid w:val="00586928"/>
    <w:rsid w:val="005869D7"/>
    <w:rsid w:val="00587050"/>
    <w:rsid w:val="0058744D"/>
    <w:rsid w:val="005874CA"/>
    <w:rsid w:val="005874CC"/>
    <w:rsid w:val="00587807"/>
    <w:rsid w:val="005878A0"/>
    <w:rsid w:val="00590135"/>
    <w:rsid w:val="00590386"/>
    <w:rsid w:val="005904F7"/>
    <w:rsid w:val="00590621"/>
    <w:rsid w:val="005908F9"/>
    <w:rsid w:val="00590BF6"/>
    <w:rsid w:val="0059105C"/>
    <w:rsid w:val="00591093"/>
    <w:rsid w:val="005911ED"/>
    <w:rsid w:val="00591258"/>
    <w:rsid w:val="005919E6"/>
    <w:rsid w:val="00591A24"/>
    <w:rsid w:val="005923CD"/>
    <w:rsid w:val="005925E3"/>
    <w:rsid w:val="005927A3"/>
    <w:rsid w:val="00592C13"/>
    <w:rsid w:val="00592CAF"/>
    <w:rsid w:val="0059303E"/>
    <w:rsid w:val="00593055"/>
    <w:rsid w:val="0059382B"/>
    <w:rsid w:val="005939BD"/>
    <w:rsid w:val="00593BF5"/>
    <w:rsid w:val="00593F42"/>
    <w:rsid w:val="00594071"/>
    <w:rsid w:val="0059461F"/>
    <w:rsid w:val="00594672"/>
    <w:rsid w:val="00594C95"/>
    <w:rsid w:val="005951BB"/>
    <w:rsid w:val="00595591"/>
    <w:rsid w:val="00595663"/>
    <w:rsid w:val="0059574F"/>
    <w:rsid w:val="0059596E"/>
    <w:rsid w:val="00595E2D"/>
    <w:rsid w:val="00595ECF"/>
    <w:rsid w:val="00595FD4"/>
    <w:rsid w:val="00596341"/>
    <w:rsid w:val="0059655B"/>
    <w:rsid w:val="00596950"/>
    <w:rsid w:val="005972C8"/>
    <w:rsid w:val="00597779"/>
    <w:rsid w:val="00597B88"/>
    <w:rsid w:val="00597DA0"/>
    <w:rsid w:val="005A0135"/>
    <w:rsid w:val="005A01F5"/>
    <w:rsid w:val="005A0688"/>
    <w:rsid w:val="005A06A6"/>
    <w:rsid w:val="005A0C97"/>
    <w:rsid w:val="005A0D2A"/>
    <w:rsid w:val="005A0FED"/>
    <w:rsid w:val="005A16FB"/>
    <w:rsid w:val="005A182A"/>
    <w:rsid w:val="005A1A21"/>
    <w:rsid w:val="005A1A85"/>
    <w:rsid w:val="005A1B8E"/>
    <w:rsid w:val="005A1CA6"/>
    <w:rsid w:val="005A1E41"/>
    <w:rsid w:val="005A2008"/>
    <w:rsid w:val="005A2114"/>
    <w:rsid w:val="005A217D"/>
    <w:rsid w:val="005A257E"/>
    <w:rsid w:val="005A2852"/>
    <w:rsid w:val="005A2A19"/>
    <w:rsid w:val="005A2E80"/>
    <w:rsid w:val="005A3127"/>
    <w:rsid w:val="005A34C3"/>
    <w:rsid w:val="005A3606"/>
    <w:rsid w:val="005A3676"/>
    <w:rsid w:val="005A3861"/>
    <w:rsid w:val="005A3A13"/>
    <w:rsid w:val="005A413E"/>
    <w:rsid w:val="005A44E9"/>
    <w:rsid w:val="005A4641"/>
    <w:rsid w:val="005A4956"/>
    <w:rsid w:val="005A4981"/>
    <w:rsid w:val="005A4B4D"/>
    <w:rsid w:val="005A4FEB"/>
    <w:rsid w:val="005A5155"/>
    <w:rsid w:val="005A51B0"/>
    <w:rsid w:val="005A5287"/>
    <w:rsid w:val="005A55F0"/>
    <w:rsid w:val="005A5BC1"/>
    <w:rsid w:val="005A5D00"/>
    <w:rsid w:val="005A633E"/>
    <w:rsid w:val="005A6460"/>
    <w:rsid w:val="005A6FBF"/>
    <w:rsid w:val="005A7767"/>
    <w:rsid w:val="005A77CF"/>
    <w:rsid w:val="005A7866"/>
    <w:rsid w:val="005A7C40"/>
    <w:rsid w:val="005A7E44"/>
    <w:rsid w:val="005B006C"/>
    <w:rsid w:val="005B02F9"/>
    <w:rsid w:val="005B0502"/>
    <w:rsid w:val="005B14C7"/>
    <w:rsid w:val="005B19AC"/>
    <w:rsid w:val="005B19E6"/>
    <w:rsid w:val="005B1E87"/>
    <w:rsid w:val="005B1E9B"/>
    <w:rsid w:val="005B208B"/>
    <w:rsid w:val="005B21F7"/>
    <w:rsid w:val="005B23FE"/>
    <w:rsid w:val="005B2689"/>
    <w:rsid w:val="005B2A27"/>
    <w:rsid w:val="005B2BA0"/>
    <w:rsid w:val="005B3107"/>
    <w:rsid w:val="005B33F0"/>
    <w:rsid w:val="005B36F4"/>
    <w:rsid w:val="005B3798"/>
    <w:rsid w:val="005B37AC"/>
    <w:rsid w:val="005B4785"/>
    <w:rsid w:val="005B4E38"/>
    <w:rsid w:val="005B5214"/>
    <w:rsid w:val="005B57C7"/>
    <w:rsid w:val="005B5EFE"/>
    <w:rsid w:val="005B6423"/>
    <w:rsid w:val="005B6D29"/>
    <w:rsid w:val="005B6EB3"/>
    <w:rsid w:val="005B6ECF"/>
    <w:rsid w:val="005B72A8"/>
    <w:rsid w:val="005B7411"/>
    <w:rsid w:val="005B7516"/>
    <w:rsid w:val="005B7559"/>
    <w:rsid w:val="005B7726"/>
    <w:rsid w:val="005B784C"/>
    <w:rsid w:val="005B7889"/>
    <w:rsid w:val="005B79DF"/>
    <w:rsid w:val="005B79E7"/>
    <w:rsid w:val="005B7F29"/>
    <w:rsid w:val="005C052E"/>
    <w:rsid w:val="005C0907"/>
    <w:rsid w:val="005C0C48"/>
    <w:rsid w:val="005C176E"/>
    <w:rsid w:val="005C1BFB"/>
    <w:rsid w:val="005C1C52"/>
    <w:rsid w:val="005C1F4D"/>
    <w:rsid w:val="005C2AE2"/>
    <w:rsid w:val="005C2E2D"/>
    <w:rsid w:val="005C30F7"/>
    <w:rsid w:val="005C3379"/>
    <w:rsid w:val="005C3710"/>
    <w:rsid w:val="005C391F"/>
    <w:rsid w:val="005C3A4B"/>
    <w:rsid w:val="005C3B92"/>
    <w:rsid w:val="005C3C82"/>
    <w:rsid w:val="005C400F"/>
    <w:rsid w:val="005C450C"/>
    <w:rsid w:val="005C4A0E"/>
    <w:rsid w:val="005C4A47"/>
    <w:rsid w:val="005C4BA7"/>
    <w:rsid w:val="005C4E1C"/>
    <w:rsid w:val="005C552F"/>
    <w:rsid w:val="005C56CE"/>
    <w:rsid w:val="005C5A46"/>
    <w:rsid w:val="005C5B91"/>
    <w:rsid w:val="005C5CD3"/>
    <w:rsid w:val="005C5E6A"/>
    <w:rsid w:val="005C6147"/>
    <w:rsid w:val="005C63E7"/>
    <w:rsid w:val="005C66CB"/>
    <w:rsid w:val="005C6E46"/>
    <w:rsid w:val="005C717F"/>
    <w:rsid w:val="005C76D4"/>
    <w:rsid w:val="005D02D5"/>
    <w:rsid w:val="005D0300"/>
    <w:rsid w:val="005D0319"/>
    <w:rsid w:val="005D0BF2"/>
    <w:rsid w:val="005D0F8E"/>
    <w:rsid w:val="005D102B"/>
    <w:rsid w:val="005D1759"/>
    <w:rsid w:val="005D1B90"/>
    <w:rsid w:val="005D2050"/>
    <w:rsid w:val="005D23A8"/>
    <w:rsid w:val="005D2909"/>
    <w:rsid w:val="005D29EC"/>
    <w:rsid w:val="005D3DF0"/>
    <w:rsid w:val="005D418C"/>
    <w:rsid w:val="005D42FE"/>
    <w:rsid w:val="005D475C"/>
    <w:rsid w:val="005D4766"/>
    <w:rsid w:val="005D4BA5"/>
    <w:rsid w:val="005D4DBB"/>
    <w:rsid w:val="005D5091"/>
    <w:rsid w:val="005D5247"/>
    <w:rsid w:val="005D54FB"/>
    <w:rsid w:val="005D5558"/>
    <w:rsid w:val="005D5B2D"/>
    <w:rsid w:val="005D5E34"/>
    <w:rsid w:val="005D5E99"/>
    <w:rsid w:val="005D601B"/>
    <w:rsid w:val="005D601D"/>
    <w:rsid w:val="005D657A"/>
    <w:rsid w:val="005D66A1"/>
    <w:rsid w:val="005D6BE7"/>
    <w:rsid w:val="005D6C6E"/>
    <w:rsid w:val="005D6D10"/>
    <w:rsid w:val="005D7376"/>
    <w:rsid w:val="005D73A1"/>
    <w:rsid w:val="005D74C0"/>
    <w:rsid w:val="005D77F7"/>
    <w:rsid w:val="005D79CB"/>
    <w:rsid w:val="005D7A91"/>
    <w:rsid w:val="005D7D23"/>
    <w:rsid w:val="005E07A2"/>
    <w:rsid w:val="005E07D5"/>
    <w:rsid w:val="005E1023"/>
    <w:rsid w:val="005E1299"/>
    <w:rsid w:val="005E1346"/>
    <w:rsid w:val="005E19C4"/>
    <w:rsid w:val="005E1ABD"/>
    <w:rsid w:val="005E1F3C"/>
    <w:rsid w:val="005E201F"/>
    <w:rsid w:val="005E23BA"/>
    <w:rsid w:val="005E2A26"/>
    <w:rsid w:val="005E2A27"/>
    <w:rsid w:val="005E323B"/>
    <w:rsid w:val="005E334A"/>
    <w:rsid w:val="005E3984"/>
    <w:rsid w:val="005E3B67"/>
    <w:rsid w:val="005E3C86"/>
    <w:rsid w:val="005E3E17"/>
    <w:rsid w:val="005E3F3C"/>
    <w:rsid w:val="005E4285"/>
    <w:rsid w:val="005E469D"/>
    <w:rsid w:val="005E487C"/>
    <w:rsid w:val="005E4954"/>
    <w:rsid w:val="005E4C11"/>
    <w:rsid w:val="005E57F9"/>
    <w:rsid w:val="005E589B"/>
    <w:rsid w:val="005E5BCC"/>
    <w:rsid w:val="005E5D26"/>
    <w:rsid w:val="005E5D52"/>
    <w:rsid w:val="005E6083"/>
    <w:rsid w:val="005E6222"/>
    <w:rsid w:val="005E62F6"/>
    <w:rsid w:val="005E6A3C"/>
    <w:rsid w:val="005E6DC1"/>
    <w:rsid w:val="005E70EE"/>
    <w:rsid w:val="005E718B"/>
    <w:rsid w:val="005E729D"/>
    <w:rsid w:val="005E72A2"/>
    <w:rsid w:val="005E72C1"/>
    <w:rsid w:val="005E7D3A"/>
    <w:rsid w:val="005E7E65"/>
    <w:rsid w:val="005F00E2"/>
    <w:rsid w:val="005F06FB"/>
    <w:rsid w:val="005F0741"/>
    <w:rsid w:val="005F075D"/>
    <w:rsid w:val="005F07CF"/>
    <w:rsid w:val="005F09EB"/>
    <w:rsid w:val="005F0C18"/>
    <w:rsid w:val="005F0DC3"/>
    <w:rsid w:val="005F116F"/>
    <w:rsid w:val="005F15A7"/>
    <w:rsid w:val="005F1658"/>
    <w:rsid w:val="005F187E"/>
    <w:rsid w:val="005F1BCE"/>
    <w:rsid w:val="005F1E47"/>
    <w:rsid w:val="005F221C"/>
    <w:rsid w:val="005F223D"/>
    <w:rsid w:val="005F225D"/>
    <w:rsid w:val="005F26AC"/>
    <w:rsid w:val="005F2BCC"/>
    <w:rsid w:val="005F2E19"/>
    <w:rsid w:val="005F30F3"/>
    <w:rsid w:val="005F3209"/>
    <w:rsid w:val="005F338A"/>
    <w:rsid w:val="005F3785"/>
    <w:rsid w:val="005F3B43"/>
    <w:rsid w:val="005F3E0A"/>
    <w:rsid w:val="005F4A02"/>
    <w:rsid w:val="005F4F16"/>
    <w:rsid w:val="005F5132"/>
    <w:rsid w:val="005F593F"/>
    <w:rsid w:val="005F5A84"/>
    <w:rsid w:val="005F5F8F"/>
    <w:rsid w:val="005F6644"/>
    <w:rsid w:val="005F69EF"/>
    <w:rsid w:val="005F6AFA"/>
    <w:rsid w:val="005F6B23"/>
    <w:rsid w:val="005F6BB4"/>
    <w:rsid w:val="005F6BCC"/>
    <w:rsid w:val="005F6D31"/>
    <w:rsid w:val="005F6F11"/>
    <w:rsid w:val="005F70C3"/>
    <w:rsid w:val="005F71AA"/>
    <w:rsid w:val="005F74BC"/>
    <w:rsid w:val="005F7804"/>
    <w:rsid w:val="005F7988"/>
    <w:rsid w:val="005F7BAF"/>
    <w:rsid w:val="0060013A"/>
    <w:rsid w:val="00600222"/>
    <w:rsid w:val="0060028F"/>
    <w:rsid w:val="006004F7"/>
    <w:rsid w:val="0060069D"/>
    <w:rsid w:val="00600715"/>
    <w:rsid w:val="006008A5"/>
    <w:rsid w:val="00600947"/>
    <w:rsid w:val="006009BB"/>
    <w:rsid w:val="006009F8"/>
    <w:rsid w:val="00600DD3"/>
    <w:rsid w:val="00600FC9"/>
    <w:rsid w:val="00601036"/>
    <w:rsid w:val="0060105F"/>
    <w:rsid w:val="0060106D"/>
    <w:rsid w:val="00601082"/>
    <w:rsid w:val="0060133D"/>
    <w:rsid w:val="006016B0"/>
    <w:rsid w:val="006022E1"/>
    <w:rsid w:val="00602425"/>
    <w:rsid w:val="00602946"/>
    <w:rsid w:val="00602A2C"/>
    <w:rsid w:val="00602D6B"/>
    <w:rsid w:val="00602EA3"/>
    <w:rsid w:val="006032E3"/>
    <w:rsid w:val="006034B1"/>
    <w:rsid w:val="00603695"/>
    <w:rsid w:val="006044C6"/>
    <w:rsid w:val="00604803"/>
    <w:rsid w:val="00604CAB"/>
    <w:rsid w:val="00604D3F"/>
    <w:rsid w:val="00604D90"/>
    <w:rsid w:val="00604E61"/>
    <w:rsid w:val="00604FD3"/>
    <w:rsid w:val="00605292"/>
    <w:rsid w:val="006053D8"/>
    <w:rsid w:val="0060551B"/>
    <w:rsid w:val="006057C4"/>
    <w:rsid w:val="006058B1"/>
    <w:rsid w:val="00605CF3"/>
    <w:rsid w:val="00605D04"/>
    <w:rsid w:val="00605D45"/>
    <w:rsid w:val="00605ECF"/>
    <w:rsid w:val="00605ED0"/>
    <w:rsid w:val="00606022"/>
    <w:rsid w:val="006060B7"/>
    <w:rsid w:val="00606220"/>
    <w:rsid w:val="00606448"/>
    <w:rsid w:val="00606498"/>
    <w:rsid w:val="00606529"/>
    <w:rsid w:val="00606C69"/>
    <w:rsid w:val="00606D40"/>
    <w:rsid w:val="00607479"/>
    <w:rsid w:val="00607B9F"/>
    <w:rsid w:val="00607BF5"/>
    <w:rsid w:val="00607E46"/>
    <w:rsid w:val="00610072"/>
    <w:rsid w:val="0061013F"/>
    <w:rsid w:val="006102DB"/>
    <w:rsid w:val="00610496"/>
    <w:rsid w:val="0061055D"/>
    <w:rsid w:val="006106BC"/>
    <w:rsid w:val="0061078F"/>
    <w:rsid w:val="0061080B"/>
    <w:rsid w:val="00610CBD"/>
    <w:rsid w:val="00611537"/>
    <w:rsid w:val="006116D9"/>
    <w:rsid w:val="00611949"/>
    <w:rsid w:val="00611B2D"/>
    <w:rsid w:val="00611B9F"/>
    <w:rsid w:val="00611D8E"/>
    <w:rsid w:val="00611E70"/>
    <w:rsid w:val="00611FC7"/>
    <w:rsid w:val="0061238F"/>
    <w:rsid w:val="00612500"/>
    <w:rsid w:val="0061263A"/>
    <w:rsid w:val="006127B9"/>
    <w:rsid w:val="00612866"/>
    <w:rsid w:val="00612C8F"/>
    <w:rsid w:val="0061306B"/>
    <w:rsid w:val="00613143"/>
    <w:rsid w:val="006131B8"/>
    <w:rsid w:val="006132F1"/>
    <w:rsid w:val="00613840"/>
    <w:rsid w:val="00613892"/>
    <w:rsid w:val="006139B2"/>
    <w:rsid w:val="00613A17"/>
    <w:rsid w:val="00614120"/>
    <w:rsid w:val="006141EB"/>
    <w:rsid w:val="006148CF"/>
    <w:rsid w:val="006148E2"/>
    <w:rsid w:val="00614B04"/>
    <w:rsid w:val="00614C0E"/>
    <w:rsid w:val="00614FB3"/>
    <w:rsid w:val="0061527B"/>
    <w:rsid w:val="006156B4"/>
    <w:rsid w:val="006159B4"/>
    <w:rsid w:val="00615CFA"/>
    <w:rsid w:val="00615D36"/>
    <w:rsid w:val="0061658E"/>
    <w:rsid w:val="006165A8"/>
    <w:rsid w:val="00616926"/>
    <w:rsid w:val="00616E91"/>
    <w:rsid w:val="00617197"/>
    <w:rsid w:val="006174AA"/>
    <w:rsid w:val="00617636"/>
    <w:rsid w:val="0061766E"/>
    <w:rsid w:val="0061799F"/>
    <w:rsid w:val="00617E74"/>
    <w:rsid w:val="00617E8D"/>
    <w:rsid w:val="00617EC0"/>
    <w:rsid w:val="00617F43"/>
    <w:rsid w:val="00620316"/>
    <w:rsid w:val="00620321"/>
    <w:rsid w:val="00620371"/>
    <w:rsid w:val="006204F9"/>
    <w:rsid w:val="00620615"/>
    <w:rsid w:val="00620AF9"/>
    <w:rsid w:val="00621267"/>
    <w:rsid w:val="00621650"/>
    <w:rsid w:val="0062168B"/>
    <w:rsid w:val="006216B6"/>
    <w:rsid w:val="00621A93"/>
    <w:rsid w:val="00622034"/>
    <w:rsid w:val="006225A0"/>
    <w:rsid w:val="006225FF"/>
    <w:rsid w:val="00622831"/>
    <w:rsid w:val="00622E8C"/>
    <w:rsid w:val="00623417"/>
    <w:rsid w:val="006234F1"/>
    <w:rsid w:val="00623677"/>
    <w:rsid w:val="006237AF"/>
    <w:rsid w:val="00623AF2"/>
    <w:rsid w:val="00623BB5"/>
    <w:rsid w:val="00623E0C"/>
    <w:rsid w:val="00623F41"/>
    <w:rsid w:val="006240B2"/>
    <w:rsid w:val="006241A0"/>
    <w:rsid w:val="0062423A"/>
    <w:rsid w:val="00624606"/>
    <w:rsid w:val="0062469A"/>
    <w:rsid w:val="006248FE"/>
    <w:rsid w:val="00624DFD"/>
    <w:rsid w:val="00625814"/>
    <w:rsid w:val="00625BD0"/>
    <w:rsid w:val="00625DFF"/>
    <w:rsid w:val="00625EAF"/>
    <w:rsid w:val="00625ED4"/>
    <w:rsid w:val="00626225"/>
    <w:rsid w:val="0062623D"/>
    <w:rsid w:val="006262F6"/>
    <w:rsid w:val="00626860"/>
    <w:rsid w:val="006268A8"/>
    <w:rsid w:val="00626B2A"/>
    <w:rsid w:val="00626D19"/>
    <w:rsid w:val="00626D31"/>
    <w:rsid w:val="006270DA"/>
    <w:rsid w:val="0062735B"/>
    <w:rsid w:val="00627475"/>
    <w:rsid w:val="006275ED"/>
    <w:rsid w:val="006276AF"/>
    <w:rsid w:val="00627836"/>
    <w:rsid w:val="00627FD7"/>
    <w:rsid w:val="00630045"/>
    <w:rsid w:val="00630280"/>
    <w:rsid w:val="00630743"/>
    <w:rsid w:val="00630B5A"/>
    <w:rsid w:val="00630B88"/>
    <w:rsid w:val="00630B9B"/>
    <w:rsid w:val="00631647"/>
    <w:rsid w:val="006317AF"/>
    <w:rsid w:val="006318BC"/>
    <w:rsid w:val="006318C9"/>
    <w:rsid w:val="00631F2A"/>
    <w:rsid w:val="00631F6A"/>
    <w:rsid w:val="006320DB"/>
    <w:rsid w:val="006321A8"/>
    <w:rsid w:val="0063235F"/>
    <w:rsid w:val="0063248B"/>
    <w:rsid w:val="0063253A"/>
    <w:rsid w:val="00632913"/>
    <w:rsid w:val="00632A3D"/>
    <w:rsid w:val="00632CB7"/>
    <w:rsid w:val="00632E2D"/>
    <w:rsid w:val="00632F51"/>
    <w:rsid w:val="006332E1"/>
    <w:rsid w:val="006334F3"/>
    <w:rsid w:val="00633AAD"/>
    <w:rsid w:val="00633ED4"/>
    <w:rsid w:val="0063408C"/>
    <w:rsid w:val="006344F5"/>
    <w:rsid w:val="006345A3"/>
    <w:rsid w:val="006345F3"/>
    <w:rsid w:val="00634CD5"/>
    <w:rsid w:val="0063536C"/>
    <w:rsid w:val="006353CB"/>
    <w:rsid w:val="006359FC"/>
    <w:rsid w:val="00635C2E"/>
    <w:rsid w:val="00635D00"/>
    <w:rsid w:val="00636DF0"/>
    <w:rsid w:val="00637051"/>
    <w:rsid w:val="0063706B"/>
    <w:rsid w:val="006372AD"/>
    <w:rsid w:val="006372E8"/>
    <w:rsid w:val="00637699"/>
    <w:rsid w:val="00637F72"/>
    <w:rsid w:val="00640206"/>
    <w:rsid w:val="00640608"/>
    <w:rsid w:val="006406DA"/>
    <w:rsid w:val="0064080C"/>
    <w:rsid w:val="00640D1C"/>
    <w:rsid w:val="00640E1C"/>
    <w:rsid w:val="00640FDD"/>
    <w:rsid w:val="00640FF0"/>
    <w:rsid w:val="006410E9"/>
    <w:rsid w:val="006412E8"/>
    <w:rsid w:val="00641400"/>
    <w:rsid w:val="006415CE"/>
    <w:rsid w:val="00641ACB"/>
    <w:rsid w:val="006424E1"/>
    <w:rsid w:val="00642540"/>
    <w:rsid w:val="00642B66"/>
    <w:rsid w:val="00642C4B"/>
    <w:rsid w:val="00643143"/>
    <w:rsid w:val="0064334B"/>
    <w:rsid w:val="0064341B"/>
    <w:rsid w:val="0064349E"/>
    <w:rsid w:val="006436AF"/>
    <w:rsid w:val="006437DD"/>
    <w:rsid w:val="006438E1"/>
    <w:rsid w:val="00643D7D"/>
    <w:rsid w:val="00643D7E"/>
    <w:rsid w:val="00643FCD"/>
    <w:rsid w:val="00644177"/>
    <w:rsid w:val="00644596"/>
    <w:rsid w:val="0064466F"/>
    <w:rsid w:val="0064481D"/>
    <w:rsid w:val="00644992"/>
    <w:rsid w:val="006449C5"/>
    <w:rsid w:val="00644A0B"/>
    <w:rsid w:val="00644ABA"/>
    <w:rsid w:val="00644C9B"/>
    <w:rsid w:val="006453F1"/>
    <w:rsid w:val="00645527"/>
    <w:rsid w:val="00645753"/>
    <w:rsid w:val="0064585B"/>
    <w:rsid w:val="00645960"/>
    <w:rsid w:val="006459BC"/>
    <w:rsid w:val="00645B6B"/>
    <w:rsid w:val="006460A1"/>
    <w:rsid w:val="00646178"/>
    <w:rsid w:val="00646270"/>
    <w:rsid w:val="00646295"/>
    <w:rsid w:val="006466F7"/>
    <w:rsid w:val="00646874"/>
    <w:rsid w:val="00646887"/>
    <w:rsid w:val="00646A5B"/>
    <w:rsid w:val="00646CC5"/>
    <w:rsid w:val="006472A2"/>
    <w:rsid w:val="0064733F"/>
    <w:rsid w:val="00647607"/>
    <w:rsid w:val="006476EC"/>
    <w:rsid w:val="006478C0"/>
    <w:rsid w:val="00647930"/>
    <w:rsid w:val="00647C7C"/>
    <w:rsid w:val="00647D08"/>
    <w:rsid w:val="00647D77"/>
    <w:rsid w:val="00647E51"/>
    <w:rsid w:val="00650382"/>
    <w:rsid w:val="00650609"/>
    <w:rsid w:val="00650A9A"/>
    <w:rsid w:val="00650B7C"/>
    <w:rsid w:val="00650D58"/>
    <w:rsid w:val="00650E53"/>
    <w:rsid w:val="00651007"/>
    <w:rsid w:val="0065110D"/>
    <w:rsid w:val="00651334"/>
    <w:rsid w:val="00651662"/>
    <w:rsid w:val="006519B1"/>
    <w:rsid w:val="006519B2"/>
    <w:rsid w:val="00651E7D"/>
    <w:rsid w:val="00651F9D"/>
    <w:rsid w:val="006521EB"/>
    <w:rsid w:val="00652412"/>
    <w:rsid w:val="006524B9"/>
    <w:rsid w:val="00652C23"/>
    <w:rsid w:val="00652DAF"/>
    <w:rsid w:val="00652ED3"/>
    <w:rsid w:val="00653041"/>
    <w:rsid w:val="0065318A"/>
    <w:rsid w:val="006531C4"/>
    <w:rsid w:val="00653673"/>
    <w:rsid w:val="006538C7"/>
    <w:rsid w:val="00653990"/>
    <w:rsid w:val="00653F05"/>
    <w:rsid w:val="00653FF2"/>
    <w:rsid w:val="0065408F"/>
    <w:rsid w:val="006540BD"/>
    <w:rsid w:val="00654173"/>
    <w:rsid w:val="00654330"/>
    <w:rsid w:val="0065447A"/>
    <w:rsid w:val="006544DD"/>
    <w:rsid w:val="0065461D"/>
    <w:rsid w:val="006546E5"/>
    <w:rsid w:val="0065473F"/>
    <w:rsid w:val="00654862"/>
    <w:rsid w:val="00654866"/>
    <w:rsid w:val="00654B71"/>
    <w:rsid w:val="00654E30"/>
    <w:rsid w:val="00654E57"/>
    <w:rsid w:val="00654F62"/>
    <w:rsid w:val="00654FE4"/>
    <w:rsid w:val="00655461"/>
    <w:rsid w:val="00655AAA"/>
    <w:rsid w:val="00655BB1"/>
    <w:rsid w:val="00655E71"/>
    <w:rsid w:val="00655FFF"/>
    <w:rsid w:val="0065647F"/>
    <w:rsid w:val="00656674"/>
    <w:rsid w:val="00656FD5"/>
    <w:rsid w:val="006570DF"/>
    <w:rsid w:val="0065718B"/>
    <w:rsid w:val="00657352"/>
    <w:rsid w:val="006573AB"/>
    <w:rsid w:val="00657680"/>
    <w:rsid w:val="00657760"/>
    <w:rsid w:val="00657933"/>
    <w:rsid w:val="00657FF4"/>
    <w:rsid w:val="006601D3"/>
    <w:rsid w:val="00660292"/>
    <w:rsid w:val="00660D1C"/>
    <w:rsid w:val="0066123D"/>
    <w:rsid w:val="00661310"/>
    <w:rsid w:val="006613AC"/>
    <w:rsid w:val="006614FF"/>
    <w:rsid w:val="006615EF"/>
    <w:rsid w:val="0066163D"/>
    <w:rsid w:val="00661842"/>
    <w:rsid w:val="00662127"/>
    <w:rsid w:val="0066214B"/>
    <w:rsid w:val="00662346"/>
    <w:rsid w:val="00662387"/>
    <w:rsid w:val="0066241C"/>
    <w:rsid w:val="006624D8"/>
    <w:rsid w:val="00662620"/>
    <w:rsid w:val="0066274B"/>
    <w:rsid w:val="00662D11"/>
    <w:rsid w:val="00662E75"/>
    <w:rsid w:val="006631B4"/>
    <w:rsid w:val="006632DF"/>
    <w:rsid w:val="00663AE8"/>
    <w:rsid w:val="00663B8D"/>
    <w:rsid w:val="00663F16"/>
    <w:rsid w:val="0066415A"/>
    <w:rsid w:val="00664667"/>
    <w:rsid w:val="0066515E"/>
    <w:rsid w:val="00665226"/>
    <w:rsid w:val="0066588A"/>
    <w:rsid w:val="00665EDE"/>
    <w:rsid w:val="0066604F"/>
    <w:rsid w:val="00666985"/>
    <w:rsid w:val="00666AB9"/>
    <w:rsid w:val="00666F36"/>
    <w:rsid w:val="0066724F"/>
    <w:rsid w:val="006675C0"/>
    <w:rsid w:val="0066775A"/>
    <w:rsid w:val="00667AF7"/>
    <w:rsid w:val="00667B8A"/>
    <w:rsid w:val="00667CC7"/>
    <w:rsid w:val="006702BB"/>
    <w:rsid w:val="00670847"/>
    <w:rsid w:val="00670AF9"/>
    <w:rsid w:val="0067109D"/>
    <w:rsid w:val="00671244"/>
    <w:rsid w:val="0067149B"/>
    <w:rsid w:val="00671CF0"/>
    <w:rsid w:val="00671DC9"/>
    <w:rsid w:val="006720B0"/>
    <w:rsid w:val="006720F9"/>
    <w:rsid w:val="0067252C"/>
    <w:rsid w:val="006725E8"/>
    <w:rsid w:val="00672780"/>
    <w:rsid w:val="0067296F"/>
    <w:rsid w:val="00672A58"/>
    <w:rsid w:val="00673502"/>
    <w:rsid w:val="006735F5"/>
    <w:rsid w:val="00673980"/>
    <w:rsid w:val="00673AE5"/>
    <w:rsid w:val="00673B0C"/>
    <w:rsid w:val="00673D94"/>
    <w:rsid w:val="006740E6"/>
    <w:rsid w:val="00674253"/>
    <w:rsid w:val="00674328"/>
    <w:rsid w:val="006749EC"/>
    <w:rsid w:val="00674CDC"/>
    <w:rsid w:val="0067519E"/>
    <w:rsid w:val="00675237"/>
    <w:rsid w:val="0067526E"/>
    <w:rsid w:val="006752EC"/>
    <w:rsid w:val="00675767"/>
    <w:rsid w:val="0067586B"/>
    <w:rsid w:val="00675D29"/>
    <w:rsid w:val="00675DF5"/>
    <w:rsid w:val="006760F8"/>
    <w:rsid w:val="0067648F"/>
    <w:rsid w:val="006766DB"/>
    <w:rsid w:val="0067693B"/>
    <w:rsid w:val="00677032"/>
    <w:rsid w:val="00677316"/>
    <w:rsid w:val="0067744A"/>
    <w:rsid w:val="006778D0"/>
    <w:rsid w:val="00677A6A"/>
    <w:rsid w:val="00677FD5"/>
    <w:rsid w:val="006804C1"/>
    <w:rsid w:val="00680846"/>
    <w:rsid w:val="00680D70"/>
    <w:rsid w:val="006814EB"/>
    <w:rsid w:val="00681826"/>
    <w:rsid w:val="006818C9"/>
    <w:rsid w:val="006819A5"/>
    <w:rsid w:val="00681AF8"/>
    <w:rsid w:val="00681C43"/>
    <w:rsid w:val="006820A0"/>
    <w:rsid w:val="006820B6"/>
    <w:rsid w:val="00682392"/>
    <w:rsid w:val="0068240F"/>
    <w:rsid w:val="00682565"/>
    <w:rsid w:val="00682588"/>
    <w:rsid w:val="006827C4"/>
    <w:rsid w:val="00682CE6"/>
    <w:rsid w:val="00682D31"/>
    <w:rsid w:val="00683192"/>
    <w:rsid w:val="0068333B"/>
    <w:rsid w:val="00683436"/>
    <w:rsid w:val="006838ED"/>
    <w:rsid w:val="00683AE7"/>
    <w:rsid w:val="00683BC5"/>
    <w:rsid w:val="006841D7"/>
    <w:rsid w:val="00685057"/>
    <w:rsid w:val="006852B4"/>
    <w:rsid w:val="006857B2"/>
    <w:rsid w:val="00685ADC"/>
    <w:rsid w:val="00686256"/>
    <w:rsid w:val="006864EA"/>
    <w:rsid w:val="006865CE"/>
    <w:rsid w:val="00686804"/>
    <w:rsid w:val="00686EE3"/>
    <w:rsid w:val="006874BC"/>
    <w:rsid w:val="00687754"/>
    <w:rsid w:val="00687C9B"/>
    <w:rsid w:val="00687D16"/>
    <w:rsid w:val="00687E4D"/>
    <w:rsid w:val="006900AF"/>
    <w:rsid w:val="00690986"/>
    <w:rsid w:val="00690BBF"/>
    <w:rsid w:val="00690DE1"/>
    <w:rsid w:val="00690E4B"/>
    <w:rsid w:val="00690ECE"/>
    <w:rsid w:val="00691212"/>
    <w:rsid w:val="00691318"/>
    <w:rsid w:val="006919B1"/>
    <w:rsid w:val="00691E7F"/>
    <w:rsid w:val="00692678"/>
    <w:rsid w:val="006927AC"/>
    <w:rsid w:val="00692A1D"/>
    <w:rsid w:val="00692D45"/>
    <w:rsid w:val="00692F9D"/>
    <w:rsid w:val="00692FD5"/>
    <w:rsid w:val="00693064"/>
    <w:rsid w:val="0069306E"/>
    <w:rsid w:val="00693098"/>
    <w:rsid w:val="00693B94"/>
    <w:rsid w:val="0069401F"/>
    <w:rsid w:val="006941DB"/>
    <w:rsid w:val="006942E3"/>
    <w:rsid w:val="00694D05"/>
    <w:rsid w:val="00694D8D"/>
    <w:rsid w:val="00694DB0"/>
    <w:rsid w:val="00694F38"/>
    <w:rsid w:val="00694FEF"/>
    <w:rsid w:val="00695044"/>
    <w:rsid w:val="006951F3"/>
    <w:rsid w:val="006956BC"/>
    <w:rsid w:val="0069600C"/>
    <w:rsid w:val="0069603A"/>
    <w:rsid w:val="006961CF"/>
    <w:rsid w:val="0069620D"/>
    <w:rsid w:val="00696824"/>
    <w:rsid w:val="006968F4"/>
    <w:rsid w:val="00696E29"/>
    <w:rsid w:val="00697060"/>
    <w:rsid w:val="00697116"/>
    <w:rsid w:val="0069715A"/>
    <w:rsid w:val="00697197"/>
    <w:rsid w:val="0069725B"/>
    <w:rsid w:val="006972C1"/>
    <w:rsid w:val="006974F3"/>
    <w:rsid w:val="006975FF"/>
    <w:rsid w:val="0069777C"/>
    <w:rsid w:val="00697874"/>
    <w:rsid w:val="006978C3"/>
    <w:rsid w:val="00697954"/>
    <w:rsid w:val="006979A1"/>
    <w:rsid w:val="00697D81"/>
    <w:rsid w:val="006A014A"/>
    <w:rsid w:val="006A0286"/>
    <w:rsid w:val="006A0397"/>
    <w:rsid w:val="006A03FA"/>
    <w:rsid w:val="006A0B6B"/>
    <w:rsid w:val="006A0B70"/>
    <w:rsid w:val="006A0C1C"/>
    <w:rsid w:val="006A0CFA"/>
    <w:rsid w:val="006A0FE7"/>
    <w:rsid w:val="006A132F"/>
    <w:rsid w:val="006A1729"/>
    <w:rsid w:val="006A197C"/>
    <w:rsid w:val="006A1ECA"/>
    <w:rsid w:val="006A2008"/>
    <w:rsid w:val="006A2250"/>
    <w:rsid w:val="006A230C"/>
    <w:rsid w:val="006A234C"/>
    <w:rsid w:val="006A24AE"/>
    <w:rsid w:val="006A281C"/>
    <w:rsid w:val="006A2962"/>
    <w:rsid w:val="006A2CF1"/>
    <w:rsid w:val="006A2F36"/>
    <w:rsid w:val="006A2F78"/>
    <w:rsid w:val="006A34E9"/>
    <w:rsid w:val="006A3677"/>
    <w:rsid w:val="006A37E5"/>
    <w:rsid w:val="006A398A"/>
    <w:rsid w:val="006A3A0F"/>
    <w:rsid w:val="006A3AEA"/>
    <w:rsid w:val="006A3C2F"/>
    <w:rsid w:val="006A4269"/>
    <w:rsid w:val="006A431D"/>
    <w:rsid w:val="006A44CC"/>
    <w:rsid w:val="006A4703"/>
    <w:rsid w:val="006A4967"/>
    <w:rsid w:val="006A498C"/>
    <w:rsid w:val="006A51F2"/>
    <w:rsid w:val="006A5694"/>
    <w:rsid w:val="006A596D"/>
    <w:rsid w:val="006A5989"/>
    <w:rsid w:val="006A5E37"/>
    <w:rsid w:val="006A6028"/>
    <w:rsid w:val="006A609A"/>
    <w:rsid w:val="006A60FA"/>
    <w:rsid w:val="006A654F"/>
    <w:rsid w:val="006A65B5"/>
    <w:rsid w:val="006A68BC"/>
    <w:rsid w:val="006A69C2"/>
    <w:rsid w:val="006A6F64"/>
    <w:rsid w:val="006A7759"/>
    <w:rsid w:val="006A799D"/>
    <w:rsid w:val="006A7C8C"/>
    <w:rsid w:val="006B00AD"/>
    <w:rsid w:val="006B0527"/>
    <w:rsid w:val="006B0705"/>
    <w:rsid w:val="006B08BB"/>
    <w:rsid w:val="006B0CBD"/>
    <w:rsid w:val="006B1164"/>
    <w:rsid w:val="006B18A1"/>
    <w:rsid w:val="006B1A55"/>
    <w:rsid w:val="006B1F84"/>
    <w:rsid w:val="006B2183"/>
    <w:rsid w:val="006B2585"/>
    <w:rsid w:val="006B25F0"/>
    <w:rsid w:val="006B2707"/>
    <w:rsid w:val="006B292E"/>
    <w:rsid w:val="006B2AC2"/>
    <w:rsid w:val="006B2B23"/>
    <w:rsid w:val="006B2E0C"/>
    <w:rsid w:val="006B3079"/>
    <w:rsid w:val="006B354A"/>
    <w:rsid w:val="006B3B53"/>
    <w:rsid w:val="006B4025"/>
    <w:rsid w:val="006B4973"/>
    <w:rsid w:val="006B4A05"/>
    <w:rsid w:val="006B4E0F"/>
    <w:rsid w:val="006B4EA4"/>
    <w:rsid w:val="006B4F96"/>
    <w:rsid w:val="006B55A8"/>
    <w:rsid w:val="006B5614"/>
    <w:rsid w:val="006B5AAE"/>
    <w:rsid w:val="006B5ABC"/>
    <w:rsid w:val="006B5E4C"/>
    <w:rsid w:val="006B5E89"/>
    <w:rsid w:val="006B60AE"/>
    <w:rsid w:val="006B6370"/>
    <w:rsid w:val="006B6794"/>
    <w:rsid w:val="006B6A99"/>
    <w:rsid w:val="006B6BC1"/>
    <w:rsid w:val="006B6C5A"/>
    <w:rsid w:val="006B6D15"/>
    <w:rsid w:val="006B727A"/>
    <w:rsid w:val="006B72ED"/>
    <w:rsid w:val="006B75D5"/>
    <w:rsid w:val="006B795D"/>
    <w:rsid w:val="006B7D49"/>
    <w:rsid w:val="006B7DDC"/>
    <w:rsid w:val="006B7ECB"/>
    <w:rsid w:val="006B7EE1"/>
    <w:rsid w:val="006B7F8F"/>
    <w:rsid w:val="006C043D"/>
    <w:rsid w:val="006C08F8"/>
    <w:rsid w:val="006C09B3"/>
    <w:rsid w:val="006C0A53"/>
    <w:rsid w:val="006C0B44"/>
    <w:rsid w:val="006C0CB7"/>
    <w:rsid w:val="006C0E2F"/>
    <w:rsid w:val="006C0E92"/>
    <w:rsid w:val="006C1137"/>
    <w:rsid w:val="006C1196"/>
    <w:rsid w:val="006C1753"/>
    <w:rsid w:val="006C1AAD"/>
    <w:rsid w:val="006C1ADB"/>
    <w:rsid w:val="006C1D66"/>
    <w:rsid w:val="006C1E9B"/>
    <w:rsid w:val="006C1EBF"/>
    <w:rsid w:val="006C2858"/>
    <w:rsid w:val="006C2B2C"/>
    <w:rsid w:val="006C2ED4"/>
    <w:rsid w:val="006C2F96"/>
    <w:rsid w:val="006C3739"/>
    <w:rsid w:val="006C37E1"/>
    <w:rsid w:val="006C3F5B"/>
    <w:rsid w:val="006C42BD"/>
    <w:rsid w:val="006C43F2"/>
    <w:rsid w:val="006C451F"/>
    <w:rsid w:val="006C4656"/>
    <w:rsid w:val="006C4712"/>
    <w:rsid w:val="006C4A31"/>
    <w:rsid w:val="006C4A5A"/>
    <w:rsid w:val="006C4E48"/>
    <w:rsid w:val="006C4F63"/>
    <w:rsid w:val="006C5511"/>
    <w:rsid w:val="006C5886"/>
    <w:rsid w:val="006C58E0"/>
    <w:rsid w:val="006C59C9"/>
    <w:rsid w:val="006C5CB9"/>
    <w:rsid w:val="006C602D"/>
    <w:rsid w:val="006C6394"/>
    <w:rsid w:val="006C6778"/>
    <w:rsid w:val="006C6F40"/>
    <w:rsid w:val="006C6F55"/>
    <w:rsid w:val="006C7182"/>
    <w:rsid w:val="006C723B"/>
    <w:rsid w:val="006C7406"/>
    <w:rsid w:val="006C7490"/>
    <w:rsid w:val="006C7785"/>
    <w:rsid w:val="006C791C"/>
    <w:rsid w:val="006C7922"/>
    <w:rsid w:val="006C7AD3"/>
    <w:rsid w:val="006D0150"/>
    <w:rsid w:val="006D06BC"/>
    <w:rsid w:val="006D0713"/>
    <w:rsid w:val="006D08C0"/>
    <w:rsid w:val="006D0BF3"/>
    <w:rsid w:val="006D0EDE"/>
    <w:rsid w:val="006D0F0D"/>
    <w:rsid w:val="006D1027"/>
    <w:rsid w:val="006D190C"/>
    <w:rsid w:val="006D191D"/>
    <w:rsid w:val="006D1B45"/>
    <w:rsid w:val="006D1B6E"/>
    <w:rsid w:val="006D1BB0"/>
    <w:rsid w:val="006D1E82"/>
    <w:rsid w:val="006D22AB"/>
    <w:rsid w:val="006D23E8"/>
    <w:rsid w:val="006D25F3"/>
    <w:rsid w:val="006D270A"/>
    <w:rsid w:val="006D28A3"/>
    <w:rsid w:val="006D2989"/>
    <w:rsid w:val="006D2A2E"/>
    <w:rsid w:val="006D2ADA"/>
    <w:rsid w:val="006D2B96"/>
    <w:rsid w:val="006D30F3"/>
    <w:rsid w:val="006D3991"/>
    <w:rsid w:val="006D3B34"/>
    <w:rsid w:val="006D3D10"/>
    <w:rsid w:val="006D3E16"/>
    <w:rsid w:val="006D428E"/>
    <w:rsid w:val="006D45EF"/>
    <w:rsid w:val="006D489B"/>
    <w:rsid w:val="006D4D98"/>
    <w:rsid w:val="006D50C0"/>
    <w:rsid w:val="006D5264"/>
    <w:rsid w:val="006D532E"/>
    <w:rsid w:val="006D54E3"/>
    <w:rsid w:val="006D54EB"/>
    <w:rsid w:val="006D55B1"/>
    <w:rsid w:val="006D5AF6"/>
    <w:rsid w:val="006D5BB6"/>
    <w:rsid w:val="006D5CDC"/>
    <w:rsid w:val="006D6072"/>
    <w:rsid w:val="006D6287"/>
    <w:rsid w:val="006D62AE"/>
    <w:rsid w:val="006D64D0"/>
    <w:rsid w:val="006D650D"/>
    <w:rsid w:val="006D654B"/>
    <w:rsid w:val="006D685D"/>
    <w:rsid w:val="006D693B"/>
    <w:rsid w:val="006D6C48"/>
    <w:rsid w:val="006D6D64"/>
    <w:rsid w:val="006D6D99"/>
    <w:rsid w:val="006D6E35"/>
    <w:rsid w:val="006D6E80"/>
    <w:rsid w:val="006D6F49"/>
    <w:rsid w:val="006D7516"/>
    <w:rsid w:val="006D78DD"/>
    <w:rsid w:val="006D7A01"/>
    <w:rsid w:val="006D7AC1"/>
    <w:rsid w:val="006D7D51"/>
    <w:rsid w:val="006D7D55"/>
    <w:rsid w:val="006E00F4"/>
    <w:rsid w:val="006E03EE"/>
    <w:rsid w:val="006E054B"/>
    <w:rsid w:val="006E054C"/>
    <w:rsid w:val="006E05C4"/>
    <w:rsid w:val="006E09B1"/>
    <w:rsid w:val="006E09C2"/>
    <w:rsid w:val="006E0B17"/>
    <w:rsid w:val="006E0F2A"/>
    <w:rsid w:val="006E1033"/>
    <w:rsid w:val="006E17C4"/>
    <w:rsid w:val="006E1D9D"/>
    <w:rsid w:val="006E1ED3"/>
    <w:rsid w:val="006E2E28"/>
    <w:rsid w:val="006E3541"/>
    <w:rsid w:val="006E3634"/>
    <w:rsid w:val="006E3902"/>
    <w:rsid w:val="006E3947"/>
    <w:rsid w:val="006E3EF9"/>
    <w:rsid w:val="006E420E"/>
    <w:rsid w:val="006E45E5"/>
    <w:rsid w:val="006E4A3F"/>
    <w:rsid w:val="006E4E4C"/>
    <w:rsid w:val="006E4E91"/>
    <w:rsid w:val="006E52B1"/>
    <w:rsid w:val="006E5402"/>
    <w:rsid w:val="006E55F4"/>
    <w:rsid w:val="006E569B"/>
    <w:rsid w:val="006E5BCE"/>
    <w:rsid w:val="006E5F7D"/>
    <w:rsid w:val="006E5FDA"/>
    <w:rsid w:val="006E60B8"/>
    <w:rsid w:val="006E60EF"/>
    <w:rsid w:val="006E6238"/>
    <w:rsid w:val="006E648F"/>
    <w:rsid w:val="006E698D"/>
    <w:rsid w:val="006E6ACF"/>
    <w:rsid w:val="006E6B6E"/>
    <w:rsid w:val="006E6E52"/>
    <w:rsid w:val="006E6EC7"/>
    <w:rsid w:val="006E6F94"/>
    <w:rsid w:val="006E70AF"/>
    <w:rsid w:val="006E71D4"/>
    <w:rsid w:val="006E77BE"/>
    <w:rsid w:val="006E7CD3"/>
    <w:rsid w:val="006E7F0E"/>
    <w:rsid w:val="006F0090"/>
    <w:rsid w:val="006F01F4"/>
    <w:rsid w:val="006F09C6"/>
    <w:rsid w:val="006F0F4C"/>
    <w:rsid w:val="006F10D5"/>
    <w:rsid w:val="006F1AA7"/>
    <w:rsid w:val="006F1AC0"/>
    <w:rsid w:val="006F2216"/>
    <w:rsid w:val="006F23D3"/>
    <w:rsid w:val="006F2495"/>
    <w:rsid w:val="006F2965"/>
    <w:rsid w:val="006F2C88"/>
    <w:rsid w:val="006F3222"/>
    <w:rsid w:val="006F37E3"/>
    <w:rsid w:val="006F3ABC"/>
    <w:rsid w:val="006F3CE9"/>
    <w:rsid w:val="006F3D55"/>
    <w:rsid w:val="006F44BC"/>
    <w:rsid w:val="006F4C6B"/>
    <w:rsid w:val="006F4C8D"/>
    <w:rsid w:val="006F4EF4"/>
    <w:rsid w:val="006F5384"/>
    <w:rsid w:val="006F5662"/>
    <w:rsid w:val="006F588D"/>
    <w:rsid w:val="006F5E0C"/>
    <w:rsid w:val="006F613E"/>
    <w:rsid w:val="006F6791"/>
    <w:rsid w:val="006F679F"/>
    <w:rsid w:val="006F68C8"/>
    <w:rsid w:val="006F6FE0"/>
    <w:rsid w:val="006F714F"/>
    <w:rsid w:val="006F7190"/>
    <w:rsid w:val="006F77B3"/>
    <w:rsid w:val="006F7966"/>
    <w:rsid w:val="006F7B24"/>
    <w:rsid w:val="006F7EC5"/>
    <w:rsid w:val="00700110"/>
    <w:rsid w:val="0070040F"/>
    <w:rsid w:val="00700525"/>
    <w:rsid w:val="00700A53"/>
    <w:rsid w:val="00700AF8"/>
    <w:rsid w:val="00700DB0"/>
    <w:rsid w:val="00700EFF"/>
    <w:rsid w:val="007011A1"/>
    <w:rsid w:val="00701344"/>
    <w:rsid w:val="00701652"/>
    <w:rsid w:val="00701FDC"/>
    <w:rsid w:val="0070267D"/>
    <w:rsid w:val="00702B1E"/>
    <w:rsid w:val="00703014"/>
    <w:rsid w:val="0070315A"/>
    <w:rsid w:val="007031D8"/>
    <w:rsid w:val="00703339"/>
    <w:rsid w:val="00703464"/>
    <w:rsid w:val="007036CC"/>
    <w:rsid w:val="00703A96"/>
    <w:rsid w:val="00703FCE"/>
    <w:rsid w:val="007041BD"/>
    <w:rsid w:val="00704AF9"/>
    <w:rsid w:val="00704B2C"/>
    <w:rsid w:val="00704BD8"/>
    <w:rsid w:val="007050C6"/>
    <w:rsid w:val="00705674"/>
    <w:rsid w:val="00705787"/>
    <w:rsid w:val="007057A8"/>
    <w:rsid w:val="007058BD"/>
    <w:rsid w:val="00705CD5"/>
    <w:rsid w:val="00705D67"/>
    <w:rsid w:val="007064F7"/>
    <w:rsid w:val="0070658C"/>
    <w:rsid w:val="007068BB"/>
    <w:rsid w:val="00706919"/>
    <w:rsid w:val="00706A9E"/>
    <w:rsid w:val="00706B38"/>
    <w:rsid w:val="00706FAB"/>
    <w:rsid w:val="0070701E"/>
    <w:rsid w:val="007073C0"/>
    <w:rsid w:val="00707850"/>
    <w:rsid w:val="0070792B"/>
    <w:rsid w:val="007079DC"/>
    <w:rsid w:val="007079E4"/>
    <w:rsid w:val="0071026C"/>
    <w:rsid w:val="00710341"/>
    <w:rsid w:val="007103D4"/>
    <w:rsid w:val="00710425"/>
    <w:rsid w:val="007104B3"/>
    <w:rsid w:val="0071053B"/>
    <w:rsid w:val="0071059B"/>
    <w:rsid w:val="00710AAB"/>
    <w:rsid w:val="00710C5B"/>
    <w:rsid w:val="00710C74"/>
    <w:rsid w:val="007118EF"/>
    <w:rsid w:val="00711936"/>
    <w:rsid w:val="00711B63"/>
    <w:rsid w:val="00711B68"/>
    <w:rsid w:val="00711B83"/>
    <w:rsid w:val="00711C8D"/>
    <w:rsid w:val="00712583"/>
    <w:rsid w:val="007130A6"/>
    <w:rsid w:val="00713311"/>
    <w:rsid w:val="007138FE"/>
    <w:rsid w:val="00713DBA"/>
    <w:rsid w:val="007141A5"/>
    <w:rsid w:val="00714243"/>
    <w:rsid w:val="007142F9"/>
    <w:rsid w:val="0071431E"/>
    <w:rsid w:val="00714487"/>
    <w:rsid w:val="0071486B"/>
    <w:rsid w:val="00714932"/>
    <w:rsid w:val="007150D9"/>
    <w:rsid w:val="007152AF"/>
    <w:rsid w:val="007155F2"/>
    <w:rsid w:val="0071659B"/>
    <w:rsid w:val="00716655"/>
    <w:rsid w:val="007166B9"/>
    <w:rsid w:val="007166ED"/>
    <w:rsid w:val="00716C2A"/>
    <w:rsid w:val="00716C6D"/>
    <w:rsid w:val="00716DE2"/>
    <w:rsid w:val="007175C3"/>
    <w:rsid w:val="00717AF6"/>
    <w:rsid w:val="00717CFA"/>
    <w:rsid w:val="00717E9C"/>
    <w:rsid w:val="00717EF9"/>
    <w:rsid w:val="00717F2B"/>
    <w:rsid w:val="00720472"/>
    <w:rsid w:val="007206E4"/>
    <w:rsid w:val="0072071B"/>
    <w:rsid w:val="00720B43"/>
    <w:rsid w:val="007211B4"/>
    <w:rsid w:val="007211DD"/>
    <w:rsid w:val="007211E5"/>
    <w:rsid w:val="0072142D"/>
    <w:rsid w:val="00721544"/>
    <w:rsid w:val="00721637"/>
    <w:rsid w:val="00721B68"/>
    <w:rsid w:val="00721E37"/>
    <w:rsid w:val="00721F97"/>
    <w:rsid w:val="0072229C"/>
    <w:rsid w:val="007222A7"/>
    <w:rsid w:val="007226B6"/>
    <w:rsid w:val="0072274C"/>
    <w:rsid w:val="00722CA4"/>
    <w:rsid w:val="00722DC6"/>
    <w:rsid w:val="00722FAD"/>
    <w:rsid w:val="00723409"/>
    <w:rsid w:val="00723468"/>
    <w:rsid w:val="00723865"/>
    <w:rsid w:val="00723888"/>
    <w:rsid w:val="00724040"/>
    <w:rsid w:val="00724591"/>
    <w:rsid w:val="00724E45"/>
    <w:rsid w:val="00724EFC"/>
    <w:rsid w:val="00725748"/>
    <w:rsid w:val="00725C7D"/>
    <w:rsid w:val="00725F1D"/>
    <w:rsid w:val="007260D2"/>
    <w:rsid w:val="007263B7"/>
    <w:rsid w:val="00726701"/>
    <w:rsid w:val="0072688B"/>
    <w:rsid w:val="00726D9C"/>
    <w:rsid w:val="00726EE3"/>
    <w:rsid w:val="007270E6"/>
    <w:rsid w:val="007271EF"/>
    <w:rsid w:val="007273D2"/>
    <w:rsid w:val="00727D87"/>
    <w:rsid w:val="00727DDB"/>
    <w:rsid w:val="007301FC"/>
    <w:rsid w:val="0073020B"/>
    <w:rsid w:val="007309C9"/>
    <w:rsid w:val="00730BE2"/>
    <w:rsid w:val="00730DF4"/>
    <w:rsid w:val="00730E6C"/>
    <w:rsid w:val="00730F68"/>
    <w:rsid w:val="00730FD8"/>
    <w:rsid w:val="00731062"/>
    <w:rsid w:val="007310AF"/>
    <w:rsid w:val="00731EDA"/>
    <w:rsid w:val="00731F05"/>
    <w:rsid w:val="00732468"/>
    <w:rsid w:val="007324F8"/>
    <w:rsid w:val="007326BB"/>
    <w:rsid w:val="007329CB"/>
    <w:rsid w:val="00732A2F"/>
    <w:rsid w:val="00732B27"/>
    <w:rsid w:val="00732D7F"/>
    <w:rsid w:val="00732F28"/>
    <w:rsid w:val="00732F95"/>
    <w:rsid w:val="00732FFA"/>
    <w:rsid w:val="00733161"/>
    <w:rsid w:val="007335FB"/>
    <w:rsid w:val="00733E35"/>
    <w:rsid w:val="00733E86"/>
    <w:rsid w:val="00734137"/>
    <w:rsid w:val="0073433C"/>
    <w:rsid w:val="0073456F"/>
    <w:rsid w:val="0073458A"/>
    <w:rsid w:val="007347E1"/>
    <w:rsid w:val="00734BEF"/>
    <w:rsid w:val="0073518D"/>
    <w:rsid w:val="0073595F"/>
    <w:rsid w:val="00735B06"/>
    <w:rsid w:val="00735F11"/>
    <w:rsid w:val="0073674C"/>
    <w:rsid w:val="00736897"/>
    <w:rsid w:val="00736D08"/>
    <w:rsid w:val="00736F48"/>
    <w:rsid w:val="00736FD7"/>
    <w:rsid w:val="00737390"/>
    <w:rsid w:val="00737785"/>
    <w:rsid w:val="00737837"/>
    <w:rsid w:val="00737A01"/>
    <w:rsid w:val="00737B87"/>
    <w:rsid w:val="00737CF6"/>
    <w:rsid w:val="00737E74"/>
    <w:rsid w:val="00737FD6"/>
    <w:rsid w:val="007401FE"/>
    <w:rsid w:val="007402F8"/>
    <w:rsid w:val="007403BE"/>
    <w:rsid w:val="0074051F"/>
    <w:rsid w:val="00740AA5"/>
    <w:rsid w:val="007412CA"/>
    <w:rsid w:val="00741432"/>
    <w:rsid w:val="007416A0"/>
    <w:rsid w:val="00741B5D"/>
    <w:rsid w:val="00741D3E"/>
    <w:rsid w:val="00741E50"/>
    <w:rsid w:val="00741F1E"/>
    <w:rsid w:val="00741F59"/>
    <w:rsid w:val="00742200"/>
    <w:rsid w:val="00742285"/>
    <w:rsid w:val="0074294E"/>
    <w:rsid w:val="00742975"/>
    <w:rsid w:val="00742E31"/>
    <w:rsid w:val="00743377"/>
    <w:rsid w:val="007435AB"/>
    <w:rsid w:val="00743814"/>
    <w:rsid w:val="00743A41"/>
    <w:rsid w:val="00743AAD"/>
    <w:rsid w:val="00743C11"/>
    <w:rsid w:val="00743CF9"/>
    <w:rsid w:val="00744539"/>
    <w:rsid w:val="00744596"/>
    <w:rsid w:val="0074466A"/>
    <w:rsid w:val="00744776"/>
    <w:rsid w:val="00744A00"/>
    <w:rsid w:val="00744EEB"/>
    <w:rsid w:val="00744F07"/>
    <w:rsid w:val="00745028"/>
    <w:rsid w:val="0074519B"/>
    <w:rsid w:val="00745747"/>
    <w:rsid w:val="00745D93"/>
    <w:rsid w:val="00745D96"/>
    <w:rsid w:val="007465B8"/>
    <w:rsid w:val="007466A0"/>
    <w:rsid w:val="00746728"/>
    <w:rsid w:val="00746870"/>
    <w:rsid w:val="00746CCD"/>
    <w:rsid w:val="00746E96"/>
    <w:rsid w:val="00747018"/>
    <w:rsid w:val="007473DE"/>
    <w:rsid w:val="00747682"/>
    <w:rsid w:val="00747790"/>
    <w:rsid w:val="00747D3D"/>
    <w:rsid w:val="00747D86"/>
    <w:rsid w:val="00750017"/>
    <w:rsid w:val="0075009B"/>
    <w:rsid w:val="007506AB"/>
    <w:rsid w:val="007507C2"/>
    <w:rsid w:val="00750EBD"/>
    <w:rsid w:val="0075136A"/>
    <w:rsid w:val="00751377"/>
    <w:rsid w:val="007514D1"/>
    <w:rsid w:val="007516B8"/>
    <w:rsid w:val="0075185E"/>
    <w:rsid w:val="00751F7A"/>
    <w:rsid w:val="007522B7"/>
    <w:rsid w:val="00752550"/>
    <w:rsid w:val="007525FC"/>
    <w:rsid w:val="00752695"/>
    <w:rsid w:val="00752A51"/>
    <w:rsid w:val="00752BF8"/>
    <w:rsid w:val="00752C89"/>
    <w:rsid w:val="00753159"/>
    <w:rsid w:val="00753255"/>
    <w:rsid w:val="00753AF1"/>
    <w:rsid w:val="00754510"/>
    <w:rsid w:val="007547BD"/>
    <w:rsid w:val="00754DA9"/>
    <w:rsid w:val="007550DA"/>
    <w:rsid w:val="00755311"/>
    <w:rsid w:val="00755355"/>
    <w:rsid w:val="00755623"/>
    <w:rsid w:val="007556C6"/>
    <w:rsid w:val="0075640E"/>
    <w:rsid w:val="00756A5A"/>
    <w:rsid w:val="00756ADE"/>
    <w:rsid w:val="00756B0F"/>
    <w:rsid w:val="00756F9B"/>
    <w:rsid w:val="00757202"/>
    <w:rsid w:val="00757356"/>
    <w:rsid w:val="0075737F"/>
    <w:rsid w:val="00757504"/>
    <w:rsid w:val="00757529"/>
    <w:rsid w:val="00757786"/>
    <w:rsid w:val="007578B1"/>
    <w:rsid w:val="007578EC"/>
    <w:rsid w:val="00757955"/>
    <w:rsid w:val="00757972"/>
    <w:rsid w:val="00757A9E"/>
    <w:rsid w:val="00757CEE"/>
    <w:rsid w:val="00757E63"/>
    <w:rsid w:val="00757FA7"/>
    <w:rsid w:val="00760079"/>
    <w:rsid w:val="0076024F"/>
    <w:rsid w:val="007602C9"/>
    <w:rsid w:val="00760912"/>
    <w:rsid w:val="00760A1D"/>
    <w:rsid w:val="00760A4B"/>
    <w:rsid w:val="00760B51"/>
    <w:rsid w:val="00760C79"/>
    <w:rsid w:val="00760E33"/>
    <w:rsid w:val="007617FE"/>
    <w:rsid w:val="00761D13"/>
    <w:rsid w:val="00761D62"/>
    <w:rsid w:val="00761E5F"/>
    <w:rsid w:val="007620ED"/>
    <w:rsid w:val="00762851"/>
    <w:rsid w:val="0076296A"/>
    <w:rsid w:val="007629F8"/>
    <w:rsid w:val="00762A29"/>
    <w:rsid w:val="00762B73"/>
    <w:rsid w:val="00763044"/>
    <w:rsid w:val="00763542"/>
    <w:rsid w:val="007636EB"/>
    <w:rsid w:val="007637BF"/>
    <w:rsid w:val="007637FE"/>
    <w:rsid w:val="00763A96"/>
    <w:rsid w:val="00763AFA"/>
    <w:rsid w:val="00763BA4"/>
    <w:rsid w:val="00763BBF"/>
    <w:rsid w:val="00764219"/>
    <w:rsid w:val="007645E6"/>
    <w:rsid w:val="00764791"/>
    <w:rsid w:val="00764CB8"/>
    <w:rsid w:val="00764E33"/>
    <w:rsid w:val="00764FF7"/>
    <w:rsid w:val="007650E2"/>
    <w:rsid w:val="00765133"/>
    <w:rsid w:val="00765578"/>
    <w:rsid w:val="0076564B"/>
    <w:rsid w:val="00765913"/>
    <w:rsid w:val="007660A1"/>
    <w:rsid w:val="007660EA"/>
    <w:rsid w:val="00766363"/>
    <w:rsid w:val="0076688C"/>
    <w:rsid w:val="00766909"/>
    <w:rsid w:val="00766959"/>
    <w:rsid w:val="007669FC"/>
    <w:rsid w:val="00766BA5"/>
    <w:rsid w:val="00766BE2"/>
    <w:rsid w:val="007671ED"/>
    <w:rsid w:val="00767464"/>
    <w:rsid w:val="00767885"/>
    <w:rsid w:val="00767954"/>
    <w:rsid w:val="00767B72"/>
    <w:rsid w:val="00767CE5"/>
    <w:rsid w:val="00767DBD"/>
    <w:rsid w:val="00770238"/>
    <w:rsid w:val="007706E3"/>
    <w:rsid w:val="007708DB"/>
    <w:rsid w:val="00770ED2"/>
    <w:rsid w:val="007711ED"/>
    <w:rsid w:val="007711EF"/>
    <w:rsid w:val="007712D5"/>
    <w:rsid w:val="0077138A"/>
    <w:rsid w:val="007715F7"/>
    <w:rsid w:val="0077169E"/>
    <w:rsid w:val="00771843"/>
    <w:rsid w:val="007719BC"/>
    <w:rsid w:val="00771C9F"/>
    <w:rsid w:val="0077215D"/>
    <w:rsid w:val="00772269"/>
    <w:rsid w:val="007722CF"/>
    <w:rsid w:val="0077294D"/>
    <w:rsid w:val="007729C2"/>
    <w:rsid w:val="00772A70"/>
    <w:rsid w:val="00772B1B"/>
    <w:rsid w:val="00772F94"/>
    <w:rsid w:val="00773037"/>
    <w:rsid w:val="00773229"/>
    <w:rsid w:val="00773420"/>
    <w:rsid w:val="007734EC"/>
    <w:rsid w:val="00773514"/>
    <w:rsid w:val="00773941"/>
    <w:rsid w:val="00773C7B"/>
    <w:rsid w:val="00773DF6"/>
    <w:rsid w:val="00773F01"/>
    <w:rsid w:val="00774843"/>
    <w:rsid w:val="0077486A"/>
    <w:rsid w:val="00774949"/>
    <w:rsid w:val="00774BD9"/>
    <w:rsid w:val="00774F18"/>
    <w:rsid w:val="00775176"/>
    <w:rsid w:val="0077544F"/>
    <w:rsid w:val="007756A6"/>
    <w:rsid w:val="00775F9F"/>
    <w:rsid w:val="00776513"/>
    <w:rsid w:val="00776855"/>
    <w:rsid w:val="0077689E"/>
    <w:rsid w:val="00776DC9"/>
    <w:rsid w:val="00777C16"/>
    <w:rsid w:val="00777C5D"/>
    <w:rsid w:val="00777CAC"/>
    <w:rsid w:val="00777F5E"/>
    <w:rsid w:val="00780037"/>
    <w:rsid w:val="00780259"/>
    <w:rsid w:val="00780486"/>
    <w:rsid w:val="00780855"/>
    <w:rsid w:val="00780CD5"/>
    <w:rsid w:val="00780DEB"/>
    <w:rsid w:val="00780FC5"/>
    <w:rsid w:val="00780FED"/>
    <w:rsid w:val="007810FF"/>
    <w:rsid w:val="00781613"/>
    <w:rsid w:val="00781789"/>
    <w:rsid w:val="007818EA"/>
    <w:rsid w:val="007819B9"/>
    <w:rsid w:val="00781D1A"/>
    <w:rsid w:val="007820C4"/>
    <w:rsid w:val="00782586"/>
    <w:rsid w:val="00782627"/>
    <w:rsid w:val="007826B4"/>
    <w:rsid w:val="0078335C"/>
    <w:rsid w:val="00783AFB"/>
    <w:rsid w:val="00783C1E"/>
    <w:rsid w:val="00783CE6"/>
    <w:rsid w:val="00783F01"/>
    <w:rsid w:val="007841EF"/>
    <w:rsid w:val="0078420B"/>
    <w:rsid w:val="007843EA"/>
    <w:rsid w:val="007848B7"/>
    <w:rsid w:val="00784E19"/>
    <w:rsid w:val="00784E3C"/>
    <w:rsid w:val="00784FAE"/>
    <w:rsid w:val="00785472"/>
    <w:rsid w:val="00785518"/>
    <w:rsid w:val="00785851"/>
    <w:rsid w:val="00785CCC"/>
    <w:rsid w:val="00785D25"/>
    <w:rsid w:val="00785D4C"/>
    <w:rsid w:val="0078621B"/>
    <w:rsid w:val="00786248"/>
    <w:rsid w:val="0078656C"/>
    <w:rsid w:val="00786DA8"/>
    <w:rsid w:val="00786E9F"/>
    <w:rsid w:val="00786FA0"/>
    <w:rsid w:val="007870F3"/>
    <w:rsid w:val="007879F9"/>
    <w:rsid w:val="00787AB2"/>
    <w:rsid w:val="00787AB3"/>
    <w:rsid w:val="00787B01"/>
    <w:rsid w:val="00790189"/>
    <w:rsid w:val="007901CA"/>
    <w:rsid w:val="00790395"/>
    <w:rsid w:val="0079053E"/>
    <w:rsid w:val="00790B89"/>
    <w:rsid w:val="00790BCF"/>
    <w:rsid w:val="00790C96"/>
    <w:rsid w:val="00790CF9"/>
    <w:rsid w:val="007910D8"/>
    <w:rsid w:val="007919F6"/>
    <w:rsid w:val="007921CD"/>
    <w:rsid w:val="0079233C"/>
    <w:rsid w:val="007924D9"/>
    <w:rsid w:val="007925E6"/>
    <w:rsid w:val="007925ED"/>
    <w:rsid w:val="007926CC"/>
    <w:rsid w:val="00792C32"/>
    <w:rsid w:val="007931AC"/>
    <w:rsid w:val="007935AC"/>
    <w:rsid w:val="00793680"/>
    <w:rsid w:val="00794104"/>
    <w:rsid w:val="007942D8"/>
    <w:rsid w:val="0079462C"/>
    <w:rsid w:val="007947BF"/>
    <w:rsid w:val="007947EB"/>
    <w:rsid w:val="00794854"/>
    <w:rsid w:val="00794F9C"/>
    <w:rsid w:val="007951B2"/>
    <w:rsid w:val="007955E7"/>
    <w:rsid w:val="00795B55"/>
    <w:rsid w:val="00795B73"/>
    <w:rsid w:val="00795CC8"/>
    <w:rsid w:val="00795F1F"/>
    <w:rsid w:val="00795F6B"/>
    <w:rsid w:val="00796236"/>
    <w:rsid w:val="0079650E"/>
    <w:rsid w:val="007969BB"/>
    <w:rsid w:val="00796B89"/>
    <w:rsid w:val="00796DCD"/>
    <w:rsid w:val="00796F92"/>
    <w:rsid w:val="007977F1"/>
    <w:rsid w:val="0079794E"/>
    <w:rsid w:val="00797BDE"/>
    <w:rsid w:val="00797D1B"/>
    <w:rsid w:val="007A088E"/>
    <w:rsid w:val="007A0E84"/>
    <w:rsid w:val="007A0EC0"/>
    <w:rsid w:val="007A114B"/>
    <w:rsid w:val="007A1939"/>
    <w:rsid w:val="007A1B9E"/>
    <w:rsid w:val="007A1BE0"/>
    <w:rsid w:val="007A252C"/>
    <w:rsid w:val="007A27B8"/>
    <w:rsid w:val="007A2AA8"/>
    <w:rsid w:val="007A2AF3"/>
    <w:rsid w:val="007A3058"/>
    <w:rsid w:val="007A3129"/>
    <w:rsid w:val="007A39AD"/>
    <w:rsid w:val="007A39BF"/>
    <w:rsid w:val="007A39C0"/>
    <w:rsid w:val="007A3A26"/>
    <w:rsid w:val="007A3BBE"/>
    <w:rsid w:val="007A3C81"/>
    <w:rsid w:val="007A3D35"/>
    <w:rsid w:val="007A3F5E"/>
    <w:rsid w:val="007A409B"/>
    <w:rsid w:val="007A40AF"/>
    <w:rsid w:val="007A40C7"/>
    <w:rsid w:val="007A4667"/>
    <w:rsid w:val="007A4A60"/>
    <w:rsid w:val="007A4E23"/>
    <w:rsid w:val="007A4E43"/>
    <w:rsid w:val="007A5729"/>
    <w:rsid w:val="007A58D0"/>
    <w:rsid w:val="007A5DD8"/>
    <w:rsid w:val="007A5DF3"/>
    <w:rsid w:val="007A5E51"/>
    <w:rsid w:val="007A6021"/>
    <w:rsid w:val="007A6126"/>
    <w:rsid w:val="007A62CB"/>
    <w:rsid w:val="007A6B9C"/>
    <w:rsid w:val="007A6D1D"/>
    <w:rsid w:val="007A6E7E"/>
    <w:rsid w:val="007A732B"/>
    <w:rsid w:val="007A73AF"/>
    <w:rsid w:val="007A7A0E"/>
    <w:rsid w:val="007A7C75"/>
    <w:rsid w:val="007A7C93"/>
    <w:rsid w:val="007A7D45"/>
    <w:rsid w:val="007A7E34"/>
    <w:rsid w:val="007A7FC9"/>
    <w:rsid w:val="007B00EE"/>
    <w:rsid w:val="007B04FA"/>
    <w:rsid w:val="007B05E7"/>
    <w:rsid w:val="007B0C94"/>
    <w:rsid w:val="007B0D1C"/>
    <w:rsid w:val="007B128E"/>
    <w:rsid w:val="007B1326"/>
    <w:rsid w:val="007B15E3"/>
    <w:rsid w:val="007B170A"/>
    <w:rsid w:val="007B1D3D"/>
    <w:rsid w:val="007B1DB5"/>
    <w:rsid w:val="007B20ED"/>
    <w:rsid w:val="007B21EA"/>
    <w:rsid w:val="007B2558"/>
    <w:rsid w:val="007B2647"/>
    <w:rsid w:val="007B2B05"/>
    <w:rsid w:val="007B2D86"/>
    <w:rsid w:val="007B3221"/>
    <w:rsid w:val="007B3415"/>
    <w:rsid w:val="007B38D2"/>
    <w:rsid w:val="007B39F7"/>
    <w:rsid w:val="007B3A2D"/>
    <w:rsid w:val="007B3D09"/>
    <w:rsid w:val="007B40A1"/>
    <w:rsid w:val="007B4247"/>
    <w:rsid w:val="007B4314"/>
    <w:rsid w:val="007B433C"/>
    <w:rsid w:val="007B4504"/>
    <w:rsid w:val="007B4587"/>
    <w:rsid w:val="007B4891"/>
    <w:rsid w:val="007B4A8E"/>
    <w:rsid w:val="007B4AC3"/>
    <w:rsid w:val="007B4BBD"/>
    <w:rsid w:val="007B506D"/>
    <w:rsid w:val="007B5298"/>
    <w:rsid w:val="007B5C5B"/>
    <w:rsid w:val="007B61F1"/>
    <w:rsid w:val="007B6213"/>
    <w:rsid w:val="007B6656"/>
    <w:rsid w:val="007B6981"/>
    <w:rsid w:val="007B6BC8"/>
    <w:rsid w:val="007B6C0F"/>
    <w:rsid w:val="007B6DA9"/>
    <w:rsid w:val="007B7065"/>
    <w:rsid w:val="007B752B"/>
    <w:rsid w:val="007B7739"/>
    <w:rsid w:val="007B7A53"/>
    <w:rsid w:val="007B7B76"/>
    <w:rsid w:val="007C01B6"/>
    <w:rsid w:val="007C02E6"/>
    <w:rsid w:val="007C0366"/>
    <w:rsid w:val="007C0BBC"/>
    <w:rsid w:val="007C0D6D"/>
    <w:rsid w:val="007C0DB4"/>
    <w:rsid w:val="007C0E7C"/>
    <w:rsid w:val="007C104D"/>
    <w:rsid w:val="007C1228"/>
    <w:rsid w:val="007C171D"/>
    <w:rsid w:val="007C186F"/>
    <w:rsid w:val="007C1EDC"/>
    <w:rsid w:val="007C1F33"/>
    <w:rsid w:val="007C206D"/>
    <w:rsid w:val="007C229E"/>
    <w:rsid w:val="007C22A7"/>
    <w:rsid w:val="007C24D5"/>
    <w:rsid w:val="007C252D"/>
    <w:rsid w:val="007C2656"/>
    <w:rsid w:val="007C2A67"/>
    <w:rsid w:val="007C30BB"/>
    <w:rsid w:val="007C34D7"/>
    <w:rsid w:val="007C36B8"/>
    <w:rsid w:val="007C36CF"/>
    <w:rsid w:val="007C3FFB"/>
    <w:rsid w:val="007C420D"/>
    <w:rsid w:val="007C43BA"/>
    <w:rsid w:val="007C440B"/>
    <w:rsid w:val="007C48E5"/>
    <w:rsid w:val="007C4A8D"/>
    <w:rsid w:val="007C4CE6"/>
    <w:rsid w:val="007C506D"/>
    <w:rsid w:val="007C5223"/>
    <w:rsid w:val="007C585C"/>
    <w:rsid w:val="007C5AA7"/>
    <w:rsid w:val="007C5BAB"/>
    <w:rsid w:val="007C5C3D"/>
    <w:rsid w:val="007C5D3C"/>
    <w:rsid w:val="007C5E65"/>
    <w:rsid w:val="007C620A"/>
    <w:rsid w:val="007C623F"/>
    <w:rsid w:val="007C65F0"/>
    <w:rsid w:val="007C6989"/>
    <w:rsid w:val="007C7415"/>
    <w:rsid w:val="007C7462"/>
    <w:rsid w:val="007C7789"/>
    <w:rsid w:val="007C7A60"/>
    <w:rsid w:val="007C7DF8"/>
    <w:rsid w:val="007C7E01"/>
    <w:rsid w:val="007C7F49"/>
    <w:rsid w:val="007D03F0"/>
    <w:rsid w:val="007D0F7D"/>
    <w:rsid w:val="007D1079"/>
    <w:rsid w:val="007D1290"/>
    <w:rsid w:val="007D146E"/>
    <w:rsid w:val="007D1500"/>
    <w:rsid w:val="007D18E7"/>
    <w:rsid w:val="007D1A80"/>
    <w:rsid w:val="007D1B15"/>
    <w:rsid w:val="007D1DF2"/>
    <w:rsid w:val="007D1E84"/>
    <w:rsid w:val="007D1FB8"/>
    <w:rsid w:val="007D2040"/>
    <w:rsid w:val="007D2371"/>
    <w:rsid w:val="007D275C"/>
    <w:rsid w:val="007D27C4"/>
    <w:rsid w:val="007D27E1"/>
    <w:rsid w:val="007D2B7B"/>
    <w:rsid w:val="007D3170"/>
    <w:rsid w:val="007D340E"/>
    <w:rsid w:val="007D36D5"/>
    <w:rsid w:val="007D39B1"/>
    <w:rsid w:val="007D39EC"/>
    <w:rsid w:val="007D3C48"/>
    <w:rsid w:val="007D45E8"/>
    <w:rsid w:val="007D464A"/>
    <w:rsid w:val="007D46AD"/>
    <w:rsid w:val="007D487B"/>
    <w:rsid w:val="007D4924"/>
    <w:rsid w:val="007D4A4F"/>
    <w:rsid w:val="007D4CA3"/>
    <w:rsid w:val="007D4FC9"/>
    <w:rsid w:val="007D57EF"/>
    <w:rsid w:val="007D5946"/>
    <w:rsid w:val="007D5AB4"/>
    <w:rsid w:val="007D6361"/>
    <w:rsid w:val="007D6717"/>
    <w:rsid w:val="007D677C"/>
    <w:rsid w:val="007D6809"/>
    <w:rsid w:val="007D6824"/>
    <w:rsid w:val="007D6857"/>
    <w:rsid w:val="007D6A19"/>
    <w:rsid w:val="007D6A72"/>
    <w:rsid w:val="007D6CC5"/>
    <w:rsid w:val="007D6E34"/>
    <w:rsid w:val="007D738E"/>
    <w:rsid w:val="007D76C0"/>
    <w:rsid w:val="007D781D"/>
    <w:rsid w:val="007D7920"/>
    <w:rsid w:val="007D7ACF"/>
    <w:rsid w:val="007D7D2E"/>
    <w:rsid w:val="007D7DE9"/>
    <w:rsid w:val="007E00DD"/>
    <w:rsid w:val="007E01C7"/>
    <w:rsid w:val="007E0274"/>
    <w:rsid w:val="007E0D58"/>
    <w:rsid w:val="007E12A4"/>
    <w:rsid w:val="007E14B6"/>
    <w:rsid w:val="007E151E"/>
    <w:rsid w:val="007E17A3"/>
    <w:rsid w:val="007E19AD"/>
    <w:rsid w:val="007E1C24"/>
    <w:rsid w:val="007E1D86"/>
    <w:rsid w:val="007E21C4"/>
    <w:rsid w:val="007E2A1B"/>
    <w:rsid w:val="007E2A80"/>
    <w:rsid w:val="007E2D38"/>
    <w:rsid w:val="007E2D62"/>
    <w:rsid w:val="007E30E2"/>
    <w:rsid w:val="007E31BA"/>
    <w:rsid w:val="007E31C3"/>
    <w:rsid w:val="007E3349"/>
    <w:rsid w:val="007E34CA"/>
    <w:rsid w:val="007E3B4E"/>
    <w:rsid w:val="007E3C03"/>
    <w:rsid w:val="007E3EAD"/>
    <w:rsid w:val="007E471F"/>
    <w:rsid w:val="007E4849"/>
    <w:rsid w:val="007E495B"/>
    <w:rsid w:val="007E4A31"/>
    <w:rsid w:val="007E4D86"/>
    <w:rsid w:val="007E4DA4"/>
    <w:rsid w:val="007E4F35"/>
    <w:rsid w:val="007E57E5"/>
    <w:rsid w:val="007E5B1C"/>
    <w:rsid w:val="007E5B53"/>
    <w:rsid w:val="007E6219"/>
    <w:rsid w:val="007E641A"/>
    <w:rsid w:val="007E6877"/>
    <w:rsid w:val="007E690E"/>
    <w:rsid w:val="007E69F2"/>
    <w:rsid w:val="007E6B90"/>
    <w:rsid w:val="007E6C15"/>
    <w:rsid w:val="007E6D3F"/>
    <w:rsid w:val="007E6DE8"/>
    <w:rsid w:val="007E7112"/>
    <w:rsid w:val="007E765C"/>
    <w:rsid w:val="007E7B04"/>
    <w:rsid w:val="007E7C67"/>
    <w:rsid w:val="007E7C72"/>
    <w:rsid w:val="007E7EDD"/>
    <w:rsid w:val="007F0083"/>
    <w:rsid w:val="007F0537"/>
    <w:rsid w:val="007F05E3"/>
    <w:rsid w:val="007F092E"/>
    <w:rsid w:val="007F099A"/>
    <w:rsid w:val="007F1092"/>
    <w:rsid w:val="007F13CC"/>
    <w:rsid w:val="007F1470"/>
    <w:rsid w:val="007F1D7A"/>
    <w:rsid w:val="007F1EA9"/>
    <w:rsid w:val="007F27B8"/>
    <w:rsid w:val="007F28F0"/>
    <w:rsid w:val="007F2BAE"/>
    <w:rsid w:val="007F2E4D"/>
    <w:rsid w:val="007F3392"/>
    <w:rsid w:val="007F3465"/>
    <w:rsid w:val="007F354A"/>
    <w:rsid w:val="007F3688"/>
    <w:rsid w:val="007F3E43"/>
    <w:rsid w:val="007F3F53"/>
    <w:rsid w:val="007F401B"/>
    <w:rsid w:val="007F419B"/>
    <w:rsid w:val="007F4304"/>
    <w:rsid w:val="007F495E"/>
    <w:rsid w:val="007F4AA9"/>
    <w:rsid w:val="007F4BE1"/>
    <w:rsid w:val="007F4C54"/>
    <w:rsid w:val="007F4C55"/>
    <w:rsid w:val="007F4FC1"/>
    <w:rsid w:val="007F505D"/>
    <w:rsid w:val="007F5116"/>
    <w:rsid w:val="007F536E"/>
    <w:rsid w:val="007F548F"/>
    <w:rsid w:val="007F5627"/>
    <w:rsid w:val="007F5630"/>
    <w:rsid w:val="007F5B30"/>
    <w:rsid w:val="007F5D14"/>
    <w:rsid w:val="007F5D97"/>
    <w:rsid w:val="007F624A"/>
    <w:rsid w:val="007F677B"/>
    <w:rsid w:val="007F6DF5"/>
    <w:rsid w:val="007F6F47"/>
    <w:rsid w:val="007F6F8D"/>
    <w:rsid w:val="007F7010"/>
    <w:rsid w:val="007F72FB"/>
    <w:rsid w:val="007F7362"/>
    <w:rsid w:val="007F7881"/>
    <w:rsid w:val="007F7C4E"/>
    <w:rsid w:val="007F7CAE"/>
    <w:rsid w:val="00800007"/>
    <w:rsid w:val="00800287"/>
    <w:rsid w:val="00800418"/>
    <w:rsid w:val="00800521"/>
    <w:rsid w:val="0080066D"/>
    <w:rsid w:val="0080078E"/>
    <w:rsid w:val="00800DAD"/>
    <w:rsid w:val="00800DB6"/>
    <w:rsid w:val="00800F5F"/>
    <w:rsid w:val="008011FE"/>
    <w:rsid w:val="00801628"/>
    <w:rsid w:val="0080163D"/>
    <w:rsid w:val="00801865"/>
    <w:rsid w:val="0080206A"/>
    <w:rsid w:val="0080217F"/>
    <w:rsid w:val="00802367"/>
    <w:rsid w:val="0080246D"/>
    <w:rsid w:val="0080253E"/>
    <w:rsid w:val="0080256C"/>
    <w:rsid w:val="00802771"/>
    <w:rsid w:val="00802803"/>
    <w:rsid w:val="00802D24"/>
    <w:rsid w:val="0080308E"/>
    <w:rsid w:val="00803126"/>
    <w:rsid w:val="008031A0"/>
    <w:rsid w:val="0080337C"/>
    <w:rsid w:val="0080372A"/>
    <w:rsid w:val="00803741"/>
    <w:rsid w:val="0080382E"/>
    <w:rsid w:val="00803CCC"/>
    <w:rsid w:val="00803FAE"/>
    <w:rsid w:val="008040CB"/>
    <w:rsid w:val="00804285"/>
    <w:rsid w:val="008043C8"/>
    <w:rsid w:val="00804895"/>
    <w:rsid w:val="00804CFF"/>
    <w:rsid w:val="00804D3E"/>
    <w:rsid w:val="00804D9F"/>
    <w:rsid w:val="00804E17"/>
    <w:rsid w:val="00804F84"/>
    <w:rsid w:val="00805545"/>
    <w:rsid w:val="00805567"/>
    <w:rsid w:val="0080580C"/>
    <w:rsid w:val="00805BA1"/>
    <w:rsid w:val="00805D7F"/>
    <w:rsid w:val="00805DF9"/>
    <w:rsid w:val="00805E74"/>
    <w:rsid w:val="00806447"/>
    <w:rsid w:val="0080656F"/>
    <w:rsid w:val="00806704"/>
    <w:rsid w:val="00806B61"/>
    <w:rsid w:val="00806C20"/>
    <w:rsid w:val="00806DDC"/>
    <w:rsid w:val="008072D2"/>
    <w:rsid w:val="00807416"/>
    <w:rsid w:val="00807D30"/>
    <w:rsid w:val="008102CD"/>
    <w:rsid w:val="0081054E"/>
    <w:rsid w:val="008106FD"/>
    <w:rsid w:val="0081098A"/>
    <w:rsid w:val="00810ACC"/>
    <w:rsid w:val="00810DD1"/>
    <w:rsid w:val="00811122"/>
    <w:rsid w:val="00811260"/>
    <w:rsid w:val="008112EC"/>
    <w:rsid w:val="0081140B"/>
    <w:rsid w:val="00811646"/>
    <w:rsid w:val="008118EF"/>
    <w:rsid w:val="00811917"/>
    <w:rsid w:val="00811E72"/>
    <w:rsid w:val="00812A3E"/>
    <w:rsid w:val="00812D20"/>
    <w:rsid w:val="00812ED4"/>
    <w:rsid w:val="008130C6"/>
    <w:rsid w:val="0081387F"/>
    <w:rsid w:val="0081403F"/>
    <w:rsid w:val="00814154"/>
    <w:rsid w:val="00814170"/>
    <w:rsid w:val="008142AD"/>
    <w:rsid w:val="008142B7"/>
    <w:rsid w:val="00814404"/>
    <w:rsid w:val="0081451E"/>
    <w:rsid w:val="00814ABC"/>
    <w:rsid w:val="00814D3B"/>
    <w:rsid w:val="00814F0C"/>
    <w:rsid w:val="00815219"/>
    <w:rsid w:val="008153FD"/>
    <w:rsid w:val="008154E2"/>
    <w:rsid w:val="008157D0"/>
    <w:rsid w:val="00815846"/>
    <w:rsid w:val="00815ACC"/>
    <w:rsid w:val="00815BE8"/>
    <w:rsid w:val="00815DEA"/>
    <w:rsid w:val="00815E4D"/>
    <w:rsid w:val="0081602C"/>
    <w:rsid w:val="00816E6E"/>
    <w:rsid w:val="008171E4"/>
    <w:rsid w:val="008172A3"/>
    <w:rsid w:val="008173A5"/>
    <w:rsid w:val="0081751C"/>
    <w:rsid w:val="00817888"/>
    <w:rsid w:val="008178EB"/>
    <w:rsid w:val="00817910"/>
    <w:rsid w:val="00817C75"/>
    <w:rsid w:val="00817DAB"/>
    <w:rsid w:val="00820192"/>
    <w:rsid w:val="008201FA"/>
    <w:rsid w:val="008206AE"/>
    <w:rsid w:val="00820749"/>
    <w:rsid w:val="008209E3"/>
    <w:rsid w:val="00820ACA"/>
    <w:rsid w:val="00820BB6"/>
    <w:rsid w:val="00820D80"/>
    <w:rsid w:val="00820DA7"/>
    <w:rsid w:val="00821085"/>
    <w:rsid w:val="008210F7"/>
    <w:rsid w:val="008211E4"/>
    <w:rsid w:val="00821994"/>
    <w:rsid w:val="00821B77"/>
    <w:rsid w:val="00821BEC"/>
    <w:rsid w:val="00821C79"/>
    <w:rsid w:val="00822336"/>
    <w:rsid w:val="0082241F"/>
    <w:rsid w:val="008224C8"/>
    <w:rsid w:val="008225B8"/>
    <w:rsid w:val="00822631"/>
    <w:rsid w:val="00822BA4"/>
    <w:rsid w:val="00822D78"/>
    <w:rsid w:val="0082338B"/>
    <w:rsid w:val="00823627"/>
    <w:rsid w:val="00823805"/>
    <w:rsid w:val="00823B40"/>
    <w:rsid w:val="00823F3E"/>
    <w:rsid w:val="00823FD7"/>
    <w:rsid w:val="0082408E"/>
    <w:rsid w:val="0082424A"/>
    <w:rsid w:val="008243DD"/>
    <w:rsid w:val="00824FAE"/>
    <w:rsid w:val="0082522D"/>
    <w:rsid w:val="0082544D"/>
    <w:rsid w:val="008259BB"/>
    <w:rsid w:val="00825FC0"/>
    <w:rsid w:val="00826075"/>
    <w:rsid w:val="00826902"/>
    <w:rsid w:val="008269D1"/>
    <w:rsid w:val="008271B7"/>
    <w:rsid w:val="00827289"/>
    <w:rsid w:val="008273BE"/>
    <w:rsid w:val="00827A00"/>
    <w:rsid w:val="00827C81"/>
    <w:rsid w:val="0083006E"/>
    <w:rsid w:val="00830105"/>
    <w:rsid w:val="008302A2"/>
    <w:rsid w:val="008308C9"/>
    <w:rsid w:val="00830A47"/>
    <w:rsid w:val="00830A84"/>
    <w:rsid w:val="00830AB1"/>
    <w:rsid w:val="008315B1"/>
    <w:rsid w:val="008316CB"/>
    <w:rsid w:val="00831926"/>
    <w:rsid w:val="00831EFA"/>
    <w:rsid w:val="00831FD9"/>
    <w:rsid w:val="008323B0"/>
    <w:rsid w:val="008324F1"/>
    <w:rsid w:val="0083255E"/>
    <w:rsid w:val="00832BB6"/>
    <w:rsid w:val="00832C12"/>
    <w:rsid w:val="00832FED"/>
    <w:rsid w:val="00833516"/>
    <w:rsid w:val="00833735"/>
    <w:rsid w:val="00833A55"/>
    <w:rsid w:val="00833CC8"/>
    <w:rsid w:val="00833FA8"/>
    <w:rsid w:val="008347D2"/>
    <w:rsid w:val="00834C54"/>
    <w:rsid w:val="00834C57"/>
    <w:rsid w:val="00834E16"/>
    <w:rsid w:val="00834FDA"/>
    <w:rsid w:val="0083509F"/>
    <w:rsid w:val="008357C7"/>
    <w:rsid w:val="00835B22"/>
    <w:rsid w:val="00835C6C"/>
    <w:rsid w:val="00836058"/>
    <w:rsid w:val="008363E8"/>
    <w:rsid w:val="00836483"/>
    <w:rsid w:val="00836771"/>
    <w:rsid w:val="00836842"/>
    <w:rsid w:val="00836934"/>
    <w:rsid w:val="0083701C"/>
    <w:rsid w:val="0083719B"/>
    <w:rsid w:val="0083780F"/>
    <w:rsid w:val="008378D7"/>
    <w:rsid w:val="00840041"/>
    <w:rsid w:val="0084035B"/>
    <w:rsid w:val="008404DB"/>
    <w:rsid w:val="00840650"/>
    <w:rsid w:val="00840730"/>
    <w:rsid w:val="00840D07"/>
    <w:rsid w:val="00841357"/>
    <w:rsid w:val="00841526"/>
    <w:rsid w:val="008417FD"/>
    <w:rsid w:val="00841C6C"/>
    <w:rsid w:val="00842549"/>
    <w:rsid w:val="00842A17"/>
    <w:rsid w:val="00842A35"/>
    <w:rsid w:val="00842BDC"/>
    <w:rsid w:val="008432EE"/>
    <w:rsid w:val="008436A7"/>
    <w:rsid w:val="00843801"/>
    <w:rsid w:val="008438C9"/>
    <w:rsid w:val="00843B1D"/>
    <w:rsid w:val="008443C7"/>
    <w:rsid w:val="00844587"/>
    <w:rsid w:val="00844990"/>
    <w:rsid w:val="00844994"/>
    <w:rsid w:val="008449C1"/>
    <w:rsid w:val="00844B90"/>
    <w:rsid w:val="00844CD1"/>
    <w:rsid w:val="00844E03"/>
    <w:rsid w:val="00845829"/>
    <w:rsid w:val="00845D47"/>
    <w:rsid w:val="00845DC8"/>
    <w:rsid w:val="00846122"/>
    <w:rsid w:val="008463AD"/>
    <w:rsid w:val="00846947"/>
    <w:rsid w:val="00846A7B"/>
    <w:rsid w:val="00846CB0"/>
    <w:rsid w:val="008472D8"/>
    <w:rsid w:val="008472E1"/>
    <w:rsid w:val="008475EB"/>
    <w:rsid w:val="00847774"/>
    <w:rsid w:val="008479A8"/>
    <w:rsid w:val="00847B33"/>
    <w:rsid w:val="00847B51"/>
    <w:rsid w:val="00847D95"/>
    <w:rsid w:val="00850471"/>
    <w:rsid w:val="00850516"/>
    <w:rsid w:val="008509C7"/>
    <w:rsid w:val="00850D62"/>
    <w:rsid w:val="00850ECD"/>
    <w:rsid w:val="00850ED0"/>
    <w:rsid w:val="0085125C"/>
    <w:rsid w:val="00851539"/>
    <w:rsid w:val="00851659"/>
    <w:rsid w:val="00851694"/>
    <w:rsid w:val="00851892"/>
    <w:rsid w:val="008518D1"/>
    <w:rsid w:val="00851936"/>
    <w:rsid w:val="008519E8"/>
    <w:rsid w:val="00851E4D"/>
    <w:rsid w:val="00851F3F"/>
    <w:rsid w:val="00851F7E"/>
    <w:rsid w:val="00852084"/>
    <w:rsid w:val="008523E2"/>
    <w:rsid w:val="008523FB"/>
    <w:rsid w:val="0085241B"/>
    <w:rsid w:val="008525DD"/>
    <w:rsid w:val="00852638"/>
    <w:rsid w:val="00852661"/>
    <w:rsid w:val="00852960"/>
    <w:rsid w:val="00852ACC"/>
    <w:rsid w:val="00852D75"/>
    <w:rsid w:val="008537EE"/>
    <w:rsid w:val="0085387D"/>
    <w:rsid w:val="00853AA0"/>
    <w:rsid w:val="00853E01"/>
    <w:rsid w:val="008542A8"/>
    <w:rsid w:val="00854315"/>
    <w:rsid w:val="0085441D"/>
    <w:rsid w:val="0085455E"/>
    <w:rsid w:val="0085458B"/>
    <w:rsid w:val="00854A2E"/>
    <w:rsid w:val="00854EBE"/>
    <w:rsid w:val="00855028"/>
    <w:rsid w:val="00855100"/>
    <w:rsid w:val="0085522D"/>
    <w:rsid w:val="008556A6"/>
    <w:rsid w:val="00855B40"/>
    <w:rsid w:val="0085659F"/>
    <w:rsid w:val="008567F8"/>
    <w:rsid w:val="00856A6C"/>
    <w:rsid w:val="00857385"/>
    <w:rsid w:val="0085762E"/>
    <w:rsid w:val="008579D5"/>
    <w:rsid w:val="00857C83"/>
    <w:rsid w:val="00857CA1"/>
    <w:rsid w:val="00857DAA"/>
    <w:rsid w:val="0086008B"/>
    <w:rsid w:val="00860092"/>
    <w:rsid w:val="008600CF"/>
    <w:rsid w:val="0086068E"/>
    <w:rsid w:val="008608F1"/>
    <w:rsid w:val="00860B7C"/>
    <w:rsid w:val="00860F28"/>
    <w:rsid w:val="00861082"/>
    <w:rsid w:val="00861115"/>
    <w:rsid w:val="0086112F"/>
    <w:rsid w:val="00861425"/>
    <w:rsid w:val="00861600"/>
    <w:rsid w:val="0086167E"/>
    <w:rsid w:val="0086176D"/>
    <w:rsid w:val="008618EC"/>
    <w:rsid w:val="00861BEA"/>
    <w:rsid w:val="00861F32"/>
    <w:rsid w:val="00862344"/>
    <w:rsid w:val="00862424"/>
    <w:rsid w:val="008626F0"/>
    <w:rsid w:val="00862BB5"/>
    <w:rsid w:val="00862BFB"/>
    <w:rsid w:val="00862C06"/>
    <w:rsid w:val="00862E50"/>
    <w:rsid w:val="0086300A"/>
    <w:rsid w:val="00863080"/>
    <w:rsid w:val="0086316C"/>
    <w:rsid w:val="008632FE"/>
    <w:rsid w:val="00863464"/>
    <w:rsid w:val="0086350D"/>
    <w:rsid w:val="0086391B"/>
    <w:rsid w:val="0086393B"/>
    <w:rsid w:val="00864773"/>
    <w:rsid w:val="008648E2"/>
    <w:rsid w:val="00864C00"/>
    <w:rsid w:val="00864C76"/>
    <w:rsid w:val="00864CA3"/>
    <w:rsid w:val="0086505B"/>
    <w:rsid w:val="008650E1"/>
    <w:rsid w:val="0086549F"/>
    <w:rsid w:val="00865F32"/>
    <w:rsid w:val="00866015"/>
    <w:rsid w:val="0086602C"/>
    <w:rsid w:val="0086604A"/>
    <w:rsid w:val="00866216"/>
    <w:rsid w:val="008663FA"/>
    <w:rsid w:val="0086659B"/>
    <w:rsid w:val="008666BD"/>
    <w:rsid w:val="008668E9"/>
    <w:rsid w:val="008668FE"/>
    <w:rsid w:val="0086732D"/>
    <w:rsid w:val="00867488"/>
    <w:rsid w:val="00867562"/>
    <w:rsid w:val="008677E9"/>
    <w:rsid w:val="008702BD"/>
    <w:rsid w:val="00870685"/>
    <w:rsid w:val="00870723"/>
    <w:rsid w:val="00870B77"/>
    <w:rsid w:val="00870BB3"/>
    <w:rsid w:val="00871A36"/>
    <w:rsid w:val="00871A92"/>
    <w:rsid w:val="00871B0C"/>
    <w:rsid w:val="00871D49"/>
    <w:rsid w:val="0087228F"/>
    <w:rsid w:val="008722CA"/>
    <w:rsid w:val="00872532"/>
    <w:rsid w:val="00872863"/>
    <w:rsid w:val="00872B39"/>
    <w:rsid w:val="00872BB4"/>
    <w:rsid w:val="00872CEA"/>
    <w:rsid w:val="00872F2B"/>
    <w:rsid w:val="00873125"/>
    <w:rsid w:val="00873394"/>
    <w:rsid w:val="00873B17"/>
    <w:rsid w:val="00873B1D"/>
    <w:rsid w:val="008744B1"/>
    <w:rsid w:val="00874548"/>
    <w:rsid w:val="008746BC"/>
    <w:rsid w:val="008749EB"/>
    <w:rsid w:val="00874B99"/>
    <w:rsid w:val="00874FCF"/>
    <w:rsid w:val="00874FF2"/>
    <w:rsid w:val="008750BD"/>
    <w:rsid w:val="00875167"/>
    <w:rsid w:val="0087548F"/>
    <w:rsid w:val="00875534"/>
    <w:rsid w:val="0087553C"/>
    <w:rsid w:val="00875622"/>
    <w:rsid w:val="00875D93"/>
    <w:rsid w:val="00875ECD"/>
    <w:rsid w:val="00876034"/>
    <w:rsid w:val="008768EA"/>
    <w:rsid w:val="00876B42"/>
    <w:rsid w:val="00876BA7"/>
    <w:rsid w:val="00876BEB"/>
    <w:rsid w:val="00876E5F"/>
    <w:rsid w:val="008770FC"/>
    <w:rsid w:val="008772F5"/>
    <w:rsid w:val="008775D7"/>
    <w:rsid w:val="00880781"/>
    <w:rsid w:val="00880DAE"/>
    <w:rsid w:val="008815EA"/>
    <w:rsid w:val="0088172E"/>
    <w:rsid w:val="00881E8B"/>
    <w:rsid w:val="00882304"/>
    <w:rsid w:val="00882421"/>
    <w:rsid w:val="008824E7"/>
    <w:rsid w:val="008825A3"/>
    <w:rsid w:val="008827CB"/>
    <w:rsid w:val="00883108"/>
    <w:rsid w:val="00883120"/>
    <w:rsid w:val="00883440"/>
    <w:rsid w:val="0088349F"/>
    <w:rsid w:val="00883872"/>
    <w:rsid w:val="00883972"/>
    <w:rsid w:val="008839C3"/>
    <w:rsid w:val="00883ADC"/>
    <w:rsid w:val="00883BB5"/>
    <w:rsid w:val="00883D7A"/>
    <w:rsid w:val="00884007"/>
    <w:rsid w:val="00884341"/>
    <w:rsid w:val="00884AF9"/>
    <w:rsid w:val="00885498"/>
    <w:rsid w:val="008858E2"/>
    <w:rsid w:val="00885996"/>
    <w:rsid w:val="00885B35"/>
    <w:rsid w:val="00886009"/>
    <w:rsid w:val="008861E6"/>
    <w:rsid w:val="00886266"/>
    <w:rsid w:val="00886586"/>
    <w:rsid w:val="008869F4"/>
    <w:rsid w:val="008872F6"/>
    <w:rsid w:val="00887411"/>
    <w:rsid w:val="00887597"/>
    <w:rsid w:val="00887636"/>
    <w:rsid w:val="00887862"/>
    <w:rsid w:val="00887A2B"/>
    <w:rsid w:val="00887A7F"/>
    <w:rsid w:val="00887B28"/>
    <w:rsid w:val="008901A9"/>
    <w:rsid w:val="00890293"/>
    <w:rsid w:val="008909C3"/>
    <w:rsid w:val="00890CD6"/>
    <w:rsid w:val="00890E94"/>
    <w:rsid w:val="008911D8"/>
    <w:rsid w:val="00891345"/>
    <w:rsid w:val="00891871"/>
    <w:rsid w:val="00891A7B"/>
    <w:rsid w:val="00891CB0"/>
    <w:rsid w:val="0089231B"/>
    <w:rsid w:val="00892332"/>
    <w:rsid w:val="00892495"/>
    <w:rsid w:val="008929B8"/>
    <w:rsid w:val="00892BA9"/>
    <w:rsid w:val="008934F0"/>
    <w:rsid w:val="00893BE4"/>
    <w:rsid w:val="008947CF"/>
    <w:rsid w:val="008948F9"/>
    <w:rsid w:val="0089499C"/>
    <w:rsid w:val="00894E8E"/>
    <w:rsid w:val="0089546A"/>
    <w:rsid w:val="008958F6"/>
    <w:rsid w:val="00895A6D"/>
    <w:rsid w:val="00895E01"/>
    <w:rsid w:val="00895EB8"/>
    <w:rsid w:val="00895EFC"/>
    <w:rsid w:val="008960E2"/>
    <w:rsid w:val="008963D4"/>
    <w:rsid w:val="00896411"/>
    <w:rsid w:val="0089641A"/>
    <w:rsid w:val="008966EB"/>
    <w:rsid w:val="00896B70"/>
    <w:rsid w:val="00896E91"/>
    <w:rsid w:val="00896F29"/>
    <w:rsid w:val="00896F84"/>
    <w:rsid w:val="0089741A"/>
    <w:rsid w:val="0089772F"/>
    <w:rsid w:val="00897C82"/>
    <w:rsid w:val="00897D74"/>
    <w:rsid w:val="00897FDE"/>
    <w:rsid w:val="008A0B26"/>
    <w:rsid w:val="008A160E"/>
    <w:rsid w:val="008A16AF"/>
    <w:rsid w:val="008A16D3"/>
    <w:rsid w:val="008A18B8"/>
    <w:rsid w:val="008A2458"/>
    <w:rsid w:val="008A2579"/>
    <w:rsid w:val="008A25D9"/>
    <w:rsid w:val="008A2622"/>
    <w:rsid w:val="008A2693"/>
    <w:rsid w:val="008A2720"/>
    <w:rsid w:val="008A29B6"/>
    <w:rsid w:val="008A2E46"/>
    <w:rsid w:val="008A33BD"/>
    <w:rsid w:val="008A350B"/>
    <w:rsid w:val="008A36DB"/>
    <w:rsid w:val="008A3822"/>
    <w:rsid w:val="008A38D9"/>
    <w:rsid w:val="008A39EA"/>
    <w:rsid w:val="008A3A48"/>
    <w:rsid w:val="008A3AF8"/>
    <w:rsid w:val="008A3C70"/>
    <w:rsid w:val="008A3D72"/>
    <w:rsid w:val="008A3E75"/>
    <w:rsid w:val="008A3F75"/>
    <w:rsid w:val="008A413B"/>
    <w:rsid w:val="008A42FA"/>
    <w:rsid w:val="008A4840"/>
    <w:rsid w:val="008A4B6E"/>
    <w:rsid w:val="008A4E9B"/>
    <w:rsid w:val="008A5587"/>
    <w:rsid w:val="008A56DD"/>
    <w:rsid w:val="008A5A04"/>
    <w:rsid w:val="008A5AE5"/>
    <w:rsid w:val="008A5B25"/>
    <w:rsid w:val="008A5DA0"/>
    <w:rsid w:val="008A5E2E"/>
    <w:rsid w:val="008A609E"/>
    <w:rsid w:val="008A6340"/>
    <w:rsid w:val="008A637D"/>
    <w:rsid w:val="008A694A"/>
    <w:rsid w:val="008A6A3D"/>
    <w:rsid w:val="008A708D"/>
    <w:rsid w:val="008A73DE"/>
    <w:rsid w:val="008A748D"/>
    <w:rsid w:val="008A7768"/>
    <w:rsid w:val="008A795E"/>
    <w:rsid w:val="008A7B11"/>
    <w:rsid w:val="008A7C50"/>
    <w:rsid w:val="008A7C95"/>
    <w:rsid w:val="008A7D65"/>
    <w:rsid w:val="008A7DEB"/>
    <w:rsid w:val="008A7F3A"/>
    <w:rsid w:val="008A7F40"/>
    <w:rsid w:val="008A7F6E"/>
    <w:rsid w:val="008B018C"/>
    <w:rsid w:val="008B01AB"/>
    <w:rsid w:val="008B07E7"/>
    <w:rsid w:val="008B09A7"/>
    <w:rsid w:val="008B0B46"/>
    <w:rsid w:val="008B0B4D"/>
    <w:rsid w:val="008B17B4"/>
    <w:rsid w:val="008B1AC9"/>
    <w:rsid w:val="008B1B58"/>
    <w:rsid w:val="008B1C6C"/>
    <w:rsid w:val="008B1DAB"/>
    <w:rsid w:val="008B1DD6"/>
    <w:rsid w:val="008B1E8B"/>
    <w:rsid w:val="008B1FCF"/>
    <w:rsid w:val="008B22DA"/>
    <w:rsid w:val="008B292C"/>
    <w:rsid w:val="008B2B98"/>
    <w:rsid w:val="008B2C78"/>
    <w:rsid w:val="008B321A"/>
    <w:rsid w:val="008B3364"/>
    <w:rsid w:val="008B34BD"/>
    <w:rsid w:val="008B3566"/>
    <w:rsid w:val="008B360D"/>
    <w:rsid w:val="008B367D"/>
    <w:rsid w:val="008B3989"/>
    <w:rsid w:val="008B3ABD"/>
    <w:rsid w:val="008B3AE2"/>
    <w:rsid w:val="008B430B"/>
    <w:rsid w:val="008B477A"/>
    <w:rsid w:val="008B483D"/>
    <w:rsid w:val="008B4C9A"/>
    <w:rsid w:val="008B4E67"/>
    <w:rsid w:val="008B50D3"/>
    <w:rsid w:val="008B5228"/>
    <w:rsid w:val="008B5266"/>
    <w:rsid w:val="008B5CBB"/>
    <w:rsid w:val="008B608B"/>
    <w:rsid w:val="008B6511"/>
    <w:rsid w:val="008B67E3"/>
    <w:rsid w:val="008B6C01"/>
    <w:rsid w:val="008B6C0F"/>
    <w:rsid w:val="008B71A0"/>
    <w:rsid w:val="008B723E"/>
    <w:rsid w:val="008B738C"/>
    <w:rsid w:val="008B7735"/>
    <w:rsid w:val="008B77E4"/>
    <w:rsid w:val="008B77EC"/>
    <w:rsid w:val="008B78A8"/>
    <w:rsid w:val="008C015B"/>
    <w:rsid w:val="008C047A"/>
    <w:rsid w:val="008C06AE"/>
    <w:rsid w:val="008C0BE4"/>
    <w:rsid w:val="008C0FC7"/>
    <w:rsid w:val="008C10AB"/>
    <w:rsid w:val="008C119D"/>
    <w:rsid w:val="008C1DC6"/>
    <w:rsid w:val="008C1E52"/>
    <w:rsid w:val="008C1F98"/>
    <w:rsid w:val="008C20CB"/>
    <w:rsid w:val="008C2351"/>
    <w:rsid w:val="008C2A1B"/>
    <w:rsid w:val="008C2ABC"/>
    <w:rsid w:val="008C2D37"/>
    <w:rsid w:val="008C2D47"/>
    <w:rsid w:val="008C2E25"/>
    <w:rsid w:val="008C2F31"/>
    <w:rsid w:val="008C30F5"/>
    <w:rsid w:val="008C3186"/>
    <w:rsid w:val="008C32CF"/>
    <w:rsid w:val="008C368D"/>
    <w:rsid w:val="008C3834"/>
    <w:rsid w:val="008C38B9"/>
    <w:rsid w:val="008C39C9"/>
    <w:rsid w:val="008C3AA0"/>
    <w:rsid w:val="008C3B8F"/>
    <w:rsid w:val="008C3CAF"/>
    <w:rsid w:val="008C425F"/>
    <w:rsid w:val="008C426C"/>
    <w:rsid w:val="008C4575"/>
    <w:rsid w:val="008C4655"/>
    <w:rsid w:val="008C4A54"/>
    <w:rsid w:val="008C4A64"/>
    <w:rsid w:val="008C4D0B"/>
    <w:rsid w:val="008C4DD7"/>
    <w:rsid w:val="008C4F80"/>
    <w:rsid w:val="008C530D"/>
    <w:rsid w:val="008C5A52"/>
    <w:rsid w:val="008C5E9A"/>
    <w:rsid w:val="008C63FC"/>
    <w:rsid w:val="008C6506"/>
    <w:rsid w:val="008C6828"/>
    <w:rsid w:val="008C682A"/>
    <w:rsid w:val="008C6B97"/>
    <w:rsid w:val="008C72D4"/>
    <w:rsid w:val="008C7455"/>
    <w:rsid w:val="008C75E2"/>
    <w:rsid w:val="008C7AD1"/>
    <w:rsid w:val="008C7C61"/>
    <w:rsid w:val="008C7CA9"/>
    <w:rsid w:val="008C7DEC"/>
    <w:rsid w:val="008D0176"/>
    <w:rsid w:val="008D0220"/>
    <w:rsid w:val="008D0310"/>
    <w:rsid w:val="008D095A"/>
    <w:rsid w:val="008D0AAF"/>
    <w:rsid w:val="008D0AE5"/>
    <w:rsid w:val="008D0C84"/>
    <w:rsid w:val="008D1108"/>
    <w:rsid w:val="008D119D"/>
    <w:rsid w:val="008D121F"/>
    <w:rsid w:val="008D186B"/>
    <w:rsid w:val="008D19A9"/>
    <w:rsid w:val="008D19B3"/>
    <w:rsid w:val="008D1B91"/>
    <w:rsid w:val="008D1C68"/>
    <w:rsid w:val="008D248C"/>
    <w:rsid w:val="008D2881"/>
    <w:rsid w:val="008D291B"/>
    <w:rsid w:val="008D2A17"/>
    <w:rsid w:val="008D2C33"/>
    <w:rsid w:val="008D2E17"/>
    <w:rsid w:val="008D2FCC"/>
    <w:rsid w:val="008D3258"/>
    <w:rsid w:val="008D34D8"/>
    <w:rsid w:val="008D3717"/>
    <w:rsid w:val="008D3955"/>
    <w:rsid w:val="008D3EE6"/>
    <w:rsid w:val="008D3F9B"/>
    <w:rsid w:val="008D3FA5"/>
    <w:rsid w:val="008D413B"/>
    <w:rsid w:val="008D4190"/>
    <w:rsid w:val="008D43A0"/>
    <w:rsid w:val="008D44D2"/>
    <w:rsid w:val="008D4640"/>
    <w:rsid w:val="008D4833"/>
    <w:rsid w:val="008D4861"/>
    <w:rsid w:val="008D48A0"/>
    <w:rsid w:val="008D4956"/>
    <w:rsid w:val="008D4A17"/>
    <w:rsid w:val="008D4CA3"/>
    <w:rsid w:val="008D4D3C"/>
    <w:rsid w:val="008D58A8"/>
    <w:rsid w:val="008D58E6"/>
    <w:rsid w:val="008D594A"/>
    <w:rsid w:val="008D5F9E"/>
    <w:rsid w:val="008D6401"/>
    <w:rsid w:val="008D6468"/>
    <w:rsid w:val="008D6883"/>
    <w:rsid w:val="008D6B22"/>
    <w:rsid w:val="008D6D66"/>
    <w:rsid w:val="008D6EE0"/>
    <w:rsid w:val="008D7022"/>
    <w:rsid w:val="008D72ED"/>
    <w:rsid w:val="008D7377"/>
    <w:rsid w:val="008D75D0"/>
    <w:rsid w:val="008E03C3"/>
    <w:rsid w:val="008E0559"/>
    <w:rsid w:val="008E058D"/>
    <w:rsid w:val="008E05BC"/>
    <w:rsid w:val="008E05FC"/>
    <w:rsid w:val="008E0F9F"/>
    <w:rsid w:val="008E107C"/>
    <w:rsid w:val="008E1265"/>
    <w:rsid w:val="008E1490"/>
    <w:rsid w:val="008E19D9"/>
    <w:rsid w:val="008E1CF0"/>
    <w:rsid w:val="008E1F10"/>
    <w:rsid w:val="008E2280"/>
    <w:rsid w:val="008E262E"/>
    <w:rsid w:val="008E27A3"/>
    <w:rsid w:val="008E312B"/>
    <w:rsid w:val="008E322B"/>
    <w:rsid w:val="008E3251"/>
    <w:rsid w:val="008E33CB"/>
    <w:rsid w:val="008E36DB"/>
    <w:rsid w:val="008E3A8D"/>
    <w:rsid w:val="008E4282"/>
    <w:rsid w:val="008E45CD"/>
    <w:rsid w:val="008E4704"/>
    <w:rsid w:val="008E4850"/>
    <w:rsid w:val="008E4E0F"/>
    <w:rsid w:val="008E4FCF"/>
    <w:rsid w:val="008E5130"/>
    <w:rsid w:val="008E5337"/>
    <w:rsid w:val="008E535B"/>
    <w:rsid w:val="008E59C8"/>
    <w:rsid w:val="008E5C9B"/>
    <w:rsid w:val="008E5DB7"/>
    <w:rsid w:val="008E5F6C"/>
    <w:rsid w:val="008E6015"/>
    <w:rsid w:val="008E65E2"/>
    <w:rsid w:val="008E691D"/>
    <w:rsid w:val="008E6FA7"/>
    <w:rsid w:val="008E7206"/>
    <w:rsid w:val="008E7293"/>
    <w:rsid w:val="008E72D7"/>
    <w:rsid w:val="008E741A"/>
    <w:rsid w:val="008E74CD"/>
    <w:rsid w:val="008E7619"/>
    <w:rsid w:val="008E7698"/>
    <w:rsid w:val="008E7917"/>
    <w:rsid w:val="008E795D"/>
    <w:rsid w:val="008E7EB2"/>
    <w:rsid w:val="008F03DD"/>
    <w:rsid w:val="008F087F"/>
    <w:rsid w:val="008F088E"/>
    <w:rsid w:val="008F1375"/>
    <w:rsid w:val="008F1BD0"/>
    <w:rsid w:val="008F1C12"/>
    <w:rsid w:val="008F1D06"/>
    <w:rsid w:val="008F1FA0"/>
    <w:rsid w:val="008F20B6"/>
    <w:rsid w:val="008F2176"/>
    <w:rsid w:val="008F2194"/>
    <w:rsid w:val="008F2241"/>
    <w:rsid w:val="008F234C"/>
    <w:rsid w:val="008F2C6D"/>
    <w:rsid w:val="008F3877"/>
    <w:rsid w:val="008F3C3A"/>
    <w:rsid w:val="008F3DEE"/>
    <w:rsid w:val="008F3E03"/>
    <w:rsid w:val="008F421F"/>
    <w:rsid w:val="008F42B6"/>
    <w:rsid w:val="008F4BAB"/>
    <w:rsid w:val="008F4C37"/>
    <w:rsid w:val="008F4C88"/>
    <w:rsid w:val="008F4FBC"/>
    <w:rsid w:val="008F5318"/>
    <w:rsid w:val="008F54B5"/>
    <w:rsid w:val="008F5571"/>
    <w:rsid w:val="008F557A"/>
    <w:rsid w:val="008F5E4B"/>
    <w:rsid w:val="008F62E6"/>
    <w:rsid w:val="008F6557"/>
    <w:rsid w:val="008F6658"/>
    <w:rsid w:val="008F708F"/>
    <w:rsid w:val="008F73B2"/>
    <w:rsid w:val="008F7495"/>
    <w:rsid w:val="008F74A0"/>
    <w:rsid w:val="008F7508"/>
    <w:rsid w:val="008F7832"/>
    <w:rsid w:val="008F7981"/>
    <w:rsid w:val="008F7A8C"/>
    <w:rsid w:val="008F7C1B"/>
    <w:rsid w:val="008F7D8E"/>
    <w:rsid w:val="009000E4"/>
    <w:rsid w:val="009001D6"/>
    <w:rsid w:val="009002F3"/>
    <w:rsid w:val="0090035B"/>
    <w:rsid w:val="00900701"/>
    <w:rsid w:val="0090137A"/>
    <w:rsid w:val="00901597"/>
    <w:rsid w:val="0090183F"/>
    <w:rsid w:val="00901A2C"/>
    <w:rsid w:val="00901CB0"/>
    <w:rsid w:val="00901D8A"/>
    <w:rsid w:val="00901EEB"/>
    <w:rsid w:val="0090219E"/>
    <w:rsid w:val="00902220"/>
    <w:rsid w:val="00902364"/>
    <w:rsid w:val="00902477"/>
    <w:rsid w:val="009024BF"/>
    <w:rsid w:val="009025A2"/>
    <w:rsid w:val="0090292E"/>
    <w:rsid w:val="00902B8C"/>
    <w:rsid w:val="00902D7A"/>
    <w:rsid w:val="00902EE7"/>
    <w:rsid w:val="0090324C"/>
    <w:rsid w:val="0090360E"/>
    <w:rsid w:val="0090368D"/>
    <w:rsid w:val="00903774"/>
    <w:rsid w:val="00903932"/>
    <w:rsid w:val="00903A0E"/>
    <w:rsid w:val="00903A80"/>
    <w:rsid w:val="00903B30"/>
    <w:rsid w:val="00903CFF"/>
    <w:rsid w:val="00903F70"/>
    <w:rsid w:val="00903FBA"/>
    <w:rsid w:val="00903FFE"/>
    <w:rsid w:val="00904393"/>
    <w:rsid w:val="00904444"/>
    <w:rsid w:val="0090448F"/>
    <w:rsid w:val="0090496A"/>
    <w:rsid w:val="00904BAA"/>
    <w:rsid w:val="00904CA3"/>
    <w:rsid w:val="00904EA0"/>
    <w:rsid w:val="00904FFA"/>
    <w:rsid w:val="00905557"/>
    <w:rsid w:val="00905627"/>
    <w:rsid w:val="009060E7"/>
    <w:rsid w:val="009063A1"/>
    <w:rsid w:val="009064C6"/>
    <w:rsid w:val="00906503"/>
    <w:rsid w:val="00906542"/>
    <w:rsid w:val="00906BFB"/>
    <w:rsid w:val="00906E0F"/>
    <w:rsid w:val="00906E6F"/>
    <w:rsid w:val="0090702E"/>
    <w:rsid w:val="009070E3"/>
    <w:rsid w:val="0090718E"/>
    <w:rsid w:val="009074B2"/>
    <w:rsid w:val="0090750E"/>
    <w:rsid w:val="009078C9"/>
    <w:rsid w:val="009078EA"/>
    <w:rsid w:val="0090794C"/>
    <w:rsid w:val="00907AF3"/>
    <w:rsid w:val="00907BA1"/>
    <w:rsid w:val="00907F10"/>
    <w:rsid w:val="00910092"/>
    <w:rsid w:val="009101CF"/>
    <w:rsid w:val="00910223"/>
    <w:rsid w:val="009103F4"/>
    <w:rsid w:val="00910693"/>
    <w:rsid w:val="0091088F"/>
    <w:rsid w:val="00910AC6"/>
    <w:rsid w:val="00910CB0"/>
    <w:rsid w:val="00910D54"/>
    <w:rsid w:val="009116CF"/>
    <w:rsid w:val="009117D4"/>
    <w:rsid w:val="009118A1"/>
    <w:rsid w:val="009119A3"/>
    <w:rsid w:val="00911BB4"/>
    <w:rsid w:val="00911F3D"/>
    <w:rsid w:val="00911F62"/>
    <w:rsid w:val="00912431"/>
    <w:rsid w:val="0091250E"/>
    <w:rsid w:val="00912A0E"/>
    <w:rsid w:val="00912A18"/>
    <w:rsid w:val="00912C47"/>
    <w:rsid w:val="00912CED"/>
    <w:rsid w:val="00913351"/>
    <w:rsid w:val="00913373"/>
    <w:rsid w:val="00913850"/>
    <w:rsid w:val="00913887"/>
    <w:rsid w:val="00913F1B"/>
    <w:rsid w:val="00914232"/>
    <w:rsid w:val="009145CE"/>
    <w:rsid w:val="00915015"/>
    <w:rsid w:val="00915138"/>
    <w:rsid w:val="00915348"/>
    <w:rsid w:val="00915677"/>
    <w:rsid w:val="00915C0A"/>
    <w:rsid w:val="00915F4C"/>
    <w:rsid w:val="00916160"/>
    <w:rsid w:val="009162E9"/>
    <w:rsid w:val="00916A8D"/>
    <w:rsid w:val="00916B36"/>
    <w:rsid w:val="00916C85"/>
    <w:rsid w:val="00916CD9"/>
    <w:rsid w:val="00916D76"/>
    <w:rsid w:val="00916FE3"/>
    <w:rsid w:val="009171C4"/>
    <w:rsid w:val="00917325"/>
    <w:rsid w:val="00917382"/>
    <w:rsid w:val="00917415"/>
    <w:rsid w:val="00917480"/>
    <w:rsid w:val="009175F3"/>
    <w:rsid w:val="009177CA"/>
    <w:rsid w:val="00917836"/>
    <w:rsid w:val="0091788C"/>
    <w:rsid w:val="00917996"/>
    <w:rsid w:val="00917D8A"/>
    <w:rsid w:val="009201AB"/>
    <w:rsid w:val="009202E4"/>
    <w:rsid w:val="0092041E"/>
    <w:rsid w:val="0092041F"/>
    <w:rsid w:val="00920447"/>
    <w:rsid w:val="00920467"/>
    <w:rsid w:val="009205D2"/>
    <w:rsid w:val="00920819"/>
    <w:rsid w:val="00920E80"/>
    <w:rsid w:val="00921022"/>
    <w:rsid w:val="0092115E"/>
    <w:rsid w:val="009214AA"/>
    <w:rsid w:val="009214C1"/>
    <w:rsid w:val="0092180A"/>
    <w:rsid w:val="009219BE"/>
    <w:rsid w:val="00921A09"/>
    <w:rsid w:val="00921E46"/>
    <w:rsid w:val="00921EB5"/>
    <w:rsid w:val="00921F3C"/>
    <w:rsid w:val="0092251A"/>
    <w:rsid w:val="009228F4"/>
    <w:rsid w:val="00922992"/>
    <w:rsid w:val="00922BC2"/>
    <w:rsid w:val="00923E95"/>
    <w:rsid w:val="00923EF7"/>
    <w:rsid w:val="009240A1"/>
    <w:rsid w:val="00924272"/>
    <w:rsid w:val="0092491B"/>
    <w:rsid w:val="00924B7C"/>
    <w:rsid w:val="00924CC8"/>
    <w:rsid w:val="00924DDE"/>
    <w:rsid w:val="00924F06"/>
    <w:rsid w:val="00924FD0"/>
    <w:rsid w:val="00925224"/>
    <w:rsid w:val="00925388"/>
    <w:rsid w:val="0092554F"/>
    <w:rsid w:val="009255DB"/>
    <w:rsid w:val="00925831"/>
    <w:rsid w:val="00925882"/>
    <w:rsid w:val="00925971"/>
    <w:rsid w:val="00925B04"/>
    <w:rsid w:val="00925CB0"/>
    <w:rsid w:val="00925DB9"/>
    <w:rsid w:val="00926605"/>
    <w:rsid w:val="009268A9"/>
    <w:rsid w:val="00926D10"/>
    <w:rsid w:val="00926EE1"/>
    <w:rsid w:val="00927267"/>
    <w:rsid w:val="00927397"/>
    <w:rsid w:val="009273D9"/>
    <w:rsid w:val="009274AE"/>
    <w:rsid w:val="00927990"/>
    <w:rsid w:val="00927B0B"/>
    <w:rsid w:val="00927DF9"/>
    <w:rsid w:val="00927E7C"/>
    <w:rsid w:val="00927E9E"/>
    <w:rsid w:val="00930433"/>
    <w:rsid w:val="00930D4F"/>
    <w:rsid w:val="00931191"/>
    <w:rsid w:val="0093198D"/>
    <w:rsid w:val="00931AB4"/>
    <w:rsid w:val="00931C81"/>
    <w:rsid w:val="0093227E"/>
    <w:rsid w:val="0093235E"/>
    <w:rsid w:val="009325DB"/>
    <w:rsid w:val="0093361F"/>
    <w:rsid w:val="0093372C"/>
    <w:rsid w:val="009338A7"/>
    <w:rsid w:val="0093392B"/>
    <w:rsid w:val="00933D4A"/>
    <w:rsid w:val="00933E3A"/>
    <w:rsid w:val="00933EF9"/>
    <w:rsid w:val="00934188"/>
    <w:rsid w:val="009342FF"/>
    <w:rsid w:val="00934693"/>
    <w:rsid w:val="009352FD"/>
    <w:rsid w:val="009355A5"/>
    <w:rsid w:val="009355B1"/>
    <w:rsid w:val="009355EE"/>
    <w:rsid w:val="00935906"/>
    <w:rsid w:val="00935A25"/>
    <w:rsid w:val="00935D1A"/>
    <w:rsid w:val="00935DC3"/>
    <w:rsid w:val="00935E13"/>
    <w:rsid w:val="00935FBF"/>
    <w:rsid w:val="0093614B"/>
    <w:rsid w:val="00936158"/>
    <w:rsid w:val="0093622C"/>
    <w:rsid w:val="009365BB"/>
    <w:rsid w:val="00936844"/>
    <w:rsid w:val="009369B2"/>
    <w:rsid w:val="00936B49"/>
    <w:rsid w:val="00936F34"/>
    <w:rsid w:val="0093715F"/>
    <w:rsid w:val="0093793F"/>
    <w:rsid w:val="00937CAD"/>
    <w:rsid w:val="00937F49"/>
    <w:rsid w:val="00940258"/>
    <w:rsid w:val="009402B2"/>
    <w:rsid w:val="0094030B"/>
    <w:rsid w:val="0094042B"/>
    <w:rsid w:val="009404C9"/>
    <w:rsid w:val="00940D8E"/>
    <w:rsid w:val="00940E8A"/>
    <w:rsid w:val="0094146A"/>
    <w:rsid w:val="00941775"/>
    <w:rsid w:val="009418AB"/>
    <w:rsid w:val="00941AB8"/>
    <w:rsid w:val="00941D1D"/>
    <w:rsid w:val="00941DDB"/>
    <w:rsid w:val="00942070"/>
    <w:rsid w:val="009420CC"/>
    <w:rsid w:val="00942120"/>
    <w:rsid w:val="00942274"/>
    <w:rsid w:val="00942333"/>
    <w:rsid w:val="009427A9"/>
    <w:rsid w:val="00942DB9"/>
    <w:rsid w:val="00942EEE"/>
    <w:rsid w:val="009430DF"/>
    <w:rsid w:val="009431D6"/>
    <w:rsid w:val="00943302"/>
    <w:rsid w:val="009433BD"/>
    <w:rsid w:val="009433DB"/>
    <w:rsid w:val="00943A44"/>
    <w:rsid w:val="00943F01"/>
    <w:rsid w:val="00944159"/>
    <w:rsid w:val="0094433C"/>
    <w:rsid w:val="0094464E"/>
    <w:rsid w:val="00945492"/>
    <w:rsid w:val="009458F6"/>
    <w:rsid w:val="00945A5F"/>
    <w:rsid w:val="00945E09"/>
    <w:rsid w:val="009463AF"/>
    <w:rsid w:val="0094677E"/>
    <w:rsid w:val="00946876"/>
    <w:rsid w:val="009468A7"/>
    <w:rsid w:val="00947151"/>
    <w:rsid w:val="009473B3"/>
    <w:rsid w:val="00947419"/>
    <w:rsid w:val="00947444"/>
    <w:rsid w:val="009474F1"/>
    <w:rsid w:val="009476A2"/>
    <w:rsid w:val="00947A6D"/>
    <w:rsid w:val="00947AB3"/>
    <w:rsid w:val="00950455"/>
    <w:rsid w:val="009504BD"/>
    <w:rsid w:val="0095052D"/>
    <w:rsid w:val="00950B9C"/>
    <w:rsid w:val="00951053"/>
    <w:rsid w:val="00951104"/>
    <w:rsid w:val="009511B9"/>
    <w:rsid w:val="00951383"/>
    <w:rsid w:val="009516E5"/>
    <w:rsid w:val="00951B00"/>
    <w:rsid w:val="00951BC9"/>
    <w:rsid w:val="00951C33"/>
    <w:rsid w:val="00951F96"/>
    <w:rsid w:val="00952019"/>
    <w:rsid w:val="00952308"/>
    <w:rsid w:val="00952462"/>
    <w:rsid w:val="00952891"/>
    <w:rsid w:val="00952C37"/>
    <w:rsid w:val="00952E72"/>
    <w:rsid w:val="00952F69"/>
    <w:rsid w:val="0095340F"/>
    <w:rsid w:val="0095377A"/>
    <w:rsid w:val="00953839"/>
    <w:rsid w:val="00953D42"/>
    <w:rsid w:val="00954279"/>
    <w:rsid w:val="00954329"/>
    <w:rsid w:val="009548B9"/>
    <w:rsid w:val="00954939"/>
    <w:rsid w:val="00954F44"/>
    <w:rsid w:val="00955298"/>
    <w:rsid w:val="009554D9"/>
    <w:rsid w:val="009556E5"/>
    <w:rsid w:val="00956232"/>
    <w:rsid w:val="00956C35"/>
    <w:rsid w:val="00956C4B"/>
    <w:rsid w:val="00956F3D"/>
    <w:rsid w:val="0095735F"/>
    <w:rsid w:val="009573EE"/>
    <w:rsid w:val="00957507"/>
    <w:rsid w:val="00957995"/>
    <w:rsid w:val="00957AD2"/>
    <w:rsid w:val="00957C35"/>
    <w:rsid w:val="00957DC4"/>
    <w:rsid w:val="00957E62"/>
    <w:rsid w:val="00957EA2"/>
    <w:rsid w:val="00960A18"/>
    <w:rsid w:val="00960B86"/>
    <w:rsid w:val="00960E33"/>
    <w:rsid w:val="00960E83"/>
    <w:rsid w:val="009611F5"/>
    <w:rsid w:val="00961614"/>
    <w:rsid w:val="00961A3C"/>
    <w:rsid w:val="00961E71"/>
    <w:rsid w:val="0096260D"/>
    <w:rsid w:val="009627D1"/>
    <w:rsid w:val="00962AFA"/>
    <w:rsid w:val="00962D70"/>
    <w:rsid w:val="00962F6F"/>
    <w:rsid w:val="0096313C"/>
    <w:rsid w:val="0096329D"/>
    <w:rsid w:val="009632BE"/>
    <w:rsid w:val="0096357D"/>
    <w:rsid w:val="00963AB7"/>
    <w:rsid w:val="009642F4"/>
    <w:rsid w:val="0096446A"/>
    <w:rsid w:val="009644DB"/>
    <w:rsid w:val="009645A0"/>
    <w:rsid w:val="009647DE"/>
    <w:rsid w:val="00964B3D"/>
    <w:rsid w:val="00965483"/>
    <w:rsid w:val="00965912"/>
    <w:rsid w:val="00965D66"/>
    <w:rsid w:val="00965D9B"/>
    <w:rsid w:val="009662C4"/>
    <w:rsid w:val="0096638C"/>
    <w:rsid w:val="0096639B"/>
    <w:rsid w:val="009664CE"/>
    <w:rsid w:val="00966BE2"/>
    <w:rsid w:val="00966FCA"/>
    <w:rsid w:val="00967122"/>
    <w:rsid w:val="00967149"/>
    <w:rsid w:val="00967527"/>
    <w:rsid w:val="009675ED"/>
    <w:rsid w:val="00967635"/>
    <w:rsid w:val="00967666"/>
    <w:rsid w:val="0096766E"/>
    <w:rsid w:val="00967C3D"/>
    <w:rsid w:val="00967CA5"/>
    <w:rsid w:val="00967CDF"/>
    <w:rsid w:val="00967CF4"/>
    <w:rsid w:val="00967E04"/>
    <w:rsid w:val="00970027"/>
    <w:rsid w:val="009701F8"/>
    <w:rsid w:val="00970A53"/>
    <w:rsid w:val="00970AFC"/>
    <w:rsid w:val="00970DCA"/>
    <w:rsid w:val="00970F1F"/>
    <w:rsid w:val="009710C1"/>
    <w:rsid w:val="00971245"/>
    <w:rsid w:val="00971A3A"/>
    <w:rsid w:val="00971A96"/>
    <w:rsid w:val="00971EA8"/>
    <w:rsid w:val="00971F57"/>
    <w:rsid w:val="0097232B"/>
    <w:rsid w:val="00972466"/>
    <w:rsid w:val="0097246B"/>
    <w:rsid w:val="0097268A"/>
    <w:rsid w:val="00972745"/>
    <w:rsid w:val="00972A5B"/>
    <w:rsid w:val="00972D73"/>
    <w:rsid w:val="00972E3C"/>
    <w:rsid w:val="00972F9B"/>
    <w:rsid w:val="00973024"/>
    <w:rsid w:val="009735F4"/>
    <w:rsid w:val="00973A1C"/>
    <w:rsid w:val="00973C22"/>
    <w:rsid w:val="00974280"/>
    <w:rsid w:val="00974667"/>
    <w:rsid w:val="009746FD"/>
    <w:rsid w:val="009748D2"/>
    <w:rsid w:val="00974900"/>
    <w:rsid w:val="0097492F"/>
    <w:rsid w:val="00974E73"/>
    <w:rsid w:val="00974F33"/>
    <w:rsid w:val="00975467"/>
    <w:rsid w:val="009754EB"/>
    <w:rsid w:val="00975BAE"/>
    <w:rsid w:val="00975BD9"/>
    <w:rsid w:val="00976056"/>
    <w:rsid w:val="009767DA"/>
    <w:rsid w:val="009768FD"/>
    <w:rsid w:val="00976C7A"/>
    <w:rsid w:val="00976F56"/>
    <w:rsid w:val="00977262"/>
    <w:rsid w:val="00977646"/>
    <w:rsid w:val="009777B7"/>
    <w:rsid w:val="00977B03"/>
    <w:rsid w:val="00977D1D"/>
    <w:rsid w:val="00977E19"/>
    <w:rsid w:val="0098000A"/>
    <w:rsid w:val="0098048E"/>
    <w:rsid w:val="009804F2"/>
    <w:rsid w:val="00980C4E"/>
    <w:rsid w:val="00980D74"/>
    <w:rsid w:val="00980FF0"/>
    <w:rsid w:val="009810A0"/>
    <w:rsid w:val="009812CD"/>
    <w:rsid w:val="009816B5"/>
    <w:rsid w:val="009818F7"/>
    <w:rsid w:val="00981923"/>
    <w:rsid w:val="00981B72"/>
    <w:rsid w:val="00981C7F"/>
    <w:rsid w:val="00982099"/>
    <w:rsid w:val="0098225C"/>
    <w:rsid w:val="0098278E"/>
    <w:rsid w:val="00982AE1"/>
    <w:rsid w:val="00982BFC"/>
    <w:rsid w:val="00982E7C"/>
    <w:rsid w:val="0098361C"/>
    <w:rsid w:val="00983A70"/>
    <w:rsid w:val="00983C41"/>
    <w:rsid w:val="00983E95"/>
    <w:rsid w:val="00983F28"/>
    <w:rsid w:val="009847FE"/>
    <w:rsid w:val="00985042"/>
    <w:rsid w:val="009850D7"/>
    <w:rsid w:val="0098513C"/>
    <w:rsid w:val="00985549"/>
    <w:rsid w:val="009855ED"/>
    <w:rsid w:val="00985810"/>
    <w:rsid w:val="00985830"/>
    <w:rsid w:val="00986125"/>
    <w:rsid w:val="009861F5"/>
    <w:rsid w:val="0098624C"/>
    <w:rsid w:val="009864B7"/>
    <w:rsid w:val="00986752"/>
    <w:rsid w:val="009868FB"/>
    <w:rsid w:val="00986910"/>
    <w:rsid w:val="00986B51"/>
    <w:rsid w:val="00986BEE"/>
    <w:rsid w:val="00986E78"/>
    <w:rsid w:val="00986EC5"/>
    <w:rsid w:val="009872CA"/>
    <w:rsid w:val="009874C8"/>
    <w:rsid w:val="009876FC"/>
    <w:rsid w:val="009878E5"/>
    <w:rsid w:val="00990920"/>
    <w:rsid w:val="009909F9"/>
    <w:rsid w:val="00990D7F"/>
    <w:rsid w:val="00990D87"/>
    <w:rsid w:val="00990DBA"/>
    <w:rsid w:val="00991146"/>
    <w:rsid w:val="00991172"/>
    <w:rsid w:val="009911E9"/>
    <w:rsid w:val="00991229"/>
    <w:rsid w:val="00991713"/>
    <w:rsid w:val="00991E6B"/>
    <w:rsid w:val="00991FB5"/>
    <w:rsid w:val="00992261"/>
    <w:rsid w:val="00992432"/>
    <w:rsid w:val="00992673"/>
    <w:rsid w:val="00992A13"/>
    <w:rsid w:val="00992A39"/>
    <w:rsid w:val="00992D85"/>
    <w:rsid w:val="009932EA"/>
    <w:rsid w:val="009937BF"/>
    <w:rsid w:val="00993A8C"/>
    <w:rsid w:val="00993EF2"/>
    <w:rsid w:val="00993F09"/>
    <w:rsid w:val="0099416C"/>
    <w:rsid w:val="009942BA"/>
    <w:rsid w:val="0099458F"/>
    <w:rsid w:val="009945A7"/>
    <w:rsid w:val="00994875"/>
    <w:rsid w:val="00994F41"/>
    <w:rsid w:val="0099509D"/>
    <w:rsid w:val="009950AB"/>
    <w:rsid w:val="00995194"/>
    <w:rsid w:val="00995348"/>
    <w:rsid w:val="00995476"/>
    <w:rsid w:val="00995A29"/>
    <w:rsid w:val="00995C7E"/>
    <w:rsid w:val="009960B1"/>
    <w:rsid w:val="00996380"/>
    <w:rsid w:val="00996773"/>
    <w:rsid w:val="00996839"/>
    <w:rsid w:val="00996AC8"/>
    <w:rsid w:val="00996C6C"/>
    <w:rsid w:val="00996CCD"/>
    <w:rsid w:val="0099708C"/>
    <w:rsid w:val="009972A2"/>
    <w:rsid w:val="009973F8"/>
    <w:rsid w:val="009975FA"/>
    <w:rsid w:val="00997D60"/>
    <w:rsid w:val="009A01D5"/>
    <w:rsid w:val="009A01D9"/>
    <w:rsid w:val="009A062D"/>
    <w:rsid w:val="009A0667"/>
    <w:rsid w:val="009A08E3"/>
    <w:rsid w:val="009A09EA"/>
    <w:rsid w:val="009A0A46"/>
    <w:rsid w:val="009A0A96"/>
    <w:rsid w:val="009A0E01"/>
    <w:rsid w:val="009A1424"/>
    <w:rsid w:val="009A14C3"/>
    <w:rsid w:val="009A178A"/>
    <w:rsid w:val="009A1844"/>
    <w:rsid w:val="009A1893"/>
    <w:rsid w:val="009A192B"/>
    <w:rsid w:val="009A19ED"/>
    <w:rsid w:val="009A1BA7"/>
    <w:rsid w:val="009A1FEF"/>
    <w:rsid w:val="009A22D9"/>
    <w:rsid w:val="009A2534"/>
    <w:rsid w:val="009A2A83"/>
    <w:rsid w:val="009A2F78"/>
    <w:rsid w:val="009A3235"/>
    <w:rsid w:val="009A33C3"/>
    <w:rsid w:val="009A3568"/>
    <w:rsid w:val="009A370C"/>
    <w:rsid w:val="009A38C8"/>
    <w:rsid w:val="009A3AEE"/>
    <w:rsid w:val="009A3BB4"/>
    <w:rsid w:val="009A3D59"/>
    <w:rsid w:val="009A3E09"/>
    <w:rsid w:val="009A3ECC"/>
    <w:rsid w:val="009A4577"/>
    <w:rsid w:val="009A4B0F"/>
    <w:rsid w:val="009A50C0"/>
    <w:rsid w:val="009A511E"/>
    <w:rsid w:val="009A520C"/>
    <w:rsid w:val="009A526F"/>
    <w:rsid w:val="009A5472"/>
    <w:rsid w:val="009A55BC"/>
    <w:rsid w:val="009A598C"/>
    <w:rsid w:val="009A62C0"/>
    <w:rsid w:val="009A64D2"/>
    <w:rsid w:val="009A6589"/>
    <w:rsid w:val="009A670A"/>
    <w:rsid w:val="009A68B3"/>
    <w:rsid w:val="009A6B02"/>
    <w:rsid w:val="009A6E9A"/>
    <w:rsid w:val="009A6FB4"/>
    <w:rsid w:val="009A70FF"/>
    <w:rsid w:val="009A734A"/>
    <w:rsid w:val="009A77AC"/>
    <w:rsid w:val="009A7D24"/>
    <w:rsid w:val="009A7E5E"/>
    <w:rsid w:val="009B020D"/>
    <w:rsid w:val="009B036D"/>
    <w:rsid w:val="009B0745"/>
    <w:rsid w:val="009B0797"/>
    <w:rsid w:val="009B0BB8"/>
    <w:rsid w:val="009B1002"/>
    <w:rsid w:val="009B1145"/>
    <w:rsid w:val="009B11FC"/>
    <w:rsid w:val="009B151C"/>
    <w:rsid w:val="009B1574"/>
    <w:rsid w:val="009B1DC6"/>
    <w:rsid w:val="009B1E13"/>
    <w:rsid w:val="009B22C0"/>
    <w:rsid w:val="009B2398"/>
    <w:rsid w:val="009B26F2"/>
    <w:rsid w:val="009B285E"/>
    <w:rsid w:val="009B2A92"/>
    <w:rsid w:val="009B2DBB"/>
    <w:rsid w:val="009B2FDC"/>
    <w:rsid w:val="009B31CD"/>
    <w:rsid w:val="009B343B"/>
    <w:rsid w:val="009B344C"/>
    <w:rsid w:val="009B36AC"/>
    <w:rsid w:val="009B3F58"/>
    <w:rsid w:val="009B3FA7"/>
    <w:rsid w:val="009B4005"/>
    <w:rsid w:val="009B4065"/>
    <w:rsid w:val="009B441C"/>
    <w:rsid w:val="009B4506"/>
    <w:rsid w:val="009B462D"/>
    <w:rsid w:val="009B471D"/>
    <w:rsid w:val="009B4F0A"/>
    <w:rsid w:val="009B50F4"/>
    <w:rsid w:val="009B5568"/>
    <w:rsid w:val="009B568A"/>
    <w:rsid w:val="009B5748"/>
    <w:rsid w:val="009B5A59"/>
    <w:rsid w:val="009B60C9"/>
    <w:rsid w:val="009B6125"/>
    <w:rsid w:val="009B6157"/>
    <w:rsid w:val="009B635C"/>
    <w:rsid w:val="009B6652"/>
    <w:rsid w:val="009B6723"/>
    <w:rsid w:val="009B6BF7"/>
    <w:rsid w:val="009B6CED"/>
    <w:rsid w:val="009B74D8"/>
    <w:rsid w:val="009B7803"/>
    <w:rsid w:val="009B78AC"/>
    <w:rsid w:val="009B7F56"/>
    <w:rsid w:val="009C0472"/>
    <w:rsid w:val="009C05C8"/>
    <w:rsid w:val="009C070A"/>
    <w:rsid w:val="009C07BE"/>
    <w:rsid w:val="009C0955"/>
    <w:rsid w:val="009C09C5"/>
    <w:rsid w:val="009C0DED"/>
    <w:rsid w:val="009C114E"/>
    <w:rsid w:val="009C12CE"/>
    <w:rsid w:val="009C159A"/>
    <w:rsid w:val="009C167D"/>
    <w:rsid w:val="009C17CF"/>
    <w:rsid w:val="009C18B0"/>
    <w:rsid w:val="009C1AEB"/>
    <w:rsid w:val="009C1B1B"/>
    <w:rsid w:val="009C1B54"/>
    <w:rsid w:val="009C1B81"/>
    <w:rsid w:val="009C1DC1"/>
    <w:rsid w:val="009C20AA"/>
    <w:rsid w:val="009C2376"/>
    <w:rsid w:val="009C23DE"/>
    <w:rsid w:val="009C26F1"/>
    <w:rsid w:val="009C29AF"/>
    <w:rsid w:val="009C2A7C"/>
    <w:rsid w:val="009C2D3D"/>
    <w:rsid w:val="009C2D93"/>
    <w:rsid w:val="009C2F56"/>
    <w:rsid w:val="009C3248"/>
    <w:rsid w:val="009C341B"/>
    <w:rsid w:val="009C3510"/>
    <w:rsid w:val="009C3A82"/>
    <w:rsid w:val="009C3A96"/>
    <w:rsid w:val="009C3E73"/>
    <w:rsid w:val="009C3FE1"/>
    <w:rsid w:val="009C404A"/>
    <w:rsid w:val="009C41DC"/>
    <w:rsid w:val="009C468C"/>
    <w:rsid w:val="009C46A7"/>
    <w:rsid w:val="009C46B8"/>
    <w:rsid w:val="009C54D1"/>
    <w:rsid w:val="009C56A3"/>
    <w:rsid w:val="009C58B4"/>
    <w:rsid w:val="009C5929"/>
    <w:rsid w:val="009C602C"/>
    <w:rsid w:val="009C60FE"/>
    <w:rsid w:val="009C6124"/>
    <w:rsid w:val="009C6192"/>
    <w:rsid w:val="009C63D4"/>
    <w:rsid w:val="009C65F8"/>
    <w:rsid w:val="009C6891"/>
    <w:rsid w:val="009C6A05"/>
    <w:rsid w:val="009C6A45"/>
    <w:rsid w:val="009C6ABA"/>
    <w:rsid w:val="009C6B84"/>
    <w:rsid w:val="009C6E33"/>
    <w:rsid w:val="009C6EEA"/>
    <w:rsid w:val="009C6FD5"/>
    <w:rsid w:val="009C717E"/>
    <w:rsid w:val="009C79B0"/>
    <w:rsid w:val="009C7D5E"/>
    <w:rsid w:val="009C7D93"/>
    <w:rsid w:val="009D006D"/>
    <w:rsid w:val="009D0171"/>
    <w:rsid w:val="009D04CB"/>
    <w:rsid w:val="009D0852"/>
    <w:rsid w:val="009D0FD2"/>
    <w:rsid w:val="009D11B2"/>
    <w:rsid w:val="009D1622"/>
    <w:rsid w:val="009D1AB7"/>
    <w:rsid w:val="009D1FBE"/>
    <w:rsid w:val="009D2106"/>
    <w:rsid w:val="009D2162"/>
    <w:rsid w:val="009D2A01"/>
    <w:rsid w:val="009D2AAD"/>
    <w:rsid w:val="009D2C4D"/>
    <w:rsid w:val="009D2E1B"/>
    <w:rsid w:val="009D34CA"/>
    <w:rsid w:val="009D37B4"/>
    <w:rsid w:val="009D3D40"/>
    <w:rsid w:val="009D3E14"/>
    <w:rsid w:val="009D3EE5"/>
    <w:rsid w:val="009D3F26"/>
    <w:rsid w:val="009D4532"/>
    <w:rsid w:val="009D4650"/>
    <w:rsid w:val="009D46C3"/>
    <w:rsid w:val="009D4892"/>
    <w:rsid w:val="009D4948"/>
    <w:rsid w:val="009D495F"/>
    <w:rsid w:val="009D4A06"/>
    <w:rsid w:val="009D4B85"/>
    <w:rsid w:val="009D4C44"/>
    <w:rsid w:val="009D4CA6"/>
    <w:rsid w:val="009D51B5"/>
    <w:rsid w:val="009D5349"/>
    <w:rsid w:val="009D536A"/>
    <w:rsid w:val="009D5473"/>
    <w:rsid w:val="009D5743"/>
    <w:rsid w:val="009D58A6"/>
    <w:rsid w:val="009D5D3E"/>
    <w:rsid w:val="009D5DDC"/>
    <w:rsid w:val="009D5E8C"/>
    <w:rsid w:val="009D5F2B"/>
    <w:rsid w:val="009D5FA4"/>
    <w:rsid w:val="009D646B"/>
    <w:rsid w:val="009D65DE"/>
    <w:rsid w:val="009D687A"/>
    <w:rsid w:val="009D6DE9"/>
    <w:rsid w:val="009D799D"/>
    <w:rsid w:val="009D7BC7"/>
    <w:rsid w:val="009D7C4A"/>
    <w:rsid w:val="009D7C88"/>
    <w:rsid w:val="009D7F9A"/>
    <w:rsid w:val="009E0013"/>
    <w:rsid w:val="009E0092"/>
    <w:rsid w:val="009E016A"/>
    <w:rsid w:val="009E0615"/>
    <w:rsid w:val="009E06D3"/>
    <w:rsid w:val="009E11F9"/>
    <w:rsid w:val="009E1388"/>
    <w:rsid w:val="009E1400"/>
    <w:rsid w:val="009E163C"/>
    <w:rsid w:val="009E1724"/>
    <w:rsid w:val="009E187C"/>
    <w:rsid w:val="009E18A0"/>
    <w:rsid w:val="009E1B41"/>
    <w:rsid w:val="009E1E30"/>
    <w:rsid w:val="009E1EED"/>
    <w:rsid w:val="009E1FA1"/>
    <w:rsid w:val="009E2104"/>
    <w:rsid w:val="009E21E6"/>
    <w:rsid w:val="009E3302"/>
    <w:rsid w:val="009E3417"/>
    <w:rsid w:val="009E341C"/>
    <w:rsid w:val="009E3AFD"/>
    <w:rsid w:val="009E4134"/>
    <w:rsid w:val="009E4145"/>
    <w:rsid w:val="009E42AC"/>
    <w:rsid w:val="009E43E5"/>
    <w:rsid w:val="009E45F9"/>
    <w:rsid w:val="009E4709"/>
    <w:rsid w:val="009E4834"/>
    <w:rsid w:val="009E498C"/>
    <w:rsid w:val="009E4A6C"/>
    <w:rsid w:val="009E4B95"/>
    <w:rsid w:val="009E4D1A"/>
    <w:rsid w:val="009E52D2"/>
    <w:rsid w:val="009E5572"/>
    <w:rsid w:val="009E55FE"/>
    <w:rsid w:val="009E5782"/>
    <w:rsid w:val="009E57EA"/>
    <w:rsid w:val="009E5E53"/>
    <w:rsid w:val="009E60D7"/>
    <w:rsid w:val="009E6244"/>
    <w:rsid w:val="009E637C"/>
    <w:rsid w:val="009E649C"/>
    <w:rsid w:val="009E64CA"/>
    <w:rsid w:val="009E66CC"/>
    <w:rsid w:val="009E6951"/>
    <w:rsid w:val="009E6AFC"/>
    <w:rsid w:val="009E7456"/>
    <w:rsid w:val="009E75E3"/>
    <w:rsid w:val="009E7BB1"/>
    <w:rsid w:val="009E7DAA"/>
    <w:rsid w:val="009E7F5C"/>
    <w:rsid w:val="009F0675"/>
    <w:rsid w:val="009F06B6"/>
    <w:rsid w:val="009F0991"/>
    <w:rsid w:val="009F09AE"/>
    <w:rsid w:val="009F0B63"/>
    <w:rsid w:val="009F0CC2"/>
    <w:rsid w:val="009F0D71"/>
    <w:rsid w:val="009F1321"/>
    <w:rsid w:val="009F1675"/>
    <w:rsid w:val="009F1801"/>
    <w:rsid w:val="009F1E4B"/>
    <w:rsid w:val="009F2889"/>
    <w:rsid w:val="009F29E5"/>
    <w:rsid w:val="009F2A9D"/>
    <w:rsid w:val="009F2AFE"/>
    <w:rsid w:val="009F2B09"/>
    <w:rsid w:val="009F2D34"/>
    <w:rsid w:val="009F2E38"/>
    <w:rsid w:val="009F3A4D"/>
    <w:rsid w:val="009F3FCB"/>
    <w:rsid w:val="009F3FE9"/>
    <w:rsid w:val="009F406B"/>
    <w:rsid w:val="009F40FE"/>
    <w:rsid w:val="009F41BE"/>
    <w:rsid w:val="009F437B"/>
    <w:rsid w:val="009F4E3F"/>
    <w:rsid w:val="009F4F7A"/>
    <w:rsid w:val="009F51F7"/>
    <w:rsid w:val="009F5234"/>
    <w:rsid w:val="009F5359"/>
    <w:rsid w:val="009F544C"/>
    <w:rsid w:val="009F564F"/>
    <w:rsid w:val="009F587B"/>
    <w:rsid w:val="009F595B"/>
    <w:rsid w:val="009F5A38"/>
    <w:rsid w:val="009F5B6E"/>
    <w:rsid w:val="009F5B8F"/>
    <w:rsid w:val="009F5C32"/>
    <w:rsid w:val="009F5CE4"/>
    <w:rsid w:val="009F5FBB"/>
    <w:rsid w:val="009F5FC6"/>
    <w:rsid w:val="009F638A"/>
    <w:rsid w:val="009F65EE"/>
    <w:rsid w:val="009F6665"/>
    <w:rsid w:val="009F6BE1"/>
    <w:rsid w:val="009F6C28"/>
    <w:rsid w:val="009F6C4E"/>
    <w:rsid w:val="009F7022"/>
    <w:rsid w:val="009F714F"/>
    <w:rsid w:val="009F7442"/>
    <w:rsid w:val="009F74D6"/>
    <w:rsid w:val="009F79E3"/>
    <w:rsid w:val="009F7A24"/>
    <w:rsid w:val="009F7C93"/>
    <w:rsid w:val="009F7D74"/>
    <w:rsid w:val="009F7F88"/>
    <w:rsid w:val="00A0004F"/>
    <w:rsid w:val="00A0013E"/>
    <w:rsid w:val="00A002D7"/>
    <w:rsid w:val="00A00447"/>
    <w:rsid w:val="00A0052A"/>
    <w:rsid w:val="00A005D5"/>
    <w:rsid w:val="00A014AD"/>
    <w:rsid w:val="00A015F3"/>
    <w:rsid w:val="00A01690"/>
    <w:rsid w:val="00A017F3"/>
    <w:rsid w:val="00A01ABE"/>
    <w:rsid w:val="00A01CC0"/>
    <w:rsid w:val="00A02197"/>
    <w:rsid w:val="00A0238B"/>
    <w:rsid w:val="00A024F9"/>
    <w:rsid w:val="00A0264A"/>
    <w:rsid w:val="00A02A7F"/>
    <w:rsid w:val="00A03468"/>
    <w:rsid w:val="00A03526"/>
    <w:rsid w:val="00A03537"/>
    <w:rsid w:val="00A03889"/>
    <w:rsid w:val="00A03FEB"/>
    <w:rsid w:val="00A04133"/>
    <w:rsid w:val="00A04281"/>
    <w:rsid w:val="00A0453E"/>
    <w:rsid w:val="00A048D5"/>
    <w:rsid w:val="00A0497E"/>
    <w:rsid w:val="00A049AB"/>
    <w:rsid w:val="00A04A30"/>
    <w:rsid w:val="00A04B9D"/>
    <w:rsid w:val="00A04F8F"/>
    <w:rsid w:val="00A05376"/>
    <w:rsid w:val="00A05498"/>
    <w:rsid w:val="00A0555D"/>
    <w:rsid w:val="00A05BD5"/>
    <w:rsid w:val="00A06AC6"/>
    <w:rsid w:val="00A06B3D"/>
    <w:rsid w:val="00A07006"/>
    <w:rsid w:val="00A07451"/>
    <w:rsid w:val="00A07938"/>
    <w:rsid w:val="00A07E0F"/>
    <w:rsid w:val="00A10682"/>
    <w:rsid w:val="00A10739"/>
    <w:rsid w:val="00A1076F"/>
    <w:rsid w:val="00A10BC5"/>
    <w:rsid w:val="00A10DC0"/>
    <w:rsid w:val="00A113A8"/>
    <w:rsid w:val="00A114EF"/>
    <w:rsid w:val="00A116B6"/>
    <w:rsid w:val="00A116C8"/>
    <w:rsid w:val="00A118A7"/>
    <w:rsid w:val="00A119B1"/>
    <w:rsid w:val="00A11C70"/>
    <w:rsid w:val="00A120F5"/>
    <w:rsid w:val="00A127B1"/>
    <w:rsid w:val="00A12B24"/>
    <w:rsid w:val="00A12D6C"/>
    <w:rsid w:val="00A12FDF"/>
    <w:rsid w:val="00A130D6"/>
    <w:rsid w:val="00A134E0"/>
    <w:rsid w:val="00A1353A"/>
    <w:rsid w:val="00A13720"/>
    <w:rsid w:val="00A1392E"/>
    <w:rsid w:val="00A13B8D"/>
    <w:rsid w:val="00A13C37"/>
    <w:rsid w:val="00A13D01"/>
    <w:rsid w:val="00A13D7E"/>
    <w:rsid w:val="00A13E97"/>
    <w:rsid w:val="00A1410F"/>
    <w:rsid w:val="00A14137"/>
    <w:rsid w:val="00A1463B"/>
    <w:rsid w:val="00A147E4"/>
    <w:rsid w:val="00A148DE"/>
    <w:rsid w:val="00A14B22"/>
    <w:rsid w:val="00A14B37"/>
    <w:rsid w:val="00A14D94"/>
    <w:rsid w:val="00A15300"/>
    <w:rsid w:val="00A1594D"/>
    <w:rsid w:val="00A15AAE"/>
    <w:rsid w:val="00A15B8E"/>
    <w:rsid w:val="00A15C21"/>
    <w:rsid w:val="00A1640C"/>
    <w:rsid w:val="00A167A5"/>
    <w:rsid w:val="00A1687C"/>
    <w:rsid w:val="00A16C8E"/>
    <w:rsid w:val="00A16DE0"/>
    <w:rsid w:val="00A17142"/>
    <w:rsid w:val="00A1717F"/>
    <w:rsid w:val="00A171C0"/>
    <w:rsid w:val="00A173B5"/>
    <w:rsid w:val="00A175FD"/>
    <w:rsid w:val="00A17771"/>
    <w:rsid w:val="00A178F1"/>
    <w:rsid w:val="00A17C2E"/>
    <w:rsid w:val="00A17DD6"/>
    <w:rsid w:val="00A17F4D"/>
    <w:rsid w:val="00A2009C"/>
    <w:rsid w:val="00A2023A"/>
    <w:rsid w:val="00A202B2"/>
    <w:rsid w:val="00A2040E"/>
    <w:rsid w:val="00A208E3"/>
    <w:rsid w:val="00A20C07"/>
    <w:rsid w:val="00A20CC4"/>
    <w:rsid w:val="00A20EDC"/>
    <w:rsid w:val="00A210C3"/>
    <w:rsid w:val="00A218EC"/>
    <w:rsid w:val="00A219A6"/>
    <w:rsid w:val="00A21BF5"/>
    <w:rsid w:val="00A21D0C"/>
    <w:rsid w:val="00A21F25"/>
    <w:rsid w:val="00A220A0"/>
    <w:rsid w:val="00A221BC"/>
    <w:rsid w:val="00A22513"/>
    <w:rsid w:val="00A225C3"/>
    <w:rsid w:val="00A22689"/>
    <w:rsid w:val="00A2288F"/>
    <w:rsid w:val="00A228EE"/>
    <w:rsid w:val="00A22952"/>
    <w:rsid w:val="00A22A3D"/>
    <w:rsid w:val="00A22AF7"/>
    <w:rsid w:val="00A22DDD"/>
    <w:rsid w:val="00A22FE4"/>
    <w:rsid w:val="00A2304B"/>
    <w:rsid w:val="00A2306A"/>
    <w:rsid w:val="00A23118"/>
    <w:rsid w:val="00A2343E"/>
    <w:rsid w:val="00A238EB"/>
    <w:rsid w:val="00A239F3"/>
    <w:rsid w:val="00A23EE0"/>
    <w:rsid w:val="00A2432F"/>
    <w:rsid w:val="00A2463C"/>
    <w:rsid w:val="00A247A6"/>
    <w:rsid w:val="00A24807"/>
    <w:rsid w:val="00A24817"/>
    <w:rsid w:val="00A24838"/>
    <w:rsid w:val="00A24CFE"/>
    <w:rsid w:val="00A25466"/>
    <w:rsid w:val="00A255FA"/>
    <w:rsid w:val="00A25735"/>
    <w:rsid w:val="00A25962"/>
    <w:rsid w:val="00A25EFD"/>
    <w:rsid w:val="00A26258"/>
    <w:rsid w:val="00A2629A"/>
    <w:rsid w:val="00A2647B"/>
    <w:rsid w:val="00A2727B"/>
    <w:rsid w:val="00A27865"/>
    <w:rsid w:val="00A2795A"/>
    <w:rsid w:val="00A27B38"/>
    <w:rsid w:val="00A27EA2"/>
    <w:rsid w:val="00A302E4"/>
    <w:rsid w:val="00A3037B"/>
    <w:rsid w:val="00A30634"/>
    <w:rsid w:val="00A3069D"/>
    <w:rsid w:val="00A3105C"/>
    <w:rsid w:val="00A310E6"/>
    <w:rsid w:val="00A31993"/>
    <w:rsid w:val="00A31BA0"/>
    <w:rsid w:val="00A31FBB"/>
    <w:rsid w:val="00A32163"/>
    <w:rsid w:val="00A32185"/>
    <w:rsid w:val="00A32300"/>
    <w:rsid w:val="00A325B5"/>
    <w:rsid w:val="00A326D8"/>
    <w:rsid w:val="00A329B3"/>
    <w:rsid w:val="00A33707"/>
    <w:rsid w:val="00A33874"/>
    <w:rsid w:val="00A33977"/>
    <w:rsid w:val="00A33B0F"/>
    <w:rsid w:val="00A33CBF"/>
    <w:rsid w:val="00A34196"/>
    <w:rsid w:val="00A3436D"/>
    <w:rsid w:val="00A348A7"/>
    <w:rsid w:val="00A34B8A"/>
    <w:rsid w:val="00A34BC8"/>
    <w:rsid w:val="00A350C6"/>
    <w:rsid w:val="00A3524D"/>
    <w:rsid w:val="00A35465"/>
    <w:rsid w:val="00A3594B"/>
    <w:rsid w:val="00A35E6B"/>
    <w:rsid w:val="00A360F7"/>
    <w:rsid w:val="00A3688D"/>
    <w:rsid w:val="00A368A6"/>
    <w:rsid w:val="00A3698F"/>
    <w:rsid w:val="00A36CC0"/>
    <w:rsid w:val="00A3706E"/>
    <w:rsid w:val="00A3715F"/>
    <w:rsid w:val="00A371D3"/>
    <w:rsid w:val="00A37431"/>
    <w:rsid w:val="00A3775A"/>
    <w:rsid w:val="00A37F41"/>
    <w:rsid w:val="00A40170"/>
    <w:rsid w:val="00A402A8"/>
    <w:rsid w:val="00A4038C"/>
    <w:rsid w:val="00A403DE"/>
    <w:rsid w:val="00A407D2"/>
    <w:rsid w:val="00A408A3"/>
    <w:rsid w:val="00A40D04"/>
    <w:rsid w:val="00A40DAA"/>
    <w:rsid w:val="00A410F0"/>
    <w:rsid w:val="00A412FE"/>
    <w:rsid w:val="00A41469"/>
    <w:rsid w:val="00A41919"/>
    <w:rsid w:val="00A4191D"/>
    <w:rsid w:val="00A41BBC"/>
    <w:rsid w:val="00A41C27"/>
    <w:rsid w:val="00A41CD5"/>
    <w:rsid w:val="00A41E45"/>
    <w:rsid w:val="00A421D9"/>
    <w:rsid w:val="00A42795"/>
    <w:rsid w:val="00A42D44"/>
    <w:rsid w:val="00A42E74"/>
    <w:rsid w:val="00A42E7C"/>
    <w:rsid w:val="00A433F8"/>
    <w:rsid w:val="00A43697"/>
    <w:rsid w:val="00A437EE"/>
    <w:rsid w:val="00A4381E"/>
    <w:rsid w:val="00A43D8F"/>
    <w:rsid w:val="00A446D1"/>
    <w:rsid w:val="00A4476D"/>
    <w:rsid w:val="00A44A72"/>
    <w:rsid w:val="00A44BE3"/>
    <w:rsid w:val="00A44BEA"/>
    <w:rsid w:val="00A44C23"/>
    <w:rsid w:val="00A458BB"/>
    <w:rsid w:val="00A45C42"/>
    <w:rsid w:val="00A45F43"/>
    <w:rsid w:val="00A45F69"/>
    <w:rsid w:val="00A4614F"/>
    <w:rsid w:val="00A4643F"/>
    <w:rsid w:val="00A4649D"/>
    <w:rsid w:val="00A4665B"/>
    <w:rsid w:val="00A46875"/>
    <w:rsid w:val="00A46AAF"/>
    <w:rsid w:val="00A46B3C"/>
    <w:rsid w:val="00A46CB0"/>
    <w:rsid w:val="00A46F92"/>
    <w:rsid w:val="00A471C0"/>
    <w:rsid w:val="00A47208"/>
    <w:rsid w:val="00A4735D"/>
    <w:rsid w:val="00A47371"/>
    <w:rsid w:val="00A47445"/>
    <w:rsid w:val="00A47C7D"/>
    <w:rsid w:val="00A47F0E"/>
    <w:rsid w:val="00A50063"/>
    <w:rsid w:val="00A500B5"/>
    <w:rsid w:val="00A50325"/>
    <w:rsid w:val="00A5043B"/>
    <w:rsid w:val="00A50697"/>
    <w:rsid w:val="00A506AF"/>
    <w:rsid w:val="00A50A5E"/>
    <w:rsid w:val="00A50A6A"/>
    <w:rsid w:val="00A50F81"/>
    <w:rsid w:val="00A51046"/>
    <w:rsid w:val="00A510A0"/>
    <w:rsid w:val="00A51266"/>
    <w:rsid w:val="00A51563"/>
    <w:rsid w:val="00A521B7"/>
    <w:rsid w:val="00A522F4"/>
    <w:rsid w:val="00A52B22"/>
    <w:rsid w:val="00A52BFC"/>
    <w:rsid w:val="00A52FB1"/>
    <w:rsid w:val="00A53204"/>
    <w:rsid w:val="00A53615"/>
    <w:rsid w:val="00A53955"/>
    <w:rsid w:val="00A53DFD"/>
    <w:rsid w:val="00A53F5C"/>
    <w:rsid w:val="00A54318"/>
    <w:rsid w:val="00A5458D"/>
    <w:rsid w:val="00A546AA"/>
    <w:rsid w:val="00A5475C"/>
    <w:rsid w:val="00A54CF9"/>
    <w:rsid w:val="00A55064"/>
    <w:rsid w:val="00A551E3"/>
    <w:rsid w:val="00A5560D"/>
    <w:rsid w:val="00A5563E"/>
    <w:rsid w:val="00A55A63"/>
    <w:rsid w:val="00A55BED"/>
    <w:rsid w:val="00A55D68"/>
    <w:rsid w:val="00A55E13"/>
    <w:rsid w:val="00A55E50"/>
    <w:rsid w:val="00A568AD"/>
    <w:rsid w:val="00A56A1A"/>
    <w:rsid w:val="00A56A22"/>
    <w:rsid w:val="00A56EFF"/>
    <w:rsid w:val="00A57012"/>
    <w:rsid w:val="00A57093"/>
    <w:rsid w:val="00A57129"/>
    <w:rsid w:val="00A5718C"/>
    <w:rsid w:val="00A57395"/>
    <w:rsid w:val="00A57B86"/>
    <w:rsid w:val="00A6004A"/>
    <w:rsid w:val="00A605BD"/>
    <w:rsid w:val="00A60635"/>
    <w:rsid w:val="00A60F70"/>
    <w:rsid w:val="00A61566"/>
    <w:rsid w:val="00A61888"/>
    <w:rsid w:val="00A62185"/>
    <w:rsid w:val="00A6219F"/>
    <w:rsid w:val="00A62373"/>
    <w:rsid w:val="00A6274C"/>
    <w:rsid w:val="00A62896"/>
    <w:rsid w:val="00A62ADF"/>
    <w:rsid w:val="00A62B9E"/>
    <w:rsid w:val="00A62ED4"/>
    <w:rsid w:val="00A63137"/>
    <w:rsid w:val="00A632D0"/>
    <w:rsid w:val="00A6398C"/>
    <w:rsid w:val="00A63D1C"/>
    <w:rsid w:val="00A63E72"/>
    <w:rsid w:val="00A64D44"/>
    <w:rsid w:val="00A65041"/>
    <w:rsid w:val="00A650B7"/>
    <w:rsid w:val="00A65595"/>
    <w:rsid w:val="00A65B4A"/>
    <w:rsid w:val="00A65F89"/>
    <w:rsid w:val="00A660AA"/>
    <w:rsid w:val="00A66147"/>
    <w:rsid w:val="00A66345"/>
    <w:rsid w:val="00A66583"/>
    <w:rsid w:val="00A665AB"/>
    <w:rsid w:val="00A665E5"/>
    <w:rsid w:val="00A66715"/>
    <w:rsid w:val="00A6683A"/>
    <w:rsid w:val="00A66AE5"/>
    <w:rsid w:val="00A66B63"/>
    <w:rsid w:val="00A671C4"/>
    <w:rsid w:val="00A672B2"/>
    <w:rsid w:val="00A672FB"/>
    <w:rsid w:val="00A674C6"/>
    <w:rsid w:val="00A6793D"/>
    <w:rsid w:val="00A679E9"/>
    <w:rsid w:val="00A67A23"/>
    <w:rsid w:val="00A67C20"/>
    <w:rsid w:val="00A67F0E"/>
    <w:rsid w:val="00A70111"/>
    <w:rsid w:val="00A701EB"/>
    <w:rsid w:val="00A7042D"/>
    <w:rsid w:val="00A707A0"/>
    <w:rsid w:val="00A708B1"/>
    <w:rsid w:val="00A708C3"/>
    <w:rsid w:val="00A709C0"/>
    <w:rsid w:val="00A70B74"/>
    <w:rsid w:val="00A70DBA"/>
    <w:rsid w:val="00A70F9E"/>
    <w:rsid w:val="00A711F4"/>
    <w:rsid w:val="00A7135E"/>
    <w:rsid w:val="00A7185C"/>
    <w:rsid w:val="00A718FD"/>
    <w:rsid w:val="00A71C72"/>
    <w:rsid w:val="00A720A4"/>
    <w:rsid w:val="00A72236"/>
    <w:rsid w:val="00A722DC"/>
    <w:rsid w:val="00A724EC"/>
    <w:rsid w:val="00A728FA"/>
    <w:rsid w:val="00A72991"/>
    <w:rsid w:val="00A72F43"/>
    <w:rsid w:val="00A733C7"/>
    <w:rsid w:val="00A73870"/>
    <w:rsid w:val="00A7396B"/>
    <w:rsid w:val="00A73CF2"/>
    <w:rsid w:val="00A7439F"/>
    <w:rsid w:val="00A746D8"/>
    <w:rsid w:val="00A7471A"/>
    <w:rsid w:val="00A74781"/>
    <w:rsid w:val="00A747AF"/>
    <w:rsid w:val="00A74954"/>
    <w:rsid w:val="00A74C75"/>
    <w:rsid w:val="00A74C8D"/>
    <w:rsid w:val="00A7500B"/>
    <w:rsid w:val="00A752CA"/>
    <w:rsid w:val="00A755D9"/>
    <w:rsid w:val="00A75C38"/>
    <w:rsid w:val="00A75C64"/>
    <w:rsid w:val="00A7612B"/>
    <w:rsid w:val="00A7695A"/>
    <w:rsid w:val="00A76983"/>
    <w:rsid w:val="00A76AA4"/>
    <w:rsid w:val="00A76BAB"/>
    <w:rsid w:val="00A76D3D"/>
    <w:rsid w:val="00A77166"/>
    <w:rsid w:val="00A772C1"/>
    <w:rsid w:val="00A7776E"/>
    <w:rsid w:val="00A77B56"/>
    <w:rsid w:val="00A77B93"/>
    <w:rsid w:val="00A77D8A"/>
    <w:rsid w:val="00A803C6"/>
    <w:rsid w:val="00A803E5"/>
    <w:rsid w:val="00A805F0"/>
    <w:rsid w:val="00A808EB"/>
    <w:rsid w:val="00A80BF1"/>
    <w:rsid w:val="00A80D63"/>
    <w:rsid w:val="00A80DBF"/>
    <w:rsid w:val="00A812B3"/>
    <w:rsid w:val="00A8166E"/>
    <w:rsid w:val="00A81CBE"/>
    <w:rsid w:val="00A81F24"/>
    <w:rsid w:val="00A81FBA"/>
    <w:rsid w:val="00A82059"/>
    <w:rsid w:val="00A821A7"/>
    <w:rsid w:val="00A823C8"/>
    <w:rsid w:val="00A834CE"/>
    <w:rsid w:val="00A838BB"/>
    <w:rsid w:val="00A83B74"/>
    <w:rsid w:val="00A83B77"/>
    <w:rsid w:val="00A83BBA"/>
    <w:rsid w:val="00A83E32"/>
    <w:rsid w:val="00A84183"/>
    <w:rsid w:val="00A843C5"/>
    <w:rsid w:val="00A8463A"/>
    <w:rsid w:val="00A84B7B"/>
    <w:rsid w:val="00A84C97"/>
    <w:rsid w:val="00A85027"/>
    <w:rsid w:val="00A856C2"/>
    <w:rsid w:val="00A85755"/>
    <w:rsid w:val="00A858C2"/>
    <w:rsid w:val="00A85CCF"/>
    <w:rsid w:val="00A85CE5"/>
    <w:rsid w:val="00A863A6"/>
    <w:rsid w:val="00A863E1"/>
    <w:rsid w:val="00A8662A"/>
    <w:rsid w:val="00A86B90"/>
    <w:rsid w:val="00A87205"/>
    <w:rsid w:val="00A87209"/>
    <w:rsid w:val="00A87248"/>
    <w:rsid w:val="00A875AA"/>
    <w:rsid w:val="00A878E1"/>
    <w:rsid w:val="00A87DDC"/>
    <w:rsid w:val="00A87EBB"/>
    <w:rsid w:val="00A90122"/>
    <w:rsid w:val="00A90507"/>
    <w:rsid w:val="00A908F9"/>
    <w:rsid w:val="00A90A26"/>
    <w:rsid w:val="00A90A91"/>
    <w:rsid w:val="00A90CFA"/>
    <w:rsid w:val="00A90F18"/>
    <w:rsid w:val="00A9146A"/>
    <w:rsid w:val="00A91534"/>
    <w:rsid w:val="00A9158C"/>
    <w:rsid w:val="00A919EB"/>
    <w:rsid w:val="00A92099"/>
    <w:rsid w:val="00A922C1"/>
    <w:rsid w:val="00A922FD"/>
    <w:rsid w:val="00A9239C"/>
    <w:rsid w:val="00A923DF"/>
    <w:rsid w:val="00A9285D"/>
    <w:rsid w:val="00A92C03"/>
    <w:rsid w:val="00A92C7F"/>
    <w:rsid w:val="00A92D8D"/>
    <w:rsid w:val="00A93260"/>
    <w:rsid w:val="00A93548"/>
    <w:rsid w:val="00A93A47"/>
    <w:rsid w:val="00A94492"/>
    <w:rsid w:val="00A9474C"/>
    <w:rsid w:val="00A947C4"/>
    <w:rsid w:val="00A947F2"/>
    <w:rsid w:val="00A948B4"/>
    <w:rsid w:val="00A94EBC"/>
    <w:rsid w:val="00A95075"/>
    <w:rsid w:val="00A950B5"/>
    <w:rsid w:val="00A95230"/>
    <w:rsid w:val="00A9561E"/>
    <w:rsid w:val="00A9579C"/>
    <w:rsid w:val="00A95918"/>
    <w:rsid w:val="00A95954"/>
    <w:rsid w:val="00A95AF6"/>
    <w:rsid w:val="00A95BAB"/>
    <w:rsid w:val="00A95C27"/>
    <w:rsid w:val="00A96112"/>
    <w:rsid w:val="00A9645E"/>
    <w:rsid w:val="00A9667A"/>
    <w:rsid w:val="00A966FE"/>
    <w:rsid w:val="00A968CC"/>
    <w:rsid w:val="00A96916"/>
    <w:rsid w:val="00A969F3"/>
    <w:rsid w:val="00A96A0C"/>
    <w:rsid w:val="00A96A64"/>
    <w:rsid w:val="00A96D36"/>
    <w:rsid w:val="00A97068"/>
    <w:rsid w:val="00A97297"/>
    <w:rsid w:val="00A9759C"/>
    <w:rsid w:val="00A975F3"/>
    <w:rsid w:val="00A977B2"/>
    <w:rsid w:val="00A9780C"/>
    <w:rsid w:val="00A9792F"/>
    <w:rsid w:val="00A97A62"/>
    <w:rsid w:val="00A97BF7"/>
    <w:rsid w:val="00A97C4A"/>
    <w:rsid w:val="00A97C64"/>
    <w:rsid w:val="00A97D2D"/>
    <w:rsid w:val="00A97ED0"/>
    <w:rsid w:val="00A97F65"/>
    <w:rsid w:val="00AA010A"/>
    <w:rsid w:val="00AA05A6"/>
    <w:rsid w:val="00AA0954"/>
    <w:rsid w:val="00AA0D43"/>
    <w:rsid w:val="00AA0E51"/>
    <w:rsid w:val="00AA0E70"/>
    <w:rsid w:val="00AA0F7F"/>
    <w:rsid w:val="00AA1684"/>
    <w:rsid w:val="00AA1DFB"/>
    <w:rsid w:val="00AA20C4"/>
    <w:rsid w:val="00AA2E79"/>
    <w:rsid w:val="00AA3168"/>
    <w:rsid w:val="00AA3237"/>
    <w:rsid w:val="00AA32DC"/>
    <w:rsid w:val="00AA333F"/>
    <w:rsid w:val="00AA35F4"/>
    <w:rsid w:val="00AA37B5"/>
    <w:rsid w:val="00AA390E"/>
    <w:rsid w:val="00AA3A63"/>
    <w:rsid w:val="00AA43A0"/>
    <w:rsid w:val="00AA447D"/>
    <w:rsid w:val="00AA45D0"/>
    <w:rsid w:val="00AA4888"/>
    <w:rsid w:val="00AA4A30"/>
    <w:rsid w:val="00AA4C18"/>
    <w:rsid w:val="00AA4F89"/>
    <w:rsid w:val="00AA5059"/>
    <w:rsid w:val="00AA5236"/>
    <w:rsid w:val="00AA5448"/>
    <w:rsid w:val="00AA556A"/>
    <w:rsid w:val="00AA57F0"/>
    <w:rsid w:val="00AA5A75"/>
    <w:rsid w:val="00AA5D2E"/>
    <w:rsid w:val="00AA5D9E"/>
    <w:rsid w:val="00AA6A1B"/>
    <w:rsid w:val="00AA6C48"/>
    <w:rsid w:val="00AA70DD"/>
    <w:rsid w:val="00AA7583"/>
    <w:rsid w:val="00AA7651"/>
    <w:rsid w:val="00AA7780"/>
    <w:rsid w:val="00AA7AC7"/>
    <w:rsid w:val="00AA7B25"/>
    <w:rsid w:val="00AA7E91"/>
    <w:rsid w:val="00AA7F82"/>
    <w:rsid w:val="00AB0011"/>
    <w:rsid w:val="00AB0269"/>
    <w:rsid w:val="00AB036E"/>
    <w:rsid w:val="00AB045D"/>
    <w:rsid w:val="00AB0514"/>
    <w:rsid w:val="00AB07C2"/>
    <w:rsid w:val="00AB0879"/>
    <w:rsid w:val="00AB0C46"/>
    <w:rsid w:val="00AB0C7F"/>
    <w:rsid w:val="00AB0F2D"/>
    <w:rsid w:val="00AB1482"/>
    <w:rsid w:val="00AB170A"/>
    <w:rsid w:val="00AB205C"/>
    <w:rsid w:val="00AB2217"/>
    <w:rsid w:val="00AB2621"/>
    <w:rsid w:val="00AB2883"/>
    <w:rsid w:val="00AB2892"/>
    <w:rsid w:val="00AB2CCD"/>
    <w:rsid w:val="00AB2F67"/>
    <w:rsid w:val="00AB33C6"/>
    <w:rsid w:val="00AB3650"/>
    <w:rsid w:val="00AB3A36"/>
    <w:rsid w:val="00AB3AA0"/>
    <w:rsid w:val="00AB4433"/>
    <w:rsid w:val="00AB4488"/>
    <w:rsid w:val="00AB45AC"/>
    <w:rsid w:val="00AB45DA"/>
    <w:rsid w:val="00AB467D"/>
    <w:rsid w:val="00AB494B"/>
    <w:rsid w:val="00AB4D9A"/>
    <w:rsid w:val="00AB51A9"/>
    <w:rsid w:val="00AB56BA"/>
    <w:rsid w:val="00AB5B11"/>
    <w:rsid w:val="00AB5F31"/>
    <w:rsid w:val="00AB6696"/>
    <w:rsid w:val="00AB6A5A"/>
    <w:rsid w:val="00AB6D03"/>
    <w:rsid w:val="00AB754B"/>
    <w:rsid w:val="00AB77A1"/>
    <w:rsid w:val="00AB77C1"/>
    <w:rsid w:val="00AB7C20"/>
    <w:rsid w:val="00AB7FFA"/>
    <w:rsid w:val="00AC06CD"/>
    <w:rsid w:val="00AC0805"/>
    <w:rsid w:val="00AC0815"/>
    <w:rsid w:val="00AC0A9C"/>
    <w:rsid w:val="00AC116A"/>
    <w:rsid w:val="00AC126E"/>
    <w:rsid w:val="00AC190A"/>
    <w:rsid w:val="00AC193A"/>
    <w:rsid w:val="00AC1F60"/>
    <w:rsid w:val="00AC23A5"/>
    <w:rsid w:val="00AC24E2"/>
    <w:rsid w:val="00AC25F3"/>
    <w:rsid w:val="00AC27A0"/>
    <w:rsid w:val="00AC29D3"/>
    <w:rsid w:val="00AC2D41"/>
    <w:rsid w:val="00AC31B8"/>
    <w:rsid w:val="00AC34B9"/>
    <w:rsid w:val="00AC376A"/>
    <w:rsid w:val="00AC40AB"/>
    <w:rsid w:val="00AC40D8"/>
    <w:rsid w:val="00AC4346"/>
    <w:rsid w:val="00AC45D0"/>
    <w:rsid w:val="00AC4867"/>
    <w:rsid w:val="00AC4CB2"/>
    <w:rsid w:val="00AC53CF"/>
    <w:rsid w:val="00AC54B9"/>
    <w:rsid w:val="00AC5620"/>
    <w:rsid w:val="00AC5B62"/>
    <w:rsid w:val="00AC5D4F"/>
    <w:rsid w:val="00AC5F7F"/>
    <w:rsid w:val="00AC65B4"/>
    <w:rsid w:val="00AC6650"/>
    <w:rsid w:val="00AC6784"/>
    <w:rsid w:val="00AC6980"/>
    <w:rsid w:val="00AC6D2D"/>
    <w:rsid w:val="00AC73DE"/>
    <w:rsid w:val="00AC7667"/>
    <w:rsid w:val="00AC7731"/>
    <w:rsid w:val="00AC79FD"/>
    <w:rsid w:val="00AD016F"/>
    <w:rsid w:val="00AD01A2"/>
    <w:rsid w:val="00AD06E7"/>
    <w:rsid w:val="00AD08EB"/>
    <w:rsid w:val="00AD0C1C"/>
    <w:rsid w:val="00AD0E60"/>
    <w:rsid w:val="00AD1588"/>
    <w:rsid w:val="00AD1748"/>
    <w:rsid w:val="00AD1B9F"/>
    <w:rsid w:val="00AD1BA4"/>
    <w:rsid w:val="00AD1CD5"/>
    <w:rsid w:val="00AD1DBF"/>
    <w:rsid w:val="00AD1F00"/>
    <w:rsid w:val="00AD205D"/>
    <w:rsid w:val="00AD28D0"/>
    <w:rsid w:val="00AD298F"/>
    <w:rsid w:val="00AD2D84"/>
    <w:rsid w:val="00AD3833"/>
    <w:rsid w:val="00AD3988"/>
    <w:rsid w:val="00AD4325"/>
    <w:rsid w:val="00AD43F6"/>
    <w:rsid w:val="00AD4A90"/>
    <w:rsid w:val="00AD4BF5"/>
    <w:rsid w:val="00AD4C43"/>
    <w:rsid w:val="00AD4CB3"/>
    <w:rsid w:val="00AD509E"/>
    <w:rsid w:val="00AD50FA"/>
    <w:rsid w:val="00AD5187"/>
    <w:rsid w:val="00AD525B"/>
    <w:rsid w:val="00AD53F6"/>
    <w:rsid w:val="00AD5538"/>
    <w:rsid w:val="00AD5937"/>
    <w:rsid w:val="00AD5A06"/>
    <w:rsid w:val="00AD5CA0"/>
    <w:rsid w:val="00AD60D5"/>
    <w:rsid w:val="00AD63C9"/>
    <w:rsid w:val="00AD6748"/>
    <w:rsid w:val="00AD6A3C"/>
    <w:rsid w:val="00AD6B19"/>
    <w:rsid w:val="00AD6CE8"/>
    <w:rsid w:val="00AD6F0B"/>
    <w:rsid w:val="00AD732F"/>
    <w:rsid w:val="00AD78F2"/>
    <w:rsid w:val="00AD7AA5"/>
    <w:rsid w:val="00AD7C03"/>
    <w:rsid w:val="00AD7E48"/>
    <w:rsid w:val="00AE000D"/>
    <w:rsid w:val="00AE023B"/>
    <w:rsid w:val="00AE0266"/>
    <w:rsid w:val="00AE04BC"/>
    <w:rsid w:val="00AE097C"/>
    <w:rsid w:val="00AE0D55"/>
    <w:rsid w:val="00AE13F5"/>
    <w:rsid w:val="00AE17D4"/>
    <w:rsid w:val="00AE1B39"/>
    <w:rsid w:val="00AE1BB1"/>
    <w:rsid w:val="00AE1D5C"/>
    <w:rsid w:val="00AE201F"/>
    <w:rsid w:val="00AE2492"/>
    <w:rsid w:val="00AE2499"/>
    <w:rsid w:val="00AE2742"/>
    <w:rsid w:val="00AE2763"/>
    <w:rsid w:val="00AE284E"/>
    <w:rsid w:val="00AE2C2D"/>
    <w:rsid w:val="00AE2CF6"/>
    <w:rsid w:val="00AE2F7B"/>
    <w:rsid w:val="00AE323B"/>
    <w:rsid w:val="00AE336C"/>
    <w:rsid w:val="00AE35F2"/>
    <w:rsid w:val="00AE3A57"/>
    <w:rsid w:val="00AE3E09"/>
    <w:rsid w:val="00AE3EEE"/>
    <w:rsid w:val="00AE409F"/>
    <w:rsid w:val="00AE42EB"/>
    <w:rsid w:val="00AE44E9"/>
    <w:rsid w:val="00AE4601"/>
    <w:rsid w:val="00AE4641"/>
    <w:rsid w:val="00AE5687"/>
    <w:rsid w:val="00AE5964"/>
    <w:rsid w:val="00AE5FB6"/>
    <w:rsid w:val="00AE63C1"/>
    <w:rsid w:val="00AE67CA"/>
    <w:rsid w:val="00AE6C3C"/>
    <w:rsid w:val="00AE6C79"/>
    <w:rsid w:val="00AE6CB4"/>
    <w:rsid w:val="00AE6CDC"/>
    <w:rsid w:val="00AE714B"/>
    <w:rsid w:val="00AE721D"/>
    <w:rsid w:val="00AE7359"/>
    <w:rsid w:val="00AE742E"/>
    <w:rsid w:val="00AE7599"/>
    <w:rsid w:val="00AE7A6E"/>
    <w:rsid w:val="00AE7AD0"/>
    <w:rsid w:val="00AE7F83"/>
    <w:rsid w:val="00AF036B"/>
    <w:rsid w:val="00AF0529"/>
    <w:rsid w:val="00AF0700"/>
    <w:rsid w:val="00AF0BC6"/>
    <w:rsid w:val="00AF0BD0"/>
    <w:rsid w:val="00AF1193"/>
    <w:rsid w:val="00AF13D7"/>
    <w:rsid w:val="00AF1805"/>
    <w:rsid w:val="00AF1942"/>
    <w:rsid w:val="00AF1952"/>
    <w:rsid w:val="00AF1966"/>
    <w:rsid w:val="00AF1A8A"/>
    <w:rsid w:val="00AF1BAB"/>
    <w:rsid w:val="00AF1ECD"/>
    <w:rsid w:val="00AF2490"/>
    <w:rsid w:val="00AF27DF"/>
    <w:rsid w:val="00AF34D9"/>
    <w:rsid w:val="00AF3528"/>
    <w:rsid w:val="00AF3758"/>
    <w:rsid w:val="00AF3CD4"/>
    <w:rsid w:val="00AF3EB8"/>
    <w:rsid w:val="00AF41AC"/>
    <w:rsid w:val="00AF421D"/>
    <w:rsid w:val="00AF4C10"/>
    <w:rsid w:val="00AF4DD7"/>
    <w:rsid w:val="00AF5202"/>
    <w:rsid w:val="00AF54E1"/>
    <w:rsid w:val="00AF59CD"/>
    <w:rsid w:val="00AF5EFD"/>
    <w:rsid w:val="00AF602C"/>
    <w:rsid w:val="00AF624D"/>
    <w:rsid w:val="00AF6456"/>
    <w:rsid w:val="00AF6640"/>
    <w:rsid w:val="00AF6A48"/>
    <w:rsid w:val="00AF6FD5"/>
    <w:rsid w:val="00AF73E3"/>
    <w:rsid w:val="00AF759F"/>
    <w:rsid w:val="00AF75EA"/>
    <w:rsid w:val="00AF7EF2"/>
    <w:rsid w:val="00B0006C"/>
    <w:rsid w:val="00B00092"/>
    <w:rsid w:val="00B012BC"/>
    <w:rsid w:val="00B012ED"/>
    <w:rsid w:val="00B013BC"/>
    <w:rsid w:val="00B0165C"/>
    <w:rsid w:val="00B016EA"/>
    <w:rsid w:val="00B01E4F"/>
    <w:rsid w:val="00B02106"/>
    <w:rsid w:val="00B022BE"/>
    <w:rsid w:val="00B0246C"/>
    <w:rsid w:val="00B02780"/>
    <w:rsid w:val="00B02E2C"/>
    <w:rsid w:val="00B02FD4"/>
    <w:rsid w:val="00B0327A"/>
    <w:rsid w:val="00B03A95"/>
    <w:rsid w:val="00B03D6B"/>
    <w:rsid w:val="00B03D78"/>
    <w:rsid w:val="00B044F2"/>
    <w:rsid w:val="00B045E7"/>
    <w:rsid w:val="00B04763"/>
    <w:rsid w:val="00B049F6"/>
    <w:rsid w:val="00B04A86"/>
    <w:rsid w:val="00B04C28"/>
    <w:rsid w:val="00B04F3E"/>
    <w:rsid w:val="00B04FB3"/>
    <w:rsid w:val="00B05296"/>
    <w:rsid w:val="00B061D3"/>
    <w:rsid w:val="00B061ED"/>
    <w:rsid w:val="00B0630D"/>
    <w:rsid w:val="00B06345"/>
    <w:rsid w:val="00B064E4"/>
    <w:rsid w:val="00B06739"/>
    <w:rsid w:val="00B06C44"/>
    <w:rsid w:val="00B06E20"/>
    <w:rsid w:val="00B06EF5"/>
    <w:rsid w:val="00B07349"/>
    <w:rsid w:val="00B076B5"/>
    <w:rsid w:val="00B0797E"/>
    <w:rsid w:val="00B079EC"/>
    <w:rsid w:val="00B07C16"/>
    <w:rsid w:val="00B07DB2"/>
    <w:rsid w:val="00B10165"/>
    <w:rsid w:val="00B1019E"/>
    <w:rsid w:val="00B104D2"/>
    <w:rsid w:val="00B105B5"/>
    <w:rsid w:val="00B10A04"/>
    <w:rsid w:val="00B110B6"/>
    <w:rsid w:val="00B118AD"/>
    <w:rsid w:val="00B118C2"/>
    <w:rsid w:val="00B11C41"/>
    <w:rsid w:val="00B11F3E"/>
    <w:rsid w:val="00B121A5"/>
    <w:rsid w:val="00B1227F"/>
    <w:rsid w:val="00B12445"/>
    <w:rsid w:val="00B1247A"/>
    <w:rsid w:val="00B1272F"/>
    <w:rsid w:val="00B12759"/>
    <w:rsid w:val="00B1288F"/>
    <w:rsid w:val="00B12A75"/>
    <w:rsid w:val="00B12B28"/>
    <w:rsid w:val="00B12BC0"/>
    <w:rsid w:val="00B12DE5"/>
    <w:rsid w:val="00B130CC"/>
    <w:rsid w:val="00B13404"/>
    <w:rsid w:val="00B13734"/>
    <w:rsid w:val="00B1394D"/>
    <w:rsid w:val="00B13ECE"/>
    <w:rsid w:val="00B141AF"/>
    <w:rsid w:val="00B145D6"/>
    <w:rsid w:val="00B147D8"/>
    <w:rsid w:val="00B14B61"/>
    <w:rsid w:val="00B14C64"/>
    <w:rsid w:val="00B14D4C"/>
    <w:rsid w:val="00B14F30"/>
    <w:rsid w:val="00B15353"/>
    <w:rsid w:val="00B15458"/>
    <w:rsid w:val="00B1588A"/>
    <w:rsid w:val="00B15E9E"/>
    <w:rsid w:val="00B15FF1"/>
    <w:rsid w:val="00B166FB"/>
    <w:rsid w:val="00B1674A"/>
    <w:rsid w:val="00B16A89"/>
    <w:rsid w:val="00B16F49"/>
    <w:rsid w:val="00B17158"/>
    <w:rsid w:val="00B171D0"/>
    <w:rsid w:val="00B1747C"/>
    <w:rsid w:val="00B178F5"/>
    <w:rsid w:val="00B17E82"/>
    <w:rsid w:val="00B20337"/>
    <w:rsid w:val="00B20524"/>
    <w:rsid w:val="00B20C88"/>
    <w:rsid w:val="00B20F07"/>
    <w:rsid w:val="00B20F62"/>
    <w:rsid w:val="00B20FBC"/>
    <w:rsid w:val="00B21470"/>
    <w:rsid w:val="00B214FC"/>
    <w:rsid w:val="00B215C7"/>
    <w:rsid w:val="00B21CA7"/>
    <w:rsid w:val="00B21D88"/>
    <w:rsid w:val="00B21EC8"/>
    <w:rsid w:val="00B2210D"/>
    <w:rsid w:val="00B2211D"/>
    <w:rsid w:val="00B22742"/>
    <w:rsid w:val="00B22905"/>
    <w:rsid w:val="00B22B61"/>
    <w:rsid w:val="00B22DB1"/>
    <w:rsid w:val="00B22EFA"/>
    <w:rsid w:val="00B22EFC"/>
    <w:rsid w:val="00B22F49"/>
    <w:rsid w:val="00B2308D"/>
    <w:rsid w:val="00B2336B"/>
    <w:rsid w:val="00B235EF"/>
    <w:rsid w:val="00B23A77"/>
    <w:rsid w:val="00B23AF1"/>
    <w:rsid w:val="00B23ED7"/>
    <w:rsid w:val="00B249C5"/>
    <w:rsid w:val="00B24BE9"/>
    <w:rsid w:val="00B25479"/>
    <w:rsid w:val="00B256F8"/>
    <w:rsid w:val="00B257BF"/>
    <w:rsid w:val="00B266F8"/>
    <w:rsid w:val="00B26B43"/>
    <w:rsid w:val="00B26F69"/>
    <w:rsid w:val="00B270D1"/>
    <w:rsid w:val="00B270F6"/>
    <w:rsid w:val="00B2726E"/>
    <w:rsid w:val="00B2732D"/>
    <w:rsid w:val="00B27366"/>
    <w:rsid w:val="00B273D3"/>
    <w:rsid w:val="00B273D9"/>
    <w:rsid w:val="00B27722"/>
    <w:rsid w:val="00B27897"/>
    <w:rsid w:val="00B27BFC"/>
    <w:rsid w:val="00B3004F"/>
    <w:rsid w:val="00B30878"/>
    <w:rsid w:val="00B30BED"/>
    <w:rsid w:val="00B31305"/>
    <w:rsid w:val="00B3158C"/>
    <w:rsid w:val="00B3161C"/>
    <w:rsid w:val="00B31C24"/>
    <w:rsid w:val="00B31DA0"/>
    <w:rsid w:val="00B31EC6"/>
    <w:rsid w:val="00B31F96"/>
    <w:rsid w:val="00B3265D"/>
    <w:rsid w:val="00B329CE"/>
    <w:rsid w:val="00B32A1B"/>
    <w:rsid w:val="00B32C70"/>
    <w:rsid w:val="00B32CE9"/>
    <w:rsid w:val="00B32F8F"/>
    <w:rsid w:val="00B32FF5"/>
    <w:rsid w:val="00B3323F"/>
    <w:rsid w:val="00B33562"/>
    <w:rsid w:val="00B33D65"/>
    <w:rsid w:val="00B33F31"/>
    <w:rsid w:val="00B34029"/>
    <w:rsid w:val="00B342CE"/>
    <w:rsid w:val="00B34513"/>
    <w:rsid w:val="00B34BF0"/>
    <w:rsid w:val="00B34CFB"/>
    <w:rsid w:val="00B34FB5"/>
    <w:rsid w:val="00B35342"/>
    <w:rsid w:val="00B354FA"/>
    <w:rsid w:val="00B35782"/>
    <w:rsid w:val="00B3583E"/>
    <w:rsid w:val="00B3584E"/>
    <w:rsid w:val="00B359CD"/>
    <w:rsid w:val="00B35A64"/>
    <w:rsid w:val="00B35A6D"/>
    <w:rsid w:val="00B35C69"/>
    <w:rsid w:val="00B36542"/>
    <w:rsid w:val="00B3681C"/>
    <w:rsid w:val="00B3683A"/>
    <w:rsid w:val="00B36AB0"/>
    <w:rsid w:val="00B36ABF"/>
    <w:rsid w:val="00B36BDB"/>
    <w:rsid w:val="00B373F5"/>
    <w:rsid w:val="00B3748C"/>
    <w:rsid w:val="00B374AB"/>
    <w:rsid w:val="00B3764A"/>
    <w:rsid w:val="00B377B1"/>
    <w:rsid w:val="00B378F0"/>
    <w:rsid w:val="00B37926"/>
    <w:rsid w:val="00B37A6A"/>
    <w:rsid w:val="00B37AF1"/>
    <w:rsid w:val="00B403C7"/>
    <w:rsid w:val="00B40BA7"/>
    <w:rsid w:val="00B40DD9"/>
    <w:rsid w:val="00B41438"/>
    <w:rsid w:val="00B4147F"/>
    <w:rsid w:val="00B4154C"/>
    <w:rsid w:val="00B41A9A"/>
    <w:rsid w:val="00B41F2E"/>
    <w:rsid w:val="00B41F80"/>
    <w:rsid w:val="00B42B1E"/>
    <w:rsid w:val="00B42E58"/>
    <w:rsid w:val="00B42FA4"/>
    <w:rsid w:val="00B42FC8"/>
    <w:rsid w:val="00B4320F"/>
    <w:rsid w:val="00B432B7"/>
    <w:rsid w:val="00B43607"/>
    <w:rsid w:val="00B43916"/>
    <w:rsid w:val="00B43B43"/>
    <w:rsid w:val="00B43BFB"/>
    <w:rsid w:val="00B43E1A"/>
    <w:rsid w:val="00B43E40"/>
    <w:rsid w:val="00B4417F"/>
    <w:rsid w:val="00B44A77"/>
    <w:rsid w:val="00B44BD0"/>
    <w:rsid w:val="00B44F36"/>
    <w:rsid w:val="00B453CA"/>
    <w:rsid w:val="00B45A04"/>
    <w:rsid w:val="00B45EBC"/>
    <w:rsid w:val="00B45ECA"/>
    <w:rsid w:val="00B45F3C"/>
    <w:rsid w:val="00B4620C"/>
    <w:rsid w:val="00B463CC"/>
    <w:rsid w:val="00B4689B"/>
    <w:rsid w:val="00B46A8E"/>
    <w:rsid w:val="00B47244"/>
    <w:rsid w:val="00B473A9"/>
    <w:rsid w:val="00B47621"/>
    <w:rsid w:val="00B4777C"/>
    <w:rsid w:val="00B477C8"/>
    <w:rsid w:val="00B479B6"/>
    <w:rsid w:val="00B479CD"/>
    <w:rsid w:val="00B47AB1"/>
    <w:rsid w:val="00B507F7"/>
    <w:rsid w:val="00B5094D"/>
    <w:rsid w:val="00B50995"/>
    <w:rsid w:val="00B50B1A"/>
    <w:rsid w:val="00B50B88"/>
    <w:rsid w:val="00B50E14"/>
    <w:rsid w:val="00B50FCF"/>
    <w:rsid w:val="00B511FB"/>
    <w:rsid w:val="00B51235"/>
    <w:rsid w:val="00B512B1"/>
    <w:rsid w:val="00B51A4F"/>
    <w:rsid w:val="00B528D5"/>
    <w:rsid w:val="00B52993"/>
    <w:rsid w:val="00B52D27"/>
    <w:rsid w:val="00B535F1"/>
    <w:rsid w:val="00B53C1D"/>
    <w:rsid w:val="00B53C99"/>
    <w:rsid w:val="00B54101"/>
    <w:rsid w:val="00B5415B"/>
    <w:rsid w:val="00B5432D"/>
    <w:rsid w:val="00B5447E"/>
    <w:rsid w:val="00B54610"/>
    <w:rsid w:val="00B54724"/>
    <w:rsid w:val="00B548ED"/>
    <w:rsid w:val="00B54AB3"/>
    <w:rsid w:val="00B54F6A"/>
    <w:rsid w:val="00B55058"/>
    <w:rsid w:val="00B55326"/>
    <w:rsid w:val="00B553EF"/>
    <w:rsid w:val="00B5547B"/>
    <w:rsid w:val="00B554AA"/>
    <w:rsid w:val="00B557AD"/>
    <w:rsid w:val="00B559E0"/>
    <w:rsid w:val="00B56299"/>
    <w:rsid w:val="00B56576"/>
    <w:rsid w:val="00B5662B"/>
    <w:rsid w:val="00B56C2B"/>
    <w:rsid w:val="00B57956"/>
    <w:rsid w:val="00B57C40"/>
    <w:rsid w:val="00B57DC6"/>
    <w:rsid w:val="00B60208"/>
    <w:rsid w:val="00B60335"/>
    <w:rsid w:val="00B60546"/>
    <w:rsid w:val="00B60FC7"/>
    <w:rsid w:val="00B60FDF"/>
    <w:rsid w:val="00B6101C"/>
    <w:rsid w:val="00B6116D"/>
    <w:rsid w:val="00B611B0"/>
    <w:rsid w:val="00B6157B"/>
    <w:rsid w:val="00B6157F"/>
    <w:rsid w:val="00B615D3"/>
    <w:rsid w:val="00B616B5"/>
    <w:rsid w:val="00B61A2D"/>
    <w:rsid w:val="00B61BD2"/>
    <w:rsid w:val="00B61C3A"/>
    <w:rsid w:val="00B61F52"/>
    <w:rsid w:val="00B622DA"/>
    <w:rsid w:val="00B62864"/>
    <w:rsid w:val="00B628BD"/>
    <w:rsid w:val="00B62903"/>
    <w:rsid w:val="00B629EA"/>
    <w:rsid w:val="00B62D98"/>
    <w:rsid w:val="00B62DB1"/>
    <w:rsid w:val="00B63105"/>
    <w:rsid w:val="00B6321D"/>
    <w:rsid w:val="00B63410"/>
    <w:rsid w:val="00B63C17"/>
    <w:rsid w:val="00B63CD7"/>
    <w:rsid w:val="00B63DB7"/>
    <w:rsid w:val="00B63DFC"/>
    <w:rsid w:val="00B641DC"/>
    <w:rsid w:val="00B64281"/>
    <w:rsid w:val="00B64412"/>
    <w:rsid w:val="00B6450C"/>
    <w:rsid w:val="00B64628"/>
    <w:rsid w:val="00B646EF"/>
    <w:rsid w:val="00B64D5F"/>
    <w:rsid w:val="00B64E9F"/>
    <w:rsid w:val="00B65589"/>
    <w:rsid w:val="00B655B7"/>
    <w:rsid w:val="00B659A4"/>
    <w:rsid w:val="00B65BAC"/>
    <w:rsid w:val="00B66442"/>
    <w:rsid w:val="00B66A87"/>
    <w:rsid w:val="00B66B14"/>
    <w:rsid w:val="00B66C99"/>
    <w:rsid w:val="00B6749D"/>
    <w:rsid w:val="00B674A8"/>
    <w:rsid w:val="00B6764B"/>
    <w:rsid w:val="00B678E6"/>
    <w:rsid w:val="00B679F2"/>
    <w:rsid w:val="00B67AC4"/>
    <w:rsid w:val="00B67C5F"/>
    <w:rsid w:val="00B67D64"/>
    <w:rsid w:val="00B701E0"/>
    <w:rsid w:val="00B70209"/>
    <w:rsid w:val="00B70467"/>
    <w:rsid w:val="00B70501"/>
    <w:rsid w:val="00B70533"/>
    <w:rsid w:val="00B7081C"/>
    <w:rsid w:val="00B70838"/>
    <w:rsid w:val="00B7086C"/>
    <w:rsid w:val="00B709BA"/>
    <w:rsid w:val="00B70BAE"/>
    <w:rsid w:val="00B70C80"/>
    <w:rsid w:val="00B70C99"/>
    <w:rsid w:val="00B70D96"/>
    <w:rsid w:val="00B70F07"/>
    <w:rsid w:val="00B71019"/>
    <w:rsid w:val="00B71110"/>
    <w:rsid w:val="00B71172"/>
    <w:rsid w:val="00B7138F"/>
    <w:rsid w:val="00B71546"/>
    <w:rsid w:val="00B715C0"/>
    <w:rsid w:val="00B71695"/>
    <w:rsid w:val="00B716C0"/>
    <w:rsid w:val="00B71C88"/>
    <w:rsid w:val="00B71F49"/>
    <w:rsid w:val="00B723F8"/>
    <w:rsid w:val="00B72538"/>
    <w:rsid w:val="00B72745"/>
    <w:rsid w:val="00B728B3"/>
    <w:rsid w:val="00B72B69"/>
    <w:rsid w:val="00B72FE9"/>
    <w:rsid w:val="00B730B1"/>
    <w:rsid w:val="00B73101"/>
    <w:rsid w:val="00B731CD"/>
    <w:rsid w:val="00B7326C"/>
    <w:rsid w:val="00B73587"/>
    <w:rsid w:val="00B73623"/>
    <w:rsid w:val="00B73748"/>
    <w:rsid w:val="00B73982"/>
    <w:rsid w:val="00B73C51"/>
    <w:rsid w:val="00B73FFE"/>
    <w:rsid w:val="00B742FC"/>
    <w:rsid w:val="00B7454E"/>
    <w:rsid w:val="00B74FC2"/>
    <w:rsid w:val="00B75043"/>
    <w:rsid w:val="00B75703"/>
    <w:rsid w:val="00B759E3"/>
    <w:rsid w:val="00B75A5E"/>
    <w:rsid w:val="00B75DDD"/>
    <w:rsid w:val="00B75F04"/>
    <w:rsid w:val="00B76054"/>
    <w:rsid w:val="00B76815"/>
    <w:rsid w:val="00B768B1"/>
    <w:rsid w:val="00B7692E"/>
    <w:rsid w:val="00B76E52"/>
    <w:rsid w:val="00B76ED5"/>
    <w:rsid w:val="00B77135"/>
    <w:rsid w:val="00B77269"/>
    <w:rsid w:val="00B772F2"/>
    <w:rsid w:val="00B775E7"/>
    <w:rsid w:val="00B7789F"/>
    <w:rsid w:val="00B77A27"/>
    <w:rsid w:val="00B77BCA"/>
    <w:rsid w:val="00B8008A"/>
    <w:rsid w:val="00B80410"/>
    <w:rsid w:val="00B804E4"/>
    <w:rsid w:val="00B80684"/>
    <w:rsid w:val="00B80B17"/>
    <w:rsid w:val="00B80B86"/>
    <w:rsid w:val="00B80C1F"/>
    <w:rsid w:val="00B80CC2"/>
    <w:rsid w:val="00B80DEE"/>
    <w:rsid w:val="00B80FC1"/>
    <w:rsid w:val="00B81022"/>
    <w:rsid w:val="00B815FE"/>
    <w:rsid w:val="00B81681"/>
    <w:rsid w:val="00B81A81"/>
    <w:rsid w:val="00B81BDF"/>
    <w:rsid w:val="00B81BE6"/>
    <w:rsid w:val="00B81F34"/>
    <w:rsid w:val="00B82344"/>
    <w:rsid w:val="00B82454"/>
    <w:rsid w:val="00B8260A"/>
    <w:rsid w:val="00B8291D"/>
    <w:rsid w:val="00B82C83"/>
    <w:rsid w:val="00B82DFC"/>
    <w:rsid w:val="00B82EC4"/>
    <w:rsid w:val="00B82F88"/>
    <w:rsid w:val="00B83061"/>
    <w:rsid w:val="00B83163"/>
    <w:rsid w:val="00B83465"/>
    <w:rsid w:val="00B83571"/>
    <w:rsid w:val="00B8389C"/>
    <w:rsid w:val="00B83A01"/>
    <w:rsid w:val="00B840CF"/>
    <w:rsid w:val="00B8423E"/>
    <w:rsid w:val="00B84525"/>
    <w:rsid w:val="00B845FB"/>
    <w:rsid w:val="00B847F0"/>
    <w:rsid w:val="00B84826"/>
    <w:rsid w:val="00B84B58"/>
    <w:rsid w:val="00B85080"/>
    <w:rsid w:val="00B851D2"/>
    <w:rsid w:val="00B851DF"/>
    <w:rsid w:val="00B853A2"/>
    <w:rsid w:val="00B85BF3"/>
    <w:rsid w:val="00B860E8"/>
    <w:rsid w:val="00B86118"/>
    <w:rsid w:val="00B861DD"/>
    <w:rsid w:val="00B86635"/>
    <w:rsid w:val="00B86902"/>
    <w:rsid w:val="00B8715D"/>
    <w:rsid w:val="00B87838"/>
    <w:rsid w:val="00B87E57"/>
    <w:rsid w:val="00B90175"/>
    <w:rsid w:val="00B90206"/>
    <w:rsid w:val="00B9029B"/>
    <w:rsid w:val="00B90430"/>
    <w:rsid w:val="00B905DA"/>
    <w:rsid w:val="00B90729"/>
    <w:rsid w:val="00B90ACB"/>
    <w:rsid w:val="00B90CBC"/>
    <w:rsid w:val="00B91D1F"/>
    <w:rsid w:val="00B91DFC"/>
    <w:rsid w:val="00B92106"/>
    <w:rsid w:val="00B92124"/>
    <w:rsid w:val="00B923DB"/>
    <w:rsid w:val="00B92424"/>
    <w:rsid w:val="00B9257C"/>
    <w:rsid w:val="00B9273B"/>
    <w:rsid w:val="00B92FAA"/>
    <w:rsid w:val="00B933F2"/>
    <w:rsid w:val="00B9355E"/>
    <w:rsid w:val="00B9358B"/>
    <w:rsid w:val="00B9393C"/>
    <w:rsid w:val="00B93E13"/>
    <w:rsid w:val="00B93ECB"/>
    <w:rsid w:val="00B941A0"/>
    <w:rsid w:val="00B94B4D"/>
    <w:rsid w:val="00B94FE5"/>
    <w:rsid w:val="00B95211"/>
    <w:rsid w:val="00B953C0"/>
    <w:rsid w:val="00B95FF8"/>
    <w:rsid w:val="00B963DA"/>
    <w:rsid w:val="00B964BE"/>
    <w:rsid w:val="00B96750"/>
    <w:rsid w:val="00B967A0"/>
    <w:rsid w:val="00B96963"/>
    <w:rsid w:val="00B96BBB"/>
    <w:rsid w:val="00B96C47"/>
    <w:rsid w:val="00B96D13"/>
    <w:rsid w:val="00B96F12"/>
    <w:rsid w:val="00B97601"/>
    <w:rsid w:val="00B97671"/>
    <w:rsid w:val="00B978FC"/>
    <w:rsid w:val="00B97915"/>
    <w:rsid w:val="00B97988"/>
    <w:rsid w:val="00B979FC"/>
    <w:rsid w:val="00B97A1C"/>
    <w:rsid w:val="00B97A98"/>
    <w:rsid w:val="00B97B32"/>
    <w:rsid w:val="00B97CFE"/>
    <w:rsid w:val="00B97D9B"/>
    <w:rsid w:val="00B97E52"/>
    <w:rsid w:val="00BA030E"/>
    <w:rsid w:val="00BA0362"/>
    <w:rsid w:val="00BA0BAD"/>
    <w:rsid w:val="00BA11E5"/>
    <w:rsid w:val="00BA1221"/>
    <w:rsid w:val="00BA1390"/>
    <w:rsid w:val="00BA15F3"/>
    <w:rsid w:val="00BA164E"/>
    <w:rsid w:val="00BA1668"/>
    <w:rsid w:val="00BA19BF"/>
    <w:rsid w:val="00BA19DB"/>
    <w:rsid w:val="00BA1CEE"/>
    <w:rsid w:val="00BA1E79"/>
    <w:rsid w:val="00BA291F"/>
    <w:rsid w:val="00BA2D85"/>
    <w:rsid w:val="00BA32A3"/>
    <w:rsid w:val="00BA34E5"/>
    <w:rsid w:val="00BA3652"/>
    <w:rsid w:val="00BA3A48"/>
    <w:rsid w:val="00BA3DFC"/>
    <w:rsid w:val="00BA3F67"/>
    <w:rsid w:val="00BA42CD"/>
    <w:rsid w:val="00BA442B"/>
    <w:rsid w:val="00BA4441"/>
    <w:rsid w:val="00BA44DE"/>
    <w:rsid w:val="00BA4635"/>
    <w:rsid w:val="00BA46F0"/>
    <w:rsid w:val="00BA4735"/>
    <w:rsid w:val="00BA4E9D"/>
    <w:rsid w:val="00BA54E8"/>
    <w:rsid w:val="00BA5594"/>
    <w:rsid w:val="00BA559C"/>
    <w:rsid w:val="00BA5B08"/>
    <w:rsid w:val="00BA5C94"/>
    <w:rsid w:val="00BA5CF5"/>
    <w:rsid w:val="00BA6269"/>
    <w:rsid w:val="00BA62BF"/>
    <w:rsid w:val="00BA635F"/>
    <w:rsid w:val="00BA6941"/>
    <w:rsid w:val="00BA6983"/>
    <w:rsid w:val="00BA6A57"/>
    <w:rsid w:val="00BA6D87"/>
    <w:rsid w:val="00BA6DE5"/>
    <w:rsid w:val="00BA7301"/>
    <w:rsid w:val="00BA735A"/>
    <w:rsid w:val="00BA7485"/>
    <w:rsid w:val="00BA7595"/>
    <w:rsid w:val="00BA76E5"/>
    <w:rsid w:val="00BA7A4E"/>
    <w:rsid w:val="00BA7AF2"/>
    <w:rsid w:val="00BA7E3D"/>
    <w:rsid w:val="00BB00E6"/>
    <w:rsid w:val="00BB03E1"/>
    <w:rsid w:val="00BB05D4"/>
    <w:rsid w:val="00BB07ED"/>
    <w:rsid w:val="00BB08C0"/>
    <w:rsid w:val="00BB0BF3"/>
    <w:rsid w:val="00BB1150"/>
    <w:rsid w:val="00BB126F"/>
    <w:rsid w:val="00BB1295"/>
    <w:rsid w:val="00BB1412"/>
    <w:rsid w:val="00BB17ED"/>
    <w:rsid w:val="00BB1855"/>
    <w:rsid w:val="00BB1A3B"/>
    <w:rsid w:val="00BB1EE0"/>
    <w:rsid w:val="00BB234D"/>
    <w:rsid w:val="00BB2914"/>
    <w:rsid w:val="00BB2F56"/>
    <w:rsid w:val="00BB2FD6"/>
    <w:rsid w:val="00BB3709"/>
    <w:rsid w:val="00BB3ABF"/>
    <w:rsid w:val="00BB3B9B"/>
    <w:rsid w:val="00BB3C54"/>
    <w:rsid w:val="00BB3E17"/>
    <w:rsid w:val="00BB3E27"/>
    <w:rsid w:val="00BB42AD"/>
    <w:rsid w:val="00BB42C0"/>
    <w:rsid w:val="00BB435B"/>
    <w:rsid w:val="00BB4591"/>
    <w:rsid w:val="00BB4633"/>
    <w:rsid w:val="00BB4D6C"/>
    <w:rsid w:val="00BB4DCF"/>
    <w:rsid w:val="00BB5302"/>
    <w:rsid w:val="00BB5F43"/>
    <w:rsid w:val="00BB64D4"/>
    <w:rsid w:val="00BB75F1"/>
    <w:rsid w:val="00BB7631"/>
    <w:rsid w:val="00BB7869"/>
    <w:rsid w:val="00BB7A1D"/>
    <w:rsid w:val="00BC0EDD"/>
    <w:rsid w:val="00BC1041"/>
    <w:rsid w:val="00BC110A"/>
    <w:rsid w:val="00BC121F"/>
    <w:rsid w:val="00BC124D"/>
    <w:rsid w:val="00BC12D1"/>
    <w:rsid w:val="00BC1358"/>
    <w:rsid w:val="00BC1638"/>
    <w:rsid w:val="00BC16A8"/>
    <w:rsid w:val="00BC193F"/>
    <w:rsid w:val="00BC1CA6"/>
    <w:rsid w:val="00BC1CDD"/>
    <w:rsid w:val="00BC1D6B"/>
    <w:rsid w:val="00BC1DE3"/>
    <w:rsid w:val="00BC1E91"/>
    <w:rsid w:val="00BC2141"/>
    <w:rsid w:val="00BC23F2"/>
    <w:rsid w:val="00BC2400"/>
    <w:rsid w:val="00BC2534"/>
    <w:rsid w:val="00BC2551"/>
    <w:rsid w:val="00BC2695"/>
    <w:rsid w:val="00BC27DD"/>
    <w:rsid w:val="00BC27DF"/>
    <w:rsid w:val="00BC29CC"/>
    <w:rsid w:val="00BC2CCC"/>
    <w:rsid w:val="00BC30A8"/>
    <w:rsid w:val="00BC3231"/>
    <w:rsid w:val="00BC3719"/>
    <w:rsid w:val="00BC372C"/>
    <w:rsid w:val="00BC3DBB"/>
    <w:rsid w:val="00BC403B"/>
    <w:rsid w:val="00BC41BF"/>
    <w:rsid w:val="00BC446C"/>
    <w:rsid w:val="00BC4CA2"/>
    <w:rsid w:val="00BC4F3E"/>
    <w:rsid w:val="00BC51FD"/>
    <w:rsid w:val="00BC52EA"/>
    <w:rsid w:val="00BC532B"/>
    <w:rsid w:val="00BC5471"/>
    <w:rsid w:val="00BC5A65"/>
    <w:rsid w:val="00BC5DEA"/>
    <w:rsid w:val="00BC6048"/>
    <w:rsid w:val="00BC6884"/>
    <w:rsid w:val="00BC6D73"/>
    <w:rsid w:val="00BC742E"/>
    <w:rsid w:val="00BC7551"/>
    <w:rsid w:val="00BC7747"/>
    <w:rsid w:val="00BC7C6B"/>
    <w:rsid w:val="00BC7D70"/>
    <w:rsid w:val="00BC7DEC"/>
    <w:rsid w:val="00BD00A0"/>
    <w:rsid w:val="00BD0178"/>
    <w:rsid w:val="00BD0465"/>
    <w:rsid w:val="00BD0BC4"/>
    <w:rsid w:val="00BD0EBA"/>
    <w:rsid w:val="00BD12B9"/>
    <w:rsid w:val="00BD20FF"/>
    <w:rsid w:val="00BD2233"/>
    <w:rsid w:val="00BD22B1"/>
    <w:rsid w:val="00BD27D4"/>
    <w:rsid w:val="00BD2821"/>
    <w:rsid w:val="00BD282C"/>
    <w:rsid w:val="00BD301A"/>
    <w:rsid w:val="00BD317F"/>
    <w:rsid w:val="00BD336A"/>
    <w:rsid w:val="00BD354A"/>
    <w:rsid w:val="00BD380C"/>
    <w:rsid w:val="00BD3942"/>
    <w:rsid w:val="00BD3D0E"/>
    <w:rsid w:val="00BD3E82"/>
    <w:rsid w:val="00BD41DE"/>
    <w:rsid w:val="00BD43B9"/>
    <w:rsid w:val="00BD443E"/>
    <w:rsid w:val="00BD46F1"/>
    <w:rsid w:val="00BD4939"/>
    <w:rsid w:val="00BD4AEB"/>
    <w:rsid w:val="00BD5337"/>
    <w:rsid w:val="00BD56B5"/>
    <w:rsid w:val="00BD5712"/>
    <w:rsid w:val="00BD5DB3"/>
    <w:rsid w:val="00BD5FC3"/>
    <w:rsid w:val="00BD6124"/>
    <w:rsid w:val="00BD6D26"/>
    <w:rsid w:val="00BD71A6"/>
    <w:rsid w:val="00BD7367"/>
    <w:rsid w:val="00BD7638"/>
    <w:rsid w:val="00BD7D28"/>
    <w:rsid w:val="00BD7D5F"/>
    <w:rsid w:val="00BD7EBE"/>
    <w:rsid w:val="00BD7EEA"/>
    <w:rsid w:val="00BE0138"/>
    <w:rsid w:val="00BE01A1"/>
    <w:rsid w:val="00BE0826"/>
    <w:rsid w:val="00BE0ACD"/>
    <w:rsid w:val="00BE0B99"/>
    <w:rsid w:val="00BE0D54"/>
    <w:rsid w:val="00BE0E51"/>
    <w:rsid w:val="00BE0F78"/>
    <w:rsid w:val="00BE118B"/>
    <w:rsid w:val="00BE128A"/>
    <w:rsid w:val="00BE14F6"/>
    <w:rsid w:val="00BE1581"/>
    <w:rsid w:val="00BE1B82"/>
    <w:rsid w:val="00BE1DA0"/>
    <w:rsid w:val="00BE1FC4"/>
    <w:rsid w:val="00BE201B"/>
    <w:rsid w:val="00BE206E"/>
    <w:rsid w:val="00BE2878"/>
    <w:rsid w:val="00BE2931"/>
    <w:rsid w:val="00BE3081"/>
    <w:rsid w:val="00BE32B5"/>
    <w:rsid w:val="00BE3353"/>
    <w:rsid w:val="00BE3A61"/>
    <w:rsid w:val="00BE3B49"/>
    <w:rsid w:val="00BE3C9D"/>
    <w:rsid w:val="00BE424B"/>
    <w:rsid w:val="00BE45ED"/>
    <w:rsid w:val="00BE491C"/>
    <w:rsid w:val="00BE49FF"/>
    <w:rsid w:val="00BE4C16"/>
    <w:rsid w:val="00BE4EAA"/>
    <w:rsid w:val="00BE52F8"/>
    <w:rsid w:val="00BE5462"/>
    <w:rsid w:val="00BE5839"/>
    <w:rsid w:val="00BE5889"/>
    <w:rsid w:val="00BE600A"/>
    <w:rsid w:val="00BE67FD"/>
    <w:rsid w:val="00BE6C6C"/>
    <w:rsid w:val="00BE7017"/>
    <w:rsid w:val="00BE708F"/>
    <w:rsid w:val="00BE7104"/>
    <w:rsid w:val="00BE73EA"/>
    <w:rsid w:val="00BE764E"/>
    <w:rsid w:val="00BE7833"/>
    <w:rsid w:val="00BE78B0"/>
    <w:rsid w:val="00BE7EB8"/>
    <w:rsid w:val="00BE7EF3"/>
    <w:rsid w:val="00BF0054"/>
    <w:rsid w:val="00BF012F"/>
    <w:rsid w:val="00BF0507"/>
    <w:rsid w:val="00BF0814"/>
    <w:rsid w:val="00BF0951"/>
    <w:rsid w:val="00BF0A3F"/>
    <w:rsid w:val="00BF0AEB"/>
    <w:rsid w:val="00BF0CB1"/>
    <w:rsid w:val="00BF0D79"/>
    <w:rsid w:val="00BF1176"/>
    <w:rsid w:val="00BF172F"/>
    <w:rsid w:val="00BF1D02"/>
    <w:rsid w:val="00BF1E5A"/>
    <w:rsid w:val="00BF256A"/>
    <w:rsid w:val="00BF29A5"/>
    <w:rsid w:val="00BF2FE6"/>
    <w:rsid w:val="00BF329F"/>
    <w:rsid w:val="00BF3755"/>
    <w:rsid w:val="00BF3AB8"/>
    <w:rsid w:val="00BF3BC3"/>
    <w:rsid w:val="00BF3BDE"/>
    <w:rsid w:val="00BF3E4A"/>
    <w:rsid w:val="00BF40F6"/>
    <w:rsid w:val="00BF4592"/>
    <w:rsid w:val="00BF46F6"/>
    <w:rsid w:val="00BF4708"/>
    <w:rsid w:val="00BF4BBC"/>
    <w:rsid w:val="00BF4C45"/>
    <w:rsid w:val="00BF5013"/>
    <w:rsid w:val="00BF5074"/>
    <w:rsid w:val="00BF5288"/>
    <w:rsid w:val="00BF53FF"/>
    <w:rsid w:val="00BF546B"/>
    <w:rsid w:val="00BF5487"/>
    <w:rsid w:val="00BF54E4"/>
    <w:rsid w:val="00BF55ED"/>
    <w:rsid w:val="00BF5AB8"/>
    <w:rsid w:val="00BF5C13"/>
    <w:rsid w:val="00BF5DA5"/>
    <w:rsid w:val="00BF5FBF"/>
    <w:rsid w:val="00BF6295"/>
    <w:rsid w:val="00BF65AB"/>
    <w:rsid w:val="00BF6888"/>
    <w:rsid w:val="00BF6970"/>
    <w:rsid w:val="00BF69E0"/>
    <w:rsid w:val="00BF6B5A"/>
    <w:rsid w:val="00BF702A"/>
    <w:rsid w:val="00BF71A3"/>
    <w:rsid w:val="00BF7307"/>
    <w:rsid w:val="00BF7767"/>
    <w:rsid w:val="00BF7930"/>
    <w:rsid w:val="00BF7B0C"/>
    <w:rsid w:val="00BF7C1A"/>
    <w:rsid w:val="00C001F2"/>
    <w:rsid w:val="00C003B3"/>
    <w:rsid w:val="00C004A9"/>
    <w:rsid w:val="00C006A3"/>
    <w:rsid w:val="00C00E31"/>
    <w:rsid w:val="00C011D9"/>
    <w:rsid w:val="00C013E6"/>
    <w:rsid w:val="00C019B7"/>
    <w:rsid w:val="00C01CDC"/>
    <w:rsid w:val="00C01D6D"/>
    <w:rsid w:val="00C01F68"/>
    <w:rsid w:val="00C020AF"/>
    <w:rsid w:val="00C0216A"/>
    <w:rsid w:val="00C022AE"/>
    <w:rsid w:val="00C02923"/>
    <w:rsid w:val="00C02FDA"/>
    <w:rsid w:val="00C03500"/>
    <w:rsid w:val="00C0395C"/>
    <w:rsid w:val="00C03B49"/>
    <w:rsid w:val="00C03B4A"/>
    <w:rsid w:val="00C03C04"/>
    <w:rsid w:val="00C04076"/>
    <w:rsid w:val="00C041A9"/>
    <w:rsid w:val="00C044B4"/>
    <w:rsid w:val="00C04543"/>
    <w:rsid w:val="00C04A58"/>
    <w:rsid w:val="00C04D1C"/>
    <w:rsid w:val="00C04E29"/>
    <w:rsid w:val="00C04FE6"/>
    <w:rsid w:val="00C051DA"/>
    <w:rsid w:val="00C05402"/>
    <w:rsid w:val="00C05B65"/>
    <w:rsid w:val="00C05E48"/>
    <w:rsid w:val="00C05EB4"/>
    <w:rsid w:val="00C05FDF"/>
    <w:rsid w:val="00C06558"/>
    <w:rsid w:val="00C065C7"/>
    <w:rsid w:val="00C06805"/>
    <w:rsid w:val="00C0696A"/>
    <w:rsid w:val="00C06CBB"/>
    <w:rsid w:val="00C07A63"/>
    <w:rsid w:val="00C07C13"/>
    <w:rsid w:val="00C07C92"/>
    <w:rsid w:val="00C07FA6"/>
    <w:rsid w:val="00C100CD"/>
    <w:rsid w:val="00C1030A"/>
    <w:rsid w:val="00C10329"/>
    <w:rsid w:val="00C10542"/>
    <w:rsid w:val="00C105FD"/>
    <w:rsid w:val="00C10A26"/>
    <w:rsid w:val="00C10DF4"/>
    <w:rsid w:val="00C10EA0"/>
    <w:rsid w:val="00C11004"/>
    <w:rsid w:val="00C11104"/>
    <w:rsid w:val="00C1129B"/>
    <w:rsid w:val="00C11434"/>
    <w:rsid w:val="00C11437"/>
    <w:rsid w:val="00C117DF"/>
    <w:rsid w:val="00C118DD"/>
    <w:rsid w:val="00C11B8F"/>
    <w:rsid w:val="00C12195"/>
    <w:rsid w:val="00C12938"/>
    <w:rsid w:val="00C12CB5"/>
    <w:rsid w:val="00C12CD4"/>
    <w:rsid w:val="00C12D86"/>
    <w:rsid w:val="00C12FE4"/>
    <w:rsid w:val="00C12FF6"/>
    <w:rsid w:val="00C13141"/>
    <w:rsid w:val="00C131B2"/>
    <w:rsid w:val="00C132A3"/>
    <w:rsid w:val="00C13834"/>
    <w:rsid w:val="00C13883"/>
    <w:rsid w:val="00C13927"/>
    <w:rsid w:val="00C139D4"/>
    <w:rsid w:val="00C13B93"/>
    <w:rsid w:val="00C13D0E"/>
    <w:rsid w:val="00C13FB1"/>
    <w:rsid w:val="00C14144"/>
    <w:rsid w:val="00C1420E"/>
    <w:rsid w:val="00C14526"/>
    <w:rsid w:val="00C146C5"/>
    <w:rsid w:val="00C14AB8"/>
    <w:rsid w:val="00C14B27"/>
    <w:rsid w:val="00C151FD"/>
    <w:rsid w:val="00C15492"/>
    <w:rsid w:val="00C156D3"/>
    <w:rsid w:val="00C15738"/>
    <w:rsid w:val="00C15A28"/>
    <w:rsid w:val="00C15C94"/>
    <w:rsid w:val="00C15D01"/>
    <w:rsid w:val="00C15D58"/>
    <w:rsid w:val="00C16027"/>
    <w:rsid w:val="00C166AC"/>
    <w:rsid w:val="00C166FE"/>
    <w:rsid w:val="00C167F3"/>
    <w:rsid w:val="00C167FD"/>
    <w:rsid w:val="00C16EDB"/>
    <w:rsid w:val="00C1707B"/>
    <w:rsid w:val="00C17091"/>
    <w:rsid w:val="00C1719B"/>
    <w:rsid w:val="00C17283"/>
    <w:rsid w:val="00C177A4"/>
    <w:rsid w:val="00C179A0"/>
    <w:rsid w:val="00C17E90"/>
    <w:rsid w:val="00C201A8"/>
    <w:rsid w:val="00C20467"/>
    <w:rsid w:val="00C205DC"/>
    <w:rsid w:val="00C20660"/>
    <w:rsid w:val="00C20C9C"/>
    <w:rsid w:val="00C20F72"/>
    <w:rsid w:val="00C20FF5"/>
    <w:rsid w:val="00C21152"/>
    <w:rsid w:val="00C213A0"/>
    <w:rsid w:val="00C21691"/>
    <w:rsid w:val="00C21870"/>
    <w:rsid w:val="00C21A4D"/>
    <w:rsid w:val="00C21B3C"/>
    <w:rsid w:val="00C21E2A"/>
    <w:rsid w:val="00C21F9D"/>
    <w:rsid w:val="00C2200E"/>
    <w:rsid w:val="00C22214"/>
    <w:rsid w:val="00C22387"/>
    <w:rsid w:val="00C224F2"/>
    <w:rsid w:val="00C226C5"/>
    <w:rsid w:val="00C227A7"/>
    <w:rsid w:val="00C2293D"/>
    <w:rsid w:val="00C229B2"/>
    <w:rsid w:val="00C22E1D"/>
    <w:rsid w:val="00C22EF5"/>
    <w:rsid w:val="00C22F23"/>
    <w:rsid w:val="00C230A8"/>
    <w:rsid w:val="00C230F9"/>
    <w:rsid w:val="00C2312B"/>
    <w:rsid w:val="00C23166"/>
    <w:rsid w:val="00C23264"/>
    <w:rsid w:val="00C23321"/>
    <w:rsid w:val="00C23469"/>
    <w:rsid w:val="00C2350E"/>
    <w:rsid w:val="00C236C9"/>
    <w:rsid w:val="00C237C7"/>
    <w:rsid w:val="00C2399D"/>
    <w:rsid w:val="00C23D47"/>
    <w:rsid w:val="00C23E3E"/>
    <w:rsid w:val="00C240CB"/>
    <w:rsid w:val="00C24C7B"/>
    <w:rsid w:val="00C25117"/>
    <w:rsid w:val="00C252B0"/>
    <w:rsid w:val="00C25624"/>
    <w:rsid w:val="00C2586D"/>
    <w:rsid w:val="00C25915"/>
    <w:rsid w:val="00C259AD"/>
    <w:rsid w:val="00C25ACA"/>
    <w:rsid w:val="00C2609C"/>
    <w:rsid w:val="00C26352"/>
    <w:rsid w:val="00C2671D"/>
    <w:rsid w:val="00C26848"/>
    <w:rsid w:val="00C26916"/>
    <w:rsid w:val="00C26C28"/>
    <w:rsid w:val="00C27013"/>
    <w:rsid w:val="00C276D9"/>
    <w:rsid w:val="00C27758"/>
    <w:rsid w:val="00C277FD"/>
    <w:rsid w:val="00C278EE"/>
    <w:rsid w:val="00C279C3"/>
    <w:rsid w:val="00C27C7F"/>
    <w:rsid w:val="00C27D82"/>
    <w:rsid w:val="00C27E02"/>
    <w:rsid w:val="00C27F06"/>
    <w:rsid w:val="00C30183"/>
    <w:rsid w:val="00C3048C"/>
    <w:rsid w:val="00C306D5"/>
    <w:rsid w:val="00C3092A"/>
    <w:rsid w:val="00C309F7"/>
    <w:rsid w:val="00C30BDB"/>
    <w:rsid w:val="00C31023"/>
    <w:rsid w:val="00C312DF"/>
    <w:rsid w:val="00C313DD"/>
    <w:rsid w:val="00C314AA"/>
    <w:rsid w:val="00C315B4"/>
    <w:rsid w:val="00C3170E"/>
    <w:rsid w:val="00C31925"/>
    <w:rsid w:val="00C319EB"/>
    <w:rsid w:val="00C31BD8"/>
    <w:rsid w:val="00C31E0E"/>
    <w:rsid w:val="00C32284"/>
    <w:rsid w:val="00C3235B"/>
    <w:rsid w:val="00C32462"/>
    <w:rsid w:val="00C32520"/>
    <w:rsid w:val="00C32643"/>
    <w:rsid w:val="00C326C5"/>
    <w:rsid w:val="00C3296E"/>
    <w:rsid w:val="00C32BD9"/>
    <w:rsid w:val="00C3320D"/>
    <w:rsid w:val="00C33441"/>
    <w:rsid w:val="00C33A3D"/>
    <w:rsid w:val="00C33B9A"/>
    <w:rsid w:val="00C33DC6"/>
    <w:rsid w:val="00C34206"/>
    <w:rsid w:val="00C34687"/>
    <w:rsid w:val="00C34B4B"/>
    <w:rsid w:val="00C34C3D"/>
    <w:rsid w:val="00C34C51"/>
    <w:rsid w:val="00C34E1D"/>
    <w:rsid w:val="00C35136"/>
    <w:rsid w:val="00C353DD"/>
    <w:rsid w:val="00C35784"/>
    <w:rsid w:val="00C36312"/>
    <w:rsid w:val="00C36592"/>
    <w:rsid w:val="00C36671"/>
    <w:rsid w:val="00C36A51"/>
    <w:rsid w:val="00C36ADC"/>
    <w:rsid w:val="00C37264"/>
    <w:rsid w:val="00C37AE4"/>
    <w:rsid w:val="00C37D71"/>
    <w:rsid w:val="00C4064B"/>
    <w:rsid w:val="00C41132"/>
    <w:rsid w:val="00C4127E"/>
    <w:rsid w:val="00C41331"/>
    <w:rsid w:val="00C41390"/>
    <w:rsid w:val="00C4149C"/>
    <w:rsid w:val="00C41527"/>
    <w:rsid w:val="00C419FA"/>
    <w:rsid w:val="00C420F9"/>
    <w:rsid w:val="00C42379"/>
    <w:rsid w:val="00C42717"/>
    <w:rsid w:val="00C430B5"/>
    <w:rsid w:val="00C4330F"/>
    <w:rsid w:val="00C4353B"/>
    <w:rsid w:val="00C43721"/>
    <w:rsid w:val="00C438BC"/>
    <w:rsid w:val="00C4448B"/>
    <w:rsid w:val="00C4483E"/>
    <w:rsid w:val="00C44893"/>
    <w:rsid w:val="00C44B49"/>
    <w:rsid w:val="00C44CC7"/>
    <w:rsid w:val="00C44FBB"/>
    <w:rsid w:val="00C451A2"/>
    <w:rsid w:val="00C454D4"/>
    <w:rsid w:val="00C454D6"/>
    <w:rsid w:val="00C455E7"/>
    <w:rsid w:val="00C455E9"/>
    <w:rsid w:val="00C459F2"/>
    <w:rsid w:val="00C45A7E"/>
    <w:rsid w:val="00C45D3F"/>
    <w:rsid w:val="00C464F7"/>
    <w:rsid w:val="00C46689"/>
    <w:rsid w:val="00C46723"/>
    <w:rsid w:val="00C467A7"/>
    <w:rsid w:val="00C469D2"/>
    <w:rsid w:val="00C46EA1"/>
    <w:rsid w:val="00C4713C"/>
    <w:rsid w:val="00C47364"/>
    <w:rsid w:val="00C473D6"/>
    <w:rsid w:val="00C47C91"/>
    <w:rsid w:val="00C47F21"/>
    <w:rsid w:val="00C50385"/>
    <w:rsid w:val="00C504E4"/>
    <w:rsid w:val="00C505CA"/>
    <w:rsid w:val="00C50791"/>
    <w:rsid w:val="00C5097B"/>
    <w:rsid w:val="00C50B63"/>
    <w:rsid w:val="00C50E42"/>
    <w:rsid w:val="00C510D1"/>
    <w:rsid w:val="00C5157E"/>
    <w:rsid w:val="00C518FD"/>
    <w:rsid w:val="00C519AE"/>
    <w:rsid w:val="00C51FD1"/>
    <w:rsid w:val="00C521E7"/>
    <w:rsid w:val="00C522F2"/>
    <w:rsid w:val="00C525B4"/>
    <w:rsid w:val="00C52687"/>
    <w:rsid w:val="00C52BBF"/>
    <w:rsid w:val="00C52C54"/>
    <w:rsid w:val="00C52F56"/>
    <w:rsid w:val="00C530C8"/>
    <w:rsid w:val="00C5388F"/>
    <w:rsid w:val="00C53CAE"/>
    <w:rsid w:val="00C53FE9"/>
    <w:rsid w:val="00C54026"/>
    <w:rsid w:val="00C541C1"/>
    <w:rsid w:val="00C54515"/>
    <w:rsid w:val="00C547E2"/>
    <w:rsid w:val="00C54EAF"/>
    <w:rsid w:val="00C54F6C"/>
    <w:rsid w:val="00C55020"/>
    <w:rsid w:val="00C55182"/>
    <w:rsid w:val="00C55397"/>
    <w:rsid w:val="00C55625"/>
    <w:rsid w:val="00C55D64"/>
    <w:rsid w:val="00C561A7"/>
    <w:rsid w:val="00C56292"/>
    <w:rsid w:val="00C564A3"/>
    <w:rsid w:val="00C565D5"/>
    <w:rsid w:val="00C5669E"/>
    <w:rsid w:val="00C568A4"/>
    <w:rsid w:val="00C569C1"/>
    <w:rsid w:val="00C56A41"/>
    <w:rsid w:val="00C56E93"/>
    <w:rsid w:val="00C57672"/>
    <w:rsid w:val="00C576D0"/>
    <w:rsid w:val="00C57747"/>
    <w:rsid w:val="00C57974"/>
    <w:rsid w:val="00C57A6B"/>
    <w:rsid w:val="00C57FA4"/>
    <w:rsid w:val="00C60231"/>
    <w:rsid w:val="00C603DE"/>
    <w:rsid w:val="00C60611"/>
    <w:rsid w:val="00C60703"/>
    <w:rsid w:val="00C6094B"/>
    <w:rsid w:val="00C61188"/>
    <w:rsid w:val="00C612C0"/>
    <w:rsid w:val="00C6149A"/>
    <w:rsid w:val="00C61667"/>
    <w:rsid w:val="00C616C1"/>
    <w:rsid w:val="00C61CFC"/>
    <w:rsid w:val="00C61DB9"/>
    <w:rsid w:val="00C62247"/>
    <w:rsid w:val="00C6225F"/>
    <w:rsid w:val="00C623BA"/>
    <w:rsid w:val="00C6269F"/>
    <w:rsid w:val="00C6296B"/>
    <w:rsid w:val="00C62CBD"/>
    <w:rsid w:val="00C62E2F"/>
    <w:rsid w:val="00C62F44"/>
    <w:rsid w:val="00C63575"/>
    <w:rsid w:val="00C635B6"/>
    <w:rsid w:val="00C63A7F"/>
    <w:rsid w:val="00C63BA3"/>
    <w:rsid w:val="00C63D14"/>
    <w:rsid w:val="00C63E79"/>
    <w:rsid w:val="00C63F79"/>
    <w:rsid w:val="00C64360"/>
    <w:rsid w:val="00C64474"/>
    <w:rsid w:val="00C647F5"/>
    <w:rsid w:val="00C64861"/>
    <w:rsid w:val="00C649DE"/>
    <w:rsid w:val="00C650FF"/>
    <w:rsid w:val="00C651D1"/>
    <w:rsid w:val="00C6526F"/>
    <w:rsid w:val="00C65511"/>
    <w:rsid w:val="00C65589"/>
    <w:rsid w:val="00C65865"/>
    <w:rsid w:val="00C65940"/>
    <w:rsid w:val="00C66079"/>
    <w:rsid w:val="00C661DF"/>
    <w:rsid w:val="00C664E3"/>
    <w:rsid w:val="00C66CA8"/>
    <w:rsid w:val="00C66CCB"/>
    <w:rsid w:val="00C66DA5"/>
    <w:rsid w:val="00C66DCA"/>
    <w:rsid w:val="00C66F3F"/>
    <w:rsid w:val="00C66F48"/>
    <w:rsid w:val="00C6707C"/>
    <w:rsid w:val="00C67101"/>
    <w:rsid w:val="00C67193"/>
    <w:rsid w:val="00C67337"/>
    <w:rsid w:val="00C67882"/>
    <w:rsid w:val="00C67ADF"/>
    <w:rsid w:val="00C67BA3"/>
    <w:rsid w:val="00C67DAE"/>
    <w:rsid w:val="00C70866"/>
    <w:rsid w:val="00C70CC0"/>
    <w:rsid w:val="00C719CD"/>
    <w:rsid w:val="00C72148"/>
    <w:rsid w:val="00C73001"/>
    <w:rsid w:val="00C731B2"/>
    <w:rsid w:val="00C73329"/>
    <w:rsid w:val="00C73AA5"/>
    <w:rsid w:val="00C73B5D"/>
    <w:rsid w:val="00C73BEB"/>
    <w:rsid w:val="00C73C66"/>
    <w:rsid w:val="00C73F21"/>
    <w:rsid w:val="00C73F3A"/>
    <w:rsid w:val="00C73F83"/>
    <w:rsid w:val="00C74153"/>
    <w:rsid w:val="00C74174"/>
    <w:rsid w:val="00C741DF"/>
    <w:rsid w:val="00C744CC"/>
    <w:rsid w:val="00C749A4"/>
    <w:rsid w:val="00C74A1D"/>
    <w:rsid w:val="00C74F26"/>
    <w:rsid w:val="00C7505C"/>
    <w:rsid w:val="00C753AB"/>
    <w:rsid w:val="00C75991"/>
    <w:rsid w:val="00C75DA1"/>
    <w:rsid w:val="00C76327"/>
    <w:rsid w:val="00C765DE"/>
    <w:rsid w:val="00C7665C"/>
    <w:rsid w:val="00C767AE"/>
    <w:rsid w:val="00C767BA"/>
    <w:rsid w:val="00C76F8A"/>
    <w:rsid w:val="00C76FAD"/>
    <w:rsid w:val="00C773FD"/>
    <w:rsid w:val="00C7742A"/>
    <w:rsid w:val="00C775C0"/>
    <w:rsid w:val="00C775F4"/>
    <w:rsid w:val="00C778FB"/>
    <w:rsid w:val="00C77A89"/>
    <w:rsid w:val="00C77E8F"/>
    <w:rsid w:val="00C77F75"/>
    <w:rsid w:val="00C800F2"/>
    <w:rsid w:val="00C8072C"/>
    <w:rsid w:val="00C809BF"/>
    <w:rsid w:val="00C80B29"/>
    <w:rsid w:val="00C80B69"/>
    <w:rsid w:val="00C8132E"/>
    <w:rsid w:val="00C81369"/>
    <w:rsid w:val="00C814CA"/>
    <w:rsid w:val="00C814F9"/>
    <w:rsid w:val="00C82290"/>
    <w:rsid w:val="00C82700"/>
    <w:rsid w:val="00C827A1"/>
    <w:rsid w:val="00C828FD"/>
    <w:rsid w:val="00C82AA2"/>
    <w:rsid w:val="00C8304D"/>
    <w:rsid w:val="00C83924"/>
    <w:rsid w:val="00C83A22"/>
    <w:rsid w:val="00C83D28"/>
    <w:rsid w:val="00C83F74"/>
    <w:rsid w:val="00C84074"/>
    <w:rsid w:val="00C840A0"/>
    <w:rsid w:val="00C84176"/>
    <w:rsid w:val="00C844BF"/>
    <w:rsid w:val="00C846EB"/>
    <w:rsid w:val="00C84722"/>
    <w:rsid w:val="00C84B42"/>
    <w:rsid w:val="00C84FBC"/>
    <w:rsid w:val="00C85036"/>
    <w:rsid w:val="00C85358"/>
    <w:rsid w:val="00C853E2"/>
    <w:rsid w:val="00C85C13"/>
    <w:rsid w:val="00C85DDD"/>
    <w:rsid w:val="00C861D7"/>
    <w:rsid w:val="00C86335"/>
    <w:rsid w:val="00C863E1"/>
    <w:rsid w:val="00C8657C"/>
    <w:rsid w:val="00C86772"/>
    <w:rsid w:val="00C869A4"/>
    <w:rsid w:val="00C86A7F"/>
    <w:rsid w:val="00C871F3"/>
    <w:rsid w:val="00C874B8"/>
    <w:rsid w:val="00C87545"/>
    <w:rsid w:val="00C875EE"/>
    <w:rsid w:val="00C87955"/>
    <w:rsid w:val="00C90373"/>
    <w:rsid w:val="00C90518"/>
    <w:rsid w:val="00C9076C"/>
    <w:rsid w:val="00C90DB4"/>
    <w:rsid w:val="00C91066"/>
    <w:rsid w:val="00C911B3"/>
    <w:rsid w:val="00C915A4"/>
    <w:rsid w:val="00C917DC"/>
    <w:rsid w:val="00C91A70"/>
    <w:rsid w:val="00C91C5D"/>
    <w:rsid w:val="00C91C8C"/>
    <w:rsid w:val="00C91F1A"/>
    <w:rsid w:val="00C92B52"/>
    <w:rsid w:val="00C92B6D"/>
    <w:rsid w:val="00C92ECF"/>
    <w:rsid w:val="00C934B4"/>
    <w:rsid w:val="00C936FA"/>
    <w:rsid w:val="00C93768"/>
    <w:rsid w:val="00C938F3"/>
    <w:rsid w:val="00C93B15"/>
    <w:rsid w:val="00C93C01"/>
    <w:rsid w:val="00C93DD3"/>
    <w:rsid w:val="00C94227"/>
    <w:rsid w:val="00C94272"/>
    <w:rsid w:val="00C943B1"/>
    <w:rsid w:val="00C944A7"/>
    <w:rsid w:val="00C949B2"/>
    <w:rsid w:val="00C94AF0"/>
    <w:rsid w:val="00C94CE0"/>
    <w:rsid w:val="00C94D5E"/>
    <w:rsid w:val="00C94D64"/>
    <w:rsid w:val="00C9507C"/>
    <w:rsid w:val="00C9539C"/>
    <w:rsid w:val="00C956B9"/>
    <w:rsid w:val="00C958F5"/>
    <w:rsid w:val="00C95F51"/>
    <w:rsid w:val="00C95F78"/>
    <w:rsid w:val="00C963A3"/>
    <w:rsid w:val="00C96B8F"/>
    <w:rsid w:val="00C96EDF"/>
    <w:rsid w:val="00C9744E"/>
    <w:rsid w:val="00C977DC"/>
    <w:rsid w:val="00C97A5E"/>
    <w:rsid w:val="00C97A8B"/>
    <w:rsid w:val="00C97F32"/>
    <w:rsid w:val="00CA0077"/>
    <w:rsid w:val="00CA00CE"/>
    <w:rsid w:val="00CA02C0"/>
    <w:rsid w:val="00CA0D74"/>
    <w:rsid w:val="00CA10C0"/>
    <w:rsid w:val="00CA120A"/>
    <w:rsid w:val="00CA1E8C"/>
    <w:rsid w:val="00CA1F11"/>
    <w:rsid w:val="00CA28AA"/>
    <w:rsid w:val="00CA2A7E"/>
    <w:rsid w:val="00CA3384"/>
    <w:rsid w:val="00CA35F6"/>
    <w:rsid w:val="00CA4224"/>
    <w:rsid w:val="00CA44B3"/>
    <w:rsid w:val="00CA4559"/>
    <w:rsid w:val="00CA46CF"/>
    <w:rsid w:val="00CA487B"/>
    <w:rsid w:val="00CA49DB"/>
    <w:rsid w:val="00CA4B2F"/>
    <w:rsid w:val="00CA5179"/>
    <w:rsid w:val="00CA52DB"/>
    <w:rsid w:val="00CA554F"/>
    <w:rsid w:val="00CA5722"/>
    <w:rsid w:val="00CA57A6"/>
    <w:rsid w:val="00CA5B51"/>
    <w:rsid w:val="00CA5CBE"/>
    <w:rsid w:val="00CA5CDE"/>
    <w:rsid w:val="00CA6133"/>
    <w:rsid w:val="00CA61DB"/>
    <w:rsid w:val="00CA66AD"/>
    <w:rsid w:val="00CA66EB"/>
    <w:rsid w:val="00CA6CEE"/>
    <w:rsid w:val="00CA70A4"/>
    <w:rsid w:val="00CA72C0"/>
    <w:rsid w:val="00CA7576"/>
    <w:rsid w:val="00CA7B57"/>
    <w:rsid w:val="00CA7B70"/>
    <w:rsid w:val="00CB02F4"/>
    <w:rsid w:val="00CB0447"/>
    <w:rsid w:val="00CB086D"/>
    <w:rsid w:val="00CB091F"/>
    <w:rsid w:val="00CB0A89"/>
    <w:rsid w:val="00CB0C4D"/>
    <w:rsid w:val="00CB0C7F"/>
    <w:rsid w:val="00CB0E21"/>
    <w:rsid w:val="00CB0EC8"/>
    <w:rsid w:val="00CB0F48"/>
    <w:rsid w:val="00CB112B"/>
    <w:rsid w:val="00CB11D1"/>
    <w:rsid w:val="00CB1728"/>
    <w:rsid w:val="00CB1749"/>
    <w:rsid w:val="00CB1B81"/>
    <w:rsid w:val="00CB1BFB"/>
    <w:rsid w:val="00CB1E6B"/>
    <w:rsid w:val="00CB1F44"/>
    <w:rsid w:val="00CB27B5"/>
    <w:rsid w:val="00CB27E8"/>
    <w:rsid w:val="00CB2920"/>
    <w:rsid w:val="00CB2E51"/>
    <w:rsid w:val="00CB3231"/>
    <w:rsid w:val="00CB36F9"/>
    <w:rsid w:val="00CB3843"/>
    <w:rsid w:val="00CB3993"/>
    <w:rsid w:val="00CB422E"/>
    <w:rsid w:val="00CB4441"/>
    <w:rsid w:val="00CB45AC"/>
    <w:rsid w:val="00CB46ED"/>
    <w:rsid w:val="00CB4EEE"/>
    <w:rsid w:val="00CB50C5"/>
    <w:rsid w:val="00CB50D4"/>
    <w:rsid w:val="00CB51EA"/>
    <w:rsid w:val="00CB5244"/>
    <w:rsid w:val="00CB546D"/>
    <w:rsid w:val="00CB569B"/>
    <w:rsid w:val="00CB5856"/>
    <w:rsid w:val="00CB597C"/>
    <w:rsid w:val="00CB62C1"/>
    <w:rsid w:val="00CB6709"/>
    <w:rsid w:val="00CB678C"/>
    <w:rsid w:val="00CB6D0B"/>
    <w:rsid w:val="00CB6D8A"/>
    <w:rsid w:val="00CB6E7F"/>
    <w:rsid w:val="00CB7323"/>
    <w:rsid w:val="00CB75E5"/>
    <w:rsid w:val="00CB75FA"/>
    <w:rsid w:val="00CB78AD"/>
    <w:rsid w:val="00CB7A94"/>
    <w:rsid w:val="00CB7C33"/>
    <w:rsid w:val="00CB7FB9"/>
    <w:rsid w:val="00CB7FE4"/>
    <w:rsid w:val="00CC0193"/>
    <w:rsid w:val="00CC02D9"/>
    <w:rsid w:val="00CC03A8"/>
    <w:rsid w:val="00CC066F"/>
    <w:rsid w:val="00CC06F9"/>
    <w:rsid w:val="00CC0D3B"/>
    <w:rsid w:val="00CC0FE1"/>
    <w:rsid w:val="00CC11BE"/>
    <w:rsid w:val="00CC1229"/>
    <w:rsid w:val="00CC12D1"/>
    <w:rsid w:val="00CC15D1"/>
    <w:rsid w:val="00CC1612"/>
    <w:rsid w:val="00CC16C8"/>
    <w:rsid w:val="00CC18E1"/>
    <w:rsid w:val="00CC193A"/>
    <w:rsid w:val="00CC1FED"/>
    <w:rsid w:val="00CC2069"/>
    <w:rsid w:val="00CC228C"/>
    <w:rsid w:val="00CC2972"/>
    <w:rsid w:val="00CC29BA"/>
    <w:rsid w:val="00CC2BE8"/>
    <w:rsid w:val="00CC2E88"/>
    <w:rsid w:val="00CC33A3"/>
    <w:rsid w:val="00CC33AE"/>
    <w:rsid w:val="00CC34BD"/>
    <w:rsid w:val="00CC3514"/>
    <w:rsid w:val="00CC3A34"/>
    <w:rsid w:val="00CC3B88"/>
    <w:rsid w:val="00CC3C71"/>
    <w:rsid w:val="00CC3DD6"/>
    <w:rsid w:val="00CC4265"/>
    <w:rsid w:val="00CC43CE"/>
    <w:rsid w:val="00CC45BB"/>
    <w:rsid w:val="00CC48CA"/>
    <w:rsid w:val="00CC4979"/>
    <w:rsid w:val="00CC4DCB"/>
    <w:rsid w:val="00CC4F00"/>
    <w:rsid w:val="00CC4FF4"/>
    <w:rsid w:val="00CC60B8"/>
    <w:rsid w:val="00CC618A"/>
    <w:rsid w:val="00CC618E"/>
    <w:rsid w:val="00CC63BD"/>
    <w:rsid w:val="00CC6433"/>
    <w:rsid w:val="00CC6673"/>
    <w:rsid w:val="00CC6724"/>
    <w:rsid w:val="00CC6A63"/>
    <w:rsid w:val="00CC7050"/>
    <w:rsid w:val="00CC72A2"/>
    <w:rsid w:val="00CC73D1"/>
    <w:rsid w:val="00CC74D2"/>
    <w:rsid w:val="00CC760A"/>
    <w:rsid w:val="00CC764F"/>
    <w:rsid w:val="00CC7747"/>
    <w:rsid w:val="00CC7757"/>
    <w:rsid w:val="00CC7BE9"/>
    <w:rsid w:val="00CC7CDE"/>
    <w:rsid w:val="00CC7E49"/>
    <w:rsid w:val="00CC7E95"/>
    <w:rsid w:val="00CD037D"/>
    <w:rsid w:val="00CD0637"/>
    <w:rsid w:val="00CD0B03"/>
    <w:rsid w:val="00CD0CFB"/>
    <w:rsid w:val="00CD10EC"/>
    <w:rsid w:val="00CD125E"/>
    <w:rsid w:val="00CD166C"/>
    <w:rsid w:val="00CD193F"/>
    <w:rsid w:val="00CD1B89"/>
    <w:rsid w:val="00CD20E1"/>
    <w:rsid w:val="00CD255E"/>
    <w:rsid w:val="00CD26C6"/>
    <w:rsid w:val="00CD2AF7"/>
    <w:rsid w:val="00CD2CE1"/>
    <w:rsid w:val="00CD2F94"/>
    <w:rsid w:val="00CD3189"/>
    <w:rsid w:val="00CD326E"/>
    <w:rsid w:val="00CD353C"/>
    <w:rsid w:val="00CD3542"/>
    <w:rsid w:val="00CD35DF"/>
    <w:rsid w:val="00CD36AD"/>
    <w:rsid w:val="00CD3A46"/>
    <w:rsid w:val="00CD3ACD"/>
    <w:rsid w:val="00CD415E"/>
    <w:rsid w:val="00CD4BF0"/>
    <w:rsid w:val="00CD4E23"/>
    <w:rsid w:val="00CD4EE6"/>
    <w:rsid w:val="00CD507E"/>
    <w:rsid w:val="00CD53CF"/>
    <w:rsid w:val="00CD555C"/>
    <w:rsid w:val="00CD5632"/>
    <w:rsid w:val="00CD566C"/>
    <w:rsid w:val="00CD5A3C"/>
    <w:rsid w:val="00CD5B28"/>
    <w:rsid w:val="00CD5E9B"/>
    <w:rsid w:val="00CD5FDE"/>
    <w:rsid w:val="00CD66C9"/>
    <w:rsid w:val="00CD689E"/>
    <w:rsid w:val="00CD6A1A"/>
    <w:rsid w:val="00CD6A83"/>
    <w:rsid w:val="00CD71A6"/>
    <w:rsid w:val="00CD7243"/>
    <w:rsid w:val="00CD779C"/>
    <w:rsid w:val="00CD7C82"/>
    <w:rsid w:val="00CD7DB6"/>
    <w:rsid w:val="00CD7F31"/>
    <w:rsid w:val="00CE00CD"/>
    <w:rsid w:val="00CE00DC"/>
    <w:rsid w:val="00CE0A3B"/>
    <w:rsid w:val="00CE0B05"/>
    <w:rsid w:val="00CE0F48"/>
    <w:rsid w:val="00CE0F76"/>
    <w:rsid w:val="00CE0FF8"/>
    <w:rsid w:val="00CE10F3"/>
    <w:rsid w:val="00CE1237"/>
    <w:rsid w:val="00CE15AE"/>
    <w:rsid w:val="00CE2064"/>
    <w:rsid w:val="00CE2177"/>
    <w:rsid w:val="00CE2188"/>
    <w:rsid w:val="00CE2310"/>
    <w:rsid w:val="00CE2626"/>
    <w:rsid w:val="00CE27F8"/>
    <w:rsid w:val="00CE2D9D"/>
    <w:rsid w:val="00CE3246"/>
    <w:rsid w:val="00CE3DBF"/>
    <w:rsid w:val="00CE4089"/>
    <w:rsid w:val="00CE416A"/>
    <w:rsid w:val="00CE4603"/>
    <w:rsid w:val="00CE4A70"/>
    <w:rsid w:val="00CE5720"/>
    <w:rsid w:val="00CE57E0"/>
    <w:rsid w:val="00CE59D3"/>
    <w:rsid w:val="00CE5A93"/>
    <w:rsid w:val="00CE5BFA"/>
    <w:rsid w:val="00CE632E"/>
    <w:rsid w:val="00CE64A0"/>
    <w:rsid w:val="00CE64F5"/>
    <w:rsid w:val="00CE6D4A"/>
    <w:rsid w:val="00CE71BA"/>
    <w:rsid w:val="00CE73FC"/>
    <w:rsid w:val="00CE796D"/>
    <w:rsid w:val="00CF0343"/>
    <w:rsid w:val="00CF0344"/>
    <w:rsid w:val="00CF09FB"/>
    <w:rsid w:val="00CF0A88"/>
    <w:rsid w:val="00CF0B6D"/>
    <w:rsid w:val="00CF0BCE"/>
    <w:rsid w:val="00CF1258"/>
    <w:rsid w:val="00CF1831"/>
    <w:rsid w:val="00CF195B"/>
    <w:rsid w:val="00CF1D3C"/>
    <w:rsid w:val="00CF1D5D"/>
    <w:rsid w:val="00CF1F29"/>
    <w:rsid w:val="00CF2368"/>
    <w:rsid w:val="00CF248F"/>
    <w:rsid w:val="00CF26E0"/>
    <w:rsid w:val="00CF2FD4"/>
    <w:rsid w:val="00CF38CB"/>
    <w:rsid w:val="00CF3ABC"/>
    <w:rsid w:val="00CF3C0C"/>
    <w:rsid w:val="00CF3D46"/>
    <w:rsid w:val="00CF3D59"/>
    <w:rsid w:val="00CF3F3C"/>
    <w:rsid w:val="00CF3FA4"/>
    <w:rsid w:val="00CF47E3"/>
    <w:rsid w:val="00CF47FC"/>
    <w:rsid w:val="00CF4A84"/>
    <w:rsid w:val="00CF5450"/>
    <w:rsid w:val="00CF5711"/>
    <w:rsid w:val="00CF58A2"/>
    <w:rsid w:val="00CF5AA0"/>
    <w:rsid w:val="00CF5DAB"/>
    <w:rsid w:val="00CF5E05"/>
    <w:rsid w:val="00CF5E08"/>
    <w:rsid w:val="00CF5E63"/>
    <w:rsid w:val="00CF6012"/>
    <w:rsid w:val="00CF648C"/>
    <w:rsid w:val="00CF6AE7"/>
    <w:rsid w:val="00CF6BD3"/>
    <w:rsid w:val="00CF6DA4"/>
    <w:rsid w:val="00CF6DF9"/>
    <w:rsid w:val="00CF6EA8"/>
    <w:rsid w:val="00CF6ED0"/>
    <w:rsid w:val="00CF7104"/>
    <w:rsid w:val="00CF72E8"/>
    <w:rsid w:val="00CF7806"/>
    <w:rsid w:val="00CF798D"/>
    <w:rsid w:val="00CF79AD"/>
    <w:rsid w:val="00CF7A27"/>
    <w:rsid w:val="00D00008"/>
    <w:rsid w:val="00D000CB"/>
    <w:rsid w:val="00D0014C"/>
    <w:rsid w:val="00D001C9"/>
    <w:rsid w:val="00D0038D"/>
    <w:rsid w:val="00D00544"/>
    <w:rsid w:val="00D0058D"/>
    <w:rsid w:val="00D00B73"/>
    <w:rsid w:val="00D00B87"/>
    <w:rsid w:val="00D00C2E"/>
    <w:rsid w:val="00D00C5F"/>
    <w:rsid w:val="00D01489"/>
    <w:rsid w:val="00D014AF"/>
    <w:rsid w:val="00D0160A"/>
    <w:rsid w:val="00D01738"/>
    <w:rsid w:val="00D01989"/>
    <w:rsid w:val="00D01BB5"/>
    <w:rsid w:val="00D01C65"/>
    <w:rsid w:val="00D020A5"/>
    <w:rsid w:val="00D0246E"/>
    <w:rsid w:val="00D02500"/>
    <w:rsid w:val="00D02840"/>
    <w:rsid w:val="00D02AC9"/>
    <w:rsid w:val="00D02F61"/>
    <w:rsid w:val="00D0301F"/>
    <w:rsid w:val="00D03031"/>
    <w:rsid w:val="00D03658"/>
    <w:rsid w:val="00D036B2"/>
    <w:rsid w:val="00D0376E"/>
    <w:rsid w:val="00D03853"/>
    <w:rsid w:val="00D038B8"/>
    <w:rsid w:val="00D03BDD"/>
    <w:rsid w:val="00D03C54"/>
    <w:rsid w:val="00D03E20"/>
    <w:rsid w:val="00D03E7B"/>
    <w:rsid w:val="00D0442A"/>
    <w:rsid w:val="00D04597"/>
    <w:rsid w:val="00D048D5"/>
    <w:rsid w:val="00D04998"/>
    <w:rsid w:val="00D04A76"/>
    <w:rsid w:val="00D04CA2"/>
    <w:rsid w:val="00D04E1F"/>
    <w:rsid w:val="00D04F67"/>
    <w:rsid w:val="00D05380"/>
    <w:rsid w:val="00D0544A"/>
    <w:rsid w:val="00D0556C"/>
    <w:rsid w:val="00D05646"/>
    <w:rsid w:val="00D05ED3"/>
    <w:rsid w:val="00D05F2A"/>
    <w:rsid w:val="00D0628F"/>
    <w:rsid w:val="00D06705"/>
    <w:rsid w:val="00D07511"/>
    <w:rsid w:val="00D07853"/>
    <w:rsid w:val="00D07AFF"/>
    <w:rsid w:val="00D07DCC"/>
    <w:rsid w:val="00D1000C"/>
    <w:rsid w:val="00D103DE"/>
    <w:rsid w:val="00D10A3A"/>
    <w:rsid w:val="00D11081"/>
    <w:rsid w:val="00D11825"/>
    <w:rsid w:val="00D11A26"/>
    <w:rsid w:val="00D11ED4"/>
    <w:rsid w:val="00D121B5"/>
    <w:rsid w:val="00D12336"/>
    <w:rsid w:val="00D1245E"/>
    <w:rsid w:val="00D12887"/>
    <w:rsid w:val="00D13010"/>
    <w:rsid w:val="00D13759"/>
    <w:rsid w:val="00D137F4"/>
    <w:rsid w:val="00D13D6E"/>
    <w:rsid w:val="00D13D96"/>
    <w:rsid w:val="00D13F3B"/>
    <w:rsid w:val="00D14085"/>
    <w:rsid w:val="00D1421D"/>
    <w:rsid w:val="00D14308"/>
    <w:rsid w:val="00D146DA"/>
    <w:rsid w:val="00D14879"/>
    <w:rsid w:val="00D14DB7"/>
    <w:rsid w:val="00D15130"/>
    <w:rsid w:val="00D15139"/>
    <w:rsid w:val="00D15420"/>
    <w:rsid w:val="00D154D2"/>
    <w:rsid w:val="00D15C20"/>
    <w:rsid w:val="00D15C54"/>
    <w:rsid w:val="00D160D3"/>
    <w:rsid w:val="00D162A6"/>
    <w:rsid w:val="00D162D9"/>
    <w:rsid w:val="00D166EA"/>
    <w:rsid w:val="00D16BD6"/>
    <w:rsid w:val="00D16EE4"/>
    <w:rsid w:val="00D17074"/>
    <w:rsid w:val="00D17507"/>
    <w:rsid w:val="00D175B1"/>
    <w:rsid w:val="00D17EDD"/>
    <w:rsid w:val="00D2045F"/>
    <w:rsid w:val="00D20471"/>
    <w:rsid w:val="00D2081C"/>
    <w:rsid w:val="00D209A4"/>
    <w:rsid w:val="00D20CA1"/>
    <w:rsid w:val="00D20DF1"/>
    <w:rsid w:val="00D2166C"/>
    <w:rsid w:val="00D21698"/>
    <w:rsid w:val="00D21AB5"/>
    <w:rsid w:val="00D21E30"/>
    <w:rsid w:val="00D2217E"/>
    <w:rsid w:val="00D2221F"/>
    <w:rsid w:val="00D22439"/>
    <w:rsid w:val="00D23695"/>
    <w:rsid w:val="00D2372A"/>
    <w:rsid w:val="00D23863"/>
    <w:rsid w:val="00D23E45"/>
    <w:rsid w:val="00D24004"/>
    <w:rsid w:val="00D244D2"/>
    <w:rsid w:val="00D24806"/>
    <w:rsid w:val="00D24EA2"/>
    <w:rsid w:val="00D24EF1"/>
    <w:rsid w:val="00D25417"/>
    <w:rsid w:val="00D260CA"/>
    <w:rsid w:val="00D2654A"/>
    <w:rsid w:val="00D2659B"/>
    <w:rsid w:val="00D2695A"/>
    <w:rsid w:val="00D26F59"/>
    <w:rsid w:val="00D27B14"/>
    <w:rsid w:val="00D27CA8"/>
    <w:rsid w:val="00D301AD"/>
    <w:rsid w:val="00D30359"/>
    <w:rsid w:val="00D30AE1"/>
    <w:rsid w:val="00D30DB4"/>
    <w:rsid w:val="00D30FA5"/>
    <w:rsid w:val="00D3140F"/>
    <w:rsid w:val="00D31499"/>
    <w:rsid w:val="00D31571"/>
    <w:rsid w:val="00D318C2"/>
    <w:rsid w:val="00D31DFF"/>
    <w:rsid w:val="00D3218F"/>
    <w:rsid w:val="00D3261B"/>
    <w:rsid w:val="00D326A4"/>
    <w:rsid w:val="00D326FC"/>
    <w:rsid w:val="00D3296F"/>
    <w:rsid w:val="00D330AF"/>
    <w:rsid w:val="00D33221"/>
    <w:rsid w:val="00D33A66"/>
    <w:rsid w:val="00D33E45"/>
    <w:rsid w:val="00D341FB"/>
    <w:rsid w:val="00D34208"/>
    <w:rsid w:val="00D34367"/>
    <w:rsid w:val="00D344BF"/>
    <w:rsid w:val="00D34866"/>
    <w:rsid w:val="00D34C60"/>
    <w:rsid w:val="00D35695"/>
    <w:rsid w:val="00D356B3"/>
    <w:rsid w:val="00D35711"/>
    <w:rsid w:val="00D357FA"/>
    <w:rsid w:val="00D3593E"/>
    <w:rsid w:val="00D35AD2"/>
    <w:rsid w:val="00D36042"/>
    <w:rsid w:val="00D3611A"/>
    <w:rsid w:val="00D3618F"/>
    <w:rsid w:val="00D365C3"/>
    <w:rsid w:val="00D3669D"/>
    <w:rsid w:val="00D36814"/>
    <w:rsid w:val="00D369DD"/>
    <w:rsid w:val="00D36BA6"/>
    <w:rsid w:val="00D37325"/>
    <w:rsid w:val="00D373B9"/>
    <w:rsid w:val="00D379D7"/>
    <w:rsid w:val="00D37A5E"/>
    <w:rsid w:val="00D37C9A"/>
    <w:rsid w:val="00D37F28"/>
    <w:rsid w:val="00D4005A"/>
    <w:rsid w:val="00D40364"/>
    <w:rsid w:val="00D40434"/>
    <w:rsid w:val="00D40A68"/>
    <w:rsid w:val="00D40D1D"/>
    <w:rsid w:val="00D40D8F"/>
    <w:rsid w:val="00D41374"/>
    <w:rsid w:val="00D41391"/>
    <w:rsid w:val="00D41919"/>
    <w:rsid w:val="00D41ACB"/>
    <w:rsid w:val="00D41BF4"/>
    <w:rsid w:val="00D41D30"/>
    <w:rsid w:val="00D41D35"/>
    <w:rsid w:val="00D41E8F"/>
    <w:rsid w:val="00D421F6"/>
    <w:rsid w:val="00D424A3"/>
    <w:rsid w:val="00D425EF"/>
    <w:rsid w:val="00D4264B"/>
    <w:rsid w:val="00D428EA"/>
    <w:rsid w:val="00D42DE3"/>
    <w:rsid w:val="00D431B1"/>
    <w:rsid w:val="00D43AD2"/>
    <w:rsid w:val="00D43EC7"/>
    <w:rsid w:val="00D4402E"/>
    <w:rsid w:val="00D4414B"/>
    <w:rsid w:val="00D44155"/>
    <w:rsid w:val="00D44658"/>
    <w:rsid w:val="00D4482B"/>
    <w:rsid w:val="00D448B5"/>
    <w:rsid w:val="00D4494D"/>
    <w:rsid w:val="00D44BFD"/>
    <w:rsid w:val="00D44EA2"/>
    <w:rsid w:val="00D4526F"/>
    <w:rsid w:val="00D454D7"/>
    <w:rsid w:val="00D45609"/>
    <w:rsid w:val="00D45842"/>
    <w:rsid w:val="00D458CE"/>
    <w:rsid w:val="00D459A8"/>
    <w:rsid w:val="00D45E34"/>
    <w:rsid w:val="00D461EC"/>
    <w:rsid w:val="00D462E8"/>
    <w:rsid w:val="00D46571"/>
    <w:rsid w:val="00D4659A"/>
    <w:rsid w:val="00D4675C"/>
    <w:rsid w:val="00D46A57"/>
    <w:rsid w:val="00D46E35"/>
    <w:rsid w:val="00D470DD"/>
    <w:rsid w:val="00D471F7"/>
    <w:rsid w:val="00D4744A"/>
    <w:rsid w:val="00D4770A"/>
    <w:rsid w:val="00D47EBF"/>
    <w:rsid w:val="00D47F38"/>
    <w:rsid w:val="00D50296"/>
    <w:rsid w:val="00D50A27"/>
    <w:rsid w:val="00D50C39"/>
    <w:rsid w:val="00D50DBB"/>
    <w:rsid w:val="00D50E41"/>
    <w:rsid w:val="00D50F0F"/>
    <w:rsid w:val="00D50F71"/>
    <w:rsid w:val="00D5125A"/>
    <w:rsid w:val="00D515CF"/>
    <w:rsid w:val="00D51DE5"/>
    <w:rsid w:val="00D5200C"/>
    <w:rsid w:val="00D5211A"/>
    <w:rsid w:val="00D524CF"/>
    <w:rsid w:val="00D52536"/>
    <w:rsid w:val="00D52840"/>
    <w:rsid w:val="00D52923"/>
    <w:rsid w:val="00D52BE0"/>
    <w:rsid w:val="00D53217"/>
    <w:rsid w:val="00D5331D"/>
    <w:rsid w:val="00D53353"/>
    <w:rsid w:val="00D5336D"/>
    <w:rsid w:val="00D5339F"/>
    <w:rsid w:val="00D5347E"/>
    <w:rsid w:val="00D534EC"/>
    <w:rsid w:val="00D53C48"/>
    <w:rsid w:val="00D53EB3"/>
    <w:rsid w:val="00D54610"/>
    <w:rsid w:val="00D547B1"/>
    <w:rsid w:val="00D54844"/>
    <w:rsid w:val="00D5487B"/>
    <w:rsid w:val="00D54E91"/>
    <w:rsid w:val="00D55351"/>
    <w:rsid w:val="00D55535"/>
    <w:rsid w:val="00D558B8"/>
    <w:rsid w:val="00D55A96"/>
    <w:rsid w:val="00D55DB6"/>
    <w:rsid w:val="00D55E40"/>
    <w:rsid w:val="00D56051"/>
    <w:rsid w:val="00D560BD"/>
    <w:rsid w:val="00D561DD"/>
    <w:rsid w:val="00D561FD"/>
    <w:rsid w:val="00D5648A"/>
    <w:rsid w:val="00D566B8"/>
    <w:rsid w:val="00D566BA"/>
    <w:rsid w:val="00D56B5F"/>
    <w:rsid w:val="00D5705C"/>
    <w:rsid w:val="00D575A4"/>
    <w:rsid w:val="00D57673"/>
    <w:rsid w:val="00D57981"/>
    <w:rsid w:val="00D57C12"/>
    <w:rsid w:val="00D600BF"/>
    <w:rsid w:val="00D600D9"/>
    <w:rsid w:val="00D6012A"/>
    <w:rsid w:val="00D60373"/>
    <w:rsid w:val="00D60722"/>
    <w:rsid w:val="00D607D5"/>
    <w:rsid w:val="00D60955"/>
    <w:rsid w:val="00D60B8E"/>
    <w:rsid w:val="00D60FE4"/>
    <w:rsid w:val="00D61202"/>
    <w:rsid w:val="00D61238"/>
    <w:rsid w:val="00D612F5"/>
    <w:rsid w:val="00D61403"/>
    <w:rsid w:val="00D616F7"/>
    <w:rsid w:val="00D61830"/>
    <w:rsid w:val="00D6237A"/>
    <w:rsid w:val="00D627C4"/>
    <w:rsid w:val="00D632AA"/>
    <w:rsid w:val="00D63341"/>
    <w:rsid w:val="00D63503"/>
    <w:rsid w:val="00D63764"/>
    <w:rsid w:val="00D63DE0"/>
    <w:rsid w:val="00D64016"/>
    <w:rsid w:val="00D64187"/>
    <w:rsid w:val="00D647E8"/>
    <w:rsid w:val="00D65318"/>
    <w:rsid w:val="00D6534E"/>
    <w:rsid w:val="00D653CC"/>
    <w:rsid w:val="00D6550A"/>
    <w:rsid w:val="00D65513"/>
    <w:rsid w:val="00D657A0"/>
    <w:rsid w:val="00D6594D"/>
    <w:rsid w:val="00D65E18"/>
    <w:rsid w:val="00D65EB0"/>
    <w:rsid w:val="00D6614B"/>
    <w:rsid w:val="00D665C6"/>
    <w:rsid w:val="00D66877"/>
    <w:rsid w:val="00D66A36"/>
    <w:rsid w:val="00D66AFB"/>
    <w:rsid w:val="00D66CEF"/>
    <w:rsid w:val="00D66DD2"/>
    <w:rsid w:val="00D66E37"/>
    <w:rsid w:val="00D674B9"/>
    <w:rsid w:val="00D67CE1"/>
    <w:rsid w:val="00D70188"/>
    <w:rsid w:val="00D7024D"/>
    <w:rsid w:val="00D7059C"/>
    <w:rsid w:val="00D705DA"/>
    <w:rsid w:val="00D708FE"/>
    <w:rsid w:val="00D7094B"/>
    <w:rsid w:val="00D70B97"/>
    <w:rsid w:val="00D70E1E"/>
    <w:rsid w:val="00D7124A"/>
    <w:rsid w:val="00D712A3"/>
    <w:rsid w:val="00D71410"/>
    <w:rsid w:val="00D7146A"/>
    <w:rsid w:val="00D71536"/>
    <w:rsid w:val="00D71663"/>
    <w:rsid w:val="00D719AC"/>
    <w:rsid w:val="00D71E0F"/>
    <w:rsid w:val="00D71F7C"/>
    <w:rsid w:val="00D72358"/>
    <w:rsid w:val="00D7235E"/>
    <w:rsid w:val="00D723B9"/>
    <w:rsid w:val="00D72612"/>
    <w:rsid w:val="00D727FA"/>
    <w:rsid w:val="00D727FC"/>
    <w:rsid w:val="00D72874"/>
    <w:rsid w:val="00D72AD4"/>
    <w:rsid w:val="00D72D33"/>
    <w:rsid w:val="00D72E54"/>
    <w:rsid w:val="00D73EA1"/>
    <w:rsid w:val="00D73F15"/>
    <w:rsid w:val="00D74086"/>
    <w:rsid w:val="00D740AF"/>
    <w:rsid w:val="00D742B0"/>
    <w:rsid w:val="00D74840"/>
    <w:rsid w:val="00D748FC"/>
    <w:rsid w:val="00D74953"/>
    <w:rsid w:val="00D74C30"/>
    <w:rsid w:val="00D74C8F"/>
    <w:rsid w:val="00D74F5A"/>
    <w:rsid w:val="00D75359"/>
    <w:rsid w:val="00D75462"/>
    <w:rsid w:val="00D7588D"/>
    <w:rsid w:val="00D76027"/>
    <w:rsid w:val="00D76396"/>
    <w:rsid w:val="00D763D3"/>
    <w:rsid w:val="00D763EC"/>
    <w:rsid w:val="00D76447"/>
    <w:rsid w:val="00D76471"/>
    <w:rsid w:val="00D76833"/>
    <w:rsid w:val="00D768D8"/>
    <w:rsid w:val="00D768DE"/>
    <w:rsid w:val="00D76998"/>
    <w:rsid w:val="00D76A01"/>
    <w:rsid w:val="00D76D60"/>
    <w:rsid w:val="00D77520"/>
    <w:rsid w:val="00D776D5"/>
    <w:rsid w:val="00D77793"/>
    <w:rsid w:val="00D77889"/>
    <w:rsid w:val="00D77A06"/>
    <w:rsid w:val="00D77A92"/>
    <w:rsid w:val="00D77B88"/>
    <w:rsid w:val="00D77C0A"/>
    <w:rsid w:val="00D77CC5"/>
    <w:rsid w:val="00D800A1"/>
    <w:rsid w:val="00D8053E"/>
    <w:rsid w:val="00D805C6"/>
    <w:rsid w:val="00D80A96"/>
    <w:rsid w:val="00D80B0B"/>
    <w:rsid w:val="00D80CF1"/>
    <w:rsid w:val="00D81132"/>
    <w:rsid w:val="00D81194"/>
    <w:rsid w:val="00D81236"/>
    <w:rsid w:val="00D812C1"/>
    <w:rsid w:val="00D81362"/>
    <w:rsid w:val="00D81FF4"/>
    <w:rsid w:val="00D8233D"/>
    <w:rsid w:val="00D82428"/>
    <w:rsid w:val="00D824A7"/>
    <w:rsid w:val="00D82697"/>
    <w:rsid w:val="00D8288E"/>
    <w:rsid w:val="00D82974"/>
    <w:rsid w:val="00D82B40"/>
    <w:rsid w:val="00D83061"/>
    <w:rsid w:val="00D83614"/>
    <w:rsid w:val="00D83932"/>
    <w:rsid w:val="00D83AD3"/>
    <w:rsid w:val="00D83B83"/>
    <w:rsid w:val="00D83BBE"/>
    <w:rsid w:val="00D83DC1"/>
    <w:rsid w:val="00D83EC4"/>
    <w:rsid w:val="00D8419C"/>
    <w:rsid w:val="00D8438F"/>
    <w:rsid w:val="00D8459D"/>
    <w:rsid w:val="00D846A4"/>
    <w:rsid w:val="00D84AD7"/>
    <w:rsid w:val="00D84B03"/>
    <w:rsid w:val="00D85194"/>
    <w:rsid w:val="00D85294"/>
    <w:rsid w:val="00D855B6"/>
    <w:rsid w:val="00D856F3"/>
    <w:rsid w:val="00D85702"/>
    <w:rsid w:val="00D8587E"/>
    <w:rsid w:val="00D85A63"/>
    <w:rsid w:val="00D85BA8"/>
    <w:rsid w:val="00D86110"/>
    <w:rsid w:val="00D86117"/>
    <w:rsid w:val="00D863CB"/>
    <w:rsid w:val="00D86516"/>
    <w:rsid w:val="00D8657D"/>
    <w:rsid w:val="00D8676C"/>
    <w:rsid w:val="00D86AE8"/>
    <w:rsid w:val="00D86DE4"/>
    <w:rsid w:val="00D86E45"/>
    <w:rsid w:val="00D87105"/>
    <w:rsid w:val="00D8712A"/>
    <w:rsid w:val="00D8746F"/>
    <w:rsid w:val="00D87A4A"/>
    <w:rsid w:val="00D87F86"/>
    <w:rsid w:val="00D90145"/>
    <w:rsid w:val="00D90207"/>
    <w:rsid w:val="00D90483"/>
    <w:rsid w:val="00D90707"/>
    <w:rsid w:val="00D9097E"/>
    <w:rsid w:val="00D909A0"/>
    <w:rsid w:val="00D90A1D"/>
    <w:rsid w:val="00D90BAB"/>
    <w:rsid w:val="00D9133E"/>
    <w:rsid w:val="00D91665"/>
    <w:rsid w:val="00D91AF1"/>
    <w:rsid w:val="00D91DCD"/>
    <w:rsid w:val="00D92219"/>
    <w:rsid w:val="00D92B28"/>
    <w:rsid w:val="00D93129"/>
    <w:rsid w:val="00D93203"/>
    <w:rsid w:val="00D936E3"/>
    <w:rsid w:val="00D93889"/>
    <w:rsid w:val="00D93913"/>
    <w:rsid w:val="00D93E28"/>
    <w:rsid w:val="00D93FEF"/>
    <w:rsid w:val="00D94235"/>
    <w:rsid w:val="00D9429D"/>
    <w:rsid w:val="00D9449C"/>
    <w:rsid w:val="00D9473B"/>
    <w:rsid w:val="00D94C0F"/>
    <w:rsid w:val="00D95165"/>
    <w:rsid w:val="00D951F1"/>
    <w:rsid w:val="00D952F3"/>
    <w:rsid w:val="00D9580F"/>
    <w:rsid w:val="00D959CC"/>
    <w:rsid w:val="00D95B52"/>
    <w:rsid w:val="00D95B77"/>
    <w:rsid w:val="00D96084"/>
    <w:rsid w:val="00D962CA"/>
    <w:rsid w:val="00D96389"/>
    <w:rsid w:val="00D967DD"/>
    <w:rsid w:val="00D96888"/>
    <w:rsid w:val="00D969DA"/>
    <w:rsid w:val="00D96A19"/>
    <w:rsid w:val="00D97276"/>
    <w:rsid w:val="00D972D8"/>
    <w:rsid w:val="00D97331"/>
    <w:rsid w:val="00D97479"/>
    <w:rsid w:val="00D97687"/>
    <w:rsid w:val="00D9776B"/>
    <w:rsid w:val="00D97801"/>
    <w:rsid w:val="00D97CF1"/>
    <w:rsid w:val="00D97D4D"/>
    <w:rsid w:val="00D988AF"/>
    <w:rsid w:val="00DA0094"/>
    <w:rsid w:val="00DA0229"/>
    <w:rsid w:val="00DA02D1"/>
    <w:rsid w:val="00DA0325"/>
    <w:rsid w:val="00DA1328"/>
    <w:rsid w:val="00DA1754"/>
    <w:rsid w:val="00DA1938"/>
    <w:rsid w:val="00DA1D85"/>
    <w:rsid w:val="00DA1E0D"/>
    <w:rsid w:val="00DA1E6D"/>
    <w:rsid w:val="00DA22AA"/>
    <w:rsid w:val="00DA22ED"/>
    <w:rsid w:val="00DA24F1"/>
    <w:rsid w:val="00DA26AC"/>
    <w:rsid w:val="00DA2F73"/>
    <w:rsid w:val="00DA36C0"/>
    <w:rsid w:val="00DA37C4"/>
    <w:rsid w:val="00DA38D7"/>
    <w:rsid w:val="00DA3A2E"/>
    <w:rsid w:val="00DA3B48"/>
    <w:rsid w:val="00DA4538"/>
    <w:rsid w:val="00DA4810"/>
    <w:rsid w:val="00DA49DC"/>
    <w:rsid w:val="00DA4B77"/>
    <w:rsid w:val="00DA4E63"/>
    <w:rsid w:val="00DA5123"/>
    <w:rsid w:val="00DA5194"/>
    <w:rsid w:val="00DA528C"/>
    <w:rsid w:val="00DA530F"/>
    <w:rsid w:val="00DA5875"/>
    <w:rsid w:val="00DA5B9C"/>
    <w:rsid w:val="00DA5CD6"/>
    <w:rsid w:val="00DA6A4A"/>
    <w:rsid w:val="00DA73BC"/>
    <w:rsid w:val="00DA75A1"/>
    <w:rsid w:val="00DA763C"/>
    <w:rsid w:val="00DA7866"/>
    <w:rsid w:val="00DA7FC5"/>
    <w:rsid w:val="00DB019C"/>
    <w:rsid w:val="00DB0AB6"/>
    <w:rsid w:val="00DB0D1B"/>
    <w:rsid w:val="00DB0E1B"/>
    <w:rsid w:val="00DB10D6"/>
    <w:rsid w:val="00DB111C"/>
    <w:rsid w:val="00DB14DB"/>
    <w:rsid w:val="00DB1739"/>
    <w:rsid w:val="00DB1870"/>
    <w:rsid w:val="00DB1C71"/>
    <w:rsid w:val="00DB1D91"/>
    <w:rsid w:val="00DB1EA8"/>
    <w:rsid w:val="00DB202E"/>
    <w:rsid w:val="00DB245B"/>
    <w:rsid w:val="00DB28AB"/>
    <w:rsid w:val="00DB2B7B"/>
    <w:rsid w:val="00DB2C05"/>
    <w:rsid w:val="00DB2F01"/>
    <w:rsid w:val="00DB2F9A"/>
    <w:rsid w:val="00DB30A1"/>
    <w:rsid w:val="00DB35E7"/>
    <w:rsid w:val="00DB368D"/>
    <w:rsid w:val="00DB3743"/>
    <w:rsid w:val="00DB3B70"/>
    <w:rsid w:val="00DB40ED"/>
    <w:rsid w:val="00DB43B1"/>
    <w:rsid w:val="00DB467B"/>
    <w:rsid w:val="00DB46DB"/>
    <w:rsid w:val="00DB48DA"/>
    <w:rsid w:val="00DB49DC"/>
    <w:rsid w:val="00DB4A52"/>
    <w:rsid w:val="00DB4D84"/>
    <w:rsid w:val="00DB4E45"/>
    <w:rsid w:val="00DB4FCF"/>
    <w:rsid w:val="00DB50B6"/>
    <w:rsid w:val="00DB550A"/>
    <w:rsid w:val="00DB5955"/>
    <w:rsid w:val="00DB5BB8"/>
    <w:rsid w:val="00DB6101"/>
    <w:rsid w:val="00DB6139"/>
    <w:rsid w:val="00DB61A7"/>
    <w:rsid w:val="00DB6568"/>
    <w:rsid w:val="00DB66D1"/>
    <w:rsid w:val="00DB66D5"/>
    <w:rsid w:val="00DB670E"/>
    <w:rsid w:val="00DB6EFE"/>
    <w:rsid w:val="00DB6F10"/>
    <w:rsid w:val="00DB6FFD"/>
    <w:rsid w:val="00DB7024"/>
    <w:rsid w:val="00DB74EE"/>
    <w:rsid w:val="00DB7602"/>
    <w:rsid w:val="00DB7945"/>
    <w:rsid w:val="00DB7A27"/>
    <w:rsid w:val="00DC021F"/>
    <w:rsid w:val="00DC03E3"/>
    <w:rsid w:val="00DC04AE"/>
    <w:rsid w:val="00DC07F1"/>
    <w:rsid w:val="00DC0CBF"/>
    <w:rsid w:val="00DC169A"/>
    <w:rsid w:val="00DC1A39"/>
    <w:rsid w:val="00DC1C2A"/>
    <w:rsid w:val="00DC2112"/>
    <w:rsid w:val="00DC23B9"/>
    <w:rsid w:val="00DC2640"/>
    <w:rsid w:val="00DC2826"/>
    <w:rsid w:val="00DC2E3B"/>
    <w:rsid w:val="00DC2EF4"/>
    <w:rsid w:val="00DC3160"/>
    <w:rsid w:val="00DC326B"/>
    <w:rsid w:val="00DC365F"/>
    <w:rsid w:val="00DC36AB"/>
    <w:rsid w:val="00DC37B3"/>
    <w:rsid w:val="00DC41FC"/>
    <w:rsid w:val="00DC4202"/>
    <w:rsid w:val="00DC4862"/>
    <w:rsid w:val="00DC4987"/>
    <w:rsid w:val="00DC4C30"/>
    <w:rsid w:val="00DC510C"/>
    <w:rsid w:val="00DC52B2"/>
    <w:rsid w:val="00DC5382"/>
    <w:rsid w:val="00DC5386"/>
    <w:rsid w:val="00DC5532"/>
    <w:rsid w:val="00DC559C"/>
    <w:rsid w:val="00DC56DC"/>
    <w:rsid w:val="00DC5764"/>
    <w:rsid w:val="00DC5B55"/>
    <w:rsid w:val="00DC5D48"/>
    <w:rsid w:val="00DC61A8"/>
    <w:rsid w:val="00DC6203"/>
    <w:rsid w:val="00DC672B"/>
    <w:rsid w:val="00DC6C50"/>
    <w:rsid w:val="00DC6CBA"/>
    <w:rsid w:val="00DC6D94"/>
    <w:rsid w:val="00DC71ED"/>
    <w:rsid w:val="00DC7A5B"/>
    <w:rsid w:val="00DC7AA1"/>
    <w:rsid w:val="00DD0088"/>
    <w:rsid w:val="00DD02DC"/>
    <w:rsid w:val="00DD04E9"/>
    <w:rsid w:val="00DD08F9"/>
    <w:rsid w:val="00DD0BD9"/>
    <w:rsid w:val="00DD0BFA"/>
    <w:rsid w:val="00DD102D"/>
    <w:rsid w:val="00DD1502"/>
    <w:rsid w:val="00DD1CF8"/>
    <w:rsid w:val="00DD1F42"/>
    <w:rsid w:val="00DD2225"/>
    <w:rsid w:val="00DD22E8"/>
    <w:rsid w:val="00DD2660"/>
    <w:rsid w:val="00DD2B74"/>
    <w:rsid w:val="00DD2E7C"/>
    <w:rsid w:val="00DD2EBB"/>
    <w:rsid w:val="00DD2F06"/>
    <w:rsid w:val="00DD31B6"/>
    <w:rsid w:val="00DD3318"/>
    <w:rsid w:val="00DD3438"/>
    <w:rsid w:val="00DD35BC"/>
    <w:rsid w:val="00DD40F0"/>
    <w:rsid w:val="00DD4401"/>
    <w:rsid w:val="00DD482C"/>
    <w:rsid w:val="00DD487B"/>
    <w:rsid w:val="00DD4CA2"/>
    <w:rsid w:val="00DD4CC4"/>
    <w:rsid w:val="00DD4E28"/>
    <w:rsid w:val="00DD50B4"/>
    <w:rsid w:val="00DD56BD"/>
    <w:rsid w:val="00DD5716"/>
    <w:rsid w:val="00DD5F7D"/>
    <w:rsid w:val="00DD61A4"/>
    <w:rsid w:val="00DD6C01"/>
    <w:rsid w:val="00DD6CE1"/>
    <w:rsid w:val="00DD6F42"/>
    <w:rsid w:val="00DD77BB"/>
    <w:rsid w:val="00DD785B"/>
    <w:rsid w:val="00DD787F"/>
    <w:rsid w:val="00DD7972"/>
    <w:rsid w:val="00DD7BAA"/>
    <w:rsid w:val="00DE0A21"/>
    <w:rsid w:val="00DE0B7E"/>
    <w:rsid w:val="00DE0BD2"/>
    <w:rsid w:val="00DE183D"/>
    <w:rsid w:val="00DE2155"/>
    <w:rsid w:val="00DE2263"/>
    <w:rsid w:val="00DE26C3"/>
    <w:rsid w:val="00DE2795"/>
    <w:rsid w:val="00DE27BD"/>
    <w:rsid w:val="00DE2AA8"/>
    <w:rsid w:val="00DE2D98"/>
    <w:rsid w:val="00DE2EB7"/>
    <w:rsid w:val="00DE334A"/>
    <w:rsid w:val="00DE3432"/>
    <w:rsid w:val="00DE3453"/>
    <w:rsid w:val="00DE34C1"/>
    <w:rsid w:val="00DE351B"/>
    <w:rsid w:val="00DE35F7"/>
    <w:rsid w:val="00DE3622"/>
    <w:rsid w:val="00DE36AC"/>
    <w:rsid w:val="00DE377A"/>
    <w:rsid w:val="00DE3C61"/>
    <w:rsid w:val="00DE3C97"/>
    <w:rsid w:val="00DE3FF0"/>
    <w:rsid w:val="00DE4096"/>
    <w:rsid w:val="00DE49CA"/>
    <w:rsid w:val="00DE4A10"/>
    <w:rsid w:val="00DE4BBA"/>
    <w:rsid w:val="00DE4C9F"/>
    <w:rsid w:val="00DE4FA4"/>
    <w:rsid w:val="00DE50F7"/>
    <w:rsid w:val="00DE5155"/>
    <w:rsid w:val="00DE5248"/>
    <w:rsid w:val="00DE578A"/>
    <w:rsid w:val="00DE5CF1"/>
    <w:rsid w:val="00DE617F"/>
    <w:rsid w:val="00DE6519"/>
    <w:rsid w:val="00DE65C1"/>
    <w:rsid w:val="00DE6C5B"/>
    <w:rsid w:val="00DE6D03"/>
    <w:rsid w:val="00DE6E5F"/>
    <w:rsid w:val="00DE70E8"/>
    <w:rsid w:val="00DE7155"/>
    <w:rsid w:val="00DE77EF"/>
    <w:rsid w:val="00DE7906"/>
    <w:rsid w:val="00DE7D51"/>
    <w:rsid w:val="00DF0ABA"/>
    <w:rsid w:val="00DF0B7D"/>
    <w:rsid w:val="00DF0BB2"/>
    <w:rsid w:val="00DF0E4D"/>
    <w:rsid w:val="00DF1165"/>
    <w:rsid w:val="00DF126F"/>
    <w:rsid w:val="00DF16C7"/>
    <w:rsid w:val="00DF1929"/>
    <w:rsid w:val="00DF1968"/>
    <w:rsid w:val="00DF1BBF"/>
    <w:rsid w:val="00DF1C23"/>
    <w:rsid w:val="00DF1D39"/>
    <w:rsid w:val="00DF1D64"/>
    <w:rsid w:val="00DF2037"/>
    <w:rsid w:val="00DF2044"/>
    <w:rsid w:val="00DF22D5"/>
    <w:rsid w:val="00DF2B1E"/>
    <w:rsid w:val="00DF339A"/>
    <w:rsid w:val="00DF33C4"/>
    <w:rsid w:val="00DF37CE"/>
    <w:rsid w:val="00DF381D"/>
    <w:rsid w:val="00DF386D"/>
    <w:rsid w:val="00DF3CAD"/>
    <w:rsid w:val="00DF3DD8"/>
    <w:rsid w:val="00DF42F3"/>
    <w:rsid w:val="00DF431E"/>
    <w:rsid w:val="00DF485F"/>
    <w:rsid w:val="00DF4A66"/>
    <w:rsid w:val="00DF4F8E"/>
    <w:rsid w:val="00DF50E8"/>
    <w:rsid w:val="00DF5411"/>
    <w:rsid w:val="00DF5B11"/>
    <w:rsid w:val="00DF5D2B"/>
    <w:rsid w:val="00DF63C9"/>
    <w:rsid w:val="00DF69CD"/>
    <w:rsid w:val="00DF6D50"/>
    <w:rsid w:val="00DF6EB1"/>
    <w:rsid w:val="00DF7072"/>
    <w:rsid w:val="00DF71AD"/>
    <w:rsid w:val="00DF71F5"/>
    <w:rsid w:val="00DF7298"/>
    <w:rsid w:val="00DF7445"/>
    <w:rsid w:val="00DF7577"/>
    <w:rsid w:val="00DF7728"/>
    <w:rsid w:val="00DF78D2"/>
    <w:rsid w:val="00DF79ED"/>
    <w:rsid w:val="00DF7AA7"/>
    <w:rsid w:val="00DF7AE0"/>
    <w:rsid w:val="00DF7D98"/>
    <w:rsid w:val="00DF7E58"/>
    <w:rsid w:val="00E00116"/>
    <w:rsid w:val="00E00494"/>
    <w:rsid w:val="00E0058B"/>
    <w:rsid w:val="00E00824"/>
    <w:rsid w:val="00E008E3"/>
    <w:rsid w:val="00E00B99"/>
    <w:rsid w:val="00E011F5"/>
    <w:rsid w:val="00E01BF9"/>
    <w:rsid w:val="00E01C48"/>
    <w:rsid w:val="00E022DF"/>
    <w:rsid w:val="00E0275C"/>
    <w:rsid w:val="00E02785"/>
    <w:rsid w:val="00E02970"/>
    <w:rsid w:val="00E029C5"/>
    <w:rsid w:val="00E03266"/>
    <w:rsid w:val="00E033AE"/>
    <w:rsid w:val="00E03570"/>
    <w:rsid w:val="00E0369A"/>
    <w:rsid w:val="00E03782"/>
    <w:rsid w:val="00E03BBC"/>
    <w:rsid w:val="00E03DFA"/>
    <w:rsid w:val="00E03F34"/>
    <w:rsid w:val="00E040D6"/>
    <w:rsid w:val="00E042EC"/>
    <w:rsid w:val="00E043F2"/>
    <w:rsid w:val="00E0477B"/>
    <w:rsid w:val="00E0499B"/>
    <w:rsid w:val="00E04C4C"/>
    <w:rsid w:val="00E04CC0"/>
    <w:rsid w:val="00E053E1"/>
    <w:rsid w:val="00E0546F"/>
    <w:rsid w:val="00E05560"/>
    <w:rsid w:val="00E057AD"/>
    <w:rsid w:val="00E06188"/>
    <w:rsid w:val="00E06527"/>
    <w:rsid w:val="00E069B3"/>
    <w:rsid w:val="00E069CB"/>
    <w:rsid w:val="00E06B97"/>
    <w:rsid w:val="00E06DE5"/>
    <w:rsid w:val="00E06F5A"/>
    <w:rsid w:val="00E07154"/>
    <w:rsid w:val="00E07170"/>
    <w:rsid w:val="00E07356"/>
    <w:rsid w:val="00E07418"/>
    <w:rsid w:val="00E0759B"/>
    <w:rsid w:val="00E07899"/>
    <w:rsid w:val="00E07DF1"/>
    <w:rsid w:val="00E07E93"/>
    <w:rsid w:val="00E100F4"/>
    <w:rsid w:val="00E10122"/>
    <w:rsid w:val="00E10410"/>
    <w:rsid w:val="00E10415"/>
    <w:rsid w:val="00E1098A"/>
    <w:rsid w:val="00E1099E"/>
    <w:rsid w:val="00E10B44"/>
    <w:rsid w:val="00E10F61"/>
    <w:rsid w:val="00E112BE"/>
    <w:rsid w:val="00E1139C"/>
    <w:rsid w:val="00E1186B"/>
    <w:rsid w:val="00E11A9D"/>
    <w:rsid w:val="00E11D07"/>
    <w:rsid w:val="00E1237F"/>
    <w:rsid w:val="00E1279D"/>
    <w:rsid w:val="00E1295B"/>
    <w:rsid w:val="00E12D3A"/>
    <w:rsid w:val="00E1352C"/>
    <w:rsid w:val="00E136D2"/>
    <w:rsid w:val="00E138B4"/>
    <w:rsid w:val="00E13CFA"/>
    <w:rsid w:val="00E13D49"/>
    <w:rsid w:val="00E13DD6"/>
    <w:rsid w:val="00E13F6C"/>
    <w:rsid w:val="00E14523"/>
    <w:rsid w:val="00E14692"/>
    <w:rsid w:val="00E1490A"/>
    <w:rsid w:val="00E14950"/>
    <w:rsid w:val="00E14BDF"/>
    <w:rsid w:val="00E15404"/>
    <w:rsid w:val="00E155E3"/>
    <w:rsid w:val="00E1569D"/>
    <w:rsid w:val="00E15C43"/>
    <w:rsid w:val="00E15DB0"/>
    <w:rsid w:val="00E15DED"/>
    <w:rsid w:val="00E16083"/>
    <w:rsid w:val="00E16298"/>
    <w:rsid w:val="00E1638C"/>
    <w:rsid w:val="00E1645C"/>
    <w:rsid w:val="00E16B78"/>
    <w:rsid w:val="00E17259"/>
    <w:rsid w:val="00E1739D"/>
    <w:rsid w:val="00E17501"/>
    <w:rsid w:val="00E178FF"/>
    <w:rsid w:val="00E17974"/>
    <w:rsid w:val="00E17AD9"/>
    <w:rsid w:val="00E17FE6"/>
    <w:rsid w:val="00E201D0"/>
    <w:rsid w:val="00E2033A"/>
    <w:rsid w:val="00E20380"/>
    <w:rsid w:val="00E20756"/>
    <w:rsid w:val="00E20BA7"/>
    <w:rsid w:val="00E20BFC"/>
    <w:rsid w:val="00E20C6C"/>
    <w:rsid w:val="00E20F30"/>
    <w:rsid w:val="00E2119A"/>
    <w:rsid w:val="00E212C1"/>
    <w:rsid w:val="00E21529"/>
    <w:rsid w:val="00E216DF"/>
    <w:rsid w:val="00E2193C"/>
    <w:rsid w:val="00E21A40"/>
    <w:rsid w:val="00E21A9A"/>
    <w:rsid w:val="00E21D6D"/>
    <w:rsid w:val="00E21E58"/>
    <w:rsid w:val="00E224C3"/>
    <w:rsid w:val="00E22AE8"/>
    <w:rsid w:val="00E22D49"/>
    <w:rsid w:val="00E22E61"/>
    <w:rsid w:val="00E23109"/>
    <w:rsid w:val="00E23803"/>
    <w:rsid w:val="00E23831"/>
    <w:rsid w:val="00E23A32"/>
    <w:rsid w:val="00E23B8B"/>
    <w:rsid w:val="00E2429A"/>
    <w:rsid w:val="00E2466E"/>
    <w:rsid w:val="00E2471C"/>
    <w:rsid w:val="00E24827"/>
    <w:rsid w:val="00E24FC8"/>
    <w:rsid w:val="00E25174"/>
    <w:rsid w:val="00E25580"/>
    <w:rsid w:val="00E25702"/>
    <w:rsid w:val="00E259B3"/>
    <w:rsid w:val="00E259D6"/>
    <w:rsid w:val="00E25BAC"/>
    <w:rsid w:val="00E2602F"/>
    <w:rsid w:val="00E2633F"/>
    <w:rsid w:val="00E26ADC"/>
    <w:rsid w:val="00E26C01"/>
    <w:rsid w:val="00E270CA"/>
    <w:rsid w:val="00E274CA"/>
    <w:rsid w:val="00E276DE"/>
    <w:rsid w:val="00E277B4"/>
    <w:rsid w:val="00E27839"/>
    <w:rsid w:val="00E27878"/>
    <w:rsid w:val="00E278BA"/>
    <w:rsid w:val="00E2798E"/>
    <w:rsid w:val="00E27CB0"/>
    <w:rsid w:val="00E30225"/>
    <w:rsid w:val="00E3029F"/>
    <w:rsid w:val="00E303D7"/>
    <w:rsid w:val="00E30437"/>
    <w:rsid w:val="00E30498"/>
    <w:rsid w:val="00E309A0"/>
    <w:rsid w:val="00E30CDA"/>
    <w:rsid w:val="00E30CE0"/>
    <w:rsid w:val="00E30ED8"/>
    <w:rsid w:val="00E3100A"/>
    <w:rsid w:val="00E313B4"/>
    <w:rsid w:val="00E31665"/>
    <w:rsid w:val="00E316CE"/>
    <w:rsid w:val="00E31903"/>
    <w:rsid w:val="00E31B3B"/>
    <w:rsid w:val="00E31B67"/>
    <w:rsid w:val="00E31CDA"/>
    <w:rsid w:val="00E320C0"/>
    <w:rsid w:val="00E32E6F"/>
    <w:rsid w:val="00E33595"/>
    <w:rsid w:val="00E33D52"/>
    <w:rsid w:val="00E34009"/>
    <w:rsid w:val="00E34015"/>
    <w:rsid w:val="00E34097"/>
    <w:rsid w:val="00E340D5"/>
    <w:rsid w:val="00E3426D"/>
    <w:rsid w:val="00E3455C"/>
    <w:rsid w:val="00E345C5"/>
    <w:rsid w:val="00E345CF"/>
    <w:rsid w:val="00E348E8"/>
    <w:rsid w:val="00E3490E"/>
    <w:rsid w:val="00E34938"/>
    <w:rsid w:val="00E34A23"/>
    <w:rsid w:val="00E34C46"/>
    <w:rsid w:val="00E34C85"/>
    <w:rsid w:val="00E3593A"/>
    <w:rsid w:val="00E36C1F"/>
    <w:rsid w:val="00E36E13"/>
    <w:rsid w:val="00E36F5C"/>
    <w:rsid w:val="00E371DD"/>
    <w:rsid w:val="00E37242"/>
    <w:rsid w:val="00E37763"/>
    <w:rsid w:val="00E37809"/>
    <w:rsid w:val="00E37E52"/>
    <w:rsid w:val="00E40103"/>
    <w:rsid w:val="00E403B0"/>
    <w:rsid w:val="00E40798"/>
    <w:rsid w:val="00E40AEB"/>
    <w:rsid w:val="00E4133A"/>
    <w:rsid w:val="00E415CC"/>
    <w:rsid w:val="00E41877"/>
    <w:rsid w:val="00E4191B"/>
    <w:rsid w:val="00E41942"/>
    <w:rsid w:val="00E41F8E"/>
    <w:rsid w:val="00E424DC"/>
    <w:rsid w:val="00E42A39"/>
    <w:rsid w:val="00E42B41"/>
    <w:rsid w:val="00E42C8A"/>
    <w:rsid w:val="00E42D80"/>
    <w:rsid w:val="00E42ECD"/>
    <w:rsid w:val="00E42F70"/>
    <w:rsid w:val="00E43054"/>
    <w:rsid w:val="00E430D2"/>
    <w:rsid w:val="00E435B7"/>
    <w:rsid w:val="00E439BB"/>
    <w:rsid w:val="00E43B57"/>
    <w:rsid w:val="00E445AB"/>
    <w:rsid w:val="00E4465E"/>
    <w:rsid w:val="00E446C9"/>
    <w:rsid w:val="00E44755"/>
    <w:rsid w:val="00E44A37"/>
    <w:rsid w:val="00E44EA7"/>
    <w:rsid w:val="00E44F25"/>
    <w:rsid w:val="00E45223"/>
    <w:rsid w:val="00E4533A"/>
    <w:rsid w:val="00E453B0"/>
    <w:rsid w:val="00E4546B"/>
    <w:rsid w:val="00E45825"/>
    <w:rsid w:val="00E4594D"/>
    <w:rsid w:val="00E46145"/>
    <w:rsid w:val="00E461C7"/>
    <w:rsid w:val="00E4647D"/>
    <w:rsid w:val="00E46673"/>
    <w:rsid w:val="00E46689"/>
    <w:rsid w:val="00E46863"/>
    <w:rsid w:val="00E468F9"/>
    <w:rsid w:val="00E46B00"/>
    <w:rsid w:val="00E46CC1"/>
    <w:rsid w:val="00E46DC9"/>
    <w:rsid w:val="00E46DFC"/>
    <w:rsid w:val="00E46E13"/>
    <w:rsid w:val="00E46E3D"/>
    <w:rsid w:val="00E46EDD"/>
    <w:rsid w:val="00E46F1D"/>
    <w:rsid w:val="00E470F7"/>
    <w:rsid w:val="00E4767E"/>
    <w:rsid w:val="00E47A36"/>
    <w:rsid w:val="00E47C72"/>
    <w:rsid w:val="00E502DC"/>
    <w:rsid w:val="00E5057B"/>
    <w:rsid w:val="00E506E2"/>
    <w:rsid w:val="00E5077F"/>
    <w:rsid w:val="00E50835"/>
    <w:rsid w:val="00E50869"/>
    <w:rsid w:val="00E50A1D"/>
    <w:rsid w:val="00E50B7D"/>
    <w:rsid w:val="00E50BE8"/>
    <w:rsid w:val="00E50CFB"/>
    <w:rsid w:val="00E50D19"/>
    <w:rsid w:val="00E50FE0"/>
    <w:rsid w:val="00E5115D"/>
    <w:rsid w:val="00E51234"/>
    <w:rsid w:val="00E514E0"/>
    <w:rsid w:val="00E514EA"/>
    <w:rsid w:val="00E515D6"/>
    <w:rsid w:val="00E51EE5"/>
    <w:rsid w:val="00E5207E"/>
    <w:rsid w:val="00E5228F"/>
    <w:rsid w:val="00E523A1"/>
    <w:rsid w:val="00E5241A"/>
    <w:rsid w:val="00E524C7"/>
    <w:rsid w:val="00E52590"/>
    <w:rsid w:val="00E52D9A"/>
    <w:rsid w:val="00E53036"/>
    <w:rsid w:val="00E530A9"/>
    <w:rsid w:val="00E53307"/>
    <w:rsid w:val="00E53674"/>
    <w:rsid w:val="00E537A9"/>
    <w:rsid w:val="00E53A33"/>
    <w:rsid w:val="00E53C8D"/>
    <w:rsid w:val="00E53D62"/>
    <w:rsid w:val="00E540A2"/>
    <w:rsid w:val="00E54186"/>
    <w:rsid w:val="00E54236"/>
    <w:rsid w:val="00E542F0"/>
    <w:rsid w:val="00E54942"/>
    <w:rsid w:val="00E54AC3"/>
    <w:rsid w:val="00E54B9C"/>
    <w:rsid w:val="00E54C67"/>
    <w:rsid w:val="00E54D81"/>
    <w:rsid w:val="00E5502C"/>
    <w:rsid w:val="00E5504A"/>
    <w:rsid w:val="00E5579B"/>
    <w:rsid w:val="00E559BD"/>
    <w:rsid w:val="00E55AE5"/>
    <w:rsid w:val="00E55C05"/>
    <w:rsid w:val="00E55C2C"/>
    <w:rsid w:val="00E55D72"/>
    <w:rsid w:val="00E55F41"/>
    <w:rsid w:val="00E56091"/>
    <w:rsid w:val="00E5627F"/>
    <w:rsid w:val="00E563B5"/>
    <w:rsid w:val="00E566EF"/>
    <w:rsid w:val="00E568DF"/>
    <w:rsid w:val="00E56971"/>
    <w:rsid w:val="00E56CCE"/>
    <w:rsid w:val="00E56ED0"/>
    <w:rsid w:val="00E56F9F"/>
    <w:rsid w:val="00E56FD7"/>
    <w:rsid w:val="00E5766E"/>
    <w:rsid w:val="00E57BFC"/>
    <w:rsid w:val="00E60077"/>
    <w:rsid w:val="00E602E9"/>
    <w:rsid w:val="00E61034"/>
    <w:rsid w:val="00E61334"/>
    <w:rsid w:val="00E61614"/>
    <w:rsid w:val="00E61641"/>
    <w:rsid w:val="00E618C7"/>
    <w:rsid w:val="00E61A16"/>
    <w:rsid w:val="00E62080"/>
    <w:rsid w:val="00E62271"/>
    <w:rsid w:val="00E62379"/>
    <w:rsid w:val="00E624EE"/>
    <w:rsid w:val="00E625C9"/>
    <w:rsid w:val="00E629FB"/>
    <w:rsid w:val="00E62B79"/>
    <w:rsid w:val="00E63475"/>
    <w:rsid w:val="00E63D31"/>
    <w:rsid w:val="00E63DDC"/>
    <w:rsid w:val="00E63FF5"/>
    <w:rsid w:val="00E640A1"/>
    <w:rsid w:val="00E64204"/>
    <w:rsid w:val="00E6481D"/>
    <w:rsid w:val="00E65083"/>
    <w:rsid w:val="00E650C3"/>
    <w:rsid w:val="00E65641"/>
    <w:rsid w:val="00E6571C"/>
    <w:rsid w:val="00E65BD3"/>
    <w:rsid w:val="00E661BA"/>
    <w:rsid w:val="00E661C5"/>
    <w:rsid w:val="00E66278"/>
    <w:rsid w:val="00E665A7"/>
    <w:rsid w:val="00E6684D"/>
    <w:rsid w:val="00E67269"/>
    <w:rsid w:val="00E673A2"/>
    <w:rsid w:val="00E67747"/>
    <w:rsid w:val="00E67BFB"/>
    <w:rsid w:val="00E67C28"/>
    <w:rsid w:val="00E67D0C"/>
    <w:rsid w:val="00E70044"/>
    <w:rsid w:val="00E700E6"/>
    <w:rsid w:val="00E701B3"/>
    <w:rsid w:val="00E702FC"/>
    <w:rsid w:val="00E705B5"/>
    <w:rsid w:val="00E71210"/>
    <w:rsid w:val="00E71289"/>
    <w:rsid w:val="00E71DB5"/>
    <w:rsid w:val="00E72249"/>
    <w:rsid w:val="00E722A1"/>
    <w:rsid w:val="00E7234B"/>
    <w:rsid w:val="00E724B5"/>
    <w:rsid w:val="00E726CE"/>
    <w:rsid w:val="00E729F3"/>
    <w:rsid w:val="00E72AC8"/>
    <w:rsid w:val="00E72B1C"/>
    <w:rsid w:val="00E72D84"/>
    <w:rsid w:val="00E72E4E"/>
    <w:rsid w:val="00E73455"/>
    <w:rsid w:val="00E7377E"/>
    <w:rsid w:val="00E73924"/>
    <w:rsid w:val="00E73AAD"/>
    <w:rsid w:val="00E73F41"/>
    <w:rsid w:val="00E74A39"/>
    <w:rsid w:val="00E74F14"/>
    <w:rsid w:val="00E7509E"/>
    <w:rsid w:val="00E75126"/>
    <w:rsid w:val="00E75159"/>
    <w:rsid w:val="00E752F7"/>
    <w:rsid w:val="00E7530E"/>
    <w:rsid w:val="00E75428"/>
    <w:rsid w:val="00E75471"/>
    <w:rsid w:val="00E75A43"/>
    <w:rsid w:val="00E75AB2"/>
    <w:rsid w:val="00E75C44"/>
    <w:rsid w:val="00E75C8F"/>
    <w:rsid w:val="00E75D92"/>
    <w:rsid w:val="00E75F23"/>
    <w:rsid w:val="00E75F5B"/>
    <w:rsid w:val="00E75FA5"/>
    <w:rsid w:val="00E76090"/>
    <w:rsid w:val="00E764B6"/>
    <w:rsid w:val="00E765C8"/>
    <w:rsid w:val="00E76817"/>
    <w:rsid w:val="00E768F1"/>
    <w:rsid w:val="00E76C79"/>
    <w:rsid w:val="00E76CA7"/>
    <w:rsid w:val="00E76F12"/>
    <w:rsid w:val="00E7709C"/>
    <w:rsid w:val="00E773EF"/>
    <w:rsid w:val="00E77776"/>
    <w:rsid w:val="00E7796B"/>
    <w:rsid w:val="00E77CEB"/>
    <w:rsid w:val="00E77F2F"/>
    <w:rsid w:val="00E77F6E"/>
    <w:rsid w:val="00E80222"/>
    <w:rsid w:val="00E8059B"/>
    <w:rsid w:val="00E806A4"/>
    <w:rsid w:val="00E806D2"/>
    <w:rsid w:val="00E8077F"/>
    <w:rsid w:val="00E80E43"/>
    <w:rsid w:val="00E80E78"/>
    <w:rsid w:val="00E81565"/>
    <w:rsid w:val="00E815EE"/>
    <w:rsid w:val="00E81A60"/>
    <w:rsid w:val="00E81D02"/>
    <w:rsid w:val="00E82377"/>
    <w:rsid w:val="00E82495"/>
    <w:rsid w:val="00E824AE"/>
    <w:rsid w:val="00E82551"/>
    <w:rsid w:val="00E825C1"/>
    <w:rsid w:val="00E826AD"/>
    <w:rsid w:val="00E826C2"/>
    <w:rsid w:val="00E8277B"/>
    <w:rsid w:val="00E82EE8"/>
    <w:rsid w:val="00E83052"/>
    <w:rsid w:val="00E83503"/>
    <w:rsid w:val="00E8359D"/>
    <w:rsid w:val="00E835C3"/>
    <w:rsid w:val="00E83687"/>
    <w:rsid w:val="00E83888"/>
    <w:rsid w:val="00E838B8"/>
    <w:rsid w:val="00E83E61"/>
    <w:rsid w:val="00E83E7E"/>
    <w:rsid w:val="00E840EF"/>
    <w:rsid w:val="00E84160"/>
    <w:rsid w:val="00E844CE"/>
    <w:rsid w:val="00E846B3"/>
    <w:rsid w:val="00E847B4"/>
    <w:rsid w:val="00E84AB3"/>
    <w:rsid w:val="00E84EC4"/>
    <w:rsid w:val="00E85259"/>
    <w:rsid w:val="00E85329"/>
    <w:rsid w:val="00E854AA"/>
    <w:rsid w:val="00E855A9"/>
    <w:rsid w:val="00E85669"/>
    <w:rsid w:val="00E8566C"/>
    <w:rsid w:val="00E85A86"/>
    <w:rsid w:val="00E85ADD"/>
    <w:rsid w:val="00E85F24"/>
    <w:rsid w:val="00E85FE7"/>
    <w:rsid w:val="00E861A4"/>
    <w:rsid w:val="00E863BD"/>
    <w:rsid w:val="00E86506"/>
    <w:rsid w:val="00E86599"/>
    <w:rsid w:val="00E86992"/>
    <w:rsid w:val="00E86C85"/>
    <w:rsid w:val="00E86CB6"/>
    <w:rsid w:val="00E86E10"/>
    <w:rsid w:val="00E86E42"/>
    <w:rsid w:val="00E86F50"/>
    <w:rsid w:val="00E87220"/>
    <w:rsid w:val="00E8746F"/>
    <w:rsid w:val="00E87594"/>
    <w:rsid w:val="00E876EE"/>
    <w:rsid w:val="00E87B5C"/>
    <w:rsid w:val="00E87C49"/>
    <w:rsid w:val="00E87C99"/>
    <w:rsid w:val="00E90E79"/>
    <w:rsid w:val="00E90E92"/>
    <w:rsid w:val="00E90EE7"/>
    <w:rsid w:val="00E9104A"/>
    <w:rsid w:val="00E9142B"/>
    <w:rsid w:val="00E9154E"/>
    <w:rsid w:val="00E91A9B"/>
    <w:rsid w:val="00E91B6D"/>
    <w:rsid w:val="00E923EA"/>
    <w:rsid w:val="00E92577"/>
    <w:rsid w:val="00E92901"/>
    <w:rsid w:val="00E92DB7"/>
    <w:rsid w:val="00E931CC"/>
    <w:rsid w:val="00E932A1"/>
    <w:rsid w:val="00E934FE"/>
    <w:rsid w:val="00E93B3B"/>
    <w:rsid w:val="00E942C3"/>
    <w:rsid w:val="00E94571"/>
    <w:rsid w:val="00E946D3"/>
    <w:rsid w:val="00E94724"/>
    <w:rsid w:val="00E94C69"/>
    <w:rsid w:val="00E952BF"/>
    <w:rsid w:val="00E953D9"/>
    <w:rsid w:val="00E955B3"/>
    <w:rsid w:val="00E955FF"/>
    <w:rsid w:val="00E9560F"/>
    <w:rsid w:val="00E956E3"/>
    <w:rsid w:val="00E95717"/>
    <w:rsid w:val="00E95749"/>
    <w:rsid w:val="00E9592E"/>
    <w:rsid w:val="00E95D26"/>
    <w:rsid w:val="00E95F8C"/>
    <w:rsid w:val="00E96006"/>
    <w:rsid w:val="00E9606D"/>
    <w:rsid w:val="00E96098"/>
    <w:rsid w:val="00E9609A"/>
    <w:rsid w:val="00E96199"/>
    <w:rsid w:val="00E9672F"/>
    <w:rsid w:val="00E96883"/>
    <w:rsid w:val="00E96B56"/>
    <w:rsid w:val="00E96FDD"/>
    <w:rsid w:val="00E97D09"/>
    <w:rsid w:val="00E97DC2"/>
    <w:rsid w:val="00EA032C"/>
    <w:rsid w:val="00EA0494"/>
    <w:rsid w:val="00EA0C09"/>
    <w:rsid w:val="00EA0C4E"/>
    <w:rsid w:val="00EA0CC0"/>
    <w:rsid w:val="00EA0D35"/>
    <w:rsid w:val="00EA0D47"/>
    <w:rsid w:val="00EA0E02"/>
    <w:rsid w:val="00EA125E"/>
    <w:rsid w:val="00EA1409"/>
    <w:rsid w:val="00EA1507"/>
    <w:rsid w:val="00EA1802"/>
    <w:rsid w:val="00EA1960"/>
    <w:rsid w:val="00EA1A70"/>
    <w:rsid w:val="00EA1CB6"/>
    <w:rsid w:val="00EA1F2A"/>
    <w:rsid w:val="00EA2387"/>
    <w:rsid w:val="00EA2749"/>
    <w:rsid w:val="00EA276F"/>
    <w:rsid w:val="00EA28B1"/>
    <w:rsid w:val="00EA2C10"/>
    <w:rsid w:val="00EA2DAF"/>
    <w:rsid w:val="00EA30C8"/>
    <w:rsid w:val="00EA32DC"/>
    <w:rsid w:val="00EA359F"/>
    <w:rsid w:val="00EA38D1"/>
    <w:rsid w:val="00EA39CA"/>
    <w:rsid w:val="00EA3F9E"/>
    <w:rsid w:val="00EA3FCB"/>
    <w:rsid w:val="00EA4002"/>
    <w:rsid w:val="00EA4498"/>
    <w:rsid w:val="00EA477F"/>
    <w:rsid w:val="00EA4914"/>
    <w:rsid w:val="00EA4CEF"/>
    <w:rsid w:val="00EA4F83"/>
    <w:rsid w:val="00EA4FBF"/>
    <w:rsid w:val="00EA53DD"/>
    <w:rsid w:val="00EA545B"/>
    <w:rsid w:val="00EA54C0"/>
    <w:rsid w:val="00EA552D"/>
    <w:rsid w:val="00EA593D"/>
    <w:rsid w:val="00EA5A0B"/>
    <w:rsid w:val="00EA5AA8"/>
    <w:rsid w:val="00EA5D33"/>
    <w:rsid w:val="00EA5F2B"/>
    <w:rsid w:val="00EA61E9"/>
    <w:rsid w:val="00EA6A32"/>
    <w:rsid w:val="00EA6D51"/>
    <w:rsid w:val="00EA6DC0"/>
    <w:rsid w:val="00EA7281"/>
    <w:rsid w:val="00EA7376"/>
    <w:rsid w:val="00EA73FD"/>
    <w:rsid w:val="00EA7561"/>
    <w:rsid w:val="00EA77C0"/>
    <w:rsid w:val="00EB0027"/>
    <w:rsid w:val="00EB0397"/>
    <w:rsid w:val="00EB0BB9"/>
    <w:rsid w:val="00EB0CA9"/>
    <w:rsid w:val="00EB1055"/>
    <w:rsid w:val="00EB13D4"/>
    <w:rsid w:val="00EB1C2F"/>
    <w:rsid w:val="00EB1DF4"/>
    <w:rsid w:val="00EB1FE3"/>
    <w:rsid w:val="00EB2287"/>
    <w:rsid w:val="00EB2825"/>
    <w:rsid w:val="00EB2EFC"/>
    <w:rsid w:val="00EB322E"/>
    <w:rsid w:val="00EB3313"/>
    <w:rsid w:val="00EB35DD"/>
    <w:rsid w:val="00EB3624"/>
    <w:rsid w:val="00EB37D3"/>
    <w:rsid w:val="00EB3854"/>
    <w:rsid w:val="00EB3950"/>
    <w:rsid w:val="00EB3B76"/>
    <w:rsid w:val="00EB3D0D"/>
    <w:rsid w:val="00EB3EC8"/>
    <w:rsid w:val="00EB3F00"/>
    <w:rsid w:val="00EB4104"/>
    <w:rsid w:val="00EB42E9"/>
    <w:rsid w:val="00EB46C8"/>
    <w:rsid w:val="00EB523E"/>
    <w:rsid w:val="00EB5606"/>
    <w:rsid w:val="00EB5F80"/>
    <w:rsid w:val="00EB5F93"/>
    <w:rsid w:val="00EB6019"/>
    <w:rsid w:val="00EB60B9"/>
    <w:rsid w:val="00EB60C4"/>
    <w:rsid w:val="00EB6216"/>
    <w:rsid w:val="00EB62B9"/>
    <w:rsid w:val="00EB6300"/>
    <w:rsid w:val="00EB664A"/>
    <w:rsid w:val="00EB69D4"/>
    <w:rsid w:val="00EB69E1"/>
    <w:rsid w:val="00EB6BA8"/>
    <w:rsid w:val="00EB74C7"/>
    <w:rsid w:val="00EB7504"/>
    <w:rsid w:val="00EB789E"/>
    <w:rsid w:val="00EB7926"/>
    <w:rsid w:val="00EB7A1B"/>
    <w:rsid w:val="00EB7C6F"/>
    <w:rsid w:val="00EB7D73"/>
    <w:rsid w:val="00EB7DC4"/>
    <w:rsid w:val="00EC0184"/>
    <w:rsid w:val="00EC0207"/>
    <w:rsid w:val="00EC04D5"/>
    <w:rsid w:val="00EC07C3"/>
    <w:rsid w:val="00EC0943"/>
    <w:rsid w:val="00EC0C57"/>
    <w:rsid w:val="00EC0C7B"/>
    <w:rsid w:val="00EC0E47"/>
    <w:rsid w:val="00EC0FDE"/>
    <w:rsid w:val="00EC13B3"/>
    <w:rsid w:val="00EC164D"/>
    <w:rsid w:val="00EC1853"/>
    <w:rsid w:val="00EC1A54"/>
    <w:rsid w:val="00EC202C"/>
    <w:rsid w:val="00EC20EE"/>
    <w:rsid w:val="00EC2281"/>
    <w:rsid w:val="00EC2BE1"/>
    <w:rsid w:val="00EC2CBB"/>
    <w:rsid w:val="00EC2EAB"/>
    <w:rsid w:val="00EC30CD"/>
    <w:rsid w:val="00EC3274"/>
    <w:rsid w:val="00EC368F"/>
    <w:rsid w:val="00EC3CE7"/>
    <w:rsid w:val="00EC42D8"/>
    <w:rsid w:val="00EC4415"/>
    <w:rsid w:val="00EC4911"/>
    <w:rsid w:val="00EC49CA"/>
    <w:rsid w:val="00EC4E43"/>
    <w:rsid w:val="00EC4F23"/>
    <w:rsid w:val="00EC4F3B"/>
    <w:rsid w:val="00EC5356"/>
    <w:rsid w:val="00EC5555"/>
    <w:rsid w:val="00EC6050"/>
    <w:rsid w:val="00EC63A5"/>
    <w:rsid w:val="00EC667F"/>
    <w:rsid w:val="00EC6763"/>
    <w:rsid w:val="00EC6C4A"/>
    <w:rsid w:val="00EC7746"/>
    <w:rsid w:val="00EC7B7A"/>
    <w:rsid w:val="00ED0196"/>
    <w:rsid w:val="00ED038A"/>
    <w:rsid w:val="00ED05FD"/>
    <w:rsid w:val="00ED0657"/>
    <w:rsid w:val="00ED0908"/>
    <w:rsid w:val="00ED0B97"/>
    <w:rsid w:val="00ED0EFC"/>
    <w:rsid w:val="00ED11BC"/>
    <w:rsid w:val="00ED146A"/>
    <w:rsid w:val="00ED1622"/>
    <w:rsid w:val="00ED1808"/>
    <w:rsid w:val="00ED1D93"/>
    <w:rsid w:val="00ED1DFF"/>
    <w:rsid w:val="00ED1ED4"/>
    <w:rsid w:val="00ED1FEC"/>
    <w:rsid w:val="00ED20B0"/>
    <w:rsid w:val="00ED20D5"/>
    <w:rsid w:val="00ED2333"/>
    <w:rsid w:val="00ED2592"/>
    <w:rsid w:val="00ED289A"/>
    <w:rsid w:val="00ED29AB"/>
    <w:rsid w:val="00ED2D61"/>
    <w:rsid w:val="00ED2DB2"/>
    <w:rsid w:val="00ED3174"/>
    <w:rsid w:val="00ED337D"/>
    <w:rsid w:val="00ED3542"/>
    <w:rsid w:val="00ED3A65"/>
    <w:rsid w:val="00ED4238"/>
    <w:rsid w:val="00ED482C"/>
    <w:rsid w:val="00ED48A5"/>
    <w:rsid w:val="00ED4BBD"/>
    <w:rsid w:val="00ED4D25"/>
    <w:rsid w:val="00ED4FB9"/>
    <w:rsid w:val="00ED5200"/>
    <w:rsid w:val="00ED5803"/>
    <w:rsid w:val="00ED5B5F"/>
    <w:rsid w:val="00ED5CFE"/>
    <w:rsid w:val="00ED5D8B"/>
    <w:rsid w:val="00ED5DE2"/>
    <w:rsid w:val="00ED6AAC"/>
    <w:rsid w:val="00ED6B27"/>
    <w:rsid w:val="00ED706E"/>
    <w:rsid w:val="00ED70A3"/>
    <w:rsid w:val="00ED7196"/>
    <w:rsid w:val="00ED72DA"/>
    <w:rsid w:val="00ED7364"/>
    <w:rsid w:val="00ED7784"/>
    <w:rsid w:val="00EE0561"/>
    <w:rsid w:val="00EE0979"/>
    <w:rsid w:val="00EE0A65"/>
    <w:rsid w:val="00EE0AAA"/>
    <w:rsid w:val="00EE0BF5"/>
    <w:rsid w:val="00EE0E0B"/>
    <w:rsid w:val="00EE1100"/>
    <w:rsid w:val="00EE1338"/>
    <w:rsid w:val="00EE15A4"/>
    <w:rsid w:val="00EE1CA0"/>
    <w:rsid w:val="00EE1E9D"/>
    <w:rsid w:val="00EE2093"/>
    <w:rsid w:val="00EE2331"/>
    <w:rsid w:val="00EE24D7"/>
    <w:rsid w:val="00EE2E03"/>
    <w:rsid w:val="00EE2F86"/>
    <w:rsid w:val="00EE2F90"/>
    <w:rsid w:val="00EE368A"/>
    <w:rsid w:val="00EE37FB"/>
    <w:rsid w:val="00EE3A33"/>
    <w:rsid w:val="00EE3B0E"/>
    <w:rsid w:val="00EE3EE2"/>
    <w:rsid w:val="00EE452E"/>
    <w:rsid w:val="00EE4739"/>
    <w:rsid w:val="00EE4B49"/>
    <w:rsid w:val="00EE4B50"/>
    <w:rsid w:val="00EE4B9D"/>
    <w:rsid w:val="00EE4F71"/>
    <w:rsid w:val="00EE5020"/>
    <w:rsid w:val="00EE568A"/>
    <w:rsid w:val="00EE5AC2"/>
    <w:rsid w:val="00EE5B18"/>
    <w:rsid w:val="00EE5E6C"/>
    <w:rsid w:val="00EE5FE3"/>
    <w:rsid w:val="00EE6D48"/>
    <w:rsid w:val="00EE6FA5"/>
    <w:rsid w:val="00EE7244"/>
    <w:rsid w:val="00EE73A6"/>
    <w:rsid w:val="00EE7693"/>
    <w:rsid w:val="00EE7857"/>
    <w:rsid w:val="00EE7A89"/>
    <w:rsid w:val="00EE7BAD"/>
    <w:rsid w:val="00EE7BB0"/>
    <w:rsid w:val="00EE7E0B"/>
    <w:rsid w:val="00EF0297"/>
    <w:rsid w:val="00EF1108"/>
    <w:rsid w:val="00EF12EA"/>
    <w:rsid w:val="00EF14AB"/>
    <w:rsid w:val="00EF14E7"/>
    <w:rsid w:val="00EF16DA"/>
    <w:rsid w:val="00EF1AD8"/>
    <w:rsid w:val="00EF1CDC"/>
    <w:rsid w:val="00EF1DFA"/>
    <w:rsid w:val="00EF1E33"/>
    <w:rsid w:val="00EF1FD4"/>
    <w:rsid w:val="00EF23AC"/>
    <w:rsid w:val="00EF2640"/>
    <w:rsid w:val="00EF2943"/>
    <w:rsid w:val="00EF296A"/>
    <w:rsid w:val="00EF2A88"/>
    <w:rsid w:val="00EF2C73"/>
    <w:rsid w:val="00EF2D6C"/>
    <w:rsid w:val="00EF2ECA"/>
    <w:rsid w:val="00EF30E2"/>
    <w:rsid w:val="00EF322B"/>
    <w:rsid w:val="00EF34EB"/>
    <w:rsid w:val="00EF3796"/>
    <w:rsid w:val="00EF3B13"/>
    <w:rsid w:val="00EF3B9A"/>
    <w:rsid w:val="00EF3EB6"/>
    <w:rsid w:val="00EF40E9"/>
    <w:rsid w:val="00EF423A"/>
    <w:rsid w:val="00EF4309"/>
    <w:rsid w:val="00EF4360"/>
    <w:rsid w:val="00EF438A"/>
    <w:rsid w:val="00EF47E8"/>
    <w:rsid w:val="00EF48F1"/>
    <w:rsid w:val="00EF4C3D"/>
    <w:rsid w:val="00EF4D1F"/>
    <w:rsid w:val="00EF4F59"/>
    <w:rsid w:val="00EF5224"/>
    <w:rsid w:val="00EF52AC"/>
    <w:rsid w:val="00EF5A07"/>
    <w:rsid w:val="00EF5D30"/>
    <w:rsid w:val="00EF5FB9"/>
    <w:rsid w:val="00EF603F"/>
    <w:rsid w:val="00EF605D"/>
    <w:rsid w:val="00EF622F"/>
    <w:rsid w:val="00EF681A"/>
    <w:rsid w:val="00EF6977"/>
    <w:rsid w:val="00EF6B7C"/>
    <w:rsid w:val="00EF6BBC"/>
    <w:rsid w:val="00EF6E76"/>
    <w:rsid w:val="00EF6EA5"/>
    <w:rsid w:val="00EF6FD4"/>
    <w:rsid w:val="00EF7332"/>
    <w:rsid w:val="00EF7AA3"/>
    <w:rsid w:val="00F00348"/>
    <w:rsid w:val="00F007FA"/>
    <w:rsid w:val="00F00D87"/>
    <w:rsid w:val="00F00F80"/>
    <w:rsid w:val="00F00FAB"/>
    <w:rsid w:val="00F01299"/>
    <w:rsid w:val="00F012F9"/>
    <w:rsid w:val="00F01943"/>
    <w:rsid w:val="00F01B3B"/>
    <w:rsid w:val="00F02312"/>
    <w:rsid w:val="00F028D4"/>
    <w:rsid w:val="00F02AFD"/>
    <w:rsid w:val="00F032DB"/>
    <w:rsid w:val="00F033C9"/>
    <w:rsid w:val="00F033E9"/>
    <w:rsid w:val="00F0353D"/>
    <w:rsid w:val="00F03564"/>
    <w:rsid w:val="00F03879"/>
    <w:rsid w:val="00F0389E"/>
    <w:rsid w:val="00F03B10"/>
    <w:rsid w:val="00F03C5C"/>
    <w:rsid w:val="00F03E5F"/>
    <w:rsid w:val="00F041FF"/>
    <w:rsid w:val="00F0446A"/>
    <w:rsid w:val="00F04ACD"/>
    <w:rsid w:val="00F04AE1"/>
    <w:rsid w:val="00F04F1C"/>
    <w:rsid w:val="00F05097"/>
    <w:rsid w:val="00F0510B"/>
    <w:rsid w:val="00F05201"/>
    <w:rsid w:val="00F05536"/>
    <w:rsid w:val="00F05936"/>
    <w:rsid w:val="00F05A10"/>
    <w:rsid w:val="00F05B84"/>
    <w:rsid w:val="00F05D5D"/>
    <w:rsid w:val="00F05D78"/>
    <w:rsid w:val="00F06DBC"/>
    <w:rsid w:val="00F070C8"/>
    <w:rsid w:val="00F070E0"/>
    <w:rsid w:val="00F076F9"/>
    <w:rsid w:val="00F0779A"/>
    <w:rsid w:val="00F103DE"/>
    <w:rsid w:val="00F104AF"/>
    <w:rsid w:val="00F10DB4"/>
    <w:rsid w:val="00F10FCA"/>
    <w:rsid w:val="00F11192"/>
    <w:rsid w:val="00F11359"/>
    <w:rsid w:val="00F1165A"/>
    <w:rsid w:val="00F116D3"/>
    <w:rsid w:val="00F11AFF"/>
    <w:rsid w:val="00F11BCC"/>
    <w:rsid w:val="00F11BF8"/>
    <w:rsid w:val="00F11FF4"/>
    <w:rsid w:val="00F120EF"/>
    <w:rsid w:val="00F12597"/>
    <w:rsid w:val="00F12765"/>
    <w:rsid w:val="00F12A67"/>
    <w:rsid w:val="00F12C85"/>
    <w:rsid w:val="00F12CA4"/>
    <w:rsid w:val="00F12CB3"/>
    <w:rsid w:val="00F13364"/>
    <w:rsid w:val="00F13A91"/>
    <w:rsid w:val="00F13B81"/>
    <w:rsid w:val="00F13C86"/>
    <w:rsid w:val="00F14232"/>
    <w:rsid w:val="00F14FA6"/>
    <w:rsid w:val="00F153E6"/>
    <w:rsid w:val="00F155B1"/>
    <w:rsid w:val="00F15A22"/>
    <w:rsid w:val="00F15A4E"/>
    <w:rsid w:val="00F15C6B"/>
    <w:rsid w:val="00F15DC7"/>
    <w:rsid w:val="00F15F88"/>
    <w:rsid w:val="00F16112"/>
    <w:rsid w:val="00F161EB"/>
    <w:rsid w:val="00F16614"/>
    <w:rsid w:val="00F16D0D"/>
    <w:rsid w:val="00F16D29"/>
    <w:rsid w:val="00F174F6"/>
    <w:rsid w:val="00F178EC"/>
    <w:rsid w:val="00F17BC6"/>
    <w:rsid w:val="00F17E50"/>
    <w:rsid w:val="00F20017"/>
    <w:rsid w:val="00F20100"/>
    <w:rsid w:val="00F202DD"/>
    <w:rsid w:val="00F20334"/>
    <w:rsid w:val="00F205BE"/>
    <w:rsid w:val="00F20731"/>
    <w:rsid w:val="00F207A1"/>
    <w:rsid w:val="00F209D9"/>
    <w:rsid w:val="00F20BC2"/>
    <w:rsid w:val="00F20C25"/>
    <w:rsid w:val="00F20C52"/>
    <w:rsid w:val="00F20F29"/>
    <w:rsid w:val="00F212DC"/>
    <w:rsid w:val="00F218AD"/>
    <w:rsid w:val="00F218E5"/>
    <w:rsid w:val="00F219EB"/>
    <w:rsid w:val="00F21A63"/>
    <w:rsid w:val="00F22083"/>
    <w:rsid w:val="00F222F5"/>
    <w:rsid w:val="00F22531"/>
    <w:rsid w:val="00F226F8"/>
    <w:rsid w:val="00F22870"/>
    <w:rsid w:val="00F22D76"/>
    <w:rsid w:val="00F22EA3"/>
    <w:rsid w:val="00F22F07"/>
    <w:rsid w:val="00F232AB"/>
    <w:rsid w:val="00F2333F"/>
    <w:rsid w:val="00F233F0"/>
    <w:rsid w:val="00F2351F"/>
    <w:rsid w:val="00F238E0"/>
    <w:rsid w:val="00F239CC"/>
    <w:rsid w:val="00F23C1F"/>
    <w:rsid w:val="00F23D3C"/>
    <w:rsid w:val="00F23DBD"/>
    <w:rsid w:val="00F23DF8"/>
    <w:rsid w:val="00F241A3"/>
    <w:rsid w:val="00F2420C"/>
    <w:rsid w:val="00F24691"/>
    <w:rsid w:val="00F248C7"/>
    <w:rsid w:val="00F24FDC"/>
    <w:rsid w:val="00F25415"/>
    <w:rsid w:val="00F255FE"/>
    <w:rsid w:val="00F257BA"/>
    <w:rsid w:val="00F2593B"/>
    <w:rsid w:val="00F25AA4"/>
    <w:rsid w:val="00F2634D"/>
    <w:rsid w:val="00F26402"/>
    <w:rsid w:val="00F26639"/>
    <w:rsid w:val="00F266E8"/>
    <w:rsid w:val="00F26AA0"/>
    <w:rsid w:val="00F26B7D"/>
    <w:rsid w:val="00F26C7F"/>
    <w:rsid w:val="00F26D63"/>
    <w:rsid w:val="00F26E35"/>
    <w:rsid w:val="00F26F0D"/>
    <w:rsid w:val="00F2753C"/>
    <w:rsid w:val="00F279CE"/>
    <w:rsid w:val="00F27B36"/>
    <w:rsid w:val="00F27F6A"/>
    <w:rsid w:val="00F300A2"/>
    <w:rsid w:val="00F30324"/>
    <w:rsid w:val="00F305A6"/>
    <w:rsid w:val="00F309E5"/>
    <w:rsid w:val="00F30A46"/>
    <w:rsid w:val="00F30C96"/>
    <w:rsid w:val="00F30DB0"/>
    <w:rsid w:val="00F314E2"/>
    <w:rsid w:val="00F316D2"/>
    <w:rsid w:val="00F3194F"/>
    <w:rsid w:val="00F31A11"/>
    <w:rsid w:val="00F31BC7"/>
    <w:rsid w:val="00F31EBF"/>
    <w:rsid w:val="00F321F1"/>
    <w:rsid w:val="00F3288F"/>
    <w:rsid w:val="00F328FB"/>
    <w:rsid w:val="00F32934"/>
    <w:rsid w:val="00F329B2"/>
    <w:rsid w:val="00F32AA2"/>
    <w:rsid w:val="00F32B2E"/>
    <w:rsid w:val="00F32DCB"/>
    <w:rsid w:val="00F3321E"/>
    <w:rsid w:val="00F335B8"/>
    <w:rsid w:val="00F33621"/>
    <w:rsid w:val="00F33786"/>
    <w:rsid w:val="00F339AC"/>
    <w:rsid w:val="00F33AA8"/>
    <w:rsid w:val="00F341D5"/>
    <w:rsid w:val="00F342D7"/>
    <w:rsid w:val="00F348C1"/>
    <w:rsid w:val="00F34C95"/>
    <w:rsid w:val="00F34E07"/>
    <w:rsid w:val="00F351A1"/>
    <w:rsid w:val="00F3551B"/>
    <w:rsid w:val="00F358F1"/>
    <w:rsid w:val="00F36A37"/>
    <w:rsid w:val="00F36D9D"/>
    <w:rsid w:val="00F36E07"/>
    <w:rsid w:val="00F37040"/>
    <w:rsid w:val="00F370CC"/>
    <w:rsid w:val="00F3714D"/>
    <w:rsid w:val="00F3741A"/>
    <w:rsid w:val="00F37787"/>
    <w:rsid w:val="00F401D6"/>
    <w:rsid w:val="00F4047C"/>
    <w:rsid w:val="00F40663"/>
    <w:rsid w:val="00F40D15"/>
    <w:rsid w:val="00F40EF7"/>
    <w:rsid w:val="00F4109E"/>
    <w:rsid w:val="00F4148B"/>
    <w:rsid w:val="00F41751"/>
    <w:rsid w:val="00F41946"/>
    <w:rsid w:val="00F420DB"/>
    <w:rsid w:val="00F422BB"/>
    <w:rsid w:val="00F428D7"/>
    <w:rsid w:val="00F428FD"/>
    <w:rsid w:val="00F42AAA"/>
    <w:rsid w:val="00F42C64"/>
    <w:rsid w:val="00F42F4B"/>
    <w:rsid w:val="00F430DB"/>
    <w:rsid w:val="00F43171"/>
    <w:rsid w:val="00F437AB"/>
    <w:rsid w:val="00F4478A"/>
    <w:rsid w:val="00F44E56"/>
    <w:rsid w:val="00F45106"/>
    <w:rsid w:val="00F45BBA"/>
    <w:rsid w:val="00F4630C"/>
    <w:rsid w:val="00F466F7"/>
    <w:rsid w:val="00F4675F"/>
    <w:rsid w:val="00F46882"/>
    <w:rsid w:val="00F46960"/>
    <w:rsid w:val="00F4697A"/>
    <w:rsid w:val="00F4698A"/>
    <w:rsid w:val="00F469BE"/>
    <w:rsid w:val="00F46F75"/>
    <w:rsid w:val="00F470A1"/>
    <w:rsid w:val="00F47589"/>
    <w:rsid w:val="00F47CDA"/>
    <w:rsid w:val="00F50503"/>
    <w:rsid w:val="00F50C47"/>
    <w:rsid w:val="00F50DCE"/>
    <w:rsid w:val="00F50F76"/>
    <w:rsid w:val="00F50F81"/>
    <w:rsid w:val="00F51244"/>
    <w:rsid w:val="00F51787"/>
    <w:rsid w:val="00F51CB6"/>
    <w:rsid w:val="00F51D72"/>
    <w:rsid w:val="00F51EB4"/>
    <w:rsid w:val="00F5211F"/>
    <w:rsid w:val="00F52211"/>
    <w:rsid w:val="00F52900"/>
    <w:rsid w:val="00F529C7"/>
    <w:rsid w:val="00F52DF0"/>
    <w:rsid w:val="00F531FF"/>
    <w:rsid w:val="00F53716"/>
    <w:rsid w:val="00F53733"/>
    <w:rsid w:val="00F53984"/>
    <w:rsid w:val="00F53A7D"/>
    <w:rsid w:val="00F53B0C"/>
    <w:rsid w:val="00F541EF"/>
    <w:rsid w:val="00F54541"/>
    <w:rsid w:val="00F546BE"/>
    <w:rsid w:val="00F546F0"/>
    <w:rsid w:val="00F547E1"/>
    <w:rsid w:val="00F54E3C"/>
    <w:rsid w:val="00F54E82"/>
    <w:rsid w:val="00F550A5"/>
    <w:rsid w:val="00F5525F"/>
    <w:rsid w:val="00F55471"/>
    <w:rsid w:val="00F558D3"/>
    <w:rsid w:val="00F55B6E"/>
    <w:rsid w:val="00F55F43"/>
    <w:rsid w:val="00F56171"/>
    <w:rsid w:val="00F5619D"/>
    <w:rsid w:val="00F56504"/>
    <w:rsid w:val="00F566F7"/>
    <w:rsid w:val="00F567F9"/>
    <w:rsid w:val="00F56BB1"/>
    <w:rsid w:val="00F56E64"/>
    <w:rsid w:val="00F57109"/>
    <w:rsid w:val="00F57233"/>
    <w:rsid w:val="00F57544"/>
    <w:rsid w:val="00F57A49"/>
    <w:rsid w:val="00F57B79"/>
    <w:rsid w:val="00F602F5"/>
    <w:rsid w:val="00F60385"/>
    <w:rsid w:val="00F6073E"/>
    <w:rsid w:val="00F60780"/>
    <w:rsid w:val="00F60822"/>
    <w:rsid w:val="00F60B5E"/>
    <w:rsid w:val="00F60D9F"/>
    <w:rsid w:val="00F60F3C"/>
    <w:rsid w:val="00F61191"/>
    <w:rsid w:val="00F61360"/>
    <w:rsid w:val="00F61800"/>
    <w:rsid w:val="00F61B93"/>
    <w:rsid w:val="00F61C24"/>
    <w:rsid w:val="00F61DD4"/>
    <w:rsid w:val="00F61E13"/>
    <w:rsid w:val="00F61EB3"/>
    <w:rsid w:val="00F61EBF"/>
    <w:rsid w:val="00F62002"/>
    <w:rsid w:val="00F620F3"/>
    <w:rsid w:val="00F62438"/>
    <w:rsid w:val="00F624F8"/>
    <w:rsid w:val="00F624FD"/>
    <w:rsid w:val="00F62DC3"/>
    <w:rsid w:val="00F62E73"/>
    <w:rsid w:val="00F62F3C"/>
    <w:rsid w:val="00F63185"/>
    <w:rsid w:val="00F636CE"/>
    <w:rsid w:val="00F63857"/>
    <w:rsid w:val="00F642C7"/>
    <w:rsid w:val="00F6432E"/>
    <w:rsid w:val="00F64BAA"/>
    <w:rsid w:val="00F64EB6"/>
    <w:rsid w:val="00F65034"/>
    <w:rsid w:val="00F65166"/>
    <w:rsid w:val="00F654A4"/>
    <w:rsid w:val="00F659CF"/>
    <w:rsid w:val="00F659F5"/>
    <w:rsid w:val="00F65C34"/>
    <w:rsid w:val="00F65D08"/>
    <w:rsid w:val="00F6643E"/>
    <w:rsid w:val="00F668FA"/>
    <w:rsid w:val="00F66C64"/>
    <w:rsid w:val="00F66DE3"/>
    <w:rsid w:val="00F6707E"/>
    <w:rsid w:val="00F670E0"/>
    <w:rsid w:val="00F67131"/>
    <w:rsid w:val="00F6713D"/>
    <w:rsid w:val="00F67188"/>
    <w:rsid w:val="00F675BA"/>
    <w:rsid w:val="00F67C36"/>
    <w:rsid w:val="00F67CE8"/>
    <w:rsid w:val="00F67D6B"/>
    <w:rsid w:val="00F67E24"/>
    <w:rsid w:val="00F70010"/>
    <w:rsid w:val="00F700DA"/>
    <w:rsid w:val="00F7056B"/>
    <w:rsid w:val="00F708EE"/>
    <w:rsid w:val="00F70AAB"/>
    <w:rsid w:val="00F70E35"/>
    <w:rsid w:val="00F7107D"/>
    <w:rsid w:val="00F71415"/>
    <w:rsid w:val="00F7163A"/>
    <w:rsid w:val="00F716E8"/>
    <w:rsid w:val="00F717B9"/>
    <w:rsid w:val="00F71B8C"/>
    <w:rsid w:val="00F71EB0"/>
    <w:rsid w:val="00F71F22"/>
    <w:rsid w:val="00F71FD5"/>
    <w:rsid w:val="00F722AD"/>
    <w:rsid w:val="00F7266D"/>
    <w:rsid w:val="00F727F2"/>
    <w:rsid w:val="00F72936"/>
    <w:rsid w:val="00F72C03"/>
    <w:rsid w:val="00F72EE8"/>
    <w:rsid w:val="00F73222"/>
    <w:rsid w:val="00F73A44"/>
    <w:rsid w:val="00F73C18"/>
    <w:rsid w:val="00F73E8C"/>
    <w:rsid w:val="00F745DC"/>
    <w:rsid w:val="00F7469B"/>
    <w:rsid w:val="00F74A44"/>
    <w:rsid w:val="00F74A74"/>
    <w:rsid w:val="00F74AD2"/>
    <w:rsid w:val="00F74B11"/>
    <w:rsid w:val="00F74EAB"/>
    <w:rsid w:val="00F750C7"/>
    <w:rsid w:val="00F751C2"/>
    <w:rsid w:val="00F7536A"/>
    <w:rsid w:val="00F75516"/>
    <w:rsid w:val="00F75677"/>
    <w:rsid w:val="00F757D5"/>
    <w:rsid w:val="00F75F44"/>
    <w:rsid w:val="00F760BE"/>
    <w:rsid w:val="00F765A5"/>
    <w:rsid w:val="00F765C7"/>
    <w:rsid w:val="00F765E2"/>
    <w:rsid w:val="00F766F4"/>
    <w:rsid w:val="00F767EC"/>
    <w:rsid w:val="00F769EE"/>
    <w:rsid w:val="00F76B76"/>
    <w:rsid w:val="00F76BA0"/>
    <w:rsid w:val="00F76DC5"/>
    <w:rsid w:val="00F76F08"/>
    <w:rsid w:val="00F76F9B"/>
    <w:rsid w:val="00F76FAE"/>
    <w:rsid w:val="00F7758F"/>
    <w:rsid w:val="00F7761F"/>
    <w:rsid w:val="00F77640"/>
    <w:rsid w:val="00F77927"/>
    <w:rsid w:val="00F77940"/>
    <w:rsid w:val="00F77AFA"/>
    <w:rsid w:val="00F77B90"/>
    <w:rsid w:val="00F77E2C"/>
    <w:rsid w:val="00F8003C"/>
    <w:rsid w:val="00F80083"/>
    <w:rsid w:val="00F80129"/>
    <w:rsid w:val="00F804A8"/>
    <w:rsid w:val="00F8070B"/>
    <w:rsid w:val="00F807C1"/>
    <w:rsid w:val="00F80C85"/>
    <w:rsid w:val="00F80D42"/>
    <w:rsid w:val="00F80F32"/>
    <w:rsid w:val="00F81676"/>
    <w:rsid w:val="00F816D6"/>
    <w:rsid w:val="00F8187A"/>
    <w:rsid w:val="00F81D13"/>
    <w:rsid w:val="00F81D51"/>
    <w:rsid w:val="00F81D80"/>
    <w:rsid w:val="00F82041"/>
    <w:rsid w:val="00F82049"/>
    <w:rsid w:val="00F8336B"/>
    <w:rsid w:val="00F8353F"/>
    <w:rsid w:val="00F83639"/>
    <w:rsid w:val="00F83C15"/>
    <w:rsid w:val="00F83D36"/>
    <w:rsid w:val="00F83DC9"/>
    <w:rsid w:val="00F83F1F"/>
    <w:rsid w:val="00F83F3B"/>
    <w:rsid w:val="00F8409F"/>
    <w:rsid w:val="00F842A5"/>
    <w:rsid w:val="00F8468E"/>
    <w:rsid w:val="00F84C25"/>
    <w:rsid w:val="00F84E56"/>
    <w:rsid w:val="00F84F09"/>
    <w:rsid w:val="00F850FB"/>
    <w:rsid w:val="00F8510B"/>
    <w:rsid w:val="00F8548D"/>
    <w:rsid w:val="00F855DF"/>
    <w:rsid w:val="00F8590E"/>
    <w:rsid w:val="00F85C73"/>
    <w:rsid w:val="00F85FA5"/>
    <w:rsid w:val="00F8610A"/>
    <w:rsid w:val="00F86419"/>
    <w:rsid w:val="00F86477"/>
    <w:rsid w:val="00F8683E"/>
    <w:rsid w:val="00F87508"/>
    <w:rsid w:val="00F876F2"/>
    <w:rsid w:val="00F8789B"/>
    <w:rsid w:val="00F87ACE"/>
    <w:rsid w:val="00F87EFA"/>
    <w:rsid w:val="00F9014E"/>
    <w:rsid w:val="00F9015A"/>
    <w:rsid w:val="00F90477"/>
    <w:rsid w:val="00F904FC"/>
    <w:rsid w:val="00F908B7"/>
    <w:rsid w:val="00F90A77"/>
    <w:rsid w:val="00F912EE"/>
    <w:rsid w:val="00F91547"/>
    <w:rsid w:val="00F91614"/>
    <w:rsid w:val="00F916D1"/>
    <w:rsid w:val="00F9171D"/>
    <w:rsid w:val="00F919CA"/>
    <w:rsid w:val="00F91D6D"/>
    <w:rsid w:val="00F91F67"/>
    <w:rsid w:val="00F9215C"/>
    <w:rsid w:val="00F922A2"/>
    <w:rsid w:val="00F923F3"/>
    <w:rsid w:val="00F9248A"/>
    <w:rsid w:val="00F92552"/>
    <w:rsid w:val="00F9272D"/>
    <w:rsid w:val="00F92A57"/>
    <w:rsid w:val="00F92A9B"/>
    <w:rsid w:val="00F92E1A"/>
    <w:rsid w:val="00F9322D"/>
    <w:rsid w:val="00F934A2"/>
    <w:rsid w:val="00F9369A"/>
    <w:rsid w:val="00F93ABD"/>
    <w:rsid w:val="00F93B56"/>
    <w:rsid w:val="00F93D44"/>
    <w:rsid w:val="00F93E9C"/>
    <w:rsid w:val="00F93F67"/>
    <w:rsid w:val="00F940A2"/>
    <w:rsid w:val="00F9422A"/>
    <w:rsid w:val="00F9431C"/>
    <w:rsid w:val="00F94631"/>
    <w:rsid w:val="00F947F2"/>
    <w:rsid w:val="00F9482C"/>
    <w:rsid w:val="00F94BC4"/>
    <w:rsid w:val="00F94F96"/>
    <w:rsid w:val="00F9536F"/>
    <w:rsid w:val="00F95825"/>
    <w:rsid w:val="00F95883"/>
    <w:rsid w:val="00F95AD1"/>
    <w:rsid w:val="00F95C12"/>
    <w:rsid w:val="00F96181"/>
    <w:rsid w:val="00F96778"/>
    <w:rsid w:val="00F96987"/>
    <w:rsid w:val="00F96BAE"/>
    <w:rsid w:val="00F9755C"/>
    <w:rsid w:val="00F97827"/>
    <w:rsid w:val="00F97B86"/>
    <w:rsid w:val="00F97C83"/>
    <w:rsid w:val="00F97DCD"/>
    <w:rsid w:val="00FA0063"/>
    <w:rsid w:val="00FA0106"/>
    <w:rsid w:val="00FA0118"/>
    <w:rsid w:val="00FA0522"/>
    <w:rsid w:val="00FA0A9A"/>
    <w:rsid w:val="00FA0AE3"/>
    <w:rsid w:val="00FA0D31"/>
    <w:rsid w:val="00FA11CC"/>
    <w:rsid w:val="00FA1583"/>
    <w:rsid w:val="00FA15F3"/>
    <w:rsid w:val="00FA17F9"/>
    <w:rsid w:val="00FA18AD"/>
    <w:rsid w:val="00FA1ADF"/>
    <w:rsid w:val="00FA1AE2"/>
    <w:rsid w:val="00FA1B06"/>
    <w:rsid w:val="00FA1B18"/>
    <w:rsid w:val="00FA1EF9"/>
    <w:rsid w:val="00FA2013"/>
    <w:rsid w:val="00FA22D0"/>
    <w:rsid w:val="00FA258B"/>
    <w:rsid w:val="00FA280A"/>
    <w:rsid w:val="00FA2848"/>
    <w:rsid w:val="00FA2969"/>
    <w:rsid w:val="00FA2D28"/>
    <w:rsid w:val="00FA3202"/>
    <w:rsid w:val="00FA3690"/>
    <w:rsid w:val="00FA3A48"/>
    <w:rsid w:val="00FA3B2A"/>
    <w:rsid w:val="00FA3F80"/>
    <w:rsid w:val="00FA40FE"/>
    <w:rsid w:val="00FA4192"/>
    <w:rsid w:val="00FA44A1"/>
    <w:rsid w:val="00FA458A"/>
    <w:rsid w:val="00FA464C"/>
    <w:rsid w:val="00FA46A5"/>
    <w:rsid w:val="00FA46FC"/>
    <w:rsid w:val="00FA492C"/>
    <w:rsid w:val="00FA4D78"/>
    <w:rsid w:val="00FA4EE0"/>
    <w:rsid w:val="00FA505D"/>
    <w:rsid w:val="00FA5178"/>
    <w:rsid w:val="00FA55C2"/>
    <w:rsid w:val="00FA5640"/>
    <w:rsid w:val="00FA57F9"/>
    <w:rsid w:val="00FA583F"/>
    <w:rsid w:val="00FA5B9A"/>
    <w:rsid w:val="00FA6800"/>
    <w:rsid w:val="00FA6806"/>
    <w:rsid w:val="00FA6888"/>
    <w:rsid w:val="00FA68D3"/>
    <w:rsid w:val="00FA69CF"/>
    <w:rsid w:val="00FA6A14"/>
    <w:rsid w:val="00FA6B8A"/>
    <w:rsid w:val="00FA6CC0"/>
    <w:rsid w:val="00FA7015"/>
    <w:rsid w:val="00FA734B"/>
    <w:rsid w:val="00FA75F9"/>
    <w:rsid w:val="00FA761C"/>
    <w:rsid w:val="00FA77E2"/>
    <w:rsid w:val="00FA79CA"/>
    <w:rsid w:val="00FA7B58"/>
    <w:rsid w:val="00FA7BE1"/>
    <w:rsid w:val="00FA7CD0"/>
    <w:rsid w:val="00FB00E0"/>
    <w:rsid w:val="00FB017C"/>
    <w:rsid w:val="00FB04DA"/>
    <w:rsid w:val="00FB08DB"/>
    <w:rsid w:val="00FB09F7"/>
    <w:rsid w:val="00FB0A5A"/>
    <w:rsid w:val="00FB0C1B"/>
    <w:rsid w:val="00FB0CEF"/>
    <w:rsid w:val="00FB0E2E"/>
    <w:rsid w:val="00FB105F"/>
    <w:rsid w:val="00FB10E8"/>
    <w:rsid w:val="00FB1109"/>
    <w:rsid w:val="00FB124F"/>
    <w:rsid w:val="00FB14F6"/>
    <w:rsid w:val="00FB1613"/>
    <w:rsid w:val="00FB190C"/>
    <w:rsid w:val="00FB1AAD"/>
    <w:rsid w:val="00FB1DA6"/>
    <w:rsid w:val="00FB1E9F"/>
    <w:rsid w:val="00FB1F12"/>
    <w:rsid w:val="00FB2119"/>
    <w:rsid w:val="00FB249D"/>
    <w:rsid w:val="00FB2895"/>
    <w:rsid w:val="00FB28FE"/>
    <w:rsid w:val="00FB2ABF"/>
    <w:rsid w:val="00FB2C93"/>
    <w:rsid w:val="00FB3689"/>
    <w:rsid w:val="00FB3D72"/>
    <w:rsid w:val="00FB3E3C"/>
    <w:rsid w:val="00FB3E58"/>
    <w:rsid w:val="00FB4015"/>
    <w:rsid w:val="00FB4187"/>
    <w:rsid w:val="00FB42C1"/>
    <w:rsid w:val="00FB4785"/>
    <w:rsid w:val="00FB48DA"/>
    <w:rsid w:val="00FB4983"/>
    <w:rsid w:val="00FB49C9"/>
    <w:rsid w:val="00FB4D60"/>
    <w:rsid w:val="00FB5319"/>
    <w:rsid w:val="00FB531C"/>
    <w:rsid w:val="00FB599B"/>
    <w:rsid w:val="00FB5C87"/>
    <w:rsid w:val="00FB609C"/>
    <w:rsid w:val="00FB6337"/>
    <w:rsid w:val="00FB660C"/>
    <w:rsid w:val="00FB6638"/>
    <w:rsid w:val="00FB699F"/>
    <w:rsid w:val="00FB6E09"/>
    <w:rsid w:val="00FB6F33"/>
    <w:rsid w:val="00FB7096"/>
    <w:rsid w:val="00FB7139"/>
    <w:rsid w:val="00FB71A3"/>
    <w:rsid w:val="00FB7262"/>
    <w:rsid w:val="00FB75C7"/>
    <w:rsid w:val="00FB76D9"/>
    <w:rsid w:val="00FB777F"/>
    <w:rsid w:val="00FB7A82"/>
    <w:rsid w:val="00FB7D79"/>
    <w:rsid w:val="00FB7DC1"/>
    <w:rsid w:val="00FC0017"/>
    <w:rsid w:val="00FC03D5"/>
    <w:rsid w:val="00FC0761"/>
    <w:rsid w:val="00FC0DFE"/>
    <w:rsid w:val="00FC0E4A"/>
    <w:rsid w:val="00FC0F3C"/>
    <w:rsid w:val="00FC1658"/>
    <w:rsid w:val="00FC1A9E"/>
    <w:rsid w:val="00FC1B54"/>
    <w:rsid w:val="00FC207F"/>
    <w:rsid w:val="00FC2B2D"/>
    <w:rsid w:val="00FC3045"/>
    <w:rsid w:val="00FC312F"/>
    <w:rsid w:val="00FC31D9"/>
    <w:rsid w:val="00FC3765"/>
    <w:rsid w:val="00FC37F1"/>
    <w:rsid w:val="00FC3AB8"/>
    <w:rsid w:val="00FC3AE5"/>
    <w:rsid w:val="00FC3BDF"/>
    <w:rsid w:val="00FC41BC"/>
    <w:rsid w:val="00FC444B"/>
    <w:rsid w:val="00FC46C9"/>
    <w:rsid w:val="00FC4731"/>
    <w:rsid w:val="00FC498E"/>
    <w:rsid w:val="00FC4D0E"/>
    <w:rsid w:val="00FC4F9F"/>
    <w:rsid w:val="00FC5779"/>
    <w:rsid w:val="00FC5B00"/>
    <w:rsid w:val="00FC5CDE"/>
    <w:rsid w:val="00FC5E3E"/>
    <w:rsid w:val="00FC607B"/>
    <w:rsid w:val="00FC607F"/>
    <w:rsid w:val="00FC6246"/>
    <w:rsid w:val="00FC637A"/>
    <w:rsid w:val="00FC6AAC"/>
    <w:rsid w:val="00FC6B7B"/>
    <w:rsid w:val="00FC6D15"/>
    <w:rsid w:val="00FC70FE"/>
    <w:rsid w:val="00FC7224"/>
    <w:rsid w:val="00FC72C4"/>
    <w:rsid w:val="00FC737A"/>
    <w:rsid w:val="00FC7939"/>
    <w:rsid w:val="00FC7CC3"/>
    <w:rsid w:val="00FC7D6D"/>
    <w:rsid w:val="00FC7FFC"/>
    <w:rsid w:val="00FD0405"/>
    <w:rsid w:val="00FD055A"/>
    <w:rsid w:val="00FD0ABE"/>
    <w:rsid w:val="00FD0B43"/>
    <w:rsid w:val="00FD0D67"/>
    <w:rsid w:val="00FD0EE8"/>
    <w:rsid w:val="00FD135C"/>
    <w:rsid w:val="00FD1442"/>
    <w:rsid w:val="00FD16AF"/>
    <w:rsid w:val="00FD1971"/>
    <w:rsid w:val="00FD1B3E"/>
    <w:rsid w:val="00FD214C"/>
    <w:rsid w:val="00FD24B7"/>
    <w:rsid w:val="00FD26C9"/>
    <w:rsid w:val="00FD2785"/>
    <w:rsid w:val="00FD2BD8"/>
    <w:rsid w:val="00FD2EE1"/>
    <w:rsid w:val="00FD3438"/>
    <w:rsid w:val="00FD3679"/>
    <w:rsid w:val="00FD375C"/>
    <w:rsid w:val="00FD37E1"/>
    <w:rsid w:val="00FD3B5D"/>
    <w:rsid w:val="00FD3B93"/>
    <w:rsid w:val="00FD423B"/>
    <w:rsid w:val="00FD42F9"/>
    <w:rsid w:val="00FD438C"/>
    <w:rsid w:val="00FD4662"/>
    <w:rsid w:val="00FD4A17"/>
    <w:rsid w:val="00FD560D"/>
    <w:rsid w:val="00FD56F5"/>
    <w:rsid w:val="00FD5A56"/>
    <w:rsid w:val="00FD5BB2"/>
    <w:rsid w:val="00FD5F04"/>
    <w:rsid w:val="00FD5F89"/>
    <w:rsid w:val="00FD5FB4"/>
    <w:rsid w:val="00FD604E"/>
    <w:rsid w:val="00FD6330"/>
    <w:rsid w:val="00FD64EE"/>
    <w:rsid w:val="00FD6702"/>
    <w:rsid w:val="00FD6793"/>
    <w:rsid w:val="00FD67AD"/>
    <w:rsid w:val="00FD6A80"/>
    <w:rsid w:val="00FD7121"/>
    <w:rsid w:val="00FD7279"/>
    <w:rsid w:val="00FD730D"/>
    <w:rsid w:val="00FD732B"/>
    <w:rsid w:val="00FD74AA"/>
    <w:rsid w:val="00FD76E7"/>
    <w:rsid w:val="00FD787D"/>
    <w:rsid w:val="00FE0103"/>
    <w:rsid w:val="00FE04D9"/>
    <w:rsid w:val="00FE05BB"/>
    <w:rsid w:val="00FE07E3"/>
    <w:rsid w:val="00FE0A45"/>
    <w:rsid w:val="00FE0A6A"/>
    <w:rsid w:val="00FE0E4F"/>
    <w:rsid w:val="00FE1033"/>
    <w:rsid w:val="00FE1329"/>
    <w:rsid w:val="00FE1560"/>
    <w:rsid w:val="00FE17A6"/>
    <w:rsid w:val="00FE181C"/>
    <w:rsid w:val="00FE191B"/>
    <w:rsid w:val="00FE2047"/>
    <w:rsid w:val="00FE22C8"/>
    <w:rsid w:val="00FE23C6"/>
    <w:rsid w:val="00FE28A2"/>
    <w:rsid w:val="00FE2943"/>
    <w:rsid w:val="00FE2AE4"/>
    <w:rsid w:val="00FE2B2A"/>
    <w:rsid w:val="00FE31A4"/>
    <w:rsid w:val="00FE380E"/>
    <w:rsid w:val="00FE3C77"/>
    <w:rsid w:val="00FE3DE2"/>
    <w:rsid w:val="00FE4008"/>
    <w:rsid w:val="00FE4095"/>
    <w:rsid w:val="00FE4292"/>
    <w:rsid w:val="00FE4666"/>
    <w:rsid w:val="00FE4A27"/>
    <w:rsid w:val="00FE4EEB"/>
    <w:rsid w:val="00FE5552"/>
    <w:rsid w:val="00FE56D9"/>
    <w:rsid w:val="00FE58D7"/>
    <w:rsid w:val="00FE5AAC"/>
    <w:rsid w:val="00FE6966"/>
    <w:rsid w:val="00FE697A"/>
    <w:rsid w:val="00FE69DF"/>
    <w:rsid w:val="00FE6FCA"/>
    <w:rsid w:val="00FE7002"/>
    <w:rsid w:val="00FE7128"/>
    <w:rsid w:val="00FE71CA"/>
    <w:rsid w:val="00FE74D1"/>
    <w:rsid w:val="00FE7523"/>
    <w:rsid w:val="00FF04FE"/>
    <w:rsid w:val="00FF0D91"/>
    <w:rsid w:val="00FF0DD8"/>
    <w:rsid w:val="00FF1328"/>
    <w:rsid w:val="00FF14EB"/>
    <w:rsid w:val="00FF1991"/>
    <w:rsid w:val="00FF1D14"/>
    <w:rsid w:val="00FF1DC7"/>
    <w:rsid w:val="00FF2097"/>
    <w:rsid w:val="00FF21C0"/>
    <w:rsid w:val="00FF238E"/>
    <w:rsid w:val="00FF240F"/>
    <w:rsid w:val="00FF2733"/>
    <w:rsid w:val="00FF2D9E"/>
    <w:rsid w:val="00FF2DF4"/>
    <w:rsid w:val="00FF3169"/>
    <w:rsid w:val="00FF35B6"/>
    <w:rsid w:val="00FF3DB7"/>
    <w:rsid w:val="00FF3E71"/>
    <w:rsid w:val="00FF41DD"/>
    <w:rsid w:val="00FF436D"/>
    <w:rsid w:val="00FF4588"/>
    <w:rsid w:val="00FF46CF"/>
    <w:rsid w:val="00FF48A0"/>
    <w:rsid w:val="00FF4917"/>
    <w:rsid w:val="00FF4E88"/>
    <w:rsid w:val="00FF4EF1"/>
    <w:rsid w:val="00FF5483"/>
    <w:rsid w:val="00FF550C"/>
    <w:rsid w:val="00FF5515"/>
    <w:rsid w:val="00FF5B1D"/>
    <w:rsid w:val="00FF5C14"/>
    <w:rsid w:val="00FF5E18"/>
    <w:rsid w:val="00FF5F30"/>
    <w:rsid w:val="00FF6077"/>
    <w:rsid w:val="00FF6AD5"/>
    <w:rsid w:val="00FF764F"/>
    <w:rsid w:val="00FF78A7"/>
    <w:rsid w:val="028E7472"/>
    <w:rsid w:val="03168693"/>
    <w:rsid w:val="03BE65D3"/>
    <w:rsid w:val="055DC0DC"/>
    <w:rsid w:val="05E366C5"/>
    <w:rsid w:val="0646A380"/>
    <w:rsid w:val="0688E102"/>
    <w:rsid w:val="06ACF6AB"/>
    <w:rsid w:val="079AAF31"/>
    <w:rsid w:val="07C8461D"/>
    <w:rsid w:val="083AFBAD"/>
    <w:rsid w:val="098A330A"/>
    <w:rsid w:val="09BC60D4"/>
    <w:rsid w:val="09D0BADF"/>
    <w:rsid w:val="09E0355C"/>
    <w:rsid w:val="0A219F7B"/>
    <w:rsid w:val="0A6D2AE8"/>
    <w:rsid w:val="0A99746F"/>
    <w:rsid w:val="0ACE788B"/>
    <w:rsid w:val="0B342C37"/>
    <w:rsid w:val="0B86B635"/>
    <w:rsid w:val="0C0CCE39"/>
    <w:rsid w:val="0D874FC0"/>
    <w:rsid w:val="0DFAA730"/>
    <w:rsid w:val="0E60106D"/>
    <w:rsid w:val="0E78AABB"/>
    <w:rsid w:val="0E797633"/>
    <w:rsid w:val="0F5CB172"/>
    <w:rsid w:val="0FA18123"/>
    <w:rsid w:val="0FE797DE"/>
    <w:rsid w:val="11335FAA"/>
    <w:rsid w:val="114AF4F3"/>
    <w:rsid w:val="11FE847A"/>
    <w:rsid w:val="1245FE2A"/>
    <w:rsid w:val="125C8BBD"/>
    <w:rsid w:val="12E91B24"/>
    <w:rsid w:val="133B633B"/>
    <w:rsid w:val="14409B32"/>
    <w:rsid w:val="144C7220"/>
    <w:rsid w:val="146009DC"/>
    <w:rsid w:val="14613D94"/>
    <w:rsid w:val="14E398CF"/>
    <w:rsid w:val="15707FE9"/>
    <w:rsid w:val="178C6409"/>
    <w:rsid w:val="179EF66F"/>
    <w:rsid w:val="18331185"/>
    <w:rsid w:val="198D305A"/>
    <w:rsid w:val="1A09F311"/>
    <w:rsid w:val="1A2B173F"/>
    <w:rsid w:val="1AC988CC"/>
    <w:rsid w:val="1B664F31"/>
    <w:rsid w:val="1C51813E"/>
    <w:rsid w:val="1CBE3BFE"/>
    <w:rsid w:val="1D4A23A9"/>
    <w:rsid w:val="1D7DFBEF"/>
    <w:rsid w:val="1E1CCC9F"/>
    <w:rsid w:val="1F9D6293"/>
    <w:rsid w:val="1FAAAA09"/>
    <w:rsid w:val="207D5719"/>
    <w:rsid w:val="223B276E"/>
    <w:rsid w:val="2279FCE0"/>
    <w:rsid w:val="22840ED9"/>
    <w:rsid w:val="236CF7AC"/>
    <w:rsid w:val="23712FDC"/>
    <w:rsid w:val="23BE1451"/>
    <w:rsid w:val="23FAB424"/>
    <w:rsid w:val="24BBC76E"/>
    <w:rsid w:val="24BC0876"/>
    <w:rsid w:val="250229ED"/>
    <w:rsid w:val="2572C830"/>
    <w:rsid w:val="25797558"/>
    <w:rsid w:val="25D72B0E"/>
    <w:rsid w:val="25F4F147"/>
    <w:rsid w:val="268B0139"/>
    <w:rsid w:val="26FA7A70"/>
    <w:rsid w:val="2850D914"/>
    <w:rsid w:val="28AAFD03"/>
    <w:rsid w:val="2A8A0152"/>
    <w:rsid w:val="2B1F0E66"/>
    <w:rsid w:val="2C700285"/>
    <w:rsid w:val="2C98E6F6"/>
    <w:rsid w:val="2DA40E69"/>
    <w:rsid w:val="2E24FD72"/>
    <w:rsid w:val="2EB5B44C"/>
    <w:rsid w:val="2F52BE26"/>
    <w:rsid w:val="2FDDD755"/>
    <w:rsid w:val="3061BBF5"/>
    <w:rsid w:val="30877D68"/>
    <w:rsid w:val="31944B68"/>
    <w:rsid w:val="31E0ED11"/>
    <w:rsid w:val="3220CB24"/>
    <w:rsid w:val="322146F0"/>
    <w:rsid w:val="32516500"/>
    <w:rsid w:val="32B20FC3"/>
    <w:rsid w:val="32D2F991"/>
    <w:rsid w:val="32D909CE"/>
    <w:rsid w:val="338E2867"/>
    <w:rsid w:val="339EAC04"/>
    <w:rsid w:val="33B3733C"/>
    <w:rsid w:val="348EF751"/>
    <w:rsid w:val="35229930"/>
    <w:rsid w:val="3569547E"/>
    <w:rsid w:val="36BBDEDD"/>
    <w:rsid w:val="36E55841"/>
    <w:rsid w:val="37E72423"/>
    <w:rsid w:val="3927C5D5"/>
    <w:rsid w:val="398C901A"/>
    <w:rsid w:val="3A48001B"/>
    <w:rsid w:val="3A70260E"/>
    <w:rsid w:val="3B1A990A"/>
    <w:rsid w:val="3B523E27"/>
    <w:rsid w:val="3B812AB4"/>
    <w:rsid w:val="3C867BDD"/>
    <w:rsid w:val="3D12C70C"/>
    <w:rsid w:val="3D46D232"/>
    <w:rsid w:val="3D6BF88B"/>
    <w:rsid w:val="3E047066"/>
    <w:rsid w:val="3E047FB4"/>
    <w:rsid w:val="3E6C3B90"/>
    <w:rsid w:val="3EAB5AA6"/>
    <w:rsid w:val="3EDFF56E"/>
    <w:rsid w:val="3F9494FC"/>
    <w:rsid w:val="4003DD11"/>
    <w:rsid w:val="40260ABE"/>
    <w:rsid w:val="40CE38EF"/>
    <w:rsid w:val="40E35AA5"/>
    <w:rsid w:val="40F9BF80"/>
    <w:rsid w:val="41034B35"/>
    <w:rsid w:val="4151970A"/>
    <w:rsid w:val="418B5E44"/>
    <w:rsid w:val="418D5A21"/>
    <w:rsid w:val="41A63937"/>
    <w:rsid w:val="41C1DB1F"/>
    <w:rsid w:val="420728FC"/>
    <w:rsid w:val="425E0B54"/>
    <w:rsid w:val="42E6A701"/>
    <w:rsid w:val="43A32FE4"/>
    <w:rsid w:val="43B5EBAF"/>
    <w:rsid w:val="4413CC97"/>
    <w:rsid w:val="444788AF"/>
    <w:rsid w:val="45704142"/>
    <w:rsid w:val="45A2A14F"/>
    <w:rsid w:val="4652BDE1"/>
    <w:rsid w:val="479688E7"/>
    <w:rsid w:val="47E6C8DF"/>
    <w:rsid w:val="4895BEC2"/>
    <w:rsid w:val="495AD325"/>
    <w:rsid w:val="49735DBC"/>
    <w:rsid w:val="49EEB03B"/>
    <w:rsid w:val="4A1E0027"/>
    <w:rsid w:val="4A4BC62E"/>
    <w:rsid w:val="4AA7083E"/>
    <w:rsid w:val="4AE8B3C3"/>
    <w:rsid w:val="4C488D92"/>
    <w:rsid w:val="4CDDCB3C"/>
    <w:rsid w:val="4D14D7DF"/>
    <w:rsid w:val="4FDB4E79"/>
    <w:rsid w:val="50365324"/>
    <w:rsid w:val="50F6BBE8"/>
    <w:rsid w:val="5256ED2F"/>
    <w:rsid w:val="5394A664"/>
    <w:rsid w:val="54AA1909"/>
    <w:rsid w:val="54CF023B"/>
    <w:rsid w:val="5558C47F"/>
    <w:rsid w:val="55BAA91D"/>
    <w:rsid w:val="55CA2D0B"/>
    <w:rsid w:val="569429B8"/>
    <w:rsid w:val="56ADB7EB"/>
    <w:rsid w:val="570F28EA"/>
    <w:rsid w:val="575CFF90"/>
    <w:rsid w:val="57EFE283"/>
    <w:rsid w:val="57FCA3C7"/>
    <w:rsid w:val="58524719"/>
    <w:rsid w:val="586A94C1"/>
    <w:rsid w:val="588BAA34"/>
    <w:rsid w:val="5A0A8DEA"/>
    <w:rsid w:val="5A3A1AB5"/>
    <w:rsid w:val="5AC8C4EE"/>
    <w:rsid w:val="5C7E2815"/>
    <w:rsid w:val="5D0D121B"/>
    <w:rsid w:val="5E270410"/>
    <w:rsid w:val="5F41774F"/>
    <w:rsid w:val="5FDD56AE"/>
    <w:rsid w:val="5FFCC9CD"/>
    <w:rsid w:val="609142E6"/>
    <w:rsid w:val="615F078F"/>
    <w:rsid w:val="61BA4026"/>
    <w:rsid w:val="6237CCC5"/>
    <w:rsid w:val="62F9202B"/>
    <w:rsid w:val="63491589"/>
    <w:rsid w:val="63C5DCCD"/>
    <w:rsid w:val="63E9F890"/>
    <w:rsid w:val="640439B2"/>
    <w:rsid w:val="64441BFC"/>
    <w:rsid w:val="65528739"/>
    <w:rsid w:val="65A00A13"/>
    <w:rsid w:val="65B540F9"/>
    <w:rsid w:val="65FF9F55"/>
    <w:rsid w:val="66A48595"/>
    <w:rsid w:val="67016C22"/>
    <w:rsid w:val="67036397"/>
    <w:rsid w:val="67B4D949"/>
    <w:rsid w:val="68148773"/>
    <w:rsid w:val="682B4ED6"/>
    <w:rsid w:val="682E51D1"/>
    <w:rsid w:val="6858B1D4"/>
    <w:rsid w:val="68DFA1F8"/>
    <w:rsid w:val="68EEFABC"/>
    <w:rsid w:val="69232D77"/>
    <w:rsid w:val="692DCA8D"/>
    <w:rsid w:val="695E220E"/>
    <w:rsid w:val="699DF181"/>
    <w:rsid w:val="69F544E5"/>
    <w:rsid w:val="6A14E090"/>
    <w:rsid w:val="6A3382AA"/>
    <w:rsid w:val="6AED5691"/>
    <w:rsid w:val="6B206FC4"/>
    <w:rsid w:val="6C494512"/>
    <w:rsid w:val="6C7DB338"/>
    <w:rsid w:val="6CD957FE"/>
    <w:rsid w:val="6CF3C8CE"/>
    <w:rsid w:val="6DCAE54A"/>
    <w:rsid w:val="6DF7BB8E"/>
    <w:rsid w:val="6EBAAC2E"/>
    <w:rsid w:val="6F081450"/>
    <w:rsid w:val="6F3D3F90"/>
    <w:rsid w:val="6F51EEFF"/>
    <w:rsid w:val="6FDDBEF0"/>
    <w:rsid w:val="6FED95B4"/>
    <w:rsid w:val="702C5992"/>
    <w:rsid w:val="707C33C6"/>
    <w:rsid w:val="707D2BB5"/>
    <w:rsid w:val="708AF58D"/>
    <w:rsid w:val="70940B5C"/>
    <w:rsid w:val="70DE6477"/>
    <w:rsid w:val="7178B8F1"/>
    <w:rsid w:val="738ED60D"/>
    <w:rsid w:val="750BC780"/>
    <w:rsid w:val="76148997"/>
    <w:rsid w:val="761B8215"/>
    <w:rsid w:val="763AF113"/>
    <w:rsid w:val="773B3E59"/>
    <w:rsid w:val="779069BF"/>
    <w:rsid w:val="77A0B2B8"/>
    <w:rsid w:val="77A828EA"/>
    <w:rsid w:val="780BC155"/>
    <w:rsid w:val="78A9D939"/>
    <w:rsid w:val="7931BD2F"/>
    <w:rsid w:val="7A109A6E"/>
    <w:rsid w:val="7A85D7DB"/>
    <w:rsid w:val="7ABC9864"/>
    <w:rsid w:val="7AC758D8"/>
    <w:rsid w:val="7BB73418"/>
    <w:rsid w:val="7BD4A1BE"/>
    <w:rsid w:val="7BE3B1B0"/>
    <w:rsid w:val="7C0C9F41"/>
    <w:rsid w:val="7D366126"/>
    <w:rsid w:val="7DE83C75"/>
    <w:rsid w:val="7DE931CC"/>
    <w:rsid w:val="7DEB3CEF"/>
    <w:rsid w:val="7E531D2E"/>
    <w:rsid w:val="7E7D6A24"/>
    <w:rsid w:val="7EE6423E"/>
    <w:rsid w:val="7F008E4E"/>
    <w:rsid w:val="7F0A180D"/>
    <w:rsid w:val="7F107F4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42117F"/>
  <w15:docId w15:val="{0F39C45A-2394-403E-93D2-53FD964B3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PMingLiU"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body text"/>
    <w:qFormat/>
    <w:rsid w:val="0029487F"/>
    <w:pPr>
      <w:spacing w:before="240" w:after="240" w:line="300" w:lineRule="auto"/>
      <w:ind w:firstLine="720"/>
    </w:pPr>
    <w:rPr>
      <w:rFonts w:ascii="Times New Roman" w:hAnsi="Times New Roman"/>
      <w:sz w:val="22"/>
      <w:szCs w:val="22"/>
      <w:lang w:bidi="en-US"/>
    </w:rPr>
  </w:style>
  <w:style w:type="paragraph" w:styleId="Heading1">
    <w:name w:val="heading 1"/>
    <w:basedOn w:val="Normal"/>
    <w:next w:val="Normal"/>
    <w:link w:val="Heading1Char"/>
    <w:qFormat/>
    <w:rsid w:val="00925971"/>
    <w:pPr>
      <w:keepNext/>
      <w:numPr>
        <w:numId w:val="19"/>
      </w:numPr>
      <w:tabs>
        <w:tab w:val="left" w:pos="450"/>
      </w:tabs>
      <w:spacing w:before="0" w:after="360" w:line="240" w:lineRule="auto"/>
      <w:jc w:val="center"/>
      <w:outlineLvl w:val="0"/>
    </w:pPr>
    <w:rPr>
      <w:rFonts w:eastAsia="Times New Roman"/>
      <w:b/>
      <w:caps/>
      <w:snapToGrid w:val="0"/>
      <w:szCs w:val="20"/>
      <w:lang w:bidi="ar-SA"/>
    </w:rPr>
  </w:style>
  <w:style w:type="paragraph" w:styleId="Heading2">
    <w:name w:val="heading 2"/>
    <w:basedOn w:val="Normal"/>
    <w:next w:val="Normal"/>
    <w:link w:val="Heading2Char"/>
    <w:qFormat/>
    <w:rsid w:val="00925971"/>
    <w:pPr>
      <w:keepNext/>
      <w:numPr>
        <w:ilvl w:val="1"/>
        <w:numId w:val="19"/>
      </w:numPr>
      <w:tabs>
        <w:tab w:val="left" w:pos="540"/>
      </w:tabs>
      <w:spacing w:line="240" w:lineRule="auto"/>
      <w:outlineLvl w:val="1"/>
    </w:pPr>
    <w:rPr>
      <w:rFonts w:eastAsia="Times New Roman"/>
      <w:b/>
      <w:caps/>
      <w:snapToGrid w:val="0"/>
      <w:szCs w:val="20"/>
      <w:lang w:bidi="ar-SA"/>
    </w:rPr>
  </w:style>
  <w:style w:type="paragraph" w:styleId="Heading3">
    <w:name w:val="heading 3"/>
    <w:basedOn w:val="Normal"/>
    <w:next w:val="Normal"/>
    <w:link w:val="Heading3Char"/>
    <w:qFormat/>
    <w:rsid w:val="00925971"/>
    <w:pPr>
      <w:keepNext/>
      <w:numPr>
        <w:ilvl w:val="2"/>
        <w:numId w:val="19"/>
      </w:numPr>
      <w:tabs>
        <w:tab w:val="left" w:pos="720"/>
      </w:tabs>
      <w:spacing w:line="240" w:lineRule="auto"/>
      <w:outlineLvl w:val="2"/>
    </w:pPr>
    <w:rPr>
      <w:rFonts w:eastAsia="Times New Roman"/>
      <w:b/>
      <w:snapToGrid w:val="0"/>
      <w:szCs w:val="20"/>
      <w:lang w:bidi="ar-SA"/>
    </w:rPr>
  </w:style>
  <w:style w:type="paragraph" w:styleId="Heading4">
    <w:name w:val="heading 4"/>
    <w:basedOn w:val="Normal"/>
    <w:next w:val="Normal"/>
    <w:link w:val="Heading4Char"/>
    <w:qFormat/>
    <w:rsid w:val="00925971"/>
    <w:pPr>
      <w:keepNext/>
      <w:numPr>
        <w:ilvl w:val="3"/>
        <w:numId w:val="19"/>
      </w:numPr>
      <w:tabs>
        <w:tab w:val="left" w:pos="900"/>
      </w:tabs>
      <w:spacing w:line="240" w:lineRule="auto"/>
      <w:outlineLvl w:val="3"/>
    </w:pPr>
    <w:rPr>
      <w:rFonts w:eastAsia="Times New Roman"/>
      <w:b/>
      <w:snapToGrid w:val="0"/>
      <w:szCs w:val="20"/>
      <w:lang w:bidi="ar-SA"/>
    </w:rPr>
  </w:style>
  <w:style w:type="paragraph" w:styleId="Heading5">
    <w:name w:val="heading 5"/>
    <w:aliases w:val="Heading 5 - FP"/>
    <w:basedOn w:val="Normal"/>
    <w:next w:val="Normal"/>
    <w:link w:val="Heading5Char"/>
    <w:uiPriority w:val="9"/>
    <w:unhideWhenUsed/>
    <w:qFormat/>
    <w:rsid w:val="0077689E"/>
    <w:pPr>
      <w:spacing w:before="280" w:after="0" w:line="360" w:lineRule="auto"/>
      <w:ind w:firstLine="0"/>
      <w:outlineLvl w:val="4"/>
    </w:pPr>
    <w:rPr>
      <w:b/>
      <w:bCs/>
      <w:iCs/>
    </w:rPr>
  </w:style>
  <w:style w:type="paragraph" w:styleId="Heading6">
    <w:name w:val="heading 6"/>
    <w:basedOn w:val="Normal"/>
    <w:next w:val="Normal"/>
    <w:link w:val="Heading6Char"/>
    <w:uiPriority w:val="9"/>
    <w:unhideWhenUsed/>
    <w:qFormat/>
    <w:rsid w:val="008B1AC9"/>
    <w:pPr>
      <w:keepNext/>
      <w:keepLines/>
      <w:spacing w:before="200" w:after="0"/>
      <w:outlineLvl w:val="5"/>
    </w:pPr>
    <w:rPr>
      <w:rFonts w:ascii="Cambria" w:hAnsi="Cambria"/>
      <w:i/>
      <w:iCs/>
      <w:color w:val="243F60"/>
    </w:rPr>
  </w:style>
  <w:style w:type="paragraph" w:styleId="Heading7">
    <w:name w:val="heading 7"/>
    <w:basedOn w:val="Normal"/>
    <w:next w:val="Normal"/>
    <w:link w:val="Heading7Char"/>
    <w:uiPriority w:val="9"/>
    <w:qFormat/>
    <w:rsid w:val="00286CC8"/>
    <w:pPr>
      <w:widowControl w:val="0"/>
      <w:spacing w:after="60" w:line="240" w:lineRule="auto"/>
      <w:ind w:left="1296" w:hanging="1296"/>
      <w:outlineLvl w:val="6"/>
    </w:pPr>
    <w:rPr>
      <w:rFonts w:ascii="Calibri" w:hAnsi="Calibri"/>
      <w:snapToGrid w:val="0"/>
      <w:szCs w:val="24"/>
      <w:lang w:bidi="ar-SA"/>
    </w:rPr>
  </w:style>
  <w:style w:type="paragraph" w:styleId="Heading8">
    <w:name w:val="heading 8"/>
    <w:basedOn w:val="Normal"/>
    <w:next w:val="Normal"/>
    <w:link w:val="Heading8Char"/>
    <w:uiPriority w:val="9"/>
    <w:unhideWhenUsed/>
    <w:qFormat/>
    <w:rsid w:val="006372AD"/>
    <w:pPr>
      <w:keepNext/>
      <w:keepLines/>
      <w:spacing w:before="200" w:after="0"/>
      <w:outlineLvl w:val="7"/>
    </w:pPr>
    <w:rPr>
      <w:rFonts w:ascii="Cambria" w:hAnsi="Cambria"/>
      <w:color w:val="404040"/>
      <w:sz w:val="20"/>
      <w:szCs w:val="20"/>
    </w:rPr>
  </w:style>
  <w:style w:type="paragraph" w:styleId="Heading9">
    <w:name w:val="heading 9"/>
    <w:basedOn w:val="Normal"/>
    <w:next w:val="Normal"/>
    <w:link w:val="Heading9Char"/>
    <w:uiPriority w:val="9"/>
    <w:unhideWhenUsed/>
    <w:qFormat/>
    <w:rsid w:val="00925971"/>
    <w:pPr>
      <w:numPr>
        <w:numId w:val="20"/>
      </w:numPr>
      <w:spacing w:line="240" w:lineRule="auto"/>
      <w:ind w:left="720"/>
      <w:jc w:val="center"/>
      <w:outlineLvl w:val="8"/>
    </w:pPr>
    <w:rPr>
      <w:rFonts w:eastAsia="Times New Roman"/>
      <w:b/>
      <w:snapToGrid w:val="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25971"/>
    <w:rPr>
      <w:rFonts w:ascii="Times New Roman" w:eastAsia="Times New Roman" w:hAnsi="Times New Roman"/>
      <w:b/>
      <w:caps/>
      <w:snapToGrid w:val="0"/>
      <w:sz w:val="22"/>
    </w:rPr>
  </w:style>
  <w:style w:type="character" w:customStyle="1" w:styleId="Heading2Char">
    <w:name w:val="Heading 2 Char"/>
    <w:basedOn w:val="DefaultParagraphFont"/>
    <w:link w:val="Heading2"/>
    <w:rsid w:val="00925971"/>
    <w:rPr>
      <w:rFonts w:ascii="Times New Roman" w:eastAsia="Times New Roman" w:hAnsi="Times New Roman"/>
      <w:b/>
      <w:caps/>
      <w:snapToGrid w:val="0"/>
      <w:sz w:val="22"/>
    </w:rPr>
  </w:style>
  <w:style w:type="character" w:customStyle="1" w:styleId="Heading3Char">
    <w:name w:val="Heading 3 Char"/>
    <w:basedOn w:val="DefaultParagraphFont"/>
    <w:link w:val="Heading3"/>
    <w:rsid w:val="00925971"/>
    <w:rPr>
      <w:rFonts w:ascii="Times New Roman" w:eastAsia="Times New Roman" w:hAnsi="Times New Roman"/>
      <w:b/>
      <w:snapToGrid w:val="0"/>
      <w:sz w:val="22"/>
    </w:rPr>
  </w:style>
  <w:style w:type="character" w:customStyle="1" w:styleId="Heading4Char">
    <w:name w:val="Heading 4 Char"/>
    <w:basedOn w:val="DefaultParagraphFont"/>
    <w:link w:val="Heading4"/>
    <w:rsid w:val="00925971"/>
    <w:rPr>
      <w:rFonts w:ascii="Times New Roman" w:eastAsia="Times New Roman" w:hAnsi="Times New Roman"/>
      <w:b/>
      <w:snapToGrid w:val="0"/>
      <w:sz w:val="22"/>
    </w:rPr>
  </w:style>
  <w:style w:type="character" w:customStyle="1" w:styleId="Heading5Char">
    <w:name w:val="Heading 5 Char"/>
    <w:aliases w:val="Heading 5 - FP Char"/>
    <w:link w:val="Heading5"/>
    <w:uiPriority w:val="9"/>
    <w:rsid w:val="0077689E"/>
    <w:rPr>
      <w:rFonts w:ascii="Times New Roman" w:eastAsia="PMingLiU" w:hAnsi="Times New Roman" w:cs="Times New Roman"/>
      <w:b/>
      <w:bCs/>
      <w:iCs/>
      <w:sz w:val="24"/>
      <w:lang w:bidi="en-US"/>
    </w:rPr>
  </w:style>
  <w:style w:type="paragraph" w:styleId="Caption">
    <w:name w:val="caption"/>
    <w:aliases w:val="Caption-FP"/>
    <w:basedOn w:val="Normal"/>
    <w:next w:val="Normal"/>
    <w:link w:val="CaptionChar"/>
    <w:unhideWhenUsed/>
    <w:qFormat/>
    <w:rsid w:val="00706B38"/>
    <w:pPr>
      <w:jc w:val="center"/>
    </w:pPr>
    <w:rPr>
      <w:bCs/>
      <w:szCs w:val="18"/>
    </w:rPr>
  </w:style>
  <w:style w:type="paragraph" w:customStyle="1" w:styleId="Body">
    <w:name w:val="Body"/>
    <w:basedOn w:val="Normal"/>
    <w:semiHidden/>
    <w:rsid w:val="006A3A0F"/>
    <w:pPr>
      <w:tabs>
        <w:tab w:val="left" w:pos="360"/>
      </w:tabs>
      <w:spacing w:before="0" w:after="0" w:line="240" w:lineRule="auto"/>
      <w:ind w:firstLine="0"/>
    </w:pPr>
    <w:rPr>
      <w:rFonts w:eastAsia="Times New Roman"/>
      <w:lang w:bidi="ar-SA"/>
    </w:rPr>
  </w:style>
  <w:style w:type="paragraph" w:customStyle="1" w:styleId="Head1">
    <w:name w:val="Head 1"/>
    <w:basedOn w:val="Normal"/>
    <w:qFormat/>
    <w:rsid w:val="006A3A0F"/>
    <w:pPr>
      <w:keepNext/>
      <w:spacing w:before="480" w:after="360" w:line="240" w:lineRule="auto"/>
      <w:ind w:firstLine="0"/>
      <w:jc w:val="center"/>
    </w:pPr>
    <w:rPr>
      <w:rFonts w:eastAsia="Times New Roman"/>
      <w:b/>
      <w:szCs w:val="32"/>
      <w:lang w:bidi="ar-SA"/>
    </w:rPr>
  </w:style>
  <w:style w:type="paragraph" w:customStyle="1" w:styleId="Head2">
    <w:name w:val="Head 2"/>
    <w:basedOn w:val="Normal"/>
    <w:qFormat/>
    <w:rsid w:val="006A3A0F"/>
    <w:pPr>
      <w:keepNext/>
      <w:spacing w:before="0" w:line="240" w:lineRule="auto"/>
      <w:ind w:firstLine="0"/>
    </w:pPr>
    <w:rPr>
      <w:rFonts w:eastAsia="Times New Roman"/>
      <w:b/>
      <w:szCs w:val="32"/>
      <w:lang w:bidi="ar-SA"/>
    </w:rPr>
  </w:style>
  <w:style w:type="paragraph" w:styleId="ListBullet">
    <w:name w:val="List Bullet"/>
    <w:basedOn w:val="Normal"/>
    <w:uiPriority w:val="99"/>
    <w:semiHidden/>
    <w:rsid w:val="006A3A0F"/>
    <w:pPr>
      <w:tabs>
        <w:tab w:val="num" w:pos="360"/>
      </w:tabs>
      <w:spacing w:before="0" w:after="0" w:line="240" w:lineRule="auto"/>
      <w:ind w:left="360" w:hanging="360"/>
    </w:pPr>
    <w:rPr>
      <w:rFonts w:eastAsia="Calibri"/>
      <w:lang w:bidi="ar-SA"/>
    </w:rPr>
  </w:style>
  <w:style w:type="paragraph" w:styleId="TOC1">
    <w:name w:val="toc 1"/>
    <w:basedOn w:val="Normal"/>
    <w:next w:val="Normal"/>
    <w:autoRedefine/>
    <w:uiPriority w:val="39"/>
    <w:unhideWhenUsed/>
    <w:qFormat/>
    <w:rsid w:val="00565083"/>
    <w:pPr>
      <w:tabs>
        <w:tab w:val="right" w:leader="dot" w:pos="9350"/>
      </w:tabs>
      <w:spacing w:before="0" w:after="0" w:line="240" w:lineRule="auto"/>
      <w:ind w:left="432" w:right="720" w:hanging="432"/>
    </w:pPr>
    <w:rPr>
      <w:noProof/>
    </w:rPr>
  </w:style>
  <w:style w:type="paragraph" w:styleId="TOC2">
    <w:name w:val="toc 2"/>
    <w:basedOn w:val="Normal"/>
    <w:next w:val="Normal"/>
    <w:autoRedefine/>
    <w:uiPriority w:val="39"/>
    <w:unhideWhenUsed/>
    <w:qFormat/>
    <w:rsid w:val="004856AD"/>
    <w:pPr>
      <w:tabs>
        <w:tab w:val="right" w:leader="dot" w:pos="9350"/>
      </w:tabs>
      <w:spacing w:before="0" w:after="0" w:line="240" w:lineRule="auto"/>
      <w:ind w:left="1008" w:right="720" w:hanging="576"/>
    </w:pPr>
    <w:rPr>
      <w:noProof/>
    </w:rPr>
  </w:style>
  <w:style w:type="character" w:styleId="Hyperlink">
    <w:name w:val="Hyperlink"/>
    <w:uiPriority w:val="99"/>
    <w:unhideWhenUsed/>
    <w:rsid w:val="00706B38"/>
    <w:rPr>
      <w:color w:val="0000FF"/>
      <w:u w:val="single"/>
    </w:rPr>
  </w:style>
  <w:style w:type="paragraph" w:styleId="TOC3">
    <w:name w:val="toc 3"/>
    <w:basedOn w:val="Normal"/>
    <w:next w:val="Normal"/>
    <w:autoRedefine/>
    <w:uiPriority w:val="39"/>
    <w:unhideWhenUsed/>
    <w:qFormat/>
    <w:rsid w:val="004856AD"/>
    <w:pPr>
      <w:tabs>
        <w:tab w:val="right" w:leader="dot" w:pos="9350"/>
      </w:tabs>
      <w:spacing w:before="0" w:after="0" w:line="240" w:lineRule="auto"/>
      <w:ind w:left="1728" w:right="720" w:hanging="720"/>
    </w:pPr>
    <w:rPr>
      <w:noProof/>
    </w:rPr>
  </w:style>
  <w:style w:type="paragraph" w:styleId="ListNumber">
    <w:name w:val="List Number"/>
    <w:basedOn w:val="Normal"/>
    <w:uiPriority w:val="99"/>
    <w:unhideWhenUsed/>
    <w:rsid w:val="006A3A0F"/>
    <w:pPr>
      <w:tabs>
        <w:tab w:val="num" w:pos="360"/>
      </w:tabs>
      <w:spacing w:before="0" w:after="0" w:line="240" w:lineRule="auto"/>
      <w:ind w:left="360" w:hanging="360"/>
      <w:contextualSpacing/>
    </w:pPr>
    <w:rPr>
      <w:rFonts w:eastAsia="Calibri"/>
      <w:lang w:bidi="ar-SA"/>
    </w:rPr>
  </w:style>
  <w:style w:type="paragraph" w:customStyle="1" w:styleId="TableTitle">
    <w:name w:val="Table Title"/>
    <w:basedOn w:val="Normal"/>
    <w:qFormat/>
    <w:rsid w:val="006A3A0F"/>
    <w:pPr>
      <w:spacing w:before="0" w:line="240" w:lineRule="auto"/>
      <w:ind w:firstLine="0"/>
      <w:jc w:val="center"/>
    </w:pPr>
    <w:rPr>
      <w:rFonts w:eastAsia="Calibri"/>
      <w:b/>
      <w:sz w:val="20"/>
      <w:lang w:bidi="ar-SA"/>
    </w:rPr>
  </w:style>
  <w:style w:type="paragraph" w:styleId="Footer">
    <w:name w:val="footer"/>
    <w:basedOn w:val="Normal"/>
    <w:link w:val="FooterChar"/>
    <w:uiPriority w:val="99"/>
    <w:unhideWhenUsed/>
    <w:rsid w:val="00706B38"/>
    <w:pPr>
      <w:tabs>
        <w:tab w:val="center" w:pos="4680"/>
        <w:tab w:val="right" w:pos="9360"/>
      </w:tabs>
      <w:spacing w:before="0" w:after="0" w:line="240" w:lineRule="auto"/>
    </w:pPr>
  </w:style>
  <w:style w:type="character" w:customStyle="1" w:styleId="FooterChar">
    <w:name w:val="Footer Char"/>
    <w:link w:val="Footer"/>
    <w:uiPriority w:val="99"/>
    <w:rsid w:val="00706B38"/>
    <w:rPr>
      <w:rFonts w:ascii="Times New Roman" w:eastAsia="PMingLiU" w:hAnsi="Times New Roman"/>
      <w:sz w:val="24"/>
      <w:lang w:bidi="en-US"/>
    </w:rPr>
  </w:style>
  <w:style w:type="character" w:customStyle="1" w:styleId="Hypertext">
    <w:name w:val="Hypertext"/>
    <w:rsid w:val="00706B38"/>
    <w:rPr>
      <w:color w:val="0000FF"/>
      <w:u w:val="single"/>
    </w:rPr>
  </w:style>
  <w:style w:type="paragraph" w:styleId="TableofFigures">
    <w:name w:val="table of figures"/>
    <w:basedOn w:val="Normal"/>
    <w:next w:val="Normal"/>
    <w:link w:val="TableofFiguresChar"/>
    <w:uiPriority w:val="99"/>
    <w:rsid w:val="00CD3542"/>
    <w:pPr>
      <w:tabs>
        <w:tab w:val="right" w:leader="dot" w:pos="9360"/>
      </w:tabs>
      <w:spacing w:before="0" w:after="0" w:line="240" w:lineRule="auto"/>
      <w:ind w:left="720" w:right="720" w:hanging="720"/>
    </w:pPr>
    <w:rPr>
      <w:rFonts w:eastAsia="Calibri"/>
      <w:snapToGrid w:val="0"/>
      <w:szCs w:val="20"/>
      <w:lang w:bidi="ar-SA"/>
    </w:rPr>
  </w:style>
  <w:style w:type="character" w:customStyle="1" w:styleId="TableofFiguresChar">
    <w:name w:val="Table of Figures Char"/>
    <w:link w:val="TableofFigures"/>
    <w:uiPriority w:val="99"/>
    <w:rsid w:val="00CD3542"/>
    <w:rPr>
      <w:rFonts w:ascii="Times New Roman" w:eastAsia="Calibri" w:hAnsi="Times New Roman"/>
      <w:snapToGrid w:val="0"/>
      <w:sz w:val="22"/>
    </w:rPr>
  </w:style>
  <w:style w:type="paragraph" w:customStyle="1" w:styleId="Textnospace">
    <w:name w:val="Text_no space"/>
    <w:basedOn w:val="Text"/>
    <w:qFormat/>
    <w:rsid w:val="006A3A0F"/>
    <w:pPr>
      <w:spacing w:after="0"/>
    </w:pPr>
  </w:style>
  <w:style w:type="paragraph" w:customStyle="1" w:styleId="FigcapCenter">
    <w:name w:val="Figcap Center"/>
    <w:basedOn w:val="FigcapLeft"/>
    <w:qFormat/>
    <w:rsid w:val="006A3A0F"/>
    <w:pPr>
      <w:jc w:val="center"/>
    </w:pPr>
  </w:style>
  <w:style w:type="paragraph" w:styleId="FootnoteText">
    <w:name w:val="footnote text"/>
    <w:basedOn w:val="Normal"/>
    <w:link w:val="FootnoteTextChar"/>
    <w:uiPriority w:val="99"/>
    <w:rsid w:val="00706B38"/>
    <w:pPr>
      <w:widowControl w:val="0"/>
      <w:snapToGrid w:val="0"/>
      <w:spacing w:before="0" w:after="0" w:line="240" w:lineRule="auto"/>
      <w:ind w:firstLine="0"/>
    </w:pPr>
    <w:rPr>
      <w:rFonts w:eastAsia="SimSun"/>
      <w:kern w:val="2"/>
      <w:sz w:val="18"/>
      <w:szCs w:val="18"/>
      <w:lang w:eastAsia="zh-CN" w:bidi="ar-SA"/>
    </w:rPr>
  </w:style>
  <w:style w:type="character" w:customStyle="1" w:styleId="FootnoteTextChar">
    <w:name w:val="Footnote Text Char"/>
    <w:link w:val="FootnoteText"/>
    <w:uiPriority w:val="99"/>
    <w:rsid w:val="00706B38"/>
    <w:rPr>
      <w:rFonts w:ascii="Times New Roman" w:eastAsia="SimSun" w:hAnsi="Times New Roman"/>
      <w:kern w:val="2"/>
      <w:sz w:val="18"/>
      <w:szCs w:val="18"/>
      <w:lang w:eastAsia="zh-CN"/>
    </w:rPr>
  </w:style>
  <w:style w:type="character" w:styleId="FootnoteReference">
    <w:name w:val="footnote reference"/>
    <w:uiPriority w:val="99"/>
    <w:semiHidden/>
    <w:rsid w:val="00706B38"/>
    <w:rPr>
      <w:vertAlign w:val="superscript"/>
    </w:rPr>
  </w:style>
  <w:style w:type="paragraph" w:customStyle="1" w:styleId="AppendixFigureCaption">
    <w:name w:val="Appendix Figure Caption"/>
    <w:basedOn w:val="FigureCaption"/>
    <w:qFormat/>
    <w:rsid w:val="00A9239C"/>
  </w:style>
  <w:style w:type="paragraph" w:customStyle="1" w:styleId="Textindent">
    <w:name w:val="Text_indent"/>
    <w:basedOn w:val="Normal"/>
    <w:qFormat/>
    <w:rsid w:val="006A3A0F"/>
    <w:pPr>
      <w:widowControl w:val="0"/>
      <w:spacing w:before="0" w:line="240" w:lineRule="auto"/>
      <w:ind w:left="540" w:right="540" w:firstLine="0"/>
    </w:pPr>
    <w:rPr>
      <w:snapToGrid w:val="0"/>
      <w:color w:val="000000"/>
      <w:szCs w:val="20"/>
      <w:lang w:bidi="ar-SA"/>
    </w:rPr>
  </w:style>
  <w:style w:type="paragraph" w:styleId="NoSpacing">
    <w:name w:val="No Spacing"/>
    <w:basedOn w:val="Normal"/>
    <w:uiPriority w:val="1"/>
    <w:qFormat/>
    <w:rsid w:val="00706B38"/>
    <w:pPr>
      <w:spacing w:after="0" w:line="240" w:lineRule="auto"/>
      <w:ind w:firstLine="0"/>
    </w:pPr>
  </w:style>
  <w:style w:type="paragraph" w:styleId="ListParagraph">
    <w:name w:val="List Paragraph"/>
    <w:basedOn w:val="Normal"/>
    <w:link w:val="ListParagraphChar"/>
    <w:uiPriority w:val="34"/>
    <w:qFormat/>
    <w:rsid w:val="00706B38"/>
    <w:pPr>
      <w:ind w:left="720"/>
      <w:contextualSpacing/>
    </w:pPr>
  </w:style>
  <w:style w:type="character" w:customStyle="1" w:styleId="ListParagraphChar">
    <w:name w:val="List Paragraph Char"/>
    <w:link w:val="ListParagraph"/>
    <w:uiPriority w:val="34"/>
    <w:rsid w:val="00706B38"/>
    <w:rPr>
      <w:rFonts w:ascii="Times New Roman" w:eastAsia="PMingLiU" w:hAnsi="Times New Roman"/>
      <w:sz w:val="24"/>
      <w:lang w:bidi="en-US"/>
    </w:rPr>
  </w:style>
  <w:style w:type="paragraph" w:styleId="BalloonText">
    <w:name w:val="Balloon Text"/>
    <w:basedOn w:val="Normal"/>
    <w:link w:val="BalloonTextChar"/>
    <w:uiPriority w:val="99"/>
    <w:semiHidden/>
    <w:unhideWhenUsed/>
    <w:rsid w:val="006A3A0F"/>
    <w:pPr>
      <w:widowControl w:val="0"/>
      <w:spacing w:before="0" w:after="0" w:line="240" w:lineRule="auto"/>
      <w:ind w:firstLine="0"/>
    </w:pPr>
    <w:rPr>
      <w:rFonts w:ascii="Tahoma" w:hAnsi="Tahoma" w:cs="Tahoma"/>
      <w:snapToGrid w:val="0"/>
      <w:sz w:val="16"/>
      <w:szCs w:val="16"/>
      <w:lang w:bidi="ar-SA"/>
    </w:rPr>
  </w:style>
  <w:style w:type="character" w:customStyle="1" w:styleId="BalloonTextChar">
    <w:name w:val="Balloon Text Char"/>
    <w:link w:val="BalloonText"/>
    <w:uiPriority w:val="99"/>
    <w:semiHidden/>
    <w:rsid w:val="006A3A0F"/>
    <w:rPr>
      <w:rFonts w:ascii="Tahoma" w:hAnsi="Tahoma" w:cs="Tahoma"/>
      <w:snapToGrid w:val="0"/>
      <w:sz w:val="16"/>
      <w:szCs w:val="16"/>
    </w:rPr>
  </w:style>
  <w:style w:type="character" w:styleId="CommentReference">
    <w:name w:val="annotation reference"/>
    <w:uiPriority w:val="99"/>
    <w:semiHidden/>
    <w:unhideWhenUsed/>
    <w:rsid w:val="00706B38"/>
    <w:rPr>
      <w:sz w:val="16"/>
      <w:szCs w:val="16"/>
    </w:rPr>
  </w:style>
  <w:style w:type="paragraph" w:styleId="CommentText">
    <w:name w:val="annotation text"/>
    <w:basedOn w:val="Normal"/>
    <w:link w:val="CommentTextChar"/>
    <w:uiPriority w:val="99"/>
    <w:unhideWhenUsed/>
    <w:rsid w:val="00706B38"/>
    <w:pPr>
      <w:spacing w:line="240" w:lineRule="auto"/>
    </w:pPr>
    <w:rPr>
      <w:sz w:val="20"/>
      <w:szCs w:val="20"/>
    </w:rPr>
  </w:style>
  <w:style w:type="character" w:customStyle="1" w:styleId="CommentTextChar">
    <w:name w:val="Comment Text Char"/>
    <w:link w:val="CommentText"/>
    <w:uiPriority w:val="99"/>
    <w:rsid w:val="00706B38"/>
    <w:rPr>
      <w:rFonts w:ascii="Times New Roman" w:eastAsia="PMingLiU" w:hAnsi="Times New Roman"/>
      <w:sz w:val="20"/>
      <w:szCs w:val="20"/>
      <w:lang w:bidi="en-US"/>
    </w:rPr>
  </w:style>
  <w:style w:type="paragraph" w:customStyle="1" w:styleId="FigcapLeftSeparator">
    <w:name w:val="Figcap Left Separator"/>
    <w:basedOn w:val="FigcapLeft"/>
    <w:qFormat/>
    <w:rsid w:val="006A3A0F"/>
    <w:rPr>
      <w:b w:val="0"/>
    </w:rPr>
  </w:style>
  <w:style w:type="table" w:styleId="TableGrid">
    <w:name w:val="Table Grid"/>
    <w:basedOn w:val="TableNormal"/>
    <w:uiPriority w:val="39"/>
    <w:rsid w:val="00DB550A"/>
    <w:pPr>
      <w:ind w:firstLine="360"/>
    </w:pPr>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76BE"/>
    <w:pPr>
      <w:tabs>
        <w:tab w:val="center" w:pos="4680"/>
        <w:tab w:val="right" w:pos="9360"/>
      </w:tabs>
      <w:spacing w:before="0" w:after="0" w:line="240" w:lineRule="auto"/>
    </w:pPr>
  </w:style>
  <w:style w:type="character" w:customStyle="1" w:styleId="HeaderChar">
    <w:name w:val="Header Char"/>
    <w:link w:val="Header"/>
    <w:uiPriority w:val="99"/>
    <w:rsid w:val="004176BE"/>
    <w:rPr>
      <w:rFonts w:ascii="Times New Roman" w:eastAsia="PMingLiU" w:hAnsi="Times New Roman"/>
      <w:sz w:val="24"/>
      <w:lang w:bidi="en-US"/>
    </w:rPr>
  </w:style>
  <w:style w:type="paragraph" w:styleId="CommentSubject">
    <w:name w:val="annotation subject"/>
    <w:basedOn w:val="CommentText"/>
    <w:next w:val="CommentText"/>
    <w:link w:val="CommentSubjectChar"/>
    <w:uiPriority w:val="99"/>
    <w:semiHidden/>
    <w:unhideWhenUsed/>
    <w:rsid w:val="00B11F3E"/>
    <w:rPr>
      <w:b/>
      <w:bCs/>
    </w:rPr>
  </w:style>
  <w:style w:type="character" w:customStyle="1" w:styleId="CommentSubjectChar">
    <w:name w:val="Comment Subject Char"/>
    <w:link w:val="CommentSubject"/>
    <w:uiPriority w:val="99"/>
    <w:semiHidden/>
    <w:rsid w:val="00B11F3E"/>
    <w:rPr>
      <w:rFonts w:ascii="Times New Roman" w:eastAsia="PMingLiU" w:hAnsi="Times New Roman"/>
      <w:b/>
      <w:bCs/>
      <w:sz w:val="20"/>
      <w:szCs w:val="20"/>
      <w:lang w:bidi="en-US"/>
    </w:rPr>
  </w:style>
  <w:style w:type="character" w:styleId="FollowedHyperlink">
    <w:name w:val="FollowedHyperlink"/>
    <w:uiPriority w:val="99"/>
    <w:semiHidden/>
    <w:unhideWhenUsed/>
    <w:rsid w:val="00DC169A"/>
    <w:rPr>
      <w:color w:val="800080"/>
      <w:u w:val="single"/>
    </w:rPr>
  </w:style>
  <w:style w:type="paragraph" w:customStyle="1" w:styleId="TableTitleSeparator">
    <w:name w:val="Table Title  Separator"/>
    <w:basedOn w:val="TableTitle"/>
    <w:qFormat/>
    <w:rsid w:val="006A3A0F"/>
    <w:rPr>
      <w:b w:val="0"/>
    </w:rPr>
  </w:style>
  <w:style w:type="paragraph" w:customStyle="1" w:styleId="Head1Content">
    <w:name w:val="Head 1 Content"/>
    <w:basedOn w:val="Head1"/>
    <w:qFormat/>
    <w:rsid w:val="006A3A0F"/>
  </w:style>
  <w:style w:type="paragraph" w:styleId="Revision">
    <w:name w:val="Revision"/>
    <w:hidden/>
    <w:uiPriority w:val="99"/>
    <w:semiHidden/>
    <w:rsid w:val="002E7163"/>
    <w:rPr>
      <w:rFonts w:ascii="Times New Roman" w:hAnsi="Times New Roman"/>
      <w:sz w:val="24"/>
      <w:szCs w:val="22"/>
      <w:lang w:bidi="en-US"/>
    </w:rPr>
  </w:style>
  <w:style w:type="paragraph" w:styleId="TOC4">
    <w:name w:val="toc 4"/>
    <w:basedOn w:val="Normal"/>
    <w:next w:val="Normal"/>
    <w:autoRedefine/>
    <w:uiPriority w:val="39"/>
    <w:unhideWhenUsed/>
    <w:rsid w:val="006A3A0F"/>
    <w:pPr>
      <w:spacing w:before="0" w:after="100" w:line="276" w:lineRule="auto"/>
      <w:ind w:left="660" w:firstLine="0"/>
    </w:pPr>
    <w:rPr>
      <w:rFonts w:ascii="Calibri" w:hAnsi="Calibri"/>
      <w:lang w:bidi="ar-SA"/>
    </w:rPr>
  </w:style>
  <w:style w:type="character" w:customStyle="1" w:styleId="Heading6Char">
    <w:name w:val="Heading 6 Char"/>
    <w:link w:val="Heading6"/>
    <w:uiPriority w:val="9"/>
    <w:rsid w:val="008B1AC9"/>
    <w:rPr>
      <w:rFonts w:ascii="Cambria" w:eastAsia="PMingLiU" w:hAnsi="Cambria" w:cs="Times New Roman"/>
      <w:i/>
      <w:iCs/>
      <w:color w:val="243F60"/>
      <w:sz w:val="24"/>
      <w:lang w:bidi="en-US"/>
    </w:rPr>
  </w:style>
  <w:style w:type="character" w:customStyle="1" w:styleId="Heading8Char">
    <w:name w:val="Heading 8 Char"/>
    <w:link w:val="Heading8"/>
    <w:uiPriority w:val="9"/>
    <w:rsid w:val="006372AD"/>
    <w:rPr>
      <w:rFonts w:ascii="Cambria" w:eastAsia="PMingLiU" w:hAnsi="Cambria" w:cs="Times New Roman"/>
      <w:color w:val="404040"/>
      <w:sz w:val="20"/>
      <w:szCs w:val="20"/>
      <w:lang w:bidi="en-US"/>
    </w:rPr>
  </w:style>
  <w:style w:type="paragraph" w:customStyle="1" w:styleId="Heading1frontsections">
    <w:name w:val="Heading 1 (front sections)"/>
    <w:basedOn w:val="Headingcontents"/>
    <w:qFormat/>
    <w:rsid w:val="00925971"/>
    <w:rPr>
      <w:bCs w:val="0"/>
      <w:iCs w:val="0"/>
      <w:szCs w:val="32"/>
    </w:rPr>
  </w:style>
  <w:style w:type="paragraph" w:styleId="BodyText">
    <w:name w:val="Body Text"/>
    <w:basedOn w:val="Normal"/>
    <w:link w:val="BodyTextChar"/>
    <w:qFormat/>
    <w:rsid w:val="00414179"/>
    <w:pPr>
      <w:spacing w:before="0" w:line="240" w:lineRule="auto"/>
      <w:ind w:firstLine="0"/>
    </w:pPr>
    <w:rPr>
      <w:rFonts w:eastAsia="Calibri"/>
      <w:snapToGrid w:val="0"/>
      <w:lang w:bidi="ar-SA"/>
    </w:rPr>
  </w:style>
  <w:style w:type="character" w:customStyle="1" w:styleId="BodyTextChar">
    <w:name w:val="Body Text Char"/>
    <w:link w:val="BodyText"/>
    <w:rsid w:val="00414179"/>
    <w:rPr>
      <w:rFonts w:ascii="Times New Roman" w:eastAsia="Calibri" w:hAnsi="Times New Roman"/>
      <w:snapToGrid w:val="0"/>
      <w:sz w:val="22"/>
      <w:szCs w:val="22"/>
    </w:rPr>
  </w:style>
  <w:style w:type="paragraph" w:styleId="TOC5">
    <w:name w:val="toc 5"/>
    <w:basedOn w:val="Normal"/>
    <w:next w:val="Normal"/>
    <w:autoRedefine/>
    <w:uiPriority w:val="39"/>
    <w:unhideWhenUsed/>
    <w:rsid w:val="006A3A0F"/>
    <w:pPr>
      <w:spacing w:before="0" w:after="100" w:line="276" w:lineRule="auto"/>
      <w:ind w:left="880" w:firstLine="0"/>
    </w:pPr>
    <w:rPr>
      <w:rFonts w:ascii="Calibri" w:hAnsi="Calibri"/>
      <w:lang w:bidi="ar-SA"/>
    </w:rPr>
  </w:style>
  <w:style w:type="paragraph" w:styleId="TOC6">
    <w:name w:val="toc 6"/>
    <w:basedOn w:val="Normal"/>
    <w:next w:val="Normal"/>
    <w:autoRedefine/>
    <w:uiPriority w:val="39"/>
    <w:unhideWhenUsed/>
    <w:rsid w:val="006A3A0F"/>
    <w:pPr>
      <w:spacing w:before="0" w:after="100" w:line="276" w:lineRule="auto"/>
      <w:ind w:left="1100" w:firstLine="0"/>
    </w:pPr>
    <w:rPr>
      <w:rFonts w:ascii="Calibri" w:hAnsi="Calibri"/>
      <w:lang w:bidi="ar-SA"/>
    </w:rPr>
  </w:style>
  <w:style w:type="paragraph" w:styleId="TOC7">
    <w:name w:val="toc 7"/>
    <w:basedOn w:val="Normal"/>
    <w:next w:val="Normal"/>
    <w:autoRedefine/>
    <w:uiPriority w:val="39"/>
    <w:unhideWhenUsed/>
    <w:rsid w:val="006A3A0F"/>
    <w:pPr>
      <w:spacing w:before="0" w:after="100" w:line="276" w:lineRule="auto"/>
      <w:ind w:left="1320" w:firstLine="0"/>
    </w:pPr>
    <w:rPr>
      <w:rFonts w:ascii="Calibri" w:hAnsi="Calibri"/>
      <w:lang w:bidi="ar-SA"/>
    </w:rPr>
  </w:style>
  <w:style w:type="character" w:customStyle="1" w:styleId="Heading7Char">
    <w:name w:val="Heading 7 Char"/>
    <w:link w:val="Heading7"/>
    <w:uiPriority w:val="9"/>
    <w:rsid w:val="00286CC8"/>
    <w:rPr>
      <w:snapToGrid w:val="0"/>
      <w:sz w:val="22"/>
      <w:szCs w:val="24"/>
    </w:rPr>
  </w:style>
  <w:style w:type="character" w:customStyle="1" w:styleId="Heading9Char">
    <w:name w:val="Heading 9 Char"/>
    <w:basedOn w:val="DefaultParagraphFont"/>
    <w:link w:val="Heading9"/>
    <w:uiPriority w:val="9"/>
    <w:rsid w:val="00925971"/>
    <w:rPr>
      <w:rFonts w:ascii="Times New Roman" w:eastAsia="Times New Roman" w:hAnsi="Times New Roman"/>
      <w:b/>
      <w:snapToGrid w:val="0"/>
      <w:sz w:val="22"/>
    </w:rPr>
  </w:style>
  <w:style w:type="paragraph" w:styleId="TOC8">
    <w:name w:val="toc 8"/>
    <w:basedOn w:val="Normal"/>
    <w:next w:val="Normal"/>
    <w:autoRedefine/>
    <w:uiPriority w:val="39"/>
    <w:unhideWhenUsed/>
    <w:rsid w:val="006A3A0F"/>
    <w:pPr>
      <w:spacing w:before="0" w:after="100" w:line="276" w:lineRule="auto"/>
      <w:ind w:left="1540" w:firstLine="0"/>
    </w:pPr>
    <w:rPr>
      <w:rFonts w:ascii="Calibri" w:hAnsi="Calibri"/>
      <w:lang w:bidi="ar-SA"/>
    </w:rPr>
  </w:style>
  <w:style w:type="paragraph" w:customStyle="1" w:styleId="Footer1">
    <w:name w:val="Footer1"/>
    <w:basedOn w:val="Normal"/>
    <w:qFormat/>
    <w:rsid w:val="00286CC8"/>
    <w:pPr>
      <w:widowControl w:val="0"/>
      <w:spacing w:before="0" w:after="0" w:line="240" w:lineRule="auto"/>
      <w:ind w:firstLine="0"/>
      <w:jc w:val="center"/>
    </w:pPr>
    <w:rPr>
      <w:rFonts w:eastAsia="Times New Roman"/>
      <w:snapToGrid w:val="0"/>
      <w:lang w:bidi="ar-SA"/>
    </w:rPr>
  </w:style>
  <w:style w:type="paragraph" w:styleId="TOC9">
    <w:name w:val="toc 9"/>
    <w:basedOn w:val="Normal"/>
    <w:next w:val="Normal"/>
    <w:autoRedefine/>
    <w:uiPriority w:val="39"/>
    <w:unhideWhenUsed/>
    <w:rsid w:val="006A3A0F"/>
    <w:pPr>
      <w:spacing w:before="0" w:after="100" w:line="276" w:lineRule="auto"/>
      <w:ind w:left="1760" w:firstLine="0"/>
    </w:pPr>
    <w:rPr>
      <w:rFonts w:ascii="Calibri" w:hAnsi="Calibri"/>
      <w:lang w:bidi="ar-SA"/>
    </w:rPr>
  </w:style>
  <w:style w:type="paragraph" w:styleId="DocumentMap">
    <w:name w:val="Document Map"/>
    <w:basedOn w:val="Normal"/>
    <w:link w:val="DocumentMapChar"/>
    <w:uiPriority w:val="99"/>
    <w:semiHidden/>
    <w:unhideWhenUsed/>
    <w:rsid w:val="006A3A0F"/>
    <w:pPr>
      <w:widowControl w:val="0"/>
      <w:spacing w:before="0" w:after="0" w:line="240" w:lineRule="auto"/>
      <w:ind w:firstLine="0"/>
    </w:pPr>
    <w:rPr>
      <w:rFonts w:ascii="Tahoma" w:hAnsi="Tahoma" w:cs="Tahoma"/>
      <w:snapToGrid w:val="0"/>
      <w:sz w:val="16"/>
      <w:szCs w:val="16"/>
      <w:lang w:bidi="ar-SA"/>
    </w:rPr>
  </w:style>
  <w:style w:type="paragraph" w:customStyle="1" w:styleId="TableCaption">
    <w:name w:val="Table Caption"/>
    <w:basedOn w:val="BodyText"/>
    <w:qFormat/>
    <w:rsid w:val="00AA4888"/>
    <w:pPr>
      <w:keepNext/>
      <w:spacing w:after="120"/>
      <w:jc w:val="center"/>
    </w:pPr>
    <w:rPr>
      <w:rFonts w:eastAsia="Times New Roman"/>
      <w:b/>
      <w:snapToGrid/>
      <w:kern w:val="32"/>
      <w:sz w:val="20"/>
      <w:szCs w:val="28"/>
    </w:rPr>
  </w:style>
  <w:style w:type="paragraph" w:customStyle="1" w:styleId="TableHeading">
    <w:name w:val="Table Heading"/>
    <w:next w:val="TableText"/>
    <w:qFormat/>
    <w:rsid w:val="00AA4888"/>
    <w:pPr>
      <w:spacing w:before="40" w:after="40"/>
      <w:jc w:val="center"/>
    </w:pPr>
    <w:rPr>
      <w:rFonts w:ascii="Times New Roman" w:eastAsia="Times New Roman" w:hAnsi="Times New Roman" w:cs="Arial"/>
      <w:b/>
      <w:kern w:val="32"/>
      <w:szCs w:val="24"/>
    </w:rPr>
  </w:style>
  <w:style w:type="paragraph" w:customStyle="1" w:styleId="TableText">
    <w:name w:val="Table Text"/>
    <w:qFormat/>
    <w:rsid w:val="00AA4888"/>
    <w:rPr>
      <w:rFonts w:ascii="Times New Roman" w:eastAsia="Times New Roman" w:hAnsi="Times New Roman" w:cs="Arial"/>
      <w:kern w:val="32"/>
      <w:szCs w:val="24"/>
    </w:rPr>
  </w:style>
  <w:style w:type="paragraph" w:customStyle="1" w:styleId="Headingcontents">
    <w:name w:val="Heading (contents)"/>
    <w:basedOn w:val="Heading1"/>
    <w:qFormat/>
    <w:rsid w:val="00925971"/>
    <w:pPr>
      <w:numPr>
        <w:numId w:val="0"/>
      </w:numPr>
    </w:pPr>
    <w:rPr>
      <w:bCs/>
      <w:iCs/>
      <w:szCs w:val="24"/>
    </w:rPr>
  </w:style>
  <w:style w:type="character" w:customStyle="1" w:styleId="DocumentMapChar">
    <w:name w:val="Document Map Char"/>
    <w:link w:val="DocumentMap"/>
    <w:uiPriority w:val="99"/>
    <w:semiHidden/>
    <w:rsid w:val="006A3A0F"/>
    <w:rPr>
      <w:rFonts w:ascii="Tahoma" w:hAnsi="Tahoma" w:cs="Tahoma"/>
      <w:snapToGrid w:val="0"/>
      <w:sz w:val="16"/>
      <w:szCs w:val="16"/>
    </w:rPr>
  </w:style>
  <w:style w:type="paragraph" w:customStyle="1" w:styleId="Headingnonumber">
    <w:name w:val="Heading no number"/>
    <w:basedOn w:val="BodyText"/>
    <w:qFormat/>
    <w:rsid w:val="00737A01"/>
    <w:pPr>
      <w:keepNext/>
    </w:pPr>
    <w:rPr>
      <w:b/>
    </w:rPr>
  </w:style>
  <w:style w:type="numbering" w:customStyle="1" w:styleId="Style1">
    <w:name w:val="Style1"/>
    <w:uiPriority w:val="99"/>
    <w:rsid w:val="00737A01"/>
    <w:pPr>
      <w:numPr>
        <w:numId w:val="12"/>
      </w:numPr>
    </w:pPr>
  </w:style>
  <w:style w:type="paragraph" w:customStyle="1" w:styleId="TableCaptioncont">
    <w:name w:val="Table Caption (cont)"/>
    <w:basedOn w:val="TableCaption"/>
    <w:qFormat/>
    <w:rsid w:val="009767DA"/>
    <w:rPr>
      <w:rFonts w:eastAsia="PMingLiU"/>
    </w:rPr>
  </w:style>
  <w:style w:type="paragraph" w:styleId="Title">
    <w:name w:val="Title"/>
    <w:basedOn w:val="Normal"/>
    <w:next w:val="Normal"/>
    <w:link w:val="TitleChar"/>
    <w:uiPriority w:val="10"/>
    <w:qFormat/>
    <w:rsid w:val="00A9239C"/>
    <w:pPr>
      <w:spacing w:line="240" w:lineRule="auto"/>
      <w:ind w:firstLine="0"/>
    </w:pPr>
    <w:rPr>
      <w:rFonts w:ascii="Cambria" w:hAnsi="Cambria"/>
      <w:b/>
      <w:bCs/>
      <w:i/>
      <w:iCs/>
      <w:spacing w:val="10"/>
      <w:sz w:val="60"/>
      <w:szCs w:val="60"/>
    </w:rPr>
  </w:style>
  <w:style w:type="character" w:customStyle="1" w:styleId="TitleChar">
    <w:name w:val="Title Char"/>
    <w:link w:val="Title"/>
    <w:uiPriority w:val="10"/>
    <w:rsid w:val="00A9239C"/>
    <w:rPr>
      <w:rFonts w:ascii="Cambria" w:hAnsi="Cambria"/>
      <w:b/>
      <w:bCs/>
      <w:i/>
      <w:iCs/>
      <w:spacing w:val="10"/>
      <w:sz w:val="60"/>
      <w:szCs w:val="60"/>
      <w:lang w:bidi="en-US"/>
    </w:rPr>
  </w:style>
  <w:style w:type="paragraph" w:styleId="Subtitle">
    <w:name w:val="Subtitle"/>
    <w:aliases w:val="Subtitle-FP"/>
    <w:basedOn w:val="Normal"/>
    <w:next w:val="Normal"/>
    <w:link w:val="SubtitleChar"/>
    <w:uiPriority w:val="11"/>
    <w:qFormat/>
    <w:rsid w:val="00A9239C"/>
    <w:pPr>
      <w:spacing w:before="0" w:after="360"/>
      <w:jc w:val="center"/>
    </w:pPr>
    <w:rPr>
      <w:b/>
      <w:iCs/>
      <w:caps/>
      <w:color w:val="000000"/>
      <w:spacing w:val="10"/>
      <w:sz w:val="28"/>
      <w:szCs w:val="24"/>
    </w:rPr>
  </w:style>
  <w:style w:type="character" w:customStyle="1" w:styleId="SubtitleChar">
    <w:name w:val="Subtitle Char"/>
    <w:aliases w:val="Subtitle-FP Char"/>
    <w:link w:val="Subtitle"/>
    <w:uiPriority w:val="11"/>
    <w:rsid w:val="00A9239C"/>
    <w:rPr>
      <w:rFonts w:ascii="Times New Roman" w:hAnsi="Times New Roman"/>
      <w:b/>
      <w:iCs/>
      <w:caps/>
      <w:color w:val="000000"/>
      <w:spacing w:val="10"/>
      <w:sz w:val="28"/>
      <w:szCs w:val="24"/>
      <w:lang w:bidi="en-US"/>
    </w:rPr>
  </w:style>
  <w:style w:type="paragraph" w:customStyle="1" w:styleId="FigureCaption">
    <w:name w:val="Figure Caption"/>
    <w:basedOn w:val="BodyText"/>
    <w:next w:val="BodyText"/>
    <w:qFormat/>
    <w:rsid w:val="00AA4888"/>
    <w:pPr>
      <w:jc w:val="center"/>
    </w:pPr>
    <w:rPr>
      <w:rFonts w:eastAsia="Times New Roman"/>
      <w:b/>
      <w:snapToGrid/>
      <w:kern w:val="32"/>
      <w:sz w:val="20"/>
      <w:szCs w:val="28"/>
    </w:rPr>
  </w:style>
  <w:style w:type="character" w:customStyle="1" w:styleId="CaptionChar">
    <w:name w:val="Caption Char"/>
    <w:aliases w:val="Caption-FP Char"/>
    <w:link w:val="Caption"/>
    <w:rsid w:val="00286CC8"/>
    <w:rPr>
      <w:rFonts w:ascii="Times New Roman" w:hAnsi="Times New Roman"/>
      <w:bCs/>
      <w:sz w:val="24"/>
      <w:szCs w:val="18"/>
      <w:lang w:bidi="en-US"/>
    </w:rPr>
  </w:style>
  <w:style w:type="paragraph" w:styleId="PlainText">
    <w:name w:val="Plain Text"/>
    <w:basedOn w:val="Normal"/>
    <w:link w:val="PlainTextChar"/>
    <w:uiPriority w:val="99"/>
    <w:unhideWhenUsed/>
    <w:rsid w:val="00A9239C"/>
    <w:pPr>
      <w:spacing w:before="0" w:after="0" w:line="240" w:lineRule="auto"/>
      <w:ind w:firstLine="0"/>
    </w:pPr>
    <w:rPr>
      <w:rFonts w:ascii="Arial" w:eastAsia="Calibri" w:hAnsi="Arial"/>
      <w:szCs w:val="21"/>
      <w:lang w:bidi="ar-SA"/>
    </w:rPr>
  </w:style>
  <w:style w:type="character" w:customStyle="1" w:styleId="PlainTextChar">
    <w:name w:val="Plain Text Char"/>
    <w:link w:val="PlainText"/>
    <w:uiPriority w:val="99"/>
    <w:rsid w:val="00A9239C"/>
    <w:rPr>
      <w:rFonts w:ascii="Arial" w:eastAsia="Calibri" w:hAnsi="Arial"/>
      <w:sz w:val="22"/>
      <w:szCs w:val="21"/>
    </w:rPr>
  </w:style>
  <w:style w:type="character" w:styleId="Emphasis">
    <w:name w:val="Emphasis"/>
    <w:uiPriority w:val="20"/>
    <w:qFormat/>
    <w:rsid w:val="00A9239C"/>
    <w:rPr>
      <w:b/>
      <w:bCs/>
      <w:i/>
      <w:iCs/>
      <w:color w:val="auto"/>
    </w:rPr>
  </w:style>
  <w:style w:type="paragraph" w:customStyle="1" w:styleId="reference">
    <w:name w:val="reference"/>
    <w:basedOn w:val="Normal"/>
    <w:rsid w:val="00A9239C"/>
    <w:pPr>
      <w:spacing w:before="100" w:beforeAutospacing="1" w:after="120" w:line="240" w:lineRule="auto"/>
      <w:ind w:left="936" w:right="720" w:hanging="720"/>
    </w:pPr>
    <w:rPr>
      <w:rFonts w:eastAsia="Times New Roman"/>
      <w:lang w:bidi="ar-SA"/>
    </w:rPr>
  </w:style>
  <w:style w:type="paragraph" w:styleId="NormalWeb">
    <w:name w:val="Normal (Web)"/>
    <w:basedOn w:val="Normal"/>
    <w:uiPriority w:val="99"/>
    <w:unhideWhenUsed/>
    <w:rsid w:val="00A9239C"/>
    <w:pPr>
      <w:spacing w:before="100" w:beforeAutospacing="1" w:after="100" w:afterAutospacing="1" w:line="240" w:lineRule="auto"/>
      <w:ind w:firstLine="0"/>
    </w:pPr>
    <w:rPr>
      <w:rFonts w:ascii="Verdana" w:eastAsia="Times New Roman" w:hAnsi="Verdana"/>
      <w:sz w:val="18"/>
      <w:szCs w:val="18"/>
      <w:lang w:bidi="ar-SA"/>
    </w:rPr>
  </w:style>
  <w:style w:type="paragraph" w:styleId="TOCHeading">
    <w:name w:val="TOC Heading"/>
    <w:basedOn w:val="Heading1"/>
    <w:next w:val="Normal"/>
    <w:uiPriority w:val="39"/>
    <w:semiHidden/>
    <w:unhideWhenUsed/>
    <w:qFormat/>
    <w:rsid w:val="00A9239C"/>
    <w:pPr>
      <w:keepLines/>
      <w:numPr>
        <w:numId w:val="0"/>
      </w:numPr>
      <w:spacing w:before="480" w:after="0" w:line="276" w:lineRule="auto"/>
      <w:outlineLvl w:val="9"/>
    </w:pPr>
    <w:rPr>
      <w:rFonts w:eastAsia="PMingLiU"/>
      <w:iCs/>
      <w:color w:val="365F91"/>
      <w:szCs w:val="28"/>
    </w:rPr>
  </w:style>
  <w:style w:type="character" w:styleId="LineNumber">
    <w:name w:val="line number"/>
    <w:uiPriority w:val="99"/>
    <w:semiHidden/>
    <w:unhideWhenUsed/>
    <w:rsid w:val="00294CBF"/>
  </w:style>
  <w:style w:type="paragraph" w:customStyle="1" w:styleId="page">
    <w:name w:val="page"/>
    <w:basedOn w:val="Normal"/>
    <w:qFormat/>
    <w:rsid w:val="00A9239C"/>
    <w:pPr>
      <w:keepNext/>
      <w:tabs>
        <w:tab w:val="right" w:pos="9360"/>
      </w:tabs>
      <w:spacing w:before="0" w:after="0" w:line="240" w:lineRule="auto"/>
      <w:ind w:firstLine="0"/>
    </w:pPr>
    <w:rPr>
      <w:rFonts w:eastAsia="Times New Roman"/>
      <w:b/>
      <w:snapToGrid w:val="0"/>
      <w:szCs w:val="20"/>
      <w:lang w:bidi="ar-SA"/>
    </w:rPr>
  </w:style>
  <w:style w:type="paragraph" w:customStyle="1" w:styleId="figtblcontents">
    <w:name w:val="fig_tbl_contents"/>
    <w:basedOn w:val="TOC1"/>
    <w:qFormat/>
    <w:rsid w:val="00A9239C"/>
    <w:pPr>
      <w:widowControl w:val="0"/>
      <w:tabs>
        <w:tab w:val="clear" w:pos="9350"/>
        <w:tab w:val="right" w:pos="504"/>
        <w:tab w:val="left" w:pos="936"/>
        <w:tab w:val="right" w:leader="dot" w:pos="9000"/>
        <w:tab w:val="right" w:pos="9360"/>
      </w:tabs>
      <w:spacing w:line="276" w:lineRule="auto"/>
      <w:ind w:left="936" w:right="0" w:hanging="936"/>
    </w:pPr>
    <w:rPr>
      <w:rFonts w:eastAsia="Times New Roman"/>
      <w:snapToGrid w:val="0"/>
      <w:szCs w:val="20"/>
      <w:lang w:bidi="ar-SA"/>
    </w:rPr>
  </w:style>
  <w:style w:type="paragraph" w:customStyle="1" w:styleId="BodyTextnospace">
    <w:name w:val="Body Text_no space"/>
    <w:basedOn w:val="BodyText"/>
    <w:qFormat/>
    <w:rsid w:val="00A9239C"/>
    <w:pPr>
      <w:spacing w:after="0"/>
      <w:ind w:firstLine="360"/>
    </w:pPr>
    <w:rPr>
      <w:rFonts w:eastAsia="Times New Roman"/>
    </w:rPr>
  </w:style>
  <w:style w:type="paragraph" w:customStyle="1" w:styleId="tblfootnote">
    <w:name w:val="tbl_footnote"/>
    <w:basedOn w:val="Normal"/>
    <w:qFormat/>
    <w:rsid w:val="00A9239C"/>
    <w:pPr>
      <w:widowControl w:val="0"/>
      <w:spacing w:before="0" w:after="0" w:line="240" w:lineRule="auto"/>
      <w:ind w:firstLine="0"/>
    </w:pPr>
    <w:rPr>
      <w:rFonts w:eastAsia="Times New Roman"/>
      <w:snapToGrid w:val="0"/>
      <w:sz w:val="20"/>
      <w:szCs w:val="20"/>
      <w:lang w:bidi="ar-SA"/>
    </w:rPr>
  </w:style>
  <w:style w:type="paragraph" w:customStyle="1" w:styleId="BodyTextnoindent">
    <w:name w:val="Body Text_no indent"/>
    <w:basedOn w:val="BodyText"/>
    <w:qFormat/>
    <w:rsid w:val="00A9239C"/>
    <w:pPr>
      <w:spacing w:after="120"/>
    </w:pPr>
    <w:rPr>
      <w:rFonts w:eastAsia="Times New Roman"/>
    </w:rPr>
  </w:style>
  <w:style w:type="paragraph" w:customStyle="1" w:styleId="Figcapcenter0">
    <w:name w:val="Figcap_center"/>
    <w:basedOn w:val="Normal"/>
    <w:qFormat/>
    <w:rsid w:val="00A9239C"/>
    <w:pPr>
      <w:spacing w:before="40" w:after="40" w:line="240" w:lineRule="auto"/>
      <w:ind w:firstLine="0"/>
      <w:jc w:val="center"/>
    </w:pPr>
    <w:rPr>
      <w:rFonts w:ascii="Times New Roman Bold" w:eastAsia="Times New Roman" w:hAnsi="Times New Roman Bold"/>
      <w:b/>
      <w:snapToGrid w:val="0"/>
      <w:sz w:val="20"/>
      <w:lang w:bidi="ar-SA"/>
    </w:rPr>
  </w:style>
  <w:style w:type="paragraph" w:customStyle="1" w:styleId="Figcapindent">
    <w:name w:val="Figcap_indent"/>
    <w:basedOn w:val="Normal"/>
    <w:qFormat/>
    <w:rsid w:val="00A9239C"/>
    <w:pPr>
      <w:spacing w:before="40" w:after="40" w:line="240" w:lineRule="auto"/>
      <w:ind w:firstLine="360"/>
    </w:pPr>
    <w:rPr>
      <w:rFonts w:eastAsia="Times New Roman"/>
      <w:b/>
      <w:snapToGrid w:val="0"/>
      <w:sz w:val="20"/>
      <w:lang w:bidi="ar-SA"/>
    </w:rPr>
  </w:style>
  <w:style w:type="paragraph" w:customStyle="1" w:styleId="tbltitle">
    <w:name w:val="tbl_title"/>
    <w:basedOn w:val="BodyText"/>
    <w:qFormat/>
    <w:rsid w:val="00A9239C"/>
    <w:pPr>
      <w:spacing w:after="40"/>
      <w:jc w:val="center"/>
    </w:pPr>
    <w:rPr>
      <w:rFonts w:eastAsia="Times New Roman"/>
      <w:b/>
      <w:sz w:val="20"/>
      <w:szCs w:val="20"/>
    </w:rPr>
  </w:style>
  <w:style w:type="paragraph" w:customStyle="1" w:styleId="tblhead">
    <w:name w:val="tbl_head"/>
    <w:basedOn w:val="Normal"/>
    <w:qFormat/>
    <w:rsid w:val="00A9239C"/>
    <w:pPr>
      <w:keepNext/>
      <w:widowControl w:val="0"/>
      <w:spacing w:before="40" w:after="40" w:line="240" w:lineRule="auto"/>
      <w:ind w:firstLine="0"/>
      <w:jc w:val="center"/>
    </w:pPr>
    <w:rPr>
      <w:rFonts w:eastAsia="Times New Roman"/>
      <w:b/>
      <w:snapToGrid w:val="0"/>
      <w:sz w:val="20"/>
      <w:szCs w:val="20"/>
      <w:lang w:bidi="ar-SA"/>
    </w:rPr>
  </w:style>
  <w:style w:type="paragraph" w:customStyle="1" w:styleId="tbltext">
    <w:name w:val="tbl_text"/>
    <w:basedOn w:val="Normal"/>
    <w:qFormat/>
    <w:rsid w:val="00A9239C"/>
    <w:pPr>
      <w:widowControl w:val="0"/>
      <w:spacing w:before="20" w:after="20" w:line="240" w:lineRule="auto"/>
      <w:ind w:firstLine="0"/>
    </w:pPr>
    <w:rPr>
      <w:rFonts w:eastAsia="Times New Roman"/>
      <w:snapToGrid w:val="0"/>
      <w:sz w:val="20"/>
      <w:szCs w:val="20"/>
      <w:lang w:bidi="ar-SA"/>
    </w:rPr>
  </w:style>
  <w:style w:type="paragraph" w:customStyle="1" w:styleId="Figure">
    <w:name w:val="Figure"/>
    <w:basedOn w:val="BodyText"/>
    <w:next w:val="Normal"/>
    <w:link w:val="FigureChar"/>
    <w:qFormat/>
    <w:rsid w:val="00A9239C"/>
    <w:pPr>
      <w:keepNext/>
      <w:widowControl w:val="0"/>
      <w:spacing w:before="240" w:after="60"/>
      <w:jc w:val="center"/>
    </w:pPr>
    <w:rPr>
      <w:rFonts w:eastAsia="Times New Roman"/>
      <w:noProof/>
      <w:snapToGrid/>
      <w:szCs w:val="24"/>
    </w:rPr>
  </w:style>
  <w:style w:type="character" w:customStyle="1" w:styleId="FigureChar">
    <w:name w:val="Figure Char"/>
    <w:link w:val="Figure"/>
    <w:rsid w:val="00A9239C"/>
    <w:rPr>
      <w:rFonts w:ascii="Times New Roman" w:eastAsia="Times New Roman" w:hAnsi="Times New Roman"/>
      <w:noProof/>
      <w:sz w:val="24"/>
      <w:szCs w:val="24"/>
    </w:rPr>
  </w:style>
  <w:style w:type="paragraph" w:customStyle="1" w:styleId="BulletList">
    <w:name w:val="Bullet List"/>
    <w:basedOn w:val="Normal"/>
    <w:qFormat/>
    <w:rsid w:val="002954B7"/>
    <w:pPr>
      <w:numPr>
        <w:numId w:val="1"/>
      </w:numPr>
      <w:spacing w:before="0" w:after="0" w:line="240" w:lineRule="auto"/>
      <w:ind w:left="360"/>
    </w:pPr>
    <w:rPr>
      <w:rFonts w:eastAsia="Calibri"/>
      <w:snapToGrid w:val="0"/>
      <w:lang w:bidi="ar-SA"/>
    </w:rPr>
  </w:style>
  <w:style w:type="paragraph" w:customStyle="1" w:styleId="BulletListspace">
    <w:name w:val="Bullet List_space"/>
    <w:basedOn w:val="BulletList"/>
    <w:qFormat/>
    <w:rsid w:val="002954B7"/>
    <w:pPr>
      <w:spacing w:after="240"/>
    </w:pPr>
  </w:style>
  <w:style w:type="paragraph" w:customStyle="1" w:styleId="Text">
    <w:name w:val="Text"/>
    <w:link w:val="TextChar"/>
    <w:qFormat/>
    <w:rsid w:val="00335106"/>
    <w:pPr>
      <w:spacing w:after="240"/>
    </w:pPr>
    <w:rPr>
      <w:rFonts w:ascii="Times New Roman" w:eastAsia="Times New Roman" w:hAnsi="Times New Roman"/>
      <w:sz w:val="22"/>
      <w:szCs w:val="32"/>
    </w:rPr>
  </w:style>
  <w:style w:type="table" w:styleId="LightShading-Accent4">
    <w:name w:val="Light Shading Accent 4"/>
    <w:basedOn w:val="TableNormal"/>
    <w:uiPriority w:val="60"/>
    <w:rsid w:val="00A9239C"/>
    <w:rPr>
      <w:rFonts w:eastAsia="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TableFootnote">
    <w:name w:val="Table Footnote"/>
    <w:basedOn w:val="Normal"/>
    <w:qFormat/>
    <w:rsid w:val="00335106"/>
    <w:pPr>
      <w:widowControl w:val="0"/>
      <w:spacing w:before="120" w:after="0" w:line="240" w:lineRule="auto"/>
      <w:ind w:firstLine="0"/>
    </w:pPr>
    <w:rPr>
      <w:rFonts w:eastAsia="Calibri"/>
      <w:snapToGrid w:val="0"/>
      <w:sz w:val="20"/>
      <w:szCs w:val="18"/>
      <w:lang w:bidi="ar-SA"/>
    </w:rPr>
  </w:style>
  <w:style w:type="character" w:customStyle="1" w:styleId="genus">
    <w:name w:val="genus"/>
    <w:rsid w:val="00A9239C"/>
  </w:style>
  <w:style w:type="paragraph" w:customStyle="1" w:styleId="FigcapLeft">
    <w:name w:val="Figcap Left"/>
    <w:basedOn w:val="Text"/>
    <w:qFormat/>
    <w:rsid w:val="00335106"/>
    <w:rPr>
      <w:b/>
      <w:sz w:val="20"/>
    </w:rPr>
  </w:style>
  <w:style w:type="paragraph" w:customStyle="1" w:styleId="FIGUREposition">
    <w:name w:val="FIGURE position"/>
    <w:basedOn w:val="Normal"/>
    <w:rsid w:val="00335106"/>
    <w:pPr>
      <w:keepNext/>
      <w:tabs>
        <w:tab w:val="left" w:pos="360"/>
      </w:tabs>
      <w:spacing w:before="0" w:after="120" w:line="240" w:lineRule="auto"/>
      <w:ind w:firstLine="0"/>
      <w:jc w:val="center"/>
    </w:pPr>
    <w:rPr>
      <w:rFonts w:eastAsia="Times New Roman"/>
      <w:snapToGrid w:val="0"/>
      <w:szCs w:val="20"/>
      <w:lang w:bidi="ar-SA"/>
    </w:rPr>
  </w:style>
  <w:style w:type="paragraph" w:customStyle="1" w:styleId="xl66">
    <w:name w:val="xl66"/>
    <w:basedOn w:val="Normal"/>
    <w:rsid w:val="00A9239C"/>
    <w:pPr>
      <w:spacing w:before="100" w:beforeAutospacing="1" w:after="100" w:afterAutospacing="1" w:line="240" w:lineRule="auto"/>
      <w:ind w:firstLine="0"/>
    </w:pPr>
    <w:rPr>
      <w:rFonts w:eastAsia="Times New Roman"/>
      <w:szCs w:val="24"/>
      <w:lang w:bidi="ar-SA"/>
    </w:rPr>
  </w:style>
  <w:style w:type="paragraph" w:customStyle="1" w:styleId="Footnote">
    <w:name w:val="Footnote"/>
    <w:basedOn w:val="Normal"/>
    <w:qFormat/>
    <w:rsid w:val="00335106"/>
    <w:pPr>
      <w:widowControl w:val="0"/>
      <w:spacing w:before="0" w:after="0" w:line="240" w:lineRule="auto"/>
      <w:ind w:firstLine="0"/>
    </w:pPr>
    <w:rPr>
      <w:rFonts w:eastAsia="Calibri"/>
      <w:snapToGrid w:val="0"/>
      <w:sz w:val="20"/>
      <w:szCs w:val="20"/>
      <w:lang w:bidi="ar-SA"/>
    </w:rPr>
  </w:style>
  <w:style w:type="paragraph" w:customStyle="1" w:styleId="Refs">
    <w:name w:val="Refs"/>
    <w:basedOn w:val="Normal"/>
    <w:qFormat/>
    <w:rsid w:val="006D0EDE"/>
    <w:pPr>
      <w:spacing w:before="0" w:line="240" w:lineRule="auto"/>
      <w:ind w:left="288" w:hanging="288"/>
    </w:pPr>
    <w:rPr>
      <w:rFonts w:eastAsia="Calibri"/>
      <w:snapToGrid w:val="0"/>
      <w:szCs w:val="20"/>
      <w:lang w:bidi="ar-SA"/>
    </w:rPr>
  </w:style>
  <w:style w:type="paragraph" w:customStyle="1" w:styleId="xl67">
    <w:name w:val="xl67"/>
    <w:basedOn w:val="Normal"/>
    <w:rsid w:val="00A9239C"/>
    <w:pPr>
      <w:pBdr>
        <w:top w:val="single" w:sz="4" w:space="0" w:color="auto"/>
        <w:bottom w:val="single" w:sz="4" w:space="0" w:color="auto"/>
      </w:pBdr>
      <w:spacing w:before="100" w:beforeAutospacing="1" w:after="100" w:afterAutospacing="1" w:line="240" w:lineRule="auto"/>
      <w:ind w:firstLine="0"/>
    </w:pPr>
    <w:rPr>
      <w:rFonts w:eastAsia="Times New Roman"/>
      <w:b/>
      <w:bCs/>
      <w:szCs w:val="24"/>
      <w:lang w:bidi="ar-SA"/>
    </w:rPr>
  </w:style>
  <w:style w:type="paragraph" w:customStyle="1" w:styleId="xl68">
    <w:name w:val="xl68"/>
    <w:basedOn w:val="Normal"/>
    <w:rsid w:val="00A9239C"/>
    <w:pPr>
      <w:pBdr>
        <w:top w:val="single" w:sz="4" w:space="0" w:color="auto"/>
        <w:bottom w:val="single" w:sz="4" w:space="0" w:color="auto"/>
      </w:pBdr>
      <w:spacing w:before="100" w:beforeAutospacing="1" w:after="100" w:afterAutospacing="1" w:line="240" w:lineRule="auto"/>
      <w:ind w:firstLine="0"/>
      <w:jc w:val="center"/>
    </w:pPr>
    <w:rPr>
      <w:rFonts w:eastAsia="Times New Roman"/>
      <w:b/>
      <w:bCs/>
      <w:szCs w:val="24"/>
      <w:lang w:bidi="ar-SA"/>
    </w:rPr>
  </w:style>
  <w:style w:type="paragraph" w:customStyle="1" w:styleId="xl69">
    <w:name w:val="xl69"/>
    <w:basedOn w:val="Normal"/>
    <w:rsid w:val="00A9239C"/>
    <w:pPr>
      <w:pBdr>
        <w:top w:val="single" w:sz="4" w:space="0" w:color="auto"/>
        <w:bottom w:val="single" w:sz="4" w:space="0" w:color="auto"/>
      </w:pBdr>
      <w:spacing w:before="100" w:beforeAutospacing="1" w:after="100" w:afterAutospacing="1" w:line="240" w:lineRule="auto"/>
      <w:ind w:firstLine="0"/>
      <w:jc w:val="center"/>
    </w:pPr>
    <w:rPr>
      <w:rFonts w:eastAsia="Times New Roman"/>
      <w:b/>
      <w:bCs/>
      <w:szCs w:val="24"/>
      <w:lang w:bidi="ar-SA"/>
    </w:rPr>
  </w:style>
  <w:style w:type="paragraph" w:customStyle="1" w:styleId="xl70">
    <w:name w:val="xl70"/>
    <w:basedOn w:val="Normal"/>
    <w:rsid w:val="00A9239C"/>
    <w:pPr>
      <w:spacing w:before="100" w:beforeAutospacing="1" w:after="100" w:afterAutospacing="1" w:line="240" w:lineRule="auto"/>
      <w:ind w:firstLine="0"/>
      <w:jc w:val="center"/>
    </w:pPr>
    <w:rPr>
      <w:rFonts w:eastAsia="Times New Roman"/>
      <w:szCs w:val="24"/>
      <w:lang w:bidi="ar-SA"/>
    </w:rPr>
  </w:style>
  <w:style w:type="paragraph" w:customStyle="1" w:styleId="xl71">
    <w:name w:val="xl71"/>
    <w:basedOn w:val="Normal"/>
    <w:rsid w:val="00A9239C"/>
    <w:pPr>
      <w:pBdr>
        <w:bottom w:val="single" w:sz="4" w:space="0" w:color="auto"/>
      </w:pBdr>
      <w:spacing w:before="100" w:beforeAutospacing="1" w:after="100" w:afterAutospacing="1" w:line="240" w:lineRule="auto"/>
      <w:ind w:firstLine="0"/>
      <w:jc w:val="center"/>
    </w:pPr>
    <w:rPr>
      <w:rFonts w:eastAsia="Times New Roman"/>
      <w:szCs w:val="24"/>
      <w:lang w:bidi="ar-SA"/>
    </w:rPr>
  </w:style>
  <w:style w:type="paragraph" w:customStyle="1" w:styleId="xl72">
    <w:name w:val="xl72"/>
    <w:basedOn w:val="Normal"/>
    <w:rsid w:val="00A9239C"/>
    <w:pPr>
      <w:pBdr>
        <w:top w:val="single" w:sz="4" w:space="0" w:color="auto"/>
        <w:bottom w:val="single" w:sz="4" w:space="0" w:color="auto"/>
      </w:pBdr>
      <w:spacing w:before="100" w:beforeAutospacing="1" w:after="100" w:afterAutospacing="1" w:line="240" w:lineRule="auto"/>
      <w:ind w:firstLine="0"/>
    </w:pPr>
    <w:rPr>
      <w:rFonts w:eastAsia="Times New Roman"/>
      <w:b/>
      <w:bCs/>
      <w:szCs w:val="24"/>
      <w:lang w:bidi="ar-SA"/>
    </w:rPr>
  </w:style>
  <w:style w:type="paragraph" w:customStyle="1" w:styleId="TableBullet">
    <w:name w:val="Table Bullet"/>
    <w:basedOn w:val="Normal"/>
    <w:qFormat/>
    <w:rsid w:val="008D6D66"/>
    <w:pPr>
      <w:widowControl w:val="0"/>
      <w:numPr>
        <w:numId w:val="9"/>
      </w:numPr>
      <w:spacing w:before="0" w:after="0" w:line="240" w:lineRule="auto"/>
      <w:ind w:left="259" w:hanging="259"/>
      <w:contextualSpacing/>
    </w:pPr>
    <w:rPr>
      <w:rFonts w:eastAsia="Calibri"/>
      <w:snapToGrid w:val="0"/>
      <w:sz w:val="20"/>
      <w:szCs w:val="20"/>
      <w:lang w:bidi="ar-SA"/>
    </w:rPr>
  </w:style>
  <w:style w:type="paragraph" w:customStyle="1" w:styleId="xl73">
    <w:name w:val="xl73"/>
    <w:basedOn w:val="Normal"/>
    <w:rsid w:val="00A9239C"/>
    <w:pPr>
      <w:pBdr>
        <w:bottom w:val="single" w:sz="4" w:space="0" w:color="auto"/>
      </w:pBdr>
      <w:spacing w:before="100" w:beforeAutospacing="1" w:after="100" w:afterAutospacing="1" w:line="240" w:lineRule="auto"/>
      <w:ind w:firstLine="0"/>
    </w:pPr>
    <w:rPr>
      <w:rFonts w:eastAsia="Times New Roman"/>
      <w:szCs w:val="24"/>
      <w:lang w:bidi="ar-SA"/>
    </w:rPr>
  </w:style>
  <w:style w:type="paragraph" w:customStyle="1" w:styleId="xl74">
    <w:name w:val="xl74"/>
    <w:basedOn w:val="Normal"/>
    <w:rsid w:val="00A9239C"/>
    <w:pPr>
      <w:pBdr>
        <w:bottom w:val="single" w:sz="4" w:space="0" w:color="auto"/>
      </w:pBdr>
      <w:spacing w:before="100" w:beforeAutospacing="1" w:after="100" w:afterAutospacing="1" w:line="240" w:lineRule="auto"/>
      <w:ind w:firstLine="0"/>
    </w:pPr>
    <w:rPr>
      <w:rFonts w:eastAsia="Times New Roman"/>
      <w:szCs w:val="24"/>
      <w:lang w:bidi="ar-SA"/>
    </w:rPr>
  </w:style>
  <w:style w:type="paragraph" w:customStyle="1" w:styleId="xl75">
    <w:name w:val="xl75"/>
    <w:basedOn w:val="Normal"/>
    <w:rsid w:val="00A9239C"/>
    <w:pPr>
      <w:spacing w:before="100" w:beforeAutospacing="1" w:after="100" w:afterAutospacing="1" w:line="240" w:lineRule="auto"/>
      <w:ind w:firstLine="0"/>
      <w:jc w:val="center"/>
    </w:pPr>
    <w:rPr>
      <w:rFonts w:eastAsia="Times New Roman"/>
      <w:szCs w:val="24"/>
      <w:lang w:bidi="ar-SA"/>
    </w:rPr>
  </w:style>
  <w:style w:type="paragraph" w:customStyle="1" w:styleId="BulletList2">
    <w:name w:val="Bullet List2"/>
    <w:basedOn w:val="Normal"/>
    <w:qFormat/>
    <w:rsid w:val="004856AD"/>
    <w:pPr>
      <w:widowControl w:val="0"/>
      <w:numPr>
        <w:numId w:val="10"/>
      </w:numPr>
      <w:spacing w:before="0" w:line="240" w:lineRule="auto"/>
    </w:pPr>
    <w:rPr>
      <w:rFonts w:eastAsia="Calibri"/>
      <w:snapToGrid w:val="0"/>
      <w:szCs w:val="20"/>
      <w:lang w:bidi="ar-SA"/>
    </w:rPr>
  </w:style>
  <w:style w:type="paragraph" w:customStyle="1" w:styleId="xl76">
    <w:name w:val="xl76"/>
    <w:basedOn w:val="Normal"/>
    <w:rsid w:val="00A9239C"/>
    <w:pPr>
      <w:pBdr>
        <w:bottom w:val="single" w:sz="4" w:space="0" w:color="auto"/>
      </w:pBdr>
      <w:spacing w:before="100" w:beforeAutospacing="1" w:after="100" w:afterAutospacing="1" w:line="240" w:lineRule="auto"/>
      <w:ind w:firstLine="0"/>
      <w:jc w:val="center"/>
    </w:pPr>
    <w:rPr>
      <w:rFonts w:eastAsia="Times New Roman"/>
      <w:szCs w:val="24"/>
      <w:lang w:bidi="ar-SA"/>
    </w:rPr>
  </w:style>
  <w:style w:type="character" w:customStyle="1" w:styleId="TextChar">
    <w:name w:val="Text Char"/>
    <w:link w:val="Text"/>
    <w:rsid w:val="00414179"/>
    <w:rPr>
      <w:rFonts w:ascii="Times New Roman" w:eastAsia="Times New Roman" w:hAnsi="Times New Roman" w:cs="Times New Roman"/>
      <w:szCs w:val="32"/>
    </w:rPr>
  </w:style>
  <w:style w:type="paragraph" w:customStyle="1" w:styleId="Captioncontinued">
    <w:name w:val="Caption (continued)"/>
    <w:basedOn w:val="Caption"/>
    <w:qFormat/>
    <w:rsid w:val="00A9239C"/>
    <w:pPr>
      <w:spacing w:before="0" w:after="0" w:line="240" w:lineRule="auto"/>
      <w:ind w:firstLine="0"/>
      <w:jc w:val="both"/>
    </w:pPr>
    <w:rPr>
      <w:sz w:val="20"/>
    </w:rPr>
  </w:style>
  <w:style w:type="table" w:customStyle="1" w:styleId="TableGrid1">
    <w:name w:val="Table Grid1"/>
    <w:basedOn w:val="TableNormal"/>
    <w:next w:val="TableGrid"/>
    <w:rsid w:val="00357BBE"/>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1">
    <w:name w:val="List Bullet1"/>
    <w:basedOn w:val="ListParagraph"/>
    <w:qFormat/>
    <w:rsid w:val="00A9239C"/>
    <w:pPr>
      <w:spacing w:before="200" w:after="160" w:line="264" w:lineRule="auto"/>
      <w:ind w:left="360" w:hanging="360"/>
    </w:pPr>
    <w:rPr>
      <w:szCs w:val="24"/>
      <w:lang w:eastAsia="zh-TW"/>
    </w:rPr>
  </w:style>
  <w:style w:type="paragraph" w:customStyle="1" w:styleId="BodyTextindent">
    <w:name w:val="Body Text_indent"/>
    <w:basedOn w:val="BodyText"/>
    <w:qFormat/>
    <w:rsid w:val="006D08C0"/>
    <w:pPr>
      <w:ind w:left="360"/>
    </w:pPr>
    <w:rPr>
      <w:lang w:eastAsia="zh-TW"/>
    </w:rPr>
  </w:style>
  <w:style w:type="paragraph" w:customStyle="1" w:styleId="FigureCaptionSeparator">
    <w:name w:val="Figure Caption Separator"/>
    <w:basedOn w:val="FigureCaption"/>
    <w:qFormat/>
    <w:rsid w:val="006D08C0"/>
    <w:rPr>
      <w:b w:val="0"/>
      <w:lang w:eastAsia="zh-TW"/>
    </w:rPr>
  </w:style>
  <w:style w:type="character" w:styleId="UnresolvedMention">
    <w:name w:val="Unresolved Mention"/>
    <w:basedOn w:val="DefaultParagraphFont"/>
    <w:uiPriority w:val="99"/>
    <w:unhideWhenUsed/>
    <w:rsid w:val="00C01CDC"/>
    <w:rPr>
      <w:color w:val="605E5C"/>
      <w:shd w:val="clear" w:color="auto" w:fill="E1DFDD"/>
    </w:rPr>
  </w:style>
  <w:style w:type="table" w:styleId="PlainTable2">
    <w:name w:val="Plain Table 2"/>
    <w:basedOn w:val="TableNormal"/>
    <w:uiPriority w:val="42"/>
    <w:rsid w:val="0013221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9F09A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unhideWhenUsed/>
    <w:rsid w:val="00B851DF"/>
    <w:rPr>
      <w:color w:val="2B579A"/>
      <w:shd w:val="clear" w:color="auto" w:fill="E1DFDD"/>
    </w:rPr>
  </w:style>
  <w:style w:type="table" w:styleId="GridTable4">
    <w:name w:val="Grid Table 4"/>
    <w:basedOn w:val="TableNormal"/>
    <w:uiPriority w:val="49"/>
    <w:rsid w:val="00291781"/>
    <w:rPr>
      <w:rFonts w:asciiTheme="minorHAnsi" w:eastAsiaTheme="minorHAnsi" w:hAnsiTheme="minorHAnsi" w:cstheme="minorBidi"/>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ISCLAIMER-short">
    <w:name w:val="DISCLAIMER-short"/>
    <w:basedOn w:val="Normal"/>
    <w:next w:val="Normal"/>
    <w:rsid w:val="009A5472"/>
    <w:pPr>
      <w:snapToGrid w:val="0"/>
      <w:spacing w:before="0" w:after="0" w:line="240" w:lineRule="auto"/>
      <w:ind w:firstLine="0"/>
    </w:pPr>
    <w:rPr>
      <w:rFonts w:ascii="Arial" w:eastAsia="Times New Roman" w:hAnsi="Arial" w:cs="Arial"/>
      <w:sz w:val="18"/>
      <w:szCs w:val="18"/>
      <w:lang w:bidi="ar-SA"/>
    </w:rPr>
  </w:style>
  <w:style w:type="paragraph" w:customStyle="1" w:styleId="Heading1Contents">
    <w:name w:val="Heading 1 Contents"/>
    <w:basedOn w:val="Heading1frontsections"/>
    <w:next w:val="Normal"/>
    <w:qFormat/>
    <w:rsid w:val="009A5472"/>
    <w:rPr>
      <w:caps w:val="0"/>
      <w:szCs w:val="20"/>
    </w:rPr>
  </w:style>
  <w:style w:type="paragraph" w:customStyle="1" w:styleId="Titlepage-date">
    <w:name w:val="Title page-date"/>
    <w:basedOn w:val="Normal"/>
    <w:qFormat/>
    <w:rsid w:val="00957C35"/>
    <w:pPr>
      <w:tabs>
        <w:tab w:val="center" w:pos="4680"/>
      </w:tabs>
      <w:spacing w:before="0" w:after="0" w:line="240" w:lineRule="auto"/>
      <w:ind w:firstLine="0"/>
      <w:jc w:val="center"/>
    </w:pPr>
    <w:rPr>
      <w:rFonts w:eastAsia="Times New Roman"/>
      <w:snapToGrid w:val="0"/>
      <w:szCs w:val="20"/>
      <w:lang w:bidi="ar-SA"/>
    </w:rPr>
  </w:style>
  <w:style w:type="paragraph" w:styleId="EndnoteText">
    <w:name w:val="endnote text"/>
    <w:basedOn w:val="Normal"/>
    <w:link w:val="EndnoteTextChar"/>
    <w:uiPriority w:val="99"/>
    <w:semiHidden/>
    <w:unhideWhenUsed/>
    <w:rsid w:val="00642B66"/>
    <w:pPr>
      <w:spacing w:before="0" w:after="0" w:line="240" w:lineRule="auto"/>
      <w:ind w:firstLine="0"/>
    </w:pPr>
    <w:rPr>
      <w:rFonts w:asciiTheme="minorHAnsi" w:eastAsiaTheme="minorEastAsia" w:hAnsiTheme="minorHAnsi" w:cstheme="minorBidi"/>
      <w:sz w:val="20"/>
      <w:szCs w:val="20"/>
      <w:lang w:bidi="ar-SA"/>
    </w:rPr>
  </w:style>
  <w:style w:type="character" w:customStyle="1" w:styleId="EndnoteTextChar">
    <w:name w:val="Endnote Text Char"/>
    <w:basedOn w:val="DefaultParagraphFont"/>
    <w:link w:val="EndnoteText"/>
    <w:uiPriority w:val="99"/>
    <w:semiHidden/>
    <w:rsid w:val="00642B66"/>
    <w:rPr>
      <w:rFonts w:asciiTheme="minorHAnsi" w:eastAsiaTheme="minorEastAsia" w:hAnsiTheme="minorHAnsi" w:cstheme="minorBidi"/>
    </w:rPr>
  </w:style>
  <w:style w:type="character" w:styleId="EndnoteReference">
    <w:name w:val="endnote reference"/>
    <w:basedOn w:val="DefaultParagraphFont"/>
    <w:uiPriority w:val="99"/>
    <w:semiHidden/>
    <w:unhideWhenUsed/>
    <w:rsid w:val="00642B66"/>
    <w:rPr>
      <w:vertAlign w:val="superscript"/>
    </w:rPr>
  </w:style>
  <w:style w:type="paragraph" w:customStyle="1" w:styleId="Contents">
    <w:name w:val="Contents"/>
    <w:basedOn w:val="Heading1frontsections"/>
    <w:qFormat/>
    <w:rsid w:val="00925971"/>
  </w:style>
  <w:style w:type="paragraph" w:customStyle="1" w:styleId="BulletListo">
    <w:name w:val="Bullet List_o"/>
    <w:basedOn w:val="BodyText"/>
    <w:qFormat/>
    <w:rsid w:val="006941DB"/>
    <w:pPr>
      <w:numPr>
        <w:ilvl w:val="1"/>
        <w:numId w:val="16"/>
      </w:numPr>
      <w:ind w:left="720"/>
    </w:pPr>
  </w:style>
  <w:style w:type="paragraph" w:customStyle="1" w:styleId="BulletListospace">
    <w:name w:val="Bullet List o_space"/>
    <w:basedOn w:val="BulletListo"/>
    <w:qFormat/>
    <w:rsid w:val="006941DB"/>
  </w:style>
  <w:style w:type="paragraph" w:customStyle="1" w:styleId="AppendixTableCaption">
    <w:name w:val="Appendix Table Caption"/>
    <w:basedOn w:val="AppendixFigureCaption"/>
    <w:qFormat/>
    <w:rsid w:val="00450669"/>
    <w:pPr>
      <w:spacing w:after="120"/>
    </w:pPr>
    <w:rPr>
      <w:szCs w:val="20"/>
    </w:rPr>
  </w:style>
  <w:style w:type="paragraph" w:customStyle="1" w:styleId="Titlepage-reporttitle">
    <w:name w:val="Title page-report title"/>
    <w:basedOn w:val="Normal"/>
    <w:qFormat/>
    <w:rsid w:val="00925971"/>
    <w:pPr>
      <w:widowControl w:val="0"/>
      <w:spacing w:before="0" w:after="0" w:line="240" w:lineRule="auto"/>
      <w:ind w:firstLine="0"/>
      <w:jc w:val="center"/>
    </w:pPr>
    <w:rPr>
      <w:rFonts w:ascii="Times New Roman Bold" w:eastAsia="Times New Roman" w:hAnsi="Times New Roman Bold"/>
      <w:b/>
      <w:caps/>
      <w:snapToGrid w:val="0"/>
      <w:sz w:val="24"/>
      <w:szCs w:val="20"/>
      <w:lang w:bidi="ar-SA"/>
    </w:rPr>
  </w:style>
  <w:style w:type="paragraph" w:customStyle="1" w:styleId="Titlepage-authornames">
    <w:name w:val="Title page-author names"/>
    <w:basedOn w:val="Normal"/>
    <w:qFormat/>
    <w:rsid w:val="00925971"/>
    <w:pPr>
      <w:tabs>
        <w:tab w:val="center" w:pos="4680"/>
      </w:tabs>
      <w:spacing w:before="0" w:after="0" w:line="240" w:lineRule="auto"/>
      <w:ind w:firstLine="0"/>
      <w:jc w:val="center"/>
    </w:pPr>
    <w:rPr>
      <w:rFonts w:eastAsia="Times New Roman"/>
      <w:snapToGrid w:val="0"/>
      <w:szCs w:val="20"/>
      <w:lang w:bidi="ar-SA"/>
    </w:rPr>
  </w:style>
  <w:style w:type="paragraph" w:styleId="BlockText">
    <w:name w:val="Block Text"/>
    <w:basedOn w:val="Normal"/>
    <w:uiPriority w:val="99"/>
    <w:unhideWhenUsed/>
    <w:rsid w:val="00D5200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9375">
      <w:bodyDiv w:val="1"/>
      <w:marLeft w:val="0"/>
      <w:marRight w:val="0"/>
      <w:marTop w:val="0"/>
      <w:marBottom w:val="0"/>
      <w:divBdr>
        <w:top w:val="none" w:sz="0" w:space="0" w:color="auto"/>
        <w:left w:val="none" w:sz="0" w:space="0" w:color="auto"/>
        <w:bottom w:val="none" w:sz="0" w:space="0" w:color="auto"/>
        <w:right w:val="none" w:sz="0" w:space="0" w:color="auto"/>
      </w:divBdr>
    </w:div>
    <w:div w:id="40397888">
      <w:bodyDiv w:val="1"/>
      <w:marLeft w:val="0"/>
      <w:marRight w:val="0"/>
      <w:marTop w:val="0"/>
      <w:marBottom w:val="0"/>
      <w:divBdr>
        <w:top w:val="none" w:sz="0" w:space="0" w:color="auto"/>
        <w:left w:val="none" w:sz="0" w:space="0" w:color="auto"/>
        <w:bottom w:val="none" w:sz="0" w:space="0" w:color="auto"/>
        <w:right w:val="none" w:sz="0" w:space="0" w:color="auto"/>
      </w:divBdr>
    </w:div>
    <w:div w:id="43454295">
      <w:bodyDiv w:val="1"/>
      <w:marLeft w:val="0"/>
      <w:marRight w:val="0"/>
      <w:marTop w:val="0"/>
      <w:marBottom w:val="0"/>
      <w:divBdr>
        <w:top w:val="none" w:sz="0" w:space="0" w:color="auto"/>
        <w:left w:val="none" w:sz="0" w:space="0" w:color="auto"/>
        <w:bottom w:val="none" w:sz="0" w:space="0" w:color="auto"/>
        <w:right w:val="none" w:sz="0" w:space="0" w:color="auto"/>
      </w:divBdr>
    </w:div>
    <w:div w:id="44377033">
      <w:bodyDiv w:val="1"/>
      <w:marLeft w:val="0"/>
      <w:marRight w:val="0"/>
      <w:marTop w:val="0"/>
      <w:marBottom w:val="0"/>
      <w:divBdr>
        <w:top w:val="none" w:sz="0" w:space="0" w:color="auto"/>
        <w:left w:val="none" w:sz="0" w:space="0" w:color="auto"/>
        <w:bottom w:val="none" w:sz="0" w:space="0" w:color="auto"/>
        <w:right w:val="none" w:sz="0" w:space="0" w:color="auto"/>
      </w:divBdr>
    </w:div>
    <w:div w:id="49234126">
      <w:bodyDiv w:val="1"/>
      <w:marLeft w:val="0"/>
      <w:marRight w:val="0"/>
      <w:marTop w:val="0"/>
      <w:marBottom w:val="0"/>
      <w:divBdr>
        <w:top w:val="none" w:sz="0" w:space="0" w:color="auto"/>
        <w:left w:val="none" w:sz="0" w:space="0" w:color="auto"/>
        <w:bottom w:val="none" w:sz="0" w:space="0" w:color="auto"/>
        <w:right w:val="none" w:sz="0" w:space="0" w:color="auto"/>
      </w:divBdr>
    </w:div>
    <w:div w:id="57097785">
      <w:bodyDiv w:val="1"/>
      <w:marLeft w:val="0"/>
      <w:marRight w:val="0"/>
      <w:marTop w:val="0"/>
      <w:marBottom w:val="0"/>
      <w:divBdr>
        <w:top w:val="none" w:sz="0" w:space="0" w:color="auto"/>
        <w:left w:val="none" w:sz="0" w:space="0" w:color="auto"/>
        <w:bottom w:val="none" w:sz="0" w:space="0" w:color="auto"/>
        <w:right w:val="none" w:sz="0" w:space="0" w:color="auto"/>
      </w:divBdr>
    </w:div>
    <w:div w:id="59334086">
      <w:bodyDiv w:val="1"/>
      <w:marLeft w:val="0"/>
      <w:marRight w:val="0"/>
      <w:marTop w:val="0"/>
      <w:marBottom w:val="0"/>
      <w:divBdr>
        <w:top w:val="none" w:sz="0" w:space="0" w:color="auto"/>
        <w:left w:val="none" w:sz="0" w:space="0" w:color="auto"/>
        <w:bottom w:val="none" w:sz="0" w:space="0" w:color="auto"/>
        <w:right w:val="none" w:sz="0" w:space="0" w:color="auto"/>
      </w:divBdr>
    </w:div>
    <w:div w:id="62067110">
      <w:bodyDiv w:val="1"/>
      <w:marLeft w:val="0"/>
      <w:marRight w:val="0"/>
      <w:marTop w:val="0"/>
      <w:marBottom w:val="0"/>
      <w:divBdr>
        <w:top w:val="none" w:sz="0" w:space="0" w:color="auto"/>
        <w:left w:val="none" w:sz="0" w:space="0" w:color="auto"/>
        <w:bottom w:val="none" w:sz="0" w:space="0" w:color="auto"/>
        <w:right w:val="none" w:sz="0" w:space="0" w:color="auto"/>
      </w:divBdr>
    </w:div>
    <w:div w:id="63770726">
      <w:bodyDiv w:val="1"/>
      <w:marLeft w:val="0"/>
      <w:marRight w:val="0"/>
      <w:marTop w:val="0"/>
      <w:marBottom w:val="0"/>
      <w:divBdr>
        <w:top w:val="none" w:sz="0" w:space="0" w:color="auto"/>
        <w:left w:val="none" w:sz="0" w:space="0" w:color="auto"/>
        <w:bottom w:val="none" w:sz="0" w:space="0" w:color="auto"/>
        <w:right w:val="none" w:sz="0" w:space="0" w:color="auto"/>
      </w:divBdr>
    </w:div>
    <w:div w:id="63994432">
      <w:bodyDiv w:val="1"/>
      <w:marLeft w:val="0"/>
      <w:marRight w:val="0"/>
      <w:marTop w:val="0"/>
      <w:marBottom w:val="0"/>
      <w:divBdr>
        <w:top w:val="none" w:sz="0" w:space="0" w:color="auto"/>
        <w:left w:val="none" w:sz="0" w:space="0" w:color="auto"/>
        <w:bottom w:val="none" w:sz="0" w:space="0" w:color="auto"/>
        <w:right w:val="none" w:sz="0" w:space="0" w:color="auto"/>
      </w:divBdr>
    </w:div>
    <w:div w:id="73553115">
      <w:bodyDiv w:val="1"/>
      <w:marLeft w:val="0"/>
      <w:marRight w:val="0"/>
      <w:marTop w:val="0"/>
      <w:marBottom w:val="0"/>
      <w:divBdr>
        <w:top w:val="none" w:sz="0" w:space="0" w:color="auto"/>
        <w:left w:val="none" w:sz="0" w:space="0" w:color="auto"/>
        <w:bottom w:val="none" w:sz="0" w:space="0" w:color="auto"/>
        <w:right w:val="none" w:sz="0" w:space="0" w:color="auto"/>
      </w:divBdr>
    </w:div>
    <w:div w:id="80488832">
      <w:bodyDiv w:val="1"/>
      <w:marLeft w:val="0"/>
      <w:marRight w:val="0"/>
      <w:marTop w:val="0"/>
      <w:marBottom w:val="0"/>
      <w:divBdr>
        <w:top w:val="none" w:sz="0" w:space="0" w:color="auto"/>
        <w:left w:val="none" w:sz="0" w:space="0" w:color="auto"/>
        <w:bottom w:val="none" w:sz="0" w:space="0" w:color="auto"/>
        <w:right w:val="none" w:sz="0" w:space="0" w:color="auto"/>
      </w:divBdr>
    </w:div>
    <w:div w:id="84545370">
      <w:bodyDiv w:val="1"/>
      <w:marLeft w:val="0"/>
      <w:marRight w:val="0"/>
      <w:marTop w:val="0"/>
      <w:marBottom w:val="0"/>
      <w:divBdr>
        <w:top w:val="none" w:sz="0" w:space="0" w:color="auto"/>
        <w:left w:val="none" w:sz="0" w:space="0" w:color="auto"/>
        <w:bottom w:val="none" w:sz="0" w:space="0" w:color="auto"/>
        <w:right w:val="none" w:sz="0" w:space="0" w:color="auto"/>
      </w:divBdr>
    </w:div>
    <w:div w:id="93863678">
      <w:bodyDiv w:val="1"/>
      <w:marLeft w:val="0"/>
      <w:marRight w:val="0"/>
      <w:marTop w:val="0"/>
      <w:marBottom w:val="0"/>
      <w:divBdr>
        <w:top w:val="none" w:sz="0" w:space="0" w:color="auto"/>
        <w:left w:val="none" w:sz="0" w:space="0" w:color="auto"/>
        <w:bottom w:val="none" w:sz="0" w:space="0" w:color="auto"/>
        <w:right w:val="none" w:sz="0" w:space="0" w:color="auto"/>
      </w:divBdr>
    </w:div>
    <w:div w:id="102268053">
      <w:bodyDiv w:val="1"/>
      <w:marLeft w:val="0"/>
      <w:marRight w:val="0"/>
      <w:marTop w:val="0"/>
      <w:marBottom w:val="0"/>
      <w:divBdr>
        <w:top w:val="none" w:sz="0" w:space="0" w:color="auto"/>
        <w:left w:val="none" w:sz="0" w:space="0" w:color="auto"/>
        <w:bottom w:val="none" w:sz="0" w:space="0" w:color="auto"/>
        <w:right w:val="none" w:sz="0" w:space="0" w:color="auto"/>
      </w:divBdr>
    </w:div>
    <w:div w:id="108202004">
      <w:bodyDiv w:val="1"/>
      <w:marLeft w:val="0"/>
      <w:marRight w:val="0"/>
      <w:marTop w:val="0"/>
      <w:marBottom w:val="0"/>
      <w:divBdr>
        <w:top w:val="none" w:sz="0" w:space="0" w:color="auto"/>
        <w:left w:val="none" w:sz="0" w:space="0" w:color="auto"/>
        <w:bottom w:val="none" w:sz="0" w:space="0" w:color="auto"/>
        <w:right w:val="none" w:sz="0" w:space="0" w:color="auto"/>
      </w:divBdr>
    </w:div>
    <w:div w:id="109477757">
      <w:bodyDiv w:val="1"/>
      <w:marLeft w:val="0"/>
      <w:marRight w:val="0"/>
      <w:marTop w:val="0"/>
      <w:marBottom w:val="0"/>
      <w:divBdr>
        <w:top w:val="none" w:sz="0" w:space="0" w:color="auto"/>
        <w:left w:val="none" w:sz="0" w:space="0" w:color="auto"/>
        <w:bottom w:val="none" w:sz="0" w:space="0" w:color="auto"/>
        <w:right w:val="none" w:sz="0" w:space="0" w:color="auto"/>
      </w:divBdr>
    </w:div>
    <w:div w:id="112797563">
      <w:bodyDiv w:val="1"/>
      <w:marLeft w:val="0"/>
      <w:marRight w:val="0"/>
      <w:marTop w:val="0"/>
      <w:marBottom w:val="0"/>
      <w:divBdr>
        <w:top w:val="none" w:sz="0" w:space="0" w:color="auto"/>
        <w:left w:val="none" w:sz="0" w:space="0" w:color="auto"/>
        <w:bottom w:val="none" w:sz="0" w:space="0" w:color="auto"/>
        <w:right w:val="none" w:sz="0" w:space="0" w:color="auto"/>
      </w:divBdr>
    </w:div>
    <w:div w:id="116223576">
      <w:bodyDiv w:val="1"/>
      <w:marLeft w:val="0"/>
      <w:marRight w:val="0"/>
      <w:marTop w:val="0"/>
      <w:marBottom w:val="0"/>
      <w:divBdr>
        <w:top w:val="none" w:sz="0" w:space="0" w:color="auto"/>
        <w:left w:val="none" w:sz="0" w:space="0" w:color="auto"/>
        <w:bottom w:val="none" w:sz="0" w:space="0" w:color="auto"/>
        <w:right w:val="none" w:sz="0" w:space="0" w:color="auto"/>
      </w:divBdr>
    </w:div>
    <w:div w:id="122121994">
      <w:bodyDiv w:val="1"/>
      <w:marLeft w:val="0"/>
      <w:marRight w:val="0"/>
      <w:marTop w:val="0"/>
      <w:marBottom w:val="0"/>
      <w:divBdr>
        <w:top w:val="none" w:sz="0" w:space="0" w:color="auto"/>
        <w:left w:val="none" w:sz="0" w:space="0" w:color="auto"/>
        <w:bottom w:val="none" w:sz="0" w:space="0" w:color="auto"/>
        <w:right w:val="none" w:sz="0" w:space="0" w:color="auto"/>
      </w:divBdr>
    </w:div>
    <w:div w:id="122355809">
      <w:bodyDiv w:val="1"/>
      <w:marLeft w:val="0"/>
      <w:marRight w:val="0"/>
      <w:marTop w:val="0"/>
      <w:marBottom w:val="0"/>
      <w:divBdr>
        <w:top w:val="none" w:sz="0" w:space="0" w:color="auto"/>
        <w:left w:val="none" w:sz="0" w:space="0" w:color="auto"/>
        <w:bottom w:val="none" w:sz="0" w:space="0" w:color="auto"/>
        <w:right w:val="none" w:sz="0" w:space="0" w:color="auto"/>
      </w:divBdr>
    </w:div>
    <w:div w:id="130174289">
      <w:bodyDiv w:val="1"/>
      <w:marLeft w:val="0"/>
      <w:marRight w:val="0"/>
      <w:marTop w:val="0"/>
      <w:marBottom w:val="0"/>
      <w:divBdr>
        <w:top w:val="none" w:sz="0" w:space="0" w:color="auto"/>
        <w:left w:val="none" w:sz="0" w:space="0" w:color="auto"/>
        <w:bottom w:val="none" w:sz="0" w:space="0" w:color="auto"/>
        <w:right w:val="none" w:sz="0" w:space="0" w:color="auto"/>
      </w:divBdr>
    </w:div>
    <w:div w:id="139032952">
      <w:bodyDiv w:val="1"/>
      <w:marLeft w:val="0"/>
      <w:marRight w:val="0"/>
      <w:marTop w:val="0"/>
      <w:marBottom w:val="0"/>
      <w:divBdr>
        <w:top w:val="none" w:sz="0" w:space="0" w:color="auto"/>
        <w:left w:val="none" w:sz="0" w:space="0" w:color="auto"/>
        <w:bottom w:val="none" w:sz="0" w:space="0" w:color="auto"/>
        <w:right w:val="none" w:sz="0" w:space="0" w:color="auto"/>
      </w:divBdr>
    </w:div>
    <w:div w:id="144511411">
      <w:bodyDiv w:val="1"/>
      <w:marLeft w:val="0"/>
      <w:marRight w:val="0"/>
      <w:marTop w:val="0"/>
      <w:marBottom w:val="0"/>
      <w:divBdr>
        <w:top w:val="none" w:sz="0" w:space="0" w:color="auto"/>
        <w:left w:val="none" w:sz="0" w:space="0" w:color="auto"/>
        <w:bottom w:val="none" w:sz="0" w:space="0" w:color="auto"/>
        <w:right w:val="none" w:sz="0" w:space="0" w:color="auto"/>
      </w:divBdr>
    </w:div>
    <w:div w:id="155583930">
      <w:bodyDiv w:val="1"/>
      <w:marLeft w:val="0"/>
      <w:marRight w:val="0"/>
      <w:marTop w:val="0"/>
      <w:marBottom w:val="0"/>
      <w:divBdr>
        <w:top w:val="none" w:sz="0" w:space="0" w:color="auto"/>
        <w:left w:val="none" w:sz="0" w:space="0" w:color="auto"/>
        <w:bottom w:val="none" w:sz="0" w:space="0" w:color="auto"/>
        <w:right w:val="none" w:sz="0" w:space="0" w:color="auto"/>
      </w:divBdr>
    </w:div>
    <w:div w:id="156043715">
      <w:bodyDiv w:val="1"/>
      <w:marLeft w:val="0"/>
      <w:marRight w:val="0"/>
      <w:marTop w:val="0"/>
      <w:marBottom w:val="0"/>
      <w:divBdr>
        <w:top w:val="none" w:sz="0" w:space="0" w:color="auto"/>
        <w:left w:val="none" w:sz="0" w:space="0" w:color="auto"/>
        <w:bottom w:val="none" w:sz="0" w:space="0" w:color="auto"/>
        <w:right w:val="none" w:sz="0" w:space="0" w:color="auto"/>
      </w:divBdr>
    </w:div>
    <w:div w:id="158617472">
      <w:bodyDiv w:val="1"/>
      <w:marLeft w:val="0"/>
      <w:marRight w:val="0"/>
      <w:marTop w:val="0"/>
      <w:marBottom w:val="0"/>
      <w:divBdr>
        <w:top w:val="none" w:sz="0" w:space="0" w:color="auto"/>
        <w:left w:val="none" w:sz="0" w:space="0" w:color="auto"/>
        <w:bottom w:val="none" w:sz="0" w:space="0" w:color="auto"/>
        <w:right w:val="none" w:sz="0" w:space="0" w:color="auto"/>
      </w:divBdr>
    </w:div>
    <w:div w:id="165825410">
      <w:bodyDiv w:val="1"/>
      <w:marLeft w:val="0"/>
      <w:marRight w:val="0"/>
      <w:marTop w:val="0"/>
      <w:marBottom w:val="0"/>
      <w:divBdr>
        <w:top w:val="none" w:sz="0" w:space="0" w:color="auto"/>
        <w:left w:val="none" w:sz="0" w:space="0" w:color="auto"/>
        <w:bottom w:val="none" w:sz="0" w:space="0" w:color="auto"/>
        <w:right w:val="none" w:sz="0" w:space="0" w:color="auto"/>
      </w:divBdr>
    </w:div>
    <w:div w:id="172183098">
      <w:bodyDiv w:val="1"/>
      <w:marLeft w:val="0"/>
      <w:marRight w:val="0"/>
      <w:marTop w:val="0"/>
      <w:marBottom w:val="0"/>
      <w:divBdr>
        <w:top w:val="none" w:sz="0" w:space="0" w:color="auto"/>
        <w:left w:val="none" w:sz="0" w:space="0" w:color="auto"/>
        <w:bottom w:val="none" w:sz="0" w:space="0" w:color="auto"/>
        <w:right w:val="none" w:sz="0" w:space="0" w:color="auto"/>
      </w:divBdr>
    </w:div>
    <w:div w:id="181822412">
      <w:bodyDiv w:val="1"/>
      <w:marLeft w:val="0"/>
      <w:marRight w:val="0"/>
      <w:marTop w:val="0"/>
      <w:marBottom w:val="0"/>
      <w:divBdr>
        <w:top w:val="none" w:sz="0" w:space="0" w:color="auto"/>
        <w:left w:val="none" w:sz="0" w:space="0" w:color="auto"/>
        <w:bottom w:val="none" w:sz="0" w:space="0" w:color="auto"/>
        <w:right w:val="none" w:sz="0" w:space="0" w:color="auto"/>
      </w:divBdr>
      <w:divsChild>
        <w:div w:id="694891240">
          <w:marLeft w:val="0"/>
          <w:marRight w:val="0"/>
          <w:marTop w:val="0"/>
          <w:marBottom w:val="0"/>
          <w:divBdr>
            <w:top w:val="none" w:sz="0" w:space="0" w:color="auto"/>
            <w:left w:val="none" w:sz="0" w:space="0" w:color="auto"/>
            <w:bottom w:val="none" w:sz="0" w:space="0" w:color="auto"/>
            <w:right w:val="none" w:sz="0" w:space="0" w:color="auto"/>
          </w:divBdr>
          <w:divsChild>
            <w:div w:id="134467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25836">
      <w:bodyDiv w:val="1"/>
      <w:marLeft w:val="0"/>
      <w:marRight w:val="0"/>
      <w:marTop w:val="0"/>
      <w:marBottom w:val="0"/>
      <w:divBdr>
        <w:top w:val="none" w:sz="0" w:space="0" w:color="auto"/>
        <w:left w:val="none" w:sz="0" w:space="0" w:color="auto"/>
        <w:bottom w:val="none" w:sz="0" w:space="0" w:color="auto"/>
        <w:right w:val="none" w:sz="0" w:space="0" w:color="auto"/>
      </w:divBdr>
    </w:div>
    <w:div w:id="189538266">
      <w:bodyDiv w:val="1"/>
      <w:marLeft w:val="0"/>
      <w:marRight w:val="0"/>
      <w:marTop w:val="0"/>
      <w:marBottom w:val="0"/>
      <w:divBdr>
        <w:top w:val="none" w:sz="0" w:space="0" w:color="auto"/>
        <w:left w:val="none" w:sz="0" w:space="0" w:color="auto"/>
        <w:bottom w:val="none" w:sz="0" w:space="0" w:color="auto"/>
        <w:right w:val="none" w:sz="0" w:space="0" w:color="auto"/>
      </w:divBdr>
    </w:div>
    <w:div w:id="203296905">
      <w:bodyDiv w:val="1"/>
      <w:marLeft w:val="0"/>
      <w:marRight w:val="0"/>
      <w:marTop w:val="0"/>
      <w:marBottom w:val="0"/>
      <w:divBdr>
        <w:top w:val="none" w:sz="0" w:space="0" w:color="auto"/>
        <w:left w:val="none" w:sz="0" w:space="0" w:color="auto"/>
        <w:bottom w:val="none" w:sz="0" w:space="0" w:color="auto"/>
        <w:right w:val="none" w:sz="0" w:space="0" w:color="auto"/>
      </w:divBdr>
    </w:div>
    <w:div w:id="225533297">
      <w:bodyDiv w:val="1"/>
      <w:marLeft w:val="0"/>
      <w:marRight w:val="0"/>
      <w:marTop w:val="0"/>
      <w:marBottom w:val="0"/>
      <w:divBdr>
        <w:top w:val="none" w:sz="0" w:space="0" w:color="auto"/>
        <w:left w:val="none" w:sz="0" w:space="0" w:color="auto"/>
        <w:bottom w:val="none" w:sz="0" w:space="0" w:color="auto"/>
        <w:right w:val="none" w:sz="0" w:space="0" w:color="auto"/>
      </w:divBdr>
    </w:div>
    <w:div w:id="226184843">
      <w:bodyDiv w:val="1"/>
      <w:marLeft w:val="0"/>
      <w:marRight w:val="0"/>
      <w:marTop w:val="0"/>
      <w:marBottom w:val="0"/>
      <w:divBdr>
        <w:top w:val="none" w:sz="0" w:space="0" w:color="auto"/>
        <w:left w:val="none" w:sz="0" w:space="0" w:color="auto"/>
        <w:bottom w:val="none" w:sz="0" w:space="0" w:color="auto"/>
        <w:right w:val="none" w:sz="0" w:space="0" w:color="auto"/>
      </w:divBdr>
    </w:div>
    <w:div w:id="233398253">
      <w:bodyDiv w:val="1"/>
      <w:marLeft w:val="0"/>
      <w:marRight w:val="0"/>
      <w:marTop w:val="0"/>
      <w:marBottom w:val="0"/>
      <w:divBdr>
        <w:top w:val="none" w:sz="0" w:space="0" w:color="auto"/>
        <w:left w:val="none" w:sz="0" w:space="0" w:color="auto"/>
        <w:bottom w:val="none" w:sz="0" w:space="0" w:color="auto"/>
        <w:right w:val="none" w:sz="0" w:space="0" w:color="auto"/>
      </w:divBdr>
    </w:div>
    <w:div w:id="234172751">
      <w:bodyDiv w:val="1"/>
      <w:marLeft w:val="0"/>
      <w:marRight w:val="0"/>
      <w:marTop w:val="0"/>
      <w:marBottom w:val="0"/>
      <w:divBdr>
        <w:top w:val="none" w:sz="0" w:space="0" w:color="auto"/>
        <w:left w:val="none" w:sz="0" w:space="0" w:color="auto"/>
        <w:bottom w:val="none" w:sz="0" w:space="0" w:color="auto"/>
        <w:right w:val="none" w:sz="0" w:space="0" w:color="auto"/>
      </w:divBdr>
      <w:divsChild>
        <w:div w:id="948465450">
          <w:marLeft w:val="0"/>
          <w:marRight w:val="0"/>
          <w:marTop w:val="0"/>
          <w:marBottom w:val="0"/>
          <w:divBdr>
            <w:top w:val="none" w:sz="0" w:space="0" w:color="auto"/>
            <w:left w:val="none" w:sz="0" w:space="0" w:color="auto"/>
            <w:bottom w:val="none" w:sz="0" w:space="0" w:color="auto"/>
            <w:right w:val="none" w:sz="0" w:space="0" w:color="auto"/>
          </w:divBdr>
        </w:div>
        <w:div w:id="948851521">
          <w:marLeft w:val="0"/>
          <w:marRight w:val="0"/>
          <w:marTop w:val="0"/>
          <w:marBottom w:val="0"/>
          <w:divBdr>
            <w:top w:val="none" w:sz="0" w:space="0" w:color="auto"/>
            <w:left w:val="none" w:sz="0" w:space="0" w:color="auto"/>
            <w:bottom w:val="none" w:sz="0" w:space="0" w:color="auto"/>
            <w:right w:val="none" w:sz="0" w:space="0" w:color="auto"/>
          </w:divBdr>
        </w:div>
      </w:divsChild>
    </w:div>
    <w:div w:id="237985565">
      <w:bodyDiv w:val="1"/>
      <w:marLeft w:val="0"/>
      <w:marRight w:val="0"/>
      <w:marTop w:val="0"/>
      <w:marBottom w:val="0"/>
      <w:divBdr>
        <w:top w:val="none" w:sz="0" w:space="0" w:color="auto"/>
        <w:left w:val="none" w:sz="0" w:space="0" w:color="auto"/>
        <w:bottom w:val="none" w:sz="0" w:space="0" w:color="auto"/>
        <w:right w:val="none" w:sz="0" w:space="0" w:color="auto"/>
      </w:divBdr>
    </w:div>
    <w:div w:id="242379688">
      <w:bodyDiv w:val="1"/>
      <w:marLeft w:val="0"/>
      <w:marRight w:val="0"/>
      <w:marTop w:val="0"/>
      <w:marBottom w:val="0"/>
      <w:divBdr>
        <w:top w:val="none" w:sz="0" w:space="0" w:color="auto"/>
        <w:left w:val="none" w:sz="0" w:space="0" w:color="auto"/>
        <w:bottom w:val="none" w:sz="0" w:space="0" w:color="auto"/>
        <w:right w:val="none" w:sz="0" w:space="0" w:color="auto"/>
      </w:divBdr>
    </w:div>
    <w:div w:id="254481611">
      <w:bodyDiv w:val="1"/>
      <w:marLeft w:val="0"/>
      <w:marRight w:val="0"/>
      <w:marTop w:val="0"/>
      <w:marBottom w:val="0"/>
      <w:divBdr>
        <w:top w:val="none" w:sz="0" w:space="0" w:color="auto"/>
        <w:left w:val="none" w:sz="0" w:space="0" w:color="auto"/>
        <w:bottom w:val="none" w:sz="0" w:space="0" w:color="auto"/>
        <w:right w:val="none" w:sz="0" w:space="0" w:color="auto"/>
      </w:divBdr>
    </w:div>
    <w:div w:id="259222434">
      <w:bodyDiv w:val="1"/>
      <w:marLeft w:val="0"/>
      <w:marRight w:val="0"/>
      <w:marTop w:val="0"/>
      <w:marBottom w:val="0"/>
      <w:divBdr>
        <w:top w:val="none" w:sz="0" w:space="0" w:color="auto"/>
        <w:left w:val="none" w:sz="0" w:space="0" w:color="auto"/>
        <w:bottom w:val="none" w:sz="0" w:space="0" w:color="auto"/>
        <w:right w:val="none" w:sz="0" w:space="0" w:color="auto"/>
      </w:divBdr>
    </w:div>
    <w:div w:id="259796556">
      <w:bodyDiv w:val="1"/>
      <w:marLeft w:val="0"/>
      <w:marRight w:val="0"/>
      <w:marTop w:val="0"/>
      <w:marBottom w:val="0"/>
      <w:divBdr>
        <w:top w:val="none" w:sz="0" w:space="0" w:color="auto"/>
        <w:left w:val="none" w:sz="0" w:space="0" w:color="auto"/>
        <w:bottom w:val="none" w:sz="0" w:space="0" w:color="auto"/>
        <w:right w:val="none" w:sz="0" w:space="0" w:color="auto"/>
      </w:divBdr>
    </w:div>
    <w:div w:id="267277571">
      <w:bodyDiv w:val="1"/>
      <w:marLeft w:val="0"/>
      <w:marRight w:val="0"/>
      <w:marTop w:val="0"/>
      <w:marBottom w:val="0"/>
      <w:divBdr>
        <w:top w:val="none" w:sz="0" w:space="0" w:color="auto"/>
        <w:left w:val="none" w:sz="0" w:space="0" w:color="auto"/>
        <w:bottom w:val="none" w:sz="0" w:space="0" w:color="auto"/>
        <w:right w:val="none" w:sz="0" w:space="0" w:color="auto"/>
      </w:divBdr>
    </w:div>
    <w:div w:id="268902205">
      <w:bodyDiv w:val="1"/>
      <w:marLeft w:val="0"/>
      <w:marRight w:val="0"/>
      <w:marTop w:val="0"/>
      <w:marBottom w:val="0"/>
      <w:divBdr>
        <w:top w:val="none" w:sz="0" w:space="0" w:color="auto"/>
        <w:left w:val="none" w:sz="0" w:space="0" w:color="auto"/>
        <w:bottom w:val="none" w:sz="0" w:space="0" w:color="auto"/>
        <w:right w:val="none" w:sz="0" w:space="0" w:color="auto"/>
      </w:divBdr>
    </w:div>
    <w:div w:id="278144335">
      <w:bodyDiv w:val="1"/>
      <w:marLeft w:val="0"/>
      <w:marRight w:val="0"/>
      <w:marTop w:val="0"/>
      <w:marBottom w:val="0"/>
      <w:divBdr>
        <w:top w:val="none" w:sz="0" w:space="0" w:color="auto"/>
        <w:left w:val="none" w:sz="0" w:space="0" w:color="auto"/>
        <w:bottom w:val="none" w:sz="0" w:space="0" w:color="auto"/>
        <w:right w:val="none" w:sz="0" w:space="0" w:color="auto"/>
      </w:divBdr>
    </w:div>
    <w:div w:id="283387414">
      <w:bodyDiv w:val="1"/>
      <w:marLeft w:val="0"/>
      <w:marRight w:val="0"/>
      <w:marTop w:val="0"/>
      <w:marBottom w:val="0"/>
      <w:divBdr>
        <w:top w:val="none" w:sz="0" w:space="0" w:color="auto"/>
        <w:left w:val="none" w:sz="0" w:space="0" w:color="auto"/>
        <w:bottom w:val="none" w:sz="0" w:space="0" w:color="auto"/>
        <w:right w:val="none" w:sz="0" w:space="0" w:color="auto"/>
      </w:divBdr>
    </w:div>
    <w:div w:id="298388945">
      <w:bodyDiv w:val="1"/>
      <w:marLeft w:val="0"/>
      <w:marRight w:val="0"/>
      <w:marTop w:val="0"/>
      <w:marBottom w:val="0"/>
      <w:divBdr>
        <w:top w:val="none" w:sz="0" w:space="0" w:color="auto"/>
        <w:left w:val="none" w:sz="0" w:space="0" w:color="auto"/>
        <w:bottom w:val="none" w:sz="0" w:space="0" w:color="auto"/>
        <w:right w:val="none" w:sz="0" w:space="0" w:color="auto"/>
      </w:divBdr>
    </w:div>
    <w:div w:id="306401104">
      <w:bodyDiv w:val="1"/>
      <w:marLeft w:val="0"/>
      <w:marRight w:val="0"/>
      <w:marTop w:val="0"/>
      <w:marBottom w:val="0"/>
      <w:divBdr>
        <w:top w:val="none" w:sz="0" w:space="0" w:color="auto"/>
        <w:left w:val="none" w:sz="0" w:space="0" w:color="auto"/>
        <w:bottom w:val="none" w:sz="0" w:space="0" w:color="auto"/>
        <w:right w:val="none" w:sz="0" w:space="0" w:color="auto"/>
      </w:divBdr>
    </w:div>
    <w:div w:id="312293113">
      <w:bodyDiv w:val="1"/>
      <w:marLeft w:val="0"/>
      <w:marRight w:val="0"/>
      <w:marTop w:val="0"/>
      <w:marBottom w:val="0"/>
      <w:divBdr>
        <w:top w:val="none" w:sz="0" w:space="0" w:color="auto"/>
        <w:left w:val="none" w:sz="0" w:space="0" w:color="auto"/>
        <w:bottom w:val="none" w:sz="0" w:space="0" w:color="auto"/>
        <w:right w:val="none" w:sz="0" w:space="0" w:color="auto"/>
      </w:divBdr>
    </w:div>
    <w:div w:id="321203698">
      <w:bodyDiv w:val="1"/>
      <w:marLeft w:val="0"/>
      <w:marRight w:val="0"/>
      <w:marTop w:val="0"/>
      <w:marBottom w:val="0"/>
      <w:divBdr>
        <w:top w:val="none" w:sz="0" w:space="0" w:color="auto"/>
        <w:left w:val="none" w:sz="0" w:space="0" w:color="auto"/>
        <w:bottom w:val="none" w:sz="0" w:space="0" w:color="auto"/>
        <w:right w:val="none" w:sz="0" w:space="0" w:color="auto"/>
      </w:divBdr>
    </w:div>
    <w:div w:id="321928798">
      <w:bodyDiv w:val="1"/>
      <w:marLeft w:val="0"/>
      <w:marRight w:val="0"/>
      <w:marTop w:val="0"/>
      <w:marBottom w:val="0"/>
      <w:divBdr>
        <w:top w:val="none" w:sz="0" w:space="0" w:color="auto"/>
        <w:left w:val="none" w:sz="0" w:space="0" w:color="auto"/>
        <w:bottom w:val="none" w:sz="0" w:space="0" w:color="auto"/>
        <w:right w:val="none" w:sz="0" w:space="0" w:color="auto"/>
      </w:divBdr>
    </w:div>
    <w:div w:id="332339261">
      <w:bodyDiv w:val="1"/>
      <w:marLeft w:val="0"/>
      <w:marRight w:val="0"/>
      <w:marTop w:val="0"/>
      <w:marBottom w:val="0"/>
      <w:divBdr>
        <w:top w:val="none" w:sz="0" w:space="0" w:color="auto"/>
        <w:left w:val="none" w:sz="0" w:space="0" w:color="auto"/>
        <w:bottom w:val="none" w:sz="0" w:space="0" w:color="auto"/>
        <w:right w:val="none" w:sz="0" w:space="0" w:color="auto"/>
      </w:divBdr>
    </w:div>
    <w:div w:id="345178367">
      <w:bodyDiv w:val="1"/>
      <w:marLeft w:val="0"/>
      <w:marRight w:val="0"/>
      <w:marTop w:val="0"/>
      <w:marBottom w:val="0"/>
      <w:divBdr>
        <w:top w:val="none" w:sz="0" w:space="0" w:color="auto"/>
        <w:left w:val="none" w:sz="0" w:space="0" w:color="auto"/>
        <w:bottom w:val="none" w:sz="0" w:space="0" w:color="auto"/>
        <w:right w:val="none" w:sz="0" w:space="0" w:color="auto"/>
      </w:divBdr>
    </w:div>
    <w:div w:id="357703494">
      <w:bodyDiv w:val="1"/>
      <w:marLeft w:val="0"/>
      <w:marRight w:val="0"/>
      <w:marTop w:val="0"/>
      <w:marBottom w:val="0"/>
      <w:divBdr>
        <w:top w:val="none" w:sz="0" w:space="0" w:color="auto"/>
        <w:left w:val="none" w:sz="0" w:space="0" w:color="auto"/>
        <w:bottom w:val="none" w:sz="0" w:space="0" w:color="auto"/>
        <w:right w:val="none" w:sz="0" w:space="0" w:color="auto"/>
      </w:divBdr>
    </w:div>
    <w:div w:id="360403190">
      <w:bodyDiv w:val="1"/>
      <w:marLeft w:val="0"/>
      <w:marRight w:val="0"/>
      <w:marTop w:val="0"/>
      <w:marBottom w:val="0"/>
      <w:divBdr>
        <w:top w:val="none" w:sz="0" w:space="0" w:color="auto"/>
        <w:left w:val="none" w:sz="0" w:space="0" w:color="auto"/>
        <w:bottom w:val="none" w:sz="0" w:space="0" w:color="auto"/>
        <w:right w:val="none" w:sz="0" w:space="0" w:color="auto"/>
      </w:divBdr>
    </w:div>
    <w:div w:id="371881293">
      <w:bodyDiv w:val="1"/>
      <w:marLeft w:val="0"/>
      <w:marRight w:val="0"/>
      <w:marTop w:val="0"/>
      <w:marBottom w:val="0"/>
      <w:divBdr>
        <w:top w:val="none" w:sz="0" w:space="0" w:color="auto"/>
        <w:left w:val="none" w:sz="0" w:space="0" w:color="auto"/>
        <w:bottom w:val="none" w:sz="0" w:space="0" w:color="auto"/>
        <w:right w:val="none" w:sz="0" w:space="0" w:color="auto"/>
      </w:divBdr>
    </w:div>
    <w:div w:id="377244616">
      <w:bodyDiv w:val="1"/>
      <w:marLeft w:val="0"/>
      <w:marRight w:val="0"/>
      <w:marTop w:val="0"/>
      <w:marBottom w:val="0"/>
      <w:divBdr>
        <w:top w:val="none" w:sz="0" w:space="0" w:color="auto"/>
        <w:left w:val="none" w:sz="0" w:space="0" w:color="auto"/>
        <w:bottom w:val="none" w:sz="0" w:space="0" w:color="auto"/>
        <w:right w:val="none" w:sz="0" w:space="0" w:color="auto"/>
      </w:divBdr>
    </w:div>
    <w:div w:id="379867689">
      <w:bodyDiv w:val="1"/>
      <w:marLeft w:val="0"/>
      <w:marRight w:val="0"/>
      <w:marTop w:val="0"/>
      <w:marBottom w:val="0"/>
      <w:divBdr>
        <w:top w:val="none" w:sz="0" w:space="0" w:color="auto"/>
        <w:left w:val="none" w:sz="0" w:space="0" w:color="auto"/>
        <w:bottom w:val="none" w:sz="0" w:space="0" w:color="auto"/>
        <w:right w:val="none" w:sz="0" w:space="0" w:color="auto"/>
      </w:divBdr>
    </w:div>
    <w:div w:id="380642197">
      <w:bodyDiv w:val="1"/>
      <w:marLeft w:val="0"/>
      <w:marRight w:val="0"/>
      <w:marTop w:val="0"/>
      <w:marBottom w:val="0"/>
      <w:divBdr>
        <w:top w:val="none" w:sz="0" w:space="0" w:color="auto"/>
        <w:left w:val="none" w:sz="0" w:space="0" w:color="auto"/>
        <w:bottom w:val="none" w:sz="0" w:space="0" w:color="auto"/>
        <w:right w:val="none" w:sz="0" w:space="0" w:color="auto"/>
      </w:divBdr>
    </w:div>
    <w:div w:id="381096579">
      <w:bodyDiv w:val="1"/>
      <w:marLeft w:val="0"/>
      <w:marRight w:val="0"/>
      <w:marTop w:val="0"/>
      <w:marBottom w:val="0"/>
      <w:divBdr>
        <w:top w:val="none" w:sz="0" w:space="0" w:color="auto"/>
        <w:left w:val="none" w:sz="0" w:space="0" w:color="auto"/>
        <w:bottom w:val="none" w:sz="0" w:space="0" w:color="auto"/>
        <w:right w:val="none" w:sz="0" w:space="0" w:color="auto"/>
      </w:divBdr>
    </w:div>
    <w:div w:id="386804442">
      <w:bodyDiv w:val="1"/>
      <w:marLeft w:val="0"/>
      <w:marRight w:val="0"/>
      <w:marTop w:val="0"/>
      <w:marBottom w:val="0"/>
      <w:divBdr>
        <w:top w:val="none" w:sz="0" w:space="0" w:color="auto"/>
        <w:left w:val="none" w:sz="0" w:space="0" w:color="auto"/>
        <w:bottom w:val="none" w:sz="0" w:space="0" w:color="auto"/>
        <w:right w:val="none" w:sz="0" w:space="0" w:color="auto"/>
      </w:divBdr>
    </w:div>
    <w:div w:id="393623578">
      <w:bodyDiv w:val="1"/>
      <w:marLeft w:val="0"/>
      <w:marRight w:val="0"/>
      <w:marTop w:val="0"/>
      <w:marBottom w:val="0"/>
      <w:divBdr>
        <w:top w:val="none" w:sz="0" w:space="0" w:color="auto"/>
        <w:left w:val="none" w:sz="0" w:space="0" w:color="auto"/>
        <w:bottom w:val="none" w:sz="0" w:space="0" w:color="auto"/>
        <w:right w:val="none" w:sz="0" w:space="0" w:color="auto"/>
      </w:divBdr>
    </w:div>
    <w:div w:id="393815970">
      <w:bodyDiv w:val="1"/>
      <w:marLeft w:val="0"/>
      <w:marRight w:val="0"/>
      <w:marTop w:val="0"/>
      <w:marBottom w:val="0"/>
      <w:divBdr>
        <w:top w:val="none" w:sz="0" w:space="0" w:color="auto"/>
        <w:left w:val="none" w:sz="0" w:space="0" w:color="auto"/>
        <w:bottom w:val="none" w:sz="0" w:space="0" w:color="auto"/>
        <w:right w:val="none" w:sz="0" w:space="0" w:color="auto"/>
      </w:divBdr>
    </w:div>
    <w:div w:id="397243632">
      <w:bodyDiv w:val="1"/>
      <w:marLeft w:val="0"/>
      <w:marRight w:val="0"/>
      <w:marTop w:val="0"/>
      <w:marBottom w:val="0"/>
      <w:divBdr>
        <w:top w:val="none" w:sz="0" w:space="0" w:color="auto"/>
        <w:left w:val="none" w:sz="0" w:space="0" w:color="auto"/>
        <w:bottom w:val="none" w:sz="0" w:space="0" w:color="auto"/>
        <w:right w:val="none" w:sz="0" w:space="0" w:color="auto"/>
      </w:divBdr>
    </w:div>
    <w:div w:id="405805146">
      <w:bodyDiv w:val="1"/>
      <w:marLeft w:val="0"/>
      <w:marRight w:val="0"/>
      <w:marTop w:val="0"/>
      <w:marBottom w:val="0"/>
      <w:divBdr>
        <w:top w:val="none" w:sz="0" w:space="0" w:color="auto"/>
        <w:left w:val="none" w:sz="0" w:space="0" w:color="auto"/>
        <w:bottom w:val="none" w:sz="0" w:space="0" w:color="auto"/>
        <w:right w:val="none" w:sz="0" w:space="0" w:color="auto"/>
      </w:divBdr>
    </w:div>
    <w:div w:id="417602012">
      <w:bodyDiv w:val="1"/>
      <w:marLeft w:val="0"/>
      <w:marRight w:val="0"/>
      <w:marTop w:val="0"/>
      <w:marBottom w:val="0"/>
      <w:divBdr>
        <w:top w:val="none" w:sz="0" w:space="0" w:color="auto"/>
        <w:left w:val="none" w:sz="0" w:space="0" w:color="auto"/>
        <w:bottom w:val="none" w:sz="0" w:space="0" w:color="auto"/>
        <w:right w:val="none" w:sz="0" w:space="0" w:color="auto"/>
      </w:divBdr>
    </w:div>
    <w:div w:id="423695470">
      <w:bodyDiv w:val="1"/>
      <w:marLeft w:val="0"/>
      <w:marRight w:val="0"/>
      <w:marTop w:val="0"/>
      <w:marBottom w:val="0"/>
      <w:divBdr>
        <w:top w:val="none" w:sz="0" w:space="0" w:color="auto"/>
        <w:left w:val="none" w:sz="0" w:space="0" w:color="auto"/>
        <w:bottom w:val="none" w:sz="0" w:space="0" w:color="auto"/>
        <w:right w:val="none" w:sz="0" w:space="0" w:color="auto"/>
      </w:divBdr>
    </w:div>
    <w:div w:id="432476950">
      <w:bodyDiv w:val="1"/>
      <w:marLeft w:val="0"/>
      <w:marRight w:val="0"/>
      <w:marTop w:val="0"/>
      <w:marBottom w:val="0"/>
      <w:divBdr>
        <w:top w:val="none" w:sz="0" w:space="0" w:color="auto"/>
        <w:left w:val="none" w:sz="0" w:space="0" w:color="auto"/>
        <w:bottom w:val="none" w:sz="0" w:space="0" w:color="auto"/>
        <w:right w:val="none" w:sz="0" w:space="0" w:color="auto"/>
      </w:divBdr>
    </w:div>
    <w:div w:id="433866237">
      <w:bodyDiv w:val="1"/>
      <w:marLeft w:val="0"/>
      <w:marRight w:val="0"/>
      <w:marTop w:val="0"/>
      <w:marBottom w:val="0"/>
      <w:divBdr>
        <w:top w:val="none" w:sz="0" w:space="0" w:color="auto"/>
        <w:left w:val="none" w:sz="0" w:space="0" w:color="auto"/>
        <w:bottom w:val="none" w:sz="0" w:space="0" w:color="auto"/>
        <w:right w:val="none" w:sz="0" w:space="0" w:color="auto"/>
      </w:divBdr>
    </w:div>
    <w:div w:id="439186523">
      <w:bodyDiv w:val="1"/>
      <w:marLeft w:val="0"/>
      <w:marRight w:val="0"/>
      <w:marTop w:val="0"/>
      <w:marBottom w:val="0"/>
      <w:divBdr>
        <w:top w:val="none" w:sz="0" w:space="0" w:color="auto"/>
        <w:left w:val="none" w:sz="0" w:space="0" w:color="auto"/>
        <w:bottom w:val="none" w:sz="0" w:space="0" w:color="auto"/>
        <w:right w:val="none" w:sz="0" w:space="0" w:color="auto"/>
      </w:divBdr>
    </w:div>
    <w:div w:id="445387188">
      <w:bodyDiv w:val="1"/>
      <w:marLeft w:val="0"/>
      <w:marRight w:val="0"/>
      <w:marTop w:val="0"/>
      <w:marBottom w:val="0"/>
      <w:divBdr>
        <w:top w:val="none" w:sz="0" w:space="0" w:color="auto"/>
        <w:left w:val="none" w:sz="0" w:space="0" w:color="auto"/>
        <w:bottom w:val="none" w:sz="0" w:space="0" w:color="auto"/>
        <w:right w:val="none" w:sz="0" w:space="0" w:color="auto"/>
      </w:divBdr>
    </w:div>
    <w:div w:id="467481168">
      <w:bodyDiv w:val="1"/>
      <w:marLeft w:val="0"/>
      <w:marRight w:val="0"/>
      <w:marTop w:val="0"/>
      <w:marBottom w:val="0"/>
      <w:divBdr>
        <w:top w:val="none" w:sz="0" w:space="0" w:color="auto"/>
        <w:left w:val="none" w:sz="0" w:space="0" w:color="auto"/>
        <w:bottom w:val="none" w:sz="0" w:space="0" w:color="auto"/>
        <w:right w:val="none" w:sz="0" w:space="0" w:color="auto"/>
      </w:divBdr>
    </w:div>
    <w:div w:id="470025842">
      <w:bodyDiv w:val="1"/>
      <w:marLeft w:val="0"/>
      <w:marRight w:val="0"/>
      <w:marTop w:val="0"/>
      <w:marBottom w:val="0"/>
      <w:divBdr>
        <w:top w:val="none" w:sz="0" w:space="0" w:color="auto"/>
        <w:left w:val="none" w:sz="0" w:space="0" w:color="auto"/>
        <w:bottom w:val="none" w:sz="0" w:space="0" w:color="auto"/>
        <w:right w:val="none" w:sz="0" w:space="0" w:color="auto"/>
      </w:divBdr>
    </w:div>
    <w:div w:id="472480938">
      <w:bodyDiv w:val="1"/>
      <w:marLeft w:val="0"/>
      <w:marRight w:val="0"/>
      <w:marTop w:val="0"/>
      <w:marBottom w:val="0"/>
      <w:divBdr>
        <w:top w:val="none" w:sz="0" w:space="0" w:color="auto"/>
        <w:left w:val="none" w:sz="0" w:space="0" w:color="auto"/>
        <w:bottom w:val="none" w:sz="0" w:space="0" w:color="auto"/>
        <w:right w:val="none" w:sz="0" w:space="0" w:color="auto"/>
      </w:divBdr>
    </w:div>
    <w:div w:id="476995063">
      <w:bodyDiv w:val="1"/>
      <w:marLeft w:val="0"/>
      <w:marRight w:val="0"/>
      <w:marTop w:val="0"/>
      <w:marBottom w:val="0"/>
      <w:divBdr>
        <w:top w:val="none" w:sz="0" w:space="0" w:color="auto"/>
        <w:left w:val="none" w:sz="0" w:space="0" w:color="auto"/>
        <w:bottom w:val="none" w:sz="0" w:space="0" w:color="auto"/>
        <w:right w:val="none" w:sz="0" w:space="0" w:color="auto"/>
      </w:divBdr>
    </w:div>
    <w:div w:id="483737518">
      <w:bodyDiv w:val="1"/>
      <w:marLeft w:val="0"/>
      <w:marRight w:val="0"/>
      <w:marTop w:val="0"/>
      <w:marBottom w:val="0"/>
      <w:divBdr>
        <w:top w:val="none" w:sz="0" w:space="0" w:color="auto"/>
        <w:left w:val="none" w:sz="0" w:space="0" w:color="auto"/>
        <w:bottom w:val="none" w:sz="0" w:space="0" w:color="auto"/>
        <w:right w:val="none" w:sz="0" w:space="0" w:color="auto"/>
      </w:divBdr>
    </w:div>
    <w:div w:id="487673124">
      <w:bodyDiv w:val="1"/>
      <w:marLeft w:val="0"/>
      <w:marRight w:val="0"/>
      <w:marTop w:val="0"/>
      <w:marBottom w:val="0"/>
      <w:divBdr>
        <w:top w:val="none" w:sz="0" w:space="0" w:color="auto"/>
        <w:left w:val="none" w:sz="0" w:space="0" w:color="auto"/>
        <w:bottom w:val="none" w:sz="0" w:space="0" w:color="auto"/>
        <w:right w:val="none" w:sz="0" w:space="0" w:color="auto"/>
      </w:divBdr>
    </w:div>
    <w:div w:id="489904997">
      <w:bodyDiv w:val="1"/>
      <w:marLeft w:val="0"/>
      <w:marRight w:val="0"/>
      <w:marTop w:val="0"/>
      <w:marBottom w:val="0"/>
      <w:divBdr>
        <w:top w:val="none" w:sz="0" w:space="0" w:color="auto"/>
        <w:left w:val="none" w:sz="0" w:space="0" w:color="auto"/>
        <w:bottom w:val="none" w:sz="0" w:space="0" w:color="auto"/>
        <w:right w:val="none" w:sz="0" w:space="0" w:color="auto"/>
      </w:divBdr>
    </w:div>
    <w:div w:id="493684285">
      <w:bodyDiv w:val="1"/>
      <w:marLeft w:val="0"/>
      <w:marRight w:val="0"/>
      <w:marTop w:val="0"/>
      <w:marBottom w:val="0"/>
      <w:divBdr>
        <w:top w:val="none" w:sz="0" w:space="0" w:color="auto"/>
        <w:left w:val="none" w:sz="0" w:space="0" w:color="auto"/>
        <w:bottom w:val="none" w:sz="0" w:space="0" w:color="auto"/>
        <w:right w:val="none" w:sz="0" w:space="0" w:color="auto"/>
      </w:divBdr>
    </w:div>
    <w:div w:id="510489217">
      <w:bodyDiv w:val="1"/>
      <w:marLeft w:val="0"/>
      <w:marRight w:val="0"/>
      <w:marTop w:val="0"/>
      <w:marBottom w:val="0"/>
      <w:divBdr>
        <w:top w:val="none" w:sz="0" w:space="0" w:color="auto"/>
        <w:left w:val="none" w:sz="0" w:space="0" w:color="auto"/>
        <w:bottom w:val="none" w:sz="0" w:space="0" w:color="auto"/>
        <w:right w:val="none" w:sz="0" w:space="0" w:color="auto"/>
      </w:divBdr>
    </w:div>
    <w:div w:id="515270642">
      <w:bodyDiv w:val="1"/>
      <w:marLeft w:val="0"/>
      <w:marRight w:val="0"/>
      <w:marTop w:val="0"/>
      <w:marBottom w:val="0"/>
      <w:divBdr>
        <w:top w:val="none" w:sz="0" w:space="0" w:color="auto"/>
        <w:left w:val="none" w:sz="0" w:space="0" w:color="auto"/>
        <w:bottom w:val="none" w:sz="0" w:space="0" w:color="auto"/>
        <w:right w:val="none" w:sz="0" w:space="0" w:color="auto"/>
      </w:divBdr>
    </w:div>
    <w:div w:id="536625668">
      <w:bodyDiv w:val="1"/>
      <w:marLeft w:val="0"/>
      <w:marRight w:val="0"/>
      <w:marTop w:val="0"/>
      <w:marBottom w:val="0"/>
      <w:divBdr>
        <w:top w:val="none" w:sz="0" w:space="0" w:color="auto"/>
        <w:left w:val="none" w:sz="0" w:space="0" w:color="auto"/>
        <w:bottom w:val="none" w:sz="0" w:space="0" w:color="auto"/>
        <w:right w:val="none" w:sz="0" w:space="0" w:color="auto"/>
      </w:divBdr>
    </w:div>
    <w:div w:id="538277900">
      <w:bodyDiv w:val="1"/>
      <w:marLeft w:val="0"/>
      <w:marRight w:val="0"/>
      <w:marTop w:val="0"/>
      <w:marBottom w:val="0"/>
      <w:divBdr>
        <w:top w:val="none" w:sz="0" w:space="0" w:color="auto"/>
        <w:left w:val="none" w:sz="0" w:space="0" w:color="auto"/>
        <w:bottom w:val="none" w:sz="0" w:space="0" w:color="auto"/>
        <w:right w:val="none" w:sz="0" w:space="0" w:color="auto"/>
      </w:divBdr>
    </w:div>
    <w:div w:id="557478002">
      <w:bodyDiv w:val="1"/>
      <w:marLeft w:val="0"/>
      <w:marRight w:val="0"/>
      <w:marTop w:val="0"/>
      <w:marBottom w:val="0"/>
      <w:divBdr>
        <w:top w:val="none" w:sz="0" w:space="0" w:color="auto"/>
        <w:left w:val="none" w:sz="0" w:space="0" w:color="auto"/>
        <w:bottom w:val="none" w:sz="0" w:space="0" w:color="auto"/>
        <w:right w:val="none" w:sz="0" w:space="0" w:color="auto"/>
      </w:divBdr>
    </w:div>
    <w:div w:id="564029929">
      <w:bodyDiv w:val="1"/>
      <w:marLeft w:val="0"/>
      <w:marRight w:val="0"/>
      <w:marTop w:val="0"/>
      <w:marBottom w:val="0"/>
      <w:divBdr>
        <w:top w:val="none" w:sz="0" w:space="0" w:color="auto"/>
        <w:left w:val="none" w:sz="0" w:space="0" w:color="auto"/>
        <w:bottom w:val="none" w:sz="0" w:space="0" w:color="auto"/>
        <w:right w:val="none" w:sz="0" w:space="0" w:color="auto"/>
      </w:divBdr>
    </w:div>
    <w:div w:id="590042128">
      <w:bodyDiv w:val="1"/>
      <w:marLeft w:val="0"/>
      <w:marRight w:val="0"/>
      <w:marTop w:val="0"/>
      <w:marBottom w:val="0"/>
      <w:divBdr>
        <w:top w:val="none" w:sz="0" w:space="0" w:color="auto"/>
        <w:left w:val="none" w:sz="0" w:space="0" w:color="auto"/>
        <w:bottom w:val="none" w:sz="0" w:space="0" w:color="auto"/>
        <w:right w:val="none" w:sz="0" w:space="0" w:color="auto"/>
      </w:divBdr>
    </w:div>
    <w:div w:id="591090134">
      <w:bodyDiv w:val="1"/>
      <w:marLeft w:val="0"/>
      <w:marRight w:val="0"/>
      <w:marTop w:val="0"/>
      <w:marBottom w:val="0"/>
      <w:divBdr>
        <w:top w:val="none" w:sz="0" w:space="0" w:color="auto"/>
        <w:left w:val="none" w:sz="0" w:space="0" w:color="auto"/>
        <w:bottom w:val="none" w:sz="0" w:space="0" w:color="auto"/>
        <w:right w:val="none" w:sz="0" w:space="0" w:color="auto"/>
      </w:divBdr>
    </w:div>
    <w:div w:id="593436610">
      <w:bodyDiv w:val="1"/>
      <w:marLeft w:val="0"/>
      <w:marRight w:val="0"/>
      <w:marTop w:val="0"/>
      <w:marBottom w:val="0"/>
      <w:divBdr>
        <w:top w:val="none" w:sz="0" w:space="0" w:color="auto"/>
        <w:left w:val="none" w:sz="0" w:space="0" w:color="auto"/>
        <w:bottom w:val="none" w:sz="0" w:space="0" w:color="auto"/>
        <w:right w:val="none" w:sz="0" w:space="0" w:color="auto"/>
      </w:divBdr>
    </w:div>
    <w:div w:id="604918867">
      <w:bodyDiv w:val="1"/>
      <w:marLeft w:val="0"/>
      <w:marRight w:val="0"/>
      <w:marTop w:val="0"/>
      <w:marBottom w:val="0"/>
      <w:divBdr>
        <w:top w:val="none" w:sz="0" w:space="0" w:color="auto"/>
        <w:left w:val="none" w:sz="0" w:space="0" w:color="auto"/>
        <w:bottom w:val="none" w:sz="0" w:space="0" w:color="auto"/>
        <w:right w:val="none" w:sz="0" w:space="0" w:color="auto"/>
      </w:divBdr>
    </w:div>
    <w:div w:id="609823585">
      <w:bodyDiv w:val="1"/>
      <w:marLeft w:val="0"/>
      <w:marRight w:val="0"/>
      <w:marTop w:val="0"/>
      <w:marBottom w:val="0"/>
      <w:divBdr>
        <w:top w:val="none" w:sz="0" w:space="0" w:color="auto"/>
        <w:left w:val="none" w:sz="0" w:space="0" w:color="auto"/>
        <w:bottom w:val="none" w:sz="0" w:space="0" w:color="auto"/>
        <w:right w:val="none" w:sz="0" w:space="0" w:color="auto"/>
      </w:divBdr>
    </w:div>
    <w:div w:id="618756895">
      <w:bodyDiv w:val="1"/>
      <w:marLeft w:val="0"/>
      <w:marRight w:val="0"/>
      <w:marTop w:val="0"/>
      <w:marBottom w:val="0"/>
      <w:divBdr>
        <w:top w:val="none" w:sz="0" w:space="0" w:color="auto"/>
        <w:left w:val="none" w:sz="0" w:space="0" w:color="auto"/>
        <w:bottom w:val="none" w:sz="0" w:space="0" w:color="auto"/>
        <w:right w:val="none" w:sz="0" w:space="0" w:color="auto"/>
      </w:divBdr>
    </w:div>
    <w:div w:id="621035894">
      <w:bodyDiv w:val="1"/>
      <w:marLeft w:val="0"/>
      <w:marRight w:val="0"/>
      <w:marTop w:val="0"/>
      <w:marBottom w:val="0"/>
      <w:divBdr>
        <w:top w:val="none" w:sz="0" w:space="0" w:color="auto"/>
        <w:left w:val="none" w:sz="0" w:space="0" w:color="auto"/>
        <w:bottom w:val="none" w:sz="0" w:space="0" w:color="auto"/>
        <w:right w:val="none" w:sz="0" w:space="0" w:color="auto"/>
      </w:divBdr>
    </w:div>
    <w:div w:id="625163508">
      <w:bodyDiv w:val="1"/>
      <w:marLeft w:val="0"/>
      <w:marRight w:val="0"/>
      <w:marTop w:val="0"/>
      <w:marBottom w:val="0"/>
      <w:divBdr>
        <w:top w:val="none" w:sz="0" w:space="0" w:color="auto"/>
        <w:left w:val="none" w:sz="0" w:space="0" w:color="auto"/>
        <w:bottom w:val="none" w:sz="0" w:space="0" w:color="auto"/>
        <w:right w:val="none" w:sz="0" w:space="0" w:color="auto"/>
      </w:divBdr>
    </w:div>
    <w:div w:id="640768122">
      <w:bodyDiv w:val="1"/>
      <w:marLeft w:val="0"/>
      <w:marRight w:val="0"/>
      <w:marTop w:val="0"/>
      <w:marBottom w:val="0"/>
      <w:divBdr>
        <w:top w:val="none" w:sz="0" w:space="0" w:color="auto"/>
        <w:left w:val="none" w:sz="0" w:space="0" w:color="auto"/>
        <w:bottom w:val="none" w:sz="0" w:space="0" w:color="auto"/>
        <w:right w:val="none" w:sz="0" w:space="0" w:color="auto"/>
      </w:divBdr>
    </w:div>
    <w:div w:id="642198353">
      <w:bodyDiv w:val="1"/>
      <w:marLeft w:val="0"/>
      <w:marRight w:val="0"/>
      <w:marTop w:val="0"/>
      <w:marBottom w:val="0"/>
      <w:divBdr>
        <w:top w:val="none" w:sz="0" w:space="0" w:color="auto"/>
        <w:left w:val="none" w:sz="0" w:space="0" w:color="auto"/>
        <w:bottom w:val="none" w:sz="0" w:space="0" w:color="auto"/>
        <w:right w:val="none" w:sz="0" w:space="0" w:color="auto"/>
      </w:divBdr>
    </w:div>
    <w:div w:id="647055645">
      <w:bodyDiv w:val="1"/>
      <w:marLeft w:val="0"/>
      <w:marRight w:val="0"/>
      <w:marTop w:val="0"/>
      <w:marBottom w:val="0"/>
      <w:divBdr>
        <w:top w:val="none" w:sz="0" w:space="0" w:color="auto"/>
        <w:left w:val="none" w:sz="0" w:space="0" w:color="auto"/>
        <w:bottom w:val="none" w:sz="0" w:space="0" w:color="auto"/>
        <w:right w:val="none" w:sz="0" w:space="0" w:color="auto"/>
      </w:divBdr>
    </w:div>
    <w:div w:id="647713993">
      <w:bodyDiv w:val="1"/>
      <w:marLeft w:val="0"/>
      <w:marRight w:val="0"/>
      <w:marTop w:val="0"/>
      <w:marBottom w:val="0"/>
      <w:divBdr>
        <w:top w:val="none" w:sz="0" w:space="0" w:color="auto"/>
        <w:left w:val="none" w:sz="0" w:space="0" w:color="auto"/>
        <w:bottom w:val="none" w:sz="0" w:space="0" w:color="auto"/>
        <w:right w:val="none" w:sz="0" w:space="0" w:color="auto"/>
      </w:divBdr>
    </w:div>
    <w:div w:id="653610616">
      <w:bodyDiv w:val="1"/>
      <w:marLeft w:val="0"/>
      <w:marRight w:val="0"/>
      <w:marTop w:val="0"/>
      <w:marBottom w:val="0"/>
      <w:divBdr>
        <w:top w:val="none" w:sz="0" w:space="0" w:color="auto"/>
        <w:left w:val="none" w:sz="0" w:space="0" w:color="auto"/>
        <w:bottom w:val="none" w:sz="0" w:space="0" w:color="auto"/>
        <w:right w:val="none" w:sz="0" w:space="0" w:color="auto"/>
      </w:divBdr>
    </w:div>
    <w:div w:id="657467610">
      <w:bodyDiv w:val="1"/>
      <w:marLeft w:val="0"/>
      <w:marRight w:val="0"/>
      <w:marTop w:val="0"/>
      <w:marBottom w:val="0"/>
      <w:divBdr>
        <w:top w:val="none" w:sz="0" w:space="0" w:color="auto"/>
        <w:left w:val="none" w:sz="0" w:space="0" w:color="auto"/>
        <w:bottom w:val="none" w:sz="0" w:space="0" w:color="auto"/>
        <w:right w:val="none" w:sz="0" w:space="0" w:color="auto"/>
      </w:divBdr>
    </w:div>
    <w:div w:id="668946148">
      <w:bodyDiv w:val="1"/>
      <w:marLeft w:val="0"/>
      <w:marRight w:val="0"/>
      <w:marTop w:val="0"/>
      <w:marBottom w:val="0"/>
      <w:divBdr>
        <w:top w:val="none" w:sz="0" w:space="0" w:color="auto"/>
        <w:left w:val="none" w:sz="0" w:space="0" w:color="auto"/>
        <w:bottom w:val="none" w:sz="0" w:space="0" w:color="auto"/>
        <w:right w:val="none" w:sz="0" w:space="0" w:color="auto"/>
      </w:divBdr>
    </w:div>
    <w:div w:id="682630673">
      <w:bodyDiv w:val="1"/>
      <w:marLeft w:val="0"/>
      <w:marRight w:val="0"/>
      <w:marTop w:val="0"/>
      <w:marBottom w:val="0"/>
      <w:divBdr>
        <w:top w:val="none" w:sz="0" w:space="0" w:color="auto"/>
        <w:left w:val="none" w:sz="0" w:space="0" w:color="auto"/>
        <w:bottom w:val="none" w:sz="0" w:space="0" w:color="auto"/>
        <w:right w:val="none" w:sz="0" w:space="0" w:color="auto"/>
      </w:divBdr>
    </w:div>
    <w:div w:id="689066938">
      <w:bodyDiv w:val="1"/>
      <w:marLeft w:val="0"/>
      <w:marRight w:val="0"/>
      <w:marTop w:val="0"/>
      <w:marBottom w:val="0"/>
      <w:divBdr>
        <w:top w:val="none" w:sz="0" w:space="0" w:color="auto"/>
        <w:left w:val="none" w:sz="0" w:space="0" w:color="auto"/>
        <w:bottom w:val="none" w:sz="0" w:space="0" w:color="auto"/>
        <w:right w:val="none" w:sz="0" w:space="0" w:color="auto"/>
      </w:divBdr>
    </w:div>
    <w:div w:id="694232897">
      <w:bodyDiv w:val="1"/>
      <w:marLeft w:val="0"/>
      <w:marRight w:val="0"/>
      <w:marTop w:val="0"/>
      <w:marBottom w:val="0"/>
      <w:divBdr>
        <w:top w:val="none" w:sz="0" w:space="0" w:color="auto"/>
        <w:left w:val="none" w:sz="0" w:space="0" w:color="auto"/>
        <w:bottom w:val="none" w:sz="0" w:space="0" w:color="auto"/>
        <w:right w:val="none" w:sz="0" w:space="0" w:color="auto"/>
      </w:divBdr>
    </w:div>
    <w:div w:id="707875032">
      <w:bodyDiv w:val="1"/>
      <w:marLeft w:val="0"/>
      <w:marRight w:val="0"/>
      <w:marTop w:val="0"/>
      <w:marBottom w:val="0"/>
      <w:divBdr>
        <w:top w:val="none" w:sz="0" w:space="0" w:color="auto"/>
        <w:left w:val="none" w:sz="0" w:space="0" w:color="auto"/>
        <w:bottom w:val="none" w:sz="0" w:space="0" w:color="auto"/>
        <w:right w:val="none" w:sz="0" w:space="0" w:color="auto"/>
      </w:divBdr>
    </w:div>
    <w:div w:id="713584083">
      <w:bodyDiv w:val="1"/>
      <w:marLeft w:val="0"/>
      <w:marRight w:val="0"/>
      <w:marTop w:val="0"/>
      <w:marBottom w:val="0"/>
      <w:divBdr>
        <w:top w:val="none" w:sz="0" w:space="0" w:color="auto"/>
        <w:left w:val="none" w:sz="0" w:space="0" w:color="auto"/>
        <w:bottom w:val="none" w:sz="0" w:space="0" w:color="auto"/>
        <w:right w:val="none" w:sz="0" w:space="0" w:color="auto"/>
      </w:divBdr>
    </w:div>
    <w:div w:id="724916161">
      <w:bodyDiv w:val="1"/>
      <w:marLeft w:val="0"/>
      <w:marRight w:val="0"/>
      <w:marTop w:val="0"/>
      <w:marBottom w:val="0"/>
      <w:divBdr>
        <w:top w:val="none" w:sz="0" w:space="0" w:color="auto"/>
        <w:left w:val="none" w:sz="0" w:space="0" w:color="auto"/>
        <w:bottom w:val="none" w:sz="0" w:space="0" w:color="auto"/>
        <w:right w:val="none" w:sz="0" w:space="0" w:color="auto"/>
      </w:divBdr>
    </w:div>
    <w:div w:id="729498898">
      <w:bodyDiv w:val="1"/>
      <w:marLeft w:val="0"/>
      <w:marRight w:val="0"/>
      <w:marTop w:val="0"/>
      <w:marBottom w:val="0"/>
      <w:divBdr>
        <w:top w:val="none" w:sz="0" w:space="0" w:color="auto"/>
        <w:left w:val="none" w:sz="0" w:space="0" w:color="auto"/>
        <w:bottom w:val="none" w:sz="0" w:space="0" w:color="auto"/>
        <w:right w:val="none" w:sz="0" w:space="0" w:color="auto"/>
      </w:divBdr>
    </w:div>
    <w:div w:id="739326907">
      <w:bodyDiv w:val="1"/>
      <w:marLeft w:val="0"/>
      <w:marRight w:val="0"/>
      <w:marTop w:val="0"/>
      <w:marBottom w:val="0"/>
      <w:divBdr>
        <w:top w:val="none" w:sz="0" w:space="0" w:color="auto"/>
        <w:left w:val="none" w:sz="0" w:space="0" w:color="auto"/>
        <w:bottom w:val="none" w:sz="0" w:space="0" w:color="auto"/>
        <w:right w:val="none" w:sz="0" w:space="0" w:color="auto"/>
      </w:divBdr>
    </w:div>
    <w:div w:id="747773026">
      <w:bodyDiv w:val="1"/>
      <w:marLeft w:val="0"/>
      <w:marRight w:val="0"/>
      <w:marTop w:val="0"/>
      <w:marBottom w:val="0"/>
      <w:divBdr>
        <w:top w:val="none" w:sz="0" w:space="0" w:color="auto"/>
        <w:left w:val="none" w:sz="0" w:space="0" w:color="auto"/>
        <w:bottom w:val="none" w:sz="0" w:space="0" w:color="auto"/>
        <w:right w:val="none" w:sz="0" w:space="0" w:color="auto"/>
      </w:divBdr>
    </w:div>
    <w:div w:id="755906718">
      <w:bodyDiv w:val="1"/>
      <w:marLeft w:val="0"/>
      <w:marRight w:val="0"/>
      <w:marTop w:val="0"/>
      <w:marBottom w:val="0"/>
      <w:divBdr>
        <w:top w:val="none" w:sz="0" w:space="0" w:color="auto"/>
        <w:left w:val="none" w:sz="0" w:space="0" w:color="auto"/>
        <w:bottom w:val="none" w:sz="0" w:space="0" w:color="auto"/>
        <w:right w:val="none" w:sz="0" w:space="0" w:color="auto"/>
      </w:divBdr>
    </w:div>
    <w:div w:id="756100139">
      <w:bodyDiv w:val="1"/>
      <w:marLeft w:val="0"/>
      <w:marRight w:val="0"/>
      <w:marTop w:val="0"/>
      <w:marBottom w:val="0"/>
      <w:divBdr>
        <w:top w:val="none" w:sz="0" w:space="0" w:color="auto"/>
        <w:left w:val="none" w:sz="0" w:space="0" w:color="auto"/>
        <w:bottom w:val="none" w:sz="0" w:space="0" w:color="auto"/>
        <w:right w:val="none" w:sz="0" w:space="0" w:color="auto"/>
      </w:divBdr>
    </w:div>
    <w:div w:id="757404092">
      <w:bodyDiv w:val="1"/>
      <w:marLeft w:val="0"/>
      <w:marRight w:val="0"/>
      <w:marTop w:val="0"/>
      <w:marBottom w:val="0"/>
      <w:divBdr>
        <w:top w:val="none" w:sz="0" w:space="0" w:color="auto"/>
        <w:left w:val="none" w:sz="0" w:space="0" w:color="auto"/>
        <w:bottom w:val="none" w:sz="0" w:space="0" w:color="auto"/>
        <w:right w:val="none" w:sz="0" w:space="0" w:color="auto"/>
      </w:divBdr>
    </w:div>
    <w:div w:id="761876099">
      <w:bodyDiv w:val="1"/>
      <w:marLeft w:val="0"/>
      <w:marRight w:val="0"/>
      <w:marTop w:val="0"/>
      <w:marBottom w:val="0"/>
      <w:divBdr>
        <w:top w:val="none" w:sz="0" w:space="0" w:color="auto"/>
        <w:left w:val="none" w:sz="0" w:space="0" w:color="auto"/>
        <w:bottom w:val="none" w:sz="0" w:space="0" w:color="auto"/>
        <w:right w:val="none" w:sz="0" w:space="0" w:color="auto"/>
      </w:divBdr>
    </w:div>
    <w:div w:id="764348164">
      <w:bodyDiv w:val="1"/>
      <w:marLeft w:val="0"/>
      <w:marRight w:val="0"/>
      <w:marTop w:val="0"/>
      <w:marBottom w:val="0"/>
      <w:divBdr>
        <w:top w:val="none" w:sz="0" w:space="0" w:color="auto"/>
        <w:left w:val="none" w:sz="0" w:space="0" w:color="auto"/>
        <w:bottom w:val="none" w:sz="0" w:space="0" w:color="auto"/>
        <w:right w:val="none" w:sz="0" w:space="0" w:color="auto"/>
      </w:divBdr>
    </w:div>
    <w:div w:id="769738476">
      <w:bodyDiv w:val="1"/>
      <w:marLeft w:val="0"/>
      <w:marRight w:val="0"/>
      <w:marTop w:val="0"/>
      <w:marBottom w:val="0"/>
      <w:divBdr>
        <w:top w:val="none" w:sz="0" w:space="0" w:color="auto"/>
        <w:left w:val="none" w:sz="0" w:space="0" w:color="auto"/>
        <w:bottom w:val="none" w:sz="0" w:space="0" w:color="auto"/>
        <w:right w:val="none" w:sz="0" w:space="0" w:color="auto"/>
      </w:divBdr>
    </w:div>
    <w:div w:id="780607942">
      <w:bodyDiv w:val="1"/>
      <w:marLeft w:val="0"/>
      <w:marRight w:val="0"/>
      <w:marTop w:val="0"/>
      <w:marBottom w:val="0"/>
      <w:divBdr>
        <w:top w:val="none" w:sz="0" w:space="0" w:color="auto"/>
        <w:left w:val="none" w:sz="0" w:space="0" w:color="auto"/>
        <w:bottom w:val="none" w:sz="0" w:space="0" w:color="auto"/>
        <w:right w:val="none" w:sz="0" w:space="0" w:color="auto"/>
      </w:divBdr>
    </w:div>
    <w:div w:id="783966729">
      <w:bodyDiv w:val="1"/>
      <w:marLeft w:val="0"/>
      <w:marRight w:val="0"/>
      <w:marTop w:val="0"/>
      <w:marBottom w:val="0"/>
      <w:divBdr>
        <w:top w:val="none" w:sz="0" w:space="0" w:color="auto"/>
        <w:left w:val="none" w:sz="0" w:space="0" w:color="auto"/>
        <w:bottom w:val="none" w:sz="0" w:space="0" w:color="auto"/>
        <w:right w:val="none" w:sz="0" w:space="0" w:color="auto"/>
      </w:divBdr>
    </w:div>
    <w:div w:id="786121387">
      <w:bodyDiv w:val="1"/>
      <w:marLeft w:val="0"/>
      <w:marRight w:val="0"/>
      <w:marTop w:val="0"/>
      <w:marBottom w:val="0"/>
      <w:divBdr>
        <w:top w:val="none" w:sz="0" w:space="0" w:color="auto"/>
        <w:left w:val="none" w:sz="0" w:space="0" w:color="auto"/>
        <w:bottom w:val="none" w:sz="0" w:space="0" w:color="auto"/>
        <w:right w:val="none" w:sz="0" w:space="0" w:color="auto"/>
      </w:divBdr>
    </w:div>
    <w:div w:id="789128537">
      <w:bodyDiv w:val="1"/>
      <w:marLeft w:val="0"/>
      <w:marRight w:val="0"/>
      <w:marTop w:val="0"/>
      <w:marBottom w:val="0"/>
      <w:divBdr>
        <w:top w:val="none" w:sz="0" w:space="0" w:color="auto"/>
        <w:left w:val="none" w:sz="0" w:space="0" w:color="auto"/>
        <w:bottom w:val="none" w:sz="0" w:space="0" w:color="auto"/>
        <w:right w:val="none" w:sz="0" w:space="0" w:color="auto"/>
      </w:divBdr>
    </w:div>
    <w:div w:id="808863112">
      <w:bodyDiv w:val="1"/>
      <w:marLeft w:val="0"/>
      <w:marRight w:val="0"/>
      <w:marTop w:val="0"/>
      <w:marBottom w:val="0"/>
      <w:divBdr>
        <w:top w:val="none" w:sz="0" w:space="0" w:color="auto"/>
        <w:left w:val="none" w:sz="0" w:space="0" w:color="auto"/>
        <w:bottom w:val="none" w:sz="0" w:space="0" w:color="auto"/>
        <w:right w:val="none" w:sz="0" w:space="0" w:color="auto"/>
      </w:divBdr>
    </w:div>
    <w:div w:id="812022226">
      <w:bodyDiv w:val="1"/>
      <w:marLeft w:val="0"/>
      <w:marRight w:val="0"/>
      <w:marTop w:val="0"/>
      <w:marBottom w:val="0"/>
      <w:divBdr>
        <w:top w:val="none" w:sz="0" w:space="0" w:color="auto"/>
        <w:left w:val="none" w:sz="0" w:space="0" w:color="auto"/>
        <w:bottom w:val="none" w:sz="0" w:space="0" w:color="auto"/>
        <w:right w:val="none" w:sz="0" w:space="0" w:color="auto"/>
      </w:divBdr>
    </w:div>
    <w:div w:id="817648157">
      <w:bodyDiv w:val="1"/>
      <w:marLeft w:val="0"/>
      <w:marRight w:val="0"/>
      <w:marTop w:val="0"/>
      <w:marBottom w:val="0"/>
      <w:divBdr>
        <w:top w:val="none" w:sz="0" w:space="0" w:color="auto"/>
        <w:left w:val="none" w:sz="0" w:space="0" w:color="auto"/>
        <w:bottom w:val="none" w:sz="0" w:space="0" w:color="auto"/>
        <w:right w:val="none" w:sz="0" w:space="0" w:color="auto"/>
      </w:divBdr>
    </w:div>
    <w:div w:id="826213872">
      <w:bodyDiv w:val="1"/>
      <w:marLeft w:val="0"/>
      <w:marRight w:val="0"/>
      <w:marTop w:val="0"/>
      <w:marBottom w:val="0"/>
      <w:divBdr>
        <w:top w:val="none" w:sz="0" w:space="0" w:color="auto"/>
        <w:left w:val="none" w:sz="0" w:space="0" w:color="auto"/>
        <w:bottom w:val="none" w:sz="0" w:space="0" w:color="auto"/>
        <w:right w:val="none" w:sz="0" w:space="0" w:color="auto"/>
      </w:divBdr>
    </w:div>
    <w:div w:id="835389518">
      <w:bodyDiv w:val="1"/>
      <w:marLeft w:val="0"/>
      <w:marRight w:val="0"/>
      <w:marTop w:val="0"/>
      <w:marBottom w:val="0"/>
      <w:divBdr>
        <w:top w:val="none" w:sz="0" w:space="0" w:color="auto"/>
        <w:left w:val="none" w:sz="0" w:space="0" w:color="auto"/>
        <w:bottom w:val="none" w:sz="0" w:space="0" w:color="auto"/>
        <w:right w:val="none" w:sz="0" w:space="0" w:color="auto"/>
      </w:divBdr>
    </w:div>
    <w:div w:id="844712882">
      <w:bodyDiv w:val="1"/>
      <w:marLeft w:val="0"/>
      <w:marRight w:val="0"/>
      <w:marTop w:val="0"/>
      <w:marBottom w:val="0"/>
      <w:divBdr>
        <w:top w:val="none" w:sz="0" w:space="0" w:color="auto"/>
        <w:left w:val="none" w:sz="0" w:space="0" w:color="auto"/>
        <w:bottom w:val="none" w:sz="0" w:space="0" w:color="auto"/>
        <w:right w:val="none" w:sz="0" w:space="0" w:color="auto"/>
      </w:divBdr>
    </w:div>
    <w:div w:id="846746479">
      <w:bodyDiv w:val="1"/>
      <w:marLeft w:val="0"/>
      <w:marRight w:val="0"/>
      <w:marTop w:val="0"/>
      <w:marBottom w:val="0"/>
      <w:divBdr>
        <w:top w:val="none" w:sz="0" w:space="0" w:color="auto"/>
        <w:left w:val="none" w:sz="0" w:space="0" w:color="auto"/>
        <w:bottom w:val="none" w:sz="0" w:space="0" w:color="auto"/>
        <w:right w:val="none" w:sz="0" w:space="0" w:color="auto"/>
      </w:divBdr>
    </w:div>
    <w:div w:id="853301096">
      <w:bodyDiv w:val="1"/>
      <w:marLeft w:val="0"/>
      <w:marRight w:val="0"/>
      <w:marTop w:val="0"/>
      <w:marBottom w:val="0"/>
      <w:divBdr>
        <w:top w:val="none" w:sz="0" w:space="0" w:color="auto"/>
        <w:left w:val="none" w:sz="0" w:space="0" w:color="auto"/>
        <w:bottom w:val="none" w:sz="0" w:space="0" w:color="auto"/>
        <w:right w:val="none" w:sz="0" w:space="0" w:color="auto"/>
      </w:divBdr>
    </w:div>
    <w:div w:id="855846779">
      <w:bodyDiv w:val="1"/>
      <w:marLeft w:val="0"/>
      <w:marRight w:val="0"/>
      <w:marTop w:val="0"/>
      <w:marBottom w:val="0"/>
      <w:divBdr>
        <w:top w:val="none" w:sz="0" w:space="0" w:color="auto"/>
        <w:left w:val="none" w:sz="0" w:space="0" w:color="auto"/>
        <w:bottom w:val="none" w:sz="0" w:space="0" w:color="auto"/>
        <w:right w:val="none" w:sz="0" w:space="0" w:color="auto"/>
      </w:divBdr>
    </w:div>
    <w:div w:id="859007116">
      <w:bodyDiv w:val="1"/>
      <w:marLeft w:val="0"/>
      <w:marRight w:val="0"/>
      <w:marTop w:val="0"/>
      <w:marBottom w:val="0"/>
      <w:divBdr>
        <w:top w:val="none" w:sz="0" w:space="0" w:color="auto"/>
        <w:left w:val="none" w:sz="0" w:space="0" w:color="auto"/>
        <w:bottom w:val="none" w:sz="0" w:space="0" w:color="auto"/>
        <w:right w:val="none" w:sz="0" w:space="0" w:color="auto"/>
      </w:divBdr>
    </w:div>
    <w:div w:id="859776450">
      <w:bodyDiv w:val="1"/>
      <w:marLeft w:val="0"/>
      <w:marRight w:val="0"/>
      <w:marTop w:val="0"/>
      <w:marBottom w:val="0"/>
      <w:divBdr>
        <w:top w:val="none" w:sz="0" w:space="0" w:color="auto"/>
        <w:left w:val="none" w:sz="0" w:space="0" w:color="auto"/>
        <w:bottom w:val="none" w:sz="0" w:space="0" w:color="auto"/>
        <w:right w:val="none" w:sz="0" w:space="0" w:color="auto"/>
      </w:divBdr>
    </w:div>
    <w:div w:id="860048363">
      <w:bodyDiv w:val="1"/>
      <w:marLeft w:val="0"/>
      <w:marRight w:val="0"/>
      <w:marTop w:val="0"/>
      <w:marBottom w:val="0"/>
      <w:divBdr>
        <w:top w:val="none" w:sz="0" w:space="0" w:color="auto"/>
        <w:left w:val="none" w:sz="0" w:space="0" w:color="auto"/>
        <w:bottom w:val="none" w:sz="0" w:space="0" w:color="auto"/>
        <w:right w:val="none" w:sz="0" w:space="0" w:color="auto"/>
      </w:divBdr>
    </w:div>
    <w:div w:id="876770351">
      <w:bodyDiv w:val="1"/>
      <w:marLeft w:val="0"/>
      <w:marRight w:val="0"/>
      <w:marTop w:val="0"/>
      <w:marBottom w:val="0"/>
      <w:divBdr>
        <w:top w:val="none" w:sz="0" w:space="0" w:color="auto"/>
        <w:left w:val="none" w:sz="0" w:space="0" w:color="auto"/>
        <w:bottom w:val="none" w:sz="0" w:space="0" w:color="auto"/>
        <w:right w:val="none" w:sz="0" w:space="0" w:color="auto"/>
      </w:divBdr>
    </w:div>
    <w:div w:id="876964529">
      <w:bodyDiv w:val="1"/>
      <w:marLeft w:val="0"/>
      <w:marRight w:val="0"/>
      <w:marTop w:val="0"/>
      <w:marBottom w:val="0"/>
      <w:divBdr>
        <w:top w:val="none" w:sz="0" w:space="0" w:color="auto"/>
        <w:left w:val="none" w:sz="0" w:space="0" w:color="auto"/>
        <w:bottom w:val="none" w:sz="0" w:space="0" w:color="auto"/>
        <w:right w:val="none" w:sz="0" w:space="0" w:color="auto"/>
      </w:divBdr>
    </w:div>
    <w:div w:id="877081598">
      <w:bodyDiv w:val="1"/>
      <w:marLeft w:val="0"/>
      <w:marRight w:val="0"/>
      <w:marTop w:val="0"/>
      <w:marBottom w:val="0"/>
      <w:divBdr>
        <w:top w:val="none" w:sz="0" w:space="0" w:color="auto"/>
        <w:left w:val="none" w:sz="0" w:space="0" w:color="auto"/>
        <w:bottom w:val="none" w:sz="0" w:space="0" w:color="auto"/>
        <w:right w:val="none" w:sz="0" w:space="0" w:color="auto"/>
      </w:divBdr>
    </w:div>
    <w:div w:id="883445004">
      <w:bodyDiv w:val="1"/>
      <w:marLeft w:val="0"/>
      <w:marRight w:val="0"/>
      <w:marTop w:val="0"/>
      <w:marBottom w:val="0"/>
      <w:divBdr>
        <w:top w:val="none" w:sz="0" w:space="0" w:color="auto"/>
        <w:left w:val="none" w:sz="0" w:space="0" w:color="auto"/>
        <w:bottom w:val="none" w:sz="0" w:space="0" w:color="auto"/>
        <w:right w:val="none" w:sz="0" w:space="0" w:color="auto"/>
      </w:divBdr>
    </w:div>
    <w:div w:id="884177526">
      <w:bodyDiv w:val="1"/>
      <w:marLeft w:val="0"/>
      <w:marRight w:val="0"/>
      <w:marTop w:val="0"/>
      <w:marBottom w:val="0"/>
      <w:divBdr>
        <w:top w:val="none" w:sz="0" w:space="0" w:color="auto"/>
        <w:left w:val="none" w:sz="0" w:space="0" w:color="auto"/>
        <w:bottom w:val="none" w:sz="0" w:space="0" w:color="auto"/>
        <w:right w:val="none" w:sz="0" w:space="0" w:color="auto"/>
      </w:divBdr>
    </w:div>
    <w:div w:id="904605526">
      <w:bodyDiv w:val="1"/>
      <w:marLeft w:val="0"/>
      <w:marRight w:val="0"/>
      <w:marTop w:val="0"/>
      <w:marBottom w:val="0"/>
      <w:divBdr>
        <w:top w:val="none" w:sz="0" w:space="0" w:color="auto"/>
        <w:left w:val="none" w:sz="0" w:space="0" w:color="auto"/>
        <w:bottom w:val="none" w:sz="0" w:space="0" w:color="auto"/>
        <w:right w:val="none" w:sz="0" w:space="0" w:color="auto"/>
      </w:divBdr>
    </w:div>
    <w:div w:id="922647865">
      <w:bodyDiv w:val="1"/>
      <w:marLeft w:val="0"/>
      <w:marRight w:val="0"/>
      <w:marTop w:val="0"/>
      <w:marBottom w:val="0"/>
      <w:divBdr>
        <w:top w:val="none" w:sz="0" w:space="0" w:color="auto"/>
        <w:left w:val="none" w:sz="0" w:space="0" w:color="auto"/>
        <w:bottom w:val="none" w:sz="0" w:space="0" w:color="auto"/>
        <w:right w:val="none" w:sz="0" w:space="0" w:color="auto"/>
      </w:divBdr>
    </w:div>
    <w:div w:id="924336201">
      <w:bodyDiv w:val="1"/>
      <w:marLeft w:val="0"/>
      <w:marRight w:val="0"/>
      <w:marTop w:val="0"/>
      <w:marBottom w:val="0"/>
      <w:divBdr>
        <w:top w:val="none" w:sz="0" w:space="0" w:color="auto"/>
        <w:left w:val="none" w:sz="0" w:space="0" w:color="auto"/>
        <w:bottom w:val="none" w:sz="0" w:space="0" w:color="auto"/>
        <w:right w:val="none" w:sz="0" w:space="0" w:color="auto"/>
      </w:divBdr>
    </w:div>
    <w:div w:id="925378348">
      <w:bodyDiv w:val="1"/>
      <w:marLeft w:val="0"/>
      <w:marRight w:val="0"/>
      <w:marTop w:val="0"/>
      <w:marBottom w:val="0"/>
      <w:divBdr>
        <w:top w:val="none" w:sz="0" w:space="0" w:color="auto"/>
        <w:left w:val="none" w:sz="0" w:space="0" w:color="auto"/>
        <w:bottom w:val="none" w:sz="0" w:space="0" w:color="auto"/>
        <w:right w:val="none" w:sz="0" w:space="0" w:color="auto"/>
      </w:divBdr>
    </w:div>
    <w:div w:id="933132215">
      <w:bodyDiv w:val="1"/>
      <w:marLeft w:val="0"/>
      <w:marRight w:val="0"/>
      <w:marTop w:val="0"/>
      <w:marBottom w:val="0"/>
      <w:divBdr>
        <w:top w:val="none" w:sz="0" w:space="0" w:color="auto"/>
        <w:left w:val="none" w:sz="0" w:space="0" w:color="auto"/>
        <w:bottom w:val="none" w:sz="0" w:space="0" w:color="auto"/>
        <w:right w:val="none" w:sz="0" w:space="0" w:color="auto"/>
      </w:divBdr>
    </w:div>
    <w:div w:id="935596964">
      <w:bodyDiv w:val="1"/>
      <w:marLeft w:val="0"/>
      <w:marRight w:val="0"/>
      <w:marTop w:val="0"/>
      <w:marBottom w:val="0"/>
      <w:divBdr>
        <w:top w:val="none" w:sz="0" w:space="0" w:color="auto"/>
        <w:left w:val="none" w:sz="0" w:space="0" w:color="auto"/>
        <w:bottom w:val="none" w:sz="0" w:space="0" w:color="auto"/>
        <w:right w:val="none" w:sz="0" w:space="0" w:color="auto"/>
      </w:divBdr>
    </w:div>
    <w:div w:id="935863255">
      <w:bodyDiv w:val="1"/>
      <w:marLeft w:val="0"/>
      <w:marRight w:val="0"/>
      <w:marTop w:val="0"/>
      <w:marBottom w:val="0"/>
      <w:divBdr>
        <w:top w:val="none" w:sz="0" w:space="0" w:color="auto"/>
        <w:left w:val="none" w:sz="0" w:space="0" w:color="auto"/>
        <w:bottom w:val="none" w:sz="0" w:space="0" w:color="auto"/>
        <w:right w:val="none" w:sz="0" w:space="0" w:color="auto"/>
      </w:divBdr>
    </w:div>
    <w:div w:id="938567339">
      <w:bodyDiv w:val="1"/>
      <w:marLeft w:val="0"/>
      <w:marRight w:val="0"/>
      <w:marTop w:val="0"/>
      <w:marBottom w:val="0"/>
      <w:divBdr>
        <w:top w:val="none" w:sz="0" w:space="0" w:color="auto"/>
        <w:left w:val="none" w:sz="0" w:space="0" w:color="auto"/>
        <w:bottom w:val="none" w:sz="0" w:space="0" w:color="auto"/>
        <w:right w:val="none" w:sz="0" w:space="0" w:color="auto"/>
      </w:divBdr>
    </w:div>
    <w:div w:id="940334940">
      <w:bodyDiv w:val="1"/>
      <w:marLeft w:val="0"/>
      <w:marRight w:val="0"/>
      <w:marTop w:val="0"/>
      <w:marBottom w:val="0"/>
      <w:divBdr>
        <w:top w:val="none" w:sz="0" w:space="0" w:color="auto"/>
        <w:left w:val="none" w:sz="0" w:space="0" w:color="auto"/>
        <w:bottom w:val="none" w:sz="0" w:space="0" w:color="auto"/>
        <w:right w:val="none" w:sz="0" w:space="0" w:color="auto"/>
      </w:divBdr>
    </w:div>
    <w:div w:id="948050960">
      <w:bodyDiv w:val="1"/>
      <w:marLeft w:val="0"/>
      <w:marRight w:val="0"/>
      <w:marTop w:val="0"/>
      <w:marBottom w:val="0"/>
      <w:divBdr>
        <w:top w:val="none" w:sz="0" w:space="0" w:color="auto"/>
        <w:left w:val="none" w:sz="0" w:space="0" w:color="auto"/>
        <w:bottom w:val="none" w:sz="0" w:space="0" w:color="auto"/>
        <w:right w:val="none" w:sz="0" w:space="0" w:color="auto"/>
      </w:divBdr>
    </w:div>
    <w:div w:id="948506885">
      <w:bodyDiv w:val="1"/>
      <w:marLeft w:val="0"/>
      <w:marRight w:val="0"/>
      <w:marTop w:val="0"/>
      <w:marBottom w:val="0"/>
      <w:divBdr>
        <w:top w:val="none" w:sz="0" w:space="0" w:color="auto"/>
        <w:left w:val="none" w:sz="0" w:space="0" w:color="auto"/>
        <w:bottom w:val="none" w:sz="0" w:space="0" w:color="auto"/>
        <w:right w:val="none" w:sz="0" w:space="0" w:color="auto"/>
      </w:divBdr>
    </w:div>
    <w:div w:id="952907989">
      <w:bodyDiv w:val="1"/>
      <w:marLeft w:val="0"/>
      <w:marRight w:val="0"/>
      <w:marTop w:val="0"/>
      <w:marBottom w:val="0"/>
      <w:divBdr>
        <w:top w:val="none" w:sz="0" w:space="0" w:color="auto"/>
        <w:left w:val="none" w:sz="0" w:space="0" w:color="auto"/>
        <w:bottom w:val="none" w:sz="0" w:space="0" w:color="auto"/>
        <w:right w:val="none" w:sz="0" w:space="0" w:color="auto"/>
      </w:divBdr>
    </w:div>
    <w:div w:id="959259347">
      <w:bodyDiv w:val="1"/>
      <w:marLeft w:val="0"/>
      <w:marRight w:val="0"/>
      <w:marTop w:val="0"/>
      <w:marBottom w:val="0"/>
      <w:divBdr>
        <w:top w:val="none" w:sz="0" w:space="0" w:color="auto"/>
        <w:left w:val="none" w:sz="0" w:space="0" w:color="auto"/>
        <w:bottom w:val="none" w:sz="0" w:space="0" w:color="auto"/>
        <w:right w:val="none" w:sz="0" w:space="0" w:color="auto"/>
      </w:divBdr>
    </w:div>
    <w:div w:id="970986301">
      <w:bodyDiv w:val="1"/>
      <w:marLeft w:val="0"/>
      <w:marRight w:val="0"/>
      <w:marTop w:val="0"/>
      <w:marBottom w:val="0"/>
      <w:divBdr>
        <w:top w:val="none" w:sz="0" w:space="0" w:color="auto"/>
        <w:left w:val="none" w:sz="0" w:space="0" w:color="auto"/>
        <w:bottom w:val="none" w:sz="0" w:space="0" w:color="auto"/>
        <w:right w:val="none" w:sz="0" w:space="0" w:color="auto"/>
      </w:divBdr>
    </w:div>
    <w:div w:id="972640396">
      <w:bodyDiv w:val="1"/>
      <w:marLeft w:val="0"/>
      <w:marRight w:val="0"/>
      <w:marTop w:val="0"/>
      <w:marBottom w:val="0"/>
      <w:divBdr>
        <w:top w:val="none" w:sz="0" w:space="0" w:color="auto"/>
        <w:left w:val="none" w:sz="0" w:space="0" w:color="auto"/>
        <w:bottom w:val="none" w:sz="0" w:space="0" w:color="auto"/>
        <w:right w:val="none" w:sz="0" w:space="0" w:color="auto"/>
      </w:divBdr>
    </w:div>
    <w:div w:id="979845551">
      <w:bodyDiv w:val="1"/>
      <w:marLeft w:val="0"/>
      <w:marRight w:val="0"/>
      <w:marTop w:val="0"/>
      <w:marBottom w:val="0"/>
      <w:divBdr>
        <w:top w:val="none" w:sz="0" w:space="0" w:color="auto"/>
        <w:left w:val="none" w:sz="0" w:space="0" w:color="auto"/>
        <w:bottom w:val="none" w:sz="0" w:space="0" w:color="auto"/>
        <w:right w:val="none" w:sz="0" w:space="0" w:color="auto"/>
      </w:divBdr>
    </w:div>
    <w:div w:id="990064927">
      <w:bodyDiv w:val="1"/>
      <w:marLeft w:val="0"/>
      <w:marRight w:val="0"/>
      <w:marTop w:val="0"/>
      <w:marBottom w:val="0"/>
      <w:divBdr>
        <w:top w:val="none" w:sz="0" w:space="0" w:color="auto"/>
        <w:left w:val="none" w:sz="0" w:space="0" w:color="auto"/>
        <w:bottom w:val="none" w:sz="0" w:space="0" w:color="auto"/>
        <w:right w:val="none" w:sz="0" w:space="0" w:color="auto"/>
      </w:divBdr>
    </w:div>
    <w:div w:id="1006326955">
      <w:bodyDiv w:val="1"/>
      <w:marLeft w:val="0"/>
      <w:marRight w:val="0"/>
      <w:marTop w:val="0"/>
      <w:marBottom w:val="0"/>
      <w:divBdr>
        <w:top w:val="none" w:sz="0" w:space="0" w:color="auto"/>
        <w:left w:val="none" w:sz="0" w:space="0" w:color="auto"/>
        <w:bottom w:val="none" w:sz="0" w:space="0" w:color="auto"/>
        <w:right w:val="none" w:sz="0" w:space="0" w:color="auto"/>
      </w:divBdr>
    </w:div>
    <w:div w:id="1008172734">
      <w:bodyDiv w:val="1"/>
      <w:marLeft w:val="0"/>
      <w:marRight w:val="0"/>
      <w:marTop w:val="0"/>
      <w:marBottom w:val="0"/>
      <w:divBdr>
        <w:top w:val="none" w:sz="0" w:space="0" w:color="auto"/>
        <w:left w:val="none" w:sz="0" w:space="0" w:color="auto"/>
        <w:bottom w:val="none" w:sz="0" w:space="0" w:color="auto"/>
        <w:right w:val="none" w:sz="0" w:space="0" w:color="auto"/>
      </w:divBdr>
    </w:div>
    <w:div w:id="1034621251">
      <w:bodyDiv w:val="1"/>
      <w:marLeft w:val="0"/>
      <w:marRight w:val="0"/>
      <w:marTop w:val="0"/>
      <w:marBottom w:val="0"/>
      <w:divBdr>
        <w:top w:val="none" w:sz="0" w:space="0" w:color="auto"/>
        <w:left w:val="none" w:sz="0" w:space="0" w:color="auto"/>
        <w:bottom w:val="none" w:sz="0" w:space="0" w:color="auto"/>
        <w:right w:val="none" w:sz="0" w:space="0" w:color="auto"/>
      </w:divBdr>
    </w:div>
    <w:div w:id="1039478131">
      <w:bodyDiv w:val="1"/>
      <w:marLeft w:val="0"/>
      <w:marRight w:val="0"/>
      <w:marTop w:val="0"/>
      <w:marBottom w:val="0"/>
      <w:divBdr>
        <w:top w:val="none" w:sz="0" w:space="0" w:color="auto"/>
        <w:left w:val="none" w:sz="0" w:space="0" w:color="auto"/>
        <w:bottom w:val="none" w:sz="0" w:space="0" w:color="auto"/>
        <w:right w:val="none" w:sz="0" w:space="0" w:color="auto"/>
      </w:divBdr>
    </w:div>
    <w:div w:id="1050378105">
      <w:bodyDiv w:val="1"/>
      <w:marLeft w:val="0"/>
      <w:marRight w:val="0"/>
      <w:marTop w:val="0"/>
      <w:marBottom w:val="0"/>
      <w:divBdr>
        <w:top w:val="none" w:sz="0" w:space="0" w:color="auto"/>
        <w:left w:val="none" w:sz="0" w:space="0" w:color="auto"/>
        <w:bottom w:val="none" w:sz="0" w:space="0" w:color="auto"/>
        <w:right w:val="none" w:sz="0" w:space="0" w:color="auto"/>
      </w:divBdr>
    </w:div>
    <w:div w:id="1051617523">
      <w:bodyDiv w:val="1"/>
      <w:marLeft w:val="0"/>
      <w:marRight w:val="0"/>
      <w:marTop w:val="0"/>
      <w:marBottom w:val="0"/>
      <w:divBdr>
        <w:top w:val="none" w:sz="0" w:space="0" w:color="auto"/>
        <w:left w:val="none" w:sz="0" w:space="0" w:color="auto"/>
        <w:bottom w:val="none" w:sz="0" w:space="0" w:color="auto"/>
        <w:right w:val="none" w:sz="0" w:space="0" w:color="auto"/>
      </w:divBdr>
    </w:div>
    <w:div w:id="1059137356">
      <w:bodyDiv w:val="1"/>
      <w:marLeft w:val="0"/>
      <w:marRight w:val="0"/>
      <w:marTop w:val="0"/>
      <w:marBottom w:val="0"/>
      <w:divBdr>
        <w:top w:val="none" w:sz="0" w:space="0" w:color="auto"/>
        <w:left w:val="none" w:sz="0" w:space="0" w:color="auto"/>
        <w:bottom w:val="none" w:sz="0" w:space="0" w:color="auto"/>
        <w:right w:val="none" w:sz="0" w:space="0" w:color="auto"/>
      </w:divBdr>
    </w:div>
    <w:div w:id="1088117165">
      <w:bodyDiv w:val="1"/>
      <w:marLeft w:val="0"/>
      <w:marRight w:val="0"/>
      <w:marTop w:val="0"/>
      <w:marBottom w:val="0"/>
      <w:divBdr>
        <w:top w:val="none" w:sz="0" w:space="0" w:color="auto"/>
        <w:left w:val="none" w:sz="0" w:space="0" w:color="auto"/>
        <w:bottom w:val="none" w:sz="0" w:space="0" w:color="auto"/>
        <w:right w:val="none" w:sz="0" w:space="0" w:color="auto"/>
      </w:divBdr>
    </w:div>
    <w:div w:id="1090664957">
      <w:bodyDiv w:val="1"/>
      <w:marLeft w:val="0"/>
      <w:marRight w:val="0"/>
      <w:marTop w:val="0"/>
      <w:marBottom w:val="0"/>
      <w:divBdr>
        <w:top w:val="none" w:sz="0" w:space="0" w:color="auto"/>
        <w:left w:val="none" w:sz="0" w:space="0" w:color="auto"/>
        <w:bottom w:val="none" w:sz="0" w:space="0" w:color="auto"/>
        <w:right w:val="none" w:sz="0" w:space="0" w:color="auto"/>
      </w:divBdr>
    </w:div>
    <w:div w:id="1098598183">
      <w:bodyDiv w:val="1"/>
      <w:marLeft w:val="0"/>
      <w:marRight w:val="0"/>
      <w:marTop w:val="0"/>
      <w:marBottom w:val="0"/>
      <w:divBdr>
        <w:top w:val="none" w:sz="0" w:space="0" w:color="auto"/>
        <w:left w:val="none" w:sz="0" w:space="0" w:color="auto"/>
        <w:bottom w:val="none" w:sz="0" w:space="0" w:color="auto"/>
        <w:right w:val="none" w:sz="0" w:space="0" w:color="auto"/>
      </w:divBdr>
    </w:div>
    <w:div w:id="1105734538">
      <w:bodyDiv w:val="1"/>
      <w:marLeft w:val="0"/>
      <w:marRight w:val="0"/>
      <w:marTop w:val="0"/>
      <w:marBottom w:val="0"/>
      <w:divBdr>
        <w:top w:val="none" w:sz="0" w:space="0" w:color="auto"/>
        <w:left w:val="none" w:sz="0" w:space="0" w:color="auto"/>
        <w:bottom w:val="none" w:sz="0" w:space="0" w:color="auto"/>
        <w:right w:val="none" w:sz="0" w:space="0" w:color="auto"/>
      </w:divBdr>
    </w:div>
    <w:div w:id="1112169582">
      <w:bodyDiv w:val="1"/>
      <w:marLeft w:val="0"/>
      <w:marRight w:val="0"/>
      <w:marTop w:val="0"/>
      <w:marBottom w:val="0"/>
      <w:divBdr>
        <w:top w:val="none" w:sz="0" w:space="0" w:color="auto"/>
        <w:left w:val="none" w:sz="0" w:space="0" w:color="auto"/>
        <w:bottom w:val="none" w:sz="0" w:space="0" w:color="auto"/>
        <w:right w:val="none" w:sz="0" w:space="0" w:color="auto"/>
      </w:divBdr>
    </w:div>
    <w:div w:id="1112555091">
      <w:bodyDiv w:val="1"/>
      <w:marLeft w:val="0"/>
      <w:marRight w:val="0"/>
      <w:marTop w:val="0"/>
      <w:marBottom w:val="0"/>
      <w:divBdr>
        <w:top w:val="none" w:sz="0" w:space="0" w:color="auto"/>
        <w:left w:val="none" w:sz="0" w:space="0" w:color="auto"/>
        <w:bottom w:val="none" w:sz="0" w:space="0" w:color="auto"/>
        <w:right w:val="none" w:sz="0" w:space="0" w:color="auto"/>
      </w:divBdr>
    </w:div>
    <w:div w:id="1130628024">
      <w:bodyDiv w:val="1"/>
      <w:marLeft w:val="0"/>
      <w:marRight w:val="0"/>
      <w:marTop w:val="0"/>
      <w:marBottom w:val="0"/>
      <w:divBdr>
        <w:top w:val="none" w:sz="0" w:space="0" w:color="auto"/>
        <w:left w:val="none" w:sz="0" w:space="0" w:color="auto"/>
        <w:bottom w:val="none" w:sz="0" w:space="0" w:color="auto"/>
        <w:right w:val="none" w:sz="0" w:space="0" w:color="auto"/>
      </w:divBdr>
    </w:div>
    <w:div w:id="1131632510">
      <w:bodyDiv w:val="1"/>
      <w:marLeft w:val="0"/>
      <w:marRight w:val="0"/>
      <w:marTop w:val="0"/>
      <w:marBottom w:val="0"/>
      <w:divBdr>
        <w:top w:val="none" w:sz="0" w:space="0" w:color="auto"/>
        <w:left w:val="none" w:sz="0" w:space="0" w:color="auto"/>
        <w:bottom w:val="none" w:sz="0" w:space="0" w:color="auto"/>
        <w:right w:val="none" w:sz="0" w:space="0" w:color="auto"/>
      </w:divBdr>
    </w:div>
    <w:div w:id="1135217040">
      <w:bodyDiv w:val="1"/>
      <w:marLeft w:val="0"/>
      <w:marRight w:val="0"/>
      <w:marTop w:val="0"/>
      <w:marBottom w:val="0"/>
      <w:divBdr>
        <w:top w:val="none" w:sz="0" w:space="0" w:color="auto"/>
        <w:left w:val="none" w:sz="0" w:space="0" w:color="auto"/>
        <w:bottom w:val="none" w:sz="0" w:space="0" w:color="auto"/>
        <w:right w:val="none" w:sz="0" w:space="0" w:color="auto"/>
      </w:divBdr>
    </w:div>
    <w:div w:id="1137600678">
      <w:bodyDiv w:val="1"/>
      <w:marLeft w:val="0"/>
      <w:marRight w:val="0"/>
      <w:marTop w:val="0"/>
      <w:marBottom w:val="0"/>
      <w:divBdr>
        <w:top w:val="none" w:sz="0" w:space="0" w:color="auto"/>
        <w:left w:val="none" w:sz="0" w:space="0" w:color="auto"/>
        <w:bottom w:val="none" w:sz="0" w:space="0" w:color="auto"/>
        <w:right w:val="none" w:sz="0" w:space="0" w:color="auto"/>
      </w:divBdr>
    </w:div>
    <w:div w:id="1144857191">
      <w:bodyDiv w:val="1"/>
      <w:marLeft w:val="0"/>
      <w:marRight w:val="0"/>
      <w:marTop w:val="0"/>
      <w:marBottom w:val="0"/>
      <w:divBdr>
        <w:top w:val="none" w:sz="0" w:space="0" w:color="auto"/>
        <w:left w:val="none" w:sz="0" w:space="0" w:color="auto"/>
        <w:bottom w:val="none" w:sz="0" w:space="0" w:color="auto"/>
        <w:right w:val="none" w:sz="0" w:space="0" w:color="auto"/>
      </w:divBdr>
    </w:div>
    <w:div w:id="1148285298">
      <w:bodyDiv w:val="1"/>
      <w:marLeft w:val="0"/>
      <w:marRight w:val="0"/>
      <w:marTop w:val="0"/>
      <w:marBottom w:val="0"/>
      <w:divBdr>
        <w:top w:val="none" w:sz="0" w:space="0" w:color="auto"/>
        <w:left w:val="none" w:sz="0" w:space="0" w:color="auto"/>
        <w:bottom w:val="none" w:sz="0" w:space="0" w:color="auto"/>
        <w:right w:val="none" w:sz="0" w:space="0" w:color="auto"/>
      </w:divBdr>
    </w:div>
    <w:div w:id="1161502479">
      <w:bodyDiv w:val="1"/>
      <w:marLeft w:val="0"/>
      <w:marRight w:val="0"/>
      <w:marTop w:val="0"/>
      <w:marBottom w:val="0"/>
      <w:divBdr>
        <w:top w:val="none" w:sz="0" w:space="0" w:color="auto"/>
        <w:left w:val="none" w:sz="0" w:space="0" w:color="auto"/>
        <w:bottom w:val="none" w:sz="0" w:space="0" w:color="auto"/>
        <w:right w:val="none" w:sz="0" w:space="0" w:color="auto"/>
      </w:divBdr>
    </w:div>
    <w:div w:id="1173645405">
      <w:bodyDiv w:val="1"/>
      <w:marLeft w:val="0"/>
      <w:marRight w:val="0"/>
      <w:marTop w:val="0"/>
      <w:marBottom w:val="0"/>
      <w:divBdr>
        <w:top w:val="none" w:sz="0" w:space="0" w:color="auto"/>
        <w:left w:val="none" w:sz="0" w:space="0" w:color="auto"/>
        <w:bottom w:val="none" w:sz="0" w:space="0" w:color="auto"/>
        <w:right w:val="none" w:sz="0" w:space="0" w:color="auto"/>
      </w:divBdr>
    </w:div>
    <w:div w:id="1175420901">
      <w:bodyDiv w:val="1"/>
      <w:marLeft w:val="0"/>
      <w:marRight w:val="0"/>
      <w:marTop w:val="0"/>
      <w:marBottom w:val="0"/>
      <w:divBdr>
        <w:top w:val="none" w:sz="0" w:space="0" w:color="auto"/>
        <w:left w:val="none" w:sz="0" w:space="0" w:color="auto"/>
        <w:bottom w:val="none" w:sz="0" w:space="0" w:color="auto"/>
        <w:right w:val="none" w:sz="0" w:space="0" w:color="auto"/>
      </w:divBdr>
    </w:div>
    <w:div w:id="1179664019">
      <w:bodyDiv w:val="1"/>
      <w:marLeft w:val="0"/>
      <w:marRight w:val="0"/>
      <w:marTop w:val="0"/>
      <w:marBottom w:val="0"/>
      <w:divBdr>
        <w:top w:val="none" w:sz="0" w:space="0" w:color="auto"/>
        <w:left w:val="none" w:sz="0" w:space="0" w:color="auto"/>
        <w:bottom w:val="none" w:sz="0" w:space="0" w:color="auto"/>
        <w:right w:val="none" w:sz="0" w:space="0" w:color="auto"/>
      </w:divBdr>
    </w:div>
    <w:div w:id="1187643772">
      <w:bodyDiv w:val="1"/>
      <w:marLeft w:val="0"/>
      <w:marRight w:val="0"/>
      <w:marTop w:val="0"/>
      <w:marBottom w:val="0"/>
      <w:divBdr>
        <w:top w:val="none" w:sz="0" w:space="0" w:color="auto"/>
        <w:left w:val="none" w:sz="0" w:space="0" w:color="auto"/>
        <w:bottom w:val="none" w:sz="0" w:space="0" w:color="auto"/>
        <w:right w:val="none" w:sz="0" w:space="0" w:color="auto"/>
      </w:divBdr>
    </w:div>
    <w:div w:id="1202937755">
      <w:bodyDiv w:val="1"/>
      <w:marLeft w:val="0"/>
      <w:marRight w:val="0"/>
      <w:marTop w:val="0"/>
      <w:marBottom w:val="0"/>
      <w:divBdr>
        <w:top w:val="none" w:sz="0" w:space="0" w:color="auto"/>
        <w:left w:val="none" w:sz="0" w:space="0" w:color="auto"/>
        <w:bottom w:val="none" w:sz="0" w:space="0" w:color="auto"/>
        <w:right w:val="none" w:sz="0" w:space="0" w:color="auto"/>
      </w:divBdr>
    </w:div>
    <w:div w:id="1222794493">
      <w:bodyDiv w:val="1"/>
      <w:marLeft w:val="0"/>
      <w:marRight w:val="0"/>
      <w:marTop w:val="0"/>
      <w:marBottom w:val="0"/>
      <w:divBdr>
        <w:top w:val="none" w:sz="0" w:space="0" w:color="auto"/>
        <w:left w:val="none" w:sz="0" w:space="0" w:color="auto"/>
        <w:bottom w:val="none" w:sz="0" w:space="0" w:color="auto"/>
        <w:right w:val="none" w:sz="0" w:space="0" w:color="auto"/>
      </w:divBdr>
    </w:div>
    <w:div w:id="1223326915">
      <w:bodyDiv w:val="1"/>
      <w:marLeft w:val="0"/>
      <w:marRight w:val="0"/>
      <w:marTop w:val="0"/>
      <w:marBottom w:val="0"/>
      <w:divBdr>
        <w:top w:val="none" w:sz="0" w:space="0" w:color="auto"/>
        <w:left w:val="none" w:sz="0" w:space="0" w:color="auto"/>
        <w:bottom w:val="none" w:sz="0" w:space="0" w:color="auto"/>
        <w:right w:val="none" w:sz="0" w:space="0" w:color="auto"/>
      </w:divBdr>
    </w:div>
    <w:div w:id="1228538683">
      <w:bodyDiv w:val="1"/>
      <w:marLeft w:val="0"/>
      <w:marRight w:val="0"/>
      <w:marTop w:val="0"/>
      <w:marBottom w:val="0"/>
      <w:divBdr>
        <w:top w:val="none" w:sz="0" w:space="0" w:color="auto"/>
        <w:left w:val="none" w:sz="0" w:space="0" w:color="auto"/>
        <w:bottom w:val="none" w:sz="0" w:space="0" w:color="auto"/>
        <w:right w:val="none" w:sz="0" w:space="0" w:color="auto"/>
      </w:divBdr>
    </w:div>
    <w:div w:id="1239638228">
      <w:bodyDiv w:val="1"/>
      <w:marLeft w:val="0"/>
      <w:marRight w:val="0"/>
      <w:marTop w:val="0"/>
      <w:marBottom w:val="0"/>
      <w:divBdr>
        <w:top w:val="none" w:sz="0" w:space="0" w:color="auto"/>
        <w:left w:val="none" w:sz="0" w:space="0" w:color="auto"/>
        <w:bottom w:val="none" w:sz="0" w:space="0" w:color="auto"/>
        <w:right w:val="none" w:sz="0" w:space="0" w:color="auto"/>
      </w:divBdr>
    </w:div>
    <w:div w:id="1267078593">
      <w:bodyDiv w:val="1"/>
      <w:marLeft w:val="0"/>
      <w:marRight w:val="0"/>
      <w:marTop w:val="0"/>
      <w:marBottom w:val="0"/>
      <w:divBdr>
        <w:top w:val="none" w:sz="0" w:space="0" w:color="auto"/>
        <w:left w:val="none" w:sz="0" w:space="0" w:color="auto"/>
        <w:bottom w:val="none" w:sz="0" w:space="0" w:color="auto"/>
        <w:right w:val="none" w:sz="0" w:space="0" w:color="auto"/>
      </w:divBdr>
    </w:div>
    <w:div w:id="1275094865">
      <w:bodyDiv w:val="1"/>
      <w:marLeft w:val="0"/>
      <w:marRight w:val="0"/>
      <w:marTop w:val="0"/>
      <w:marBottom w:val="0"/>
      <w:divBdr>
        <w:top w:val="none" w:sz="0" w:space="0" w:color="auto"/>
        <w:left w:val="none" w:sz="0" w:space="0" w:color="auto"/>
        <w:bottom w:val="none" w:sz="0" w:space="0" w:color="auto"/>
        <w:right w:val="none" w:sz="0" w:space="0" w:color="auto"/>
      </w:divBdr>
    </w:div>
    <w:div w:id="1275290374">
      <w:bodyDiv w:val="1"/>
      <w:marLeft w:val="0"/>
      <w:marRight w:val="0"/>
      <w:marTop w:val="0"/>
      <w:marBottom w:val="0"/>
      <w:divBdr>
        <w:top w:val="none" w:sz="0" w:space="0" w:color="auto"/>
        <w:left w:val="none" w:sz="0" w:space="0" w:color="auto"/>
        <w:bottom w:val="none" w:sz="0" w:space="0" w:color="auto"/>
        <w:right w:val="none" w:sz="0" w:space="0" w:color="auto"/>
      </w:divBdr>
    </w:div>
    <w:div w:id="1288008567">
      <w:bodyDiv w:val="1"/>
      <w:marLeft w:val="0"/>
      <w:marRight w:val="0"/>
      <w:marTop w:val="0"/>
      <w:marBottom w:val="0"/>
      <w:divBdr>
        <w:top w:val="none" w:sz="0" w:space="0" w:color="auto"/>
        <w:left w:val="none" w:sz="0" w:space="0" w:color="auto"/>
        <w:bottom w:val="none" w:sz="0" w:space="0" w:color="auto"/>
        <w:right w:val="none" w:sz="0" w:space="0" w:color="auto"/>
      </w:divBdr>
    </w:div>
    <w:div w:id="1291593039">
      <w:bodyDiv w:val="1"/>
      <w:marLeft w:val="0"/>
      <w:marRight w:val="0"/>
      <w:marTop w:val="0"/>
      <w:marBottom w:val="0"/>
      <w:divBdr>
        <w:top w:val="none" w:sz="0" w:space="0" w:color="auto"/>
        <w:left w:val="none" w:sz="0" w:space="0" w:color="auto"/>
        <w:bottom w:val="none" w:sz="0" w:space="0" w:color="auto"/>
        <w:right w:val="none" w:sz="0" w:space="0" w:color="auto"/>
      </w:divBdr>
    </w:div>
    <w:div w:id="1298532660">
      <w:bodyDiv w:val="1"/>
      <w:marLeft w:val="0"/>
      <w:marRight w:val="0"/>
      <w:marTop w:val="0"/>
      <w:marBottom w:val="0"/>
      <w:divBdr>
        <w:top w:val="none" w:sz="0" w:space="0" w:color="auto"/>
        <w:left w:val="none" w:sz="0" w:space="0" w:color="auto"/>
        <w:bottom w:val="none" w:sz="0" w:space="0" w:color="auto"/>
        <w:right w:val="none" w:sz="0" w:space="0" w:color="auto"/>
      </w:divBdr>
    </w:div>
    <w:div w:id="1299263590">
      <w:bodyDiv w:val="1"/>
      <w:marLeft w:val="0"/>
      <w:marRight w:val="0"/>
      <w:marTop w:val="0"/>
      <w:marBottom w:val="0"/>
      <w:divBdr>
        <w:top w:val="none" w:sz="0" w:space="0" w:color="auto"/>
        <w:left w:val="none" w:sz="0" w:space="0" w:color="auto"/>
        <w:bottom w:val="none" w:sz="0" w:space="0" w:color="auto"/>
        <w:right w:val="none" w:sz="0" w:space="0" w:color="auto"/>
      </w:divBdr>
    </w:div>
    <w:div w:id="1311665755">
      <w:bodyDiv w:val="1"/>
      <w:marLeft w:val="0"/>
      <w:marRight w:val="0"/>
      <w:marTop w:val="0"/>
      <w:marBottom w:val="0"/>
      <w:divBdr>
        <w:top w:val="none" w:sz="0" w:space="0" w:color="auto"/>
        <w:left w:val="none" w:sz="0" w:space="0" w:color="auto"/>
        <w:bottom w:val="none" w:sz="0" w:space="0" w:color="auto"/>
        <w:right w:val="none" w:sz="0" w:space="0" w:color="auto"/>
      </w:divBdr>
    </w:div>
    <w:div w:id="1314405033">
      <w:bodyDiv w:val="1"/>
      <w:marLeft w:val="0"/>
      <w:marRight w:val="0"/>
      <w:marTop w:val="0"/>
      <w:marBottom w:val="0"/>
      <w:divBdr>
        <w:top w:val="none" w:sz="0" w:space="0" w:color="auto"/>
        <w:left w:val="none" w:sz="0" w:space="0" w:color="auto"/>
        <w:bottom w:val="none" w:sz="0" w:space="0" w:color="auto"/>
        <w:right w:val="none" w:sz="0" w:space="0" w:color="auto"/>
      </w:divBdr>
    </w:div>
    <w:div w:id="1315452093">
      <w:bodyDiv w:val="1"/>
      <w:marLeft w:val="0"/>
      <w:marRight w:val="0"/>
      <w:marTop w:val="0"/>
      <w:marBottom w:val="0"/>
      <w:divBdr>
        <w:top w:val="none" w:sz="0" w:space="0" w:color="auto"/>
        <w:left w:val="none" w:sz="0" w:space="0" w:color="auto"/>
        <w:bottom w:val="none" w:sz="0" w:space="0" w:color="auto"/>
        <w:right w:val="none" w:sz="0" w:space="0" w:color="auto"/>
      </w:divBdr>
    </w:div>
    <w:div w:id="1319260047">
      <w:bodyDiv w:val="1"/>
      <w:marLeft w:val="0"/>
      <w:marRight w:val="0"/>
      <w:marTop w:val="0"/>
      <w:marBottom w:val="0"/>
      <w:divBdr>
        <w:top w:val="none" w:sz="0" w:space="0" w:color="auto"/>
        <w:left w:val="none" w:sz="0" w:space="0" w:color="auto"/>
        <w:bottom w:val="none" w:sz="0" w:space="0" w:color="auto"/>
        <w:right w:val="none" w:sz="0" w:space="0" w:color="auto"/>
      </w:divBdr>
    </w:div>
    <w:div w:id="1320883344">
      <w:bodyDiv w:val="1"/>
      <w:marLeft w:val="0"/>
      <w:marRight w:val="0"/>
      <w:marTop w:val="0"/>
      <w:marBottom w:val="0"/>
      <w:divBdr>
        <w:top w:val="none" w:sz="0" w:space="0" w:color="auto"/>
        <w:left w:val="none" w:sz="0" w:space="0" w:color="auto"/>
        <w:bottom w:val="none" w:sz="0" w:space="0" w:color="auto"/>
        <w:right w:val="none" w:sz="0" w:space="0" w:color="auto"/>
      </w:divBdr>
    </w:div>
    <w:div w:id="1334338617">
      <w:bodyDiv w:val="1"/>
      <w:marLeft w:val="0"/>
      <w:marRight w:val="0"/>
      <w:marTop w:val="0"/>
      <w:marBottom w:val="0"/>
      <w:divBdr>
        <w:top w:val="none" w:sz="0" w:space="0" w:color="auto"/>
        <w:left w:val="none" w:sz="0" w:space="0" w:color="auto"/>
        <w:bottom w:val="none" w:sz="0" w:space="0" w:color="auto"/>
        <w:right w:val="none" w:sz="0" w:space="0" w:color="auto"/>
      </w:divBdr>
    </w:div>
    <w:div w:id="1341544887">
      <w:bodyDiv w:val="1"/>
      <w:marLeft w:val="0"/>
      <w:marRight w:val="0"/>
      <w:marTop w:val="0"/>
      <w:marBottom w:val="0"/>
      <w:divBdr>
        <w:top w:val="none" w:sz="0" w:space="0" w:color="auto"/>
        <w:left w:val="none" w:sz="0" w:space="0" w:color="auto"/>
        <w:bottom w:val="none" w:sz="0" w:space="0" w:color="auto"/>
        <w:right w:val="none" w:sz="0" w:space="0" w:color="auto"/>
      </w:divBdr>
    </w:div>
    <w:div w:id="1345018482">
      <w:bodyDiv w:val="1"/>
      <w:marLeft w:val="0"/>
      <w:marRight w:val="0"/>
      <w:marTop w:val="0"/>
      <w:marBottom w:val="0"/>
      <w:divBdr>
        <w:top w:val="none" w:sz="0" w:space="0" w:color="auto"/>
        <w:left w:val="none" w:sz="0" w:space="0" w:color="auto"/>
        <w:bottom w:val="none" w:sz="0" w:space="0" w:color="auto"/>
        <w:right w:val="none" w:sz="0" w:space="0" w:color="auto"/>
      </w:divBdr>
    </w:div>
    <w:div w:id="1347243426">
      <w:bodyDiv w:val="1"/>
      <w:marLeft w:val="0"/>
      <w:marRight w:val="0"/>
      <w:marTop w:val="0"/>
      <w:marBottom w:val="0"/>
      <w:divBdr>
        <w:top w:val="none" w:sz="0" w:space="0" w:color="auto"/>
        <w:left w:val="none" w:sz="0" w:space="0" w:color="auto"/>
        <w:bottom w:val="none" w:sz="0" w:space="0" w:color="auto"/>
        <w:right w:val="none" w:sz="0" w:space="0" w:color="auto"/>
      </w:divBdr>
    </w:div>
    <w:div w:id="1351563309">
      <w:bodyDiv w:val="1"/>
      <w:marLeft w:val="0"/>
      <w:marRight w:val="0"/>
      <w:marTop w:val="0"/>
      <w:marBottom w:val="0"/>
      <w:divBdr>
        <w:top w:val="none" w:sz="0" w:space="0" w:color="auto"/>
        <w:left w:val="none" w:sz="0" w:space="0" w:color="auto"/>
        <w:bottom w:val="none" w:sz="0" w:space="0" w:color="auto"/>
        <w:right w:val="none" w:sz="0" w:space="0" w:color="auto"/>
      </w:divBdr>
    </w:div>
    <w:div w:id="1365786696">
      <w:bodyDiv w:val="1"/>
      <w:marLeft w:val="0"/>
      <w:marRight w:val="0"/>
      <w:marTop w:val="0"/>
      <w:marBottom w:val="0"/>
      <w:divBdr>
        <w:top w:val="none" w:sz="0" w:space="0" w:color="auto"/>
        <w:left w:val="none" w:sz="0" w:space="0" w:color="auto"/>
        <w:bottom w:val="none" w:sz="0" w:space="0" w:color="auto"/>
        <w:right w:val="none" w:sz="0" w:space="0" w:color="auto"/>
      </w:divBdr>
    </w:div>
    <w:div w:id="1382709480">
      <w:bodyDiv w:val="1"/>
      <w:marLeft w:val="0"/>
      <w:marRight w:val="0"/>
      <w:marTop w:val="0"/>
      <w:marBottom w:val="0"/>
      <w:divBdr>
        <w:top w:val="none" w:sz="0" w:space="0" w:color="auto"/>
        <w:left w:val="none" w:sz="0" w:space="0" w:color="auto"/>
        <w:bottom w:val="none" w:sz="0" w:space="0" w:color="auto"/>
        <w:right w:val="none" w:sz="0" w:space="0" w:color="auto"/>
      </w:divBdr>
    </w:div>
    <w:div w:id="1391537088">
      <w:bodyDiv w:val="1"/>
      <w:marLeft w:val="0"/>
      <w:marRight w:val="0"/>
      <w:marTop w:val="0"/>
      <w:marBottom w:val="0"/>
      <w:divBdr>
        <w:top w:val="none" w:sz="0" w:space="0" w:color="auto"/>
        <w:left w:val="none" w:sz="0" w:space="0" w:color="auto"/>
        <w:bottom w:val="none" w:sz="0" w:space="0" w:color="auto"/>
        <w:right w:val="none" w:sz="0" w:space="0" w:color="auto"/>
      </w:divBdr>
    </w:div>
    <w:div w:id="1400247828">
      <w:bodyDiv w:val="1"/>
      <w:marLeft w:val="0"/>
      <w:marRight w:val="0"/>
      <w:marTop w:val="0"/>
      <w:marBottom w:val="0"/>
      <w:divBdr>
        <w:top w:val="none" w:sz="0" w:space="0" w:color="auto"/>
        <w:left w:val="none" w:sz="0" w:space="0" w:color="auto"/>
        <w:bottom w:val="none" w:sz="0" w:space="0" w:color="auto"/>
        <w:right w:val="none" w:sz="0" w:space="0" w:color="auto"/>
      </w:divBdr>
    </w:div>
    <w:div w:id="1416980081">
      <w:bodyDiv w:val="1"/>
      <w:marLeft w:val="0"/>
      <w:marRight w:val="0"/>
      <w:marTop w:val="0"/>
      <w:marBottom w:val="0"/>
      <w:divBdr>
        <w:top w:val="none" w:sz="0" w:space="0" w:color="auto"/>
        <w:left w:val="none" w:sz="0" w:space="0" w:color="auto"/>
        <w:bottom w:val="none" w:sz="0" w:space="0" w:color="auto"/>
        <w:right w:val="none" w:sz="0" w:space="0" w:color="auto"/>
      </w:divBdr>
    </w:div>
    <w:div w:id="1432045636">
      <w:bodyDiv w:val="1"/>
      <w:marLeft w:val="0"/>
      <w:marRight w:val="0"/>
      <w:marTop w:val="0"/>
      <w:marBottom w:val="0"/>
      <w:divBdr>
        <w:top w:val="none" w:sz="0" w:space="0" w:color="auto"/>
        <w:left w:val="none" w:sz="0" w:space="0" w:color="auto"/>
        <w:bottom w:val="none" w:sz="0" w:space="0" w:color="auto"/>
        <w:right w:val="none" w:sz="0" w:space="0" w:color="auto"/>
      </w:divBdr>
    </w:div>
    <w:div w:id="1452241912">
      <w:bodyDiv w:val="1"/>
      <w:marLeft w:val="0"/>
      <w:marRight w:val="0"/>
      <w:marTop w:val="0"/>
      <w:marBottom w:val="0"/>
      <w:divBdr>
        <w:top w:val="none" w:sz="0" w:space="0" w:color="auto"/>
        <w:left w:val="none" w:sz="0" w:space="0" w:color="auto"/>
        <w:bottom w:val="none" w:sz="0" w:space="0" w:color="auto"/>
        <w:right w:val="none" w:sz="0" w:space="0" w:color="auto"/>
      </w:divBdr>
    </w:div>
    <w:div w:id="1456946515">
      <w:bodyDiv w:val="1"/>
      <w:marLeft w:val="0"/>
      <w:marRight w:val="0"/>
      <w:marTop w:val="0"/>
      <w:marBottom w:val="0"/>
      <w:divBdr>
        <w:top w:val="none" w:sz="0" w:space="0" w:color="auto"/>
        <w:left w:val="none" w:sz="0" w:space="0" w:color="auto"/>
        <w:bottom w:val="none" w:sz="0" w:space="0" w:color="auto"/>
        <w:right w:val="none" w:sz="0" w:space="0" w:color="auto"/>
      </w:divBdr>
    </w:div>
    <w:div w:id="1458522573">
      <w:bodyDiv w:val="1"/>
      <w:marLeft w:val="0"/>
      <w:marRight w:val="0"/>
      <w:marTop w:val="0"/>
      <w:marBottom w:val="0"/>
      <w:divBdr>
        <w:top w:val="none" w:sz="0" w:space="0" w:color="auto"/>
        <w:left w:val="none" w:sz="0" w:space="0" w:color="auto"/>
        <w:bottom w:val="none" w:sz="0" w:space="0" w:color="auto"/>
        <w:right w:val="none" w:sz="0" w:space="0" w:color="auto"/>
      </w:divBdr>
    </w:div>
    <w:div w:id="1459107285">
      <w:bodyDiv w:val="1"/>
      <w:marLeft w:val="0"/>
      <w:marRight w:val="0"/>
      <w:marTop w:val="0"/>
      <w:marBottom w:val="0"/>
      <w:divBdr>
        <w:top w:val="none" w:sz="0" w:space="0" w:color="auto"/>
        <w:left w:val="none" w:sz="0" w:space="0" w:color="auto"/>
        <w:bottom w:val="none" w:sz="0" w:space="0" w:color="auto"/>
        <w:right w:val="none" w:sz="0" w:space="0" w:color="auto"/>
      </w:divBdr>
    </w:div>
    <w:div w:id="1470783172">
      <w:bodyDiv w:val="1"/>
      <w:marLeft w:val="0"/>
      <w:marRight w:val="0"/>
      <w:marTop w:val="0"/>
      <w:marBottom w:val="0"/>
      <w:divBdr>
        <w:top w:val="none" w:sz="0" w:space="0" w:color="auto"/>
        <w:left w:val="none" w:sz="0" w:space="0" w:color="auto"/>
        <w:bottom w:val="none" w:sz="0" w:space="0" w:color="auto"/>
        <w:right w:val="none" w:sz="0" w:space="0" w:color="auto"/>
      </w:divBdr>
    </w:div>
    <w:div w:id="1478691063">
      <w:bodyDiv w:val="1"/>
      <w:marLeft w:val="0"/>
      <w:marRight w:val="0"/>
      <w:marTop w:val="0"/>
      <w:marBottom w:val="0"/>
      <w:divBdr>
        <w:top w:val="none" w:sz="0" w:space="0" w:color="auto"/>
        <w:left w:val="none" w:sz="0" w:space="0" w:color="auto"/>
        <w:bottom w:val="none" w:sz="0" w:space="0" w:color="auto"/>
        <w:right w:val="none" w:sz="0" w:space="0" w:color="auto"/>
      </w:divBdr>
    </w:div>
    <w:div w:id="1480416246">
      <w:bodyDiv w:val="1"/>
      <w:marLeft w:val="0"/>
      <w:marRight w:val="0"/>
      <w:marTop w:val="0"/>
      <w:marBottom w:val="0"/>
      <w:divBdr>
        <w:top w:val="none" w:sz="0" w:space="0" w:color="auto"/>
        <w:left w:val="none" w:sz="0" w:space="0" w:color="auto"/>
        <w:bottom w:val="none" w:sz="0" w:space="0" w:color="auto"/>
        <w:right w:val="none" w:sz="0" w:space="0" w:color="auto"/>
      </w:divBdr>
    </w:div>
    <w:div w:id="1490246621">
      <w:bodyDiv w:val="1"/>
      <w:marLeft w:val="0"/>
      <w:marRight w:val="0"/>
      <w:marTop w:val="0"/>
      <w:marBottom w:val="0"/>
      <w:divBdr>
        <w:top w:val="none" w:sz="0" w:space="0" w:color="auto"/>
        <w:left w:val="none" w:sz="0" w:space="0" w:color="auto"/>
        <w:bottom w:val="none" w:sz="0" w:space="0" w:color="auto"/>
        <w:right w:val="none" w:sz="0" w:space="0" w:color="auto"/>
      </w:divBdr>
    </w:div>
    <w:div w:id="1512404710">
      <w:bodyDiv w:val="1"/>
      <w:marLeft w:val="0"/>
      <w:marRight w:val="0"/>
      <w:marTop w:val="0"/>
      <w:marBottom w:val="0"/>
      <w:divBdr>
        <w:top w:val="none" w:sz="0" w:space="0" w:color="auto"/>
        <w:left w:val="none" w:sz="0" w:space="0" w:color="auto"/>
        <w:bottom w:val="none" w:sz="0" w:space="0" w:color="auto"/>
        <w:right w:val="none" w:sz="0" w:space="0" w:color="auto"/>
      </w:divBdr>
    </w:div>
    <w:div w:id="1513497022">
      <w:bodyDiv w:val="1"/>
      <w:marLeft w:val="0"/>
      <w:marRight w:val="0"/>
      <w:marTop w:val="0"/>
      <w:marBottom w:val="0"/>
      <w:divBdr>
        <w:top w:val="none" w:sz="0" w:space="0" w:color="auto"/>
        <w:left w:val="none" w:sz="0" w:space="0" w:color="auto"/>
        <w:bottom w:val="none" w:sz="0" w:space="0" w:color="auto"/>
        <w:right w:val="none" w:sz="0" w:space="0" w:color="auto"/>
      </w:divBdr>
    </w:div>
    <w:div w:id="1513569905">
      <w:bodyDiv w:val="1"/>
      <w:marLeft w:val="0"/>
      <w:marRight w:val="0"/>
      <w:marTop w:val="0"/>
      <w:marBottom w:val="0"/>
      <w:divBdr>
        <w:top w:val="none" w:sz="0" w:space="0" w:color="auto"/>
        <w:left w:val="none" w:sz="0" w:space="0" w:color="auto"/>
        <w:bottom w:val="none" w:sz="0" w:space="0" w:color="auto"/>
        <w:right w:val="none" w:sz="0" w:space="0" w:color="auto"/>
      </w:divBdr>
    </w:div>
    <w:div w:id="1517648195">
      <w:bodyDiv w:val="1"/>
      <w:marLeft w:val="0"/>
      <w:marRight w:val="0"/>
      <w:marTop w:val="0"/>
      <w:marBottom w:val="0"/>
      <w:divBdr>
        <w:top w:val="none" w:sz="0" w:space="0" w:color="auto"/>
        <w:left w:val="none" w:sz="0" w:space="0" w:color="auto"/>
        <w:bottom w:val="none" w:sz="0" w:space="0" w:color="auto"/>
        <w:right w:val="none" w:sz="0" w:space="0" w:color="auto"/>
      </w:divBdr>
    </w:div>
    <w:div w:id="1517815798">
      <w:bodyDiv w:val="1"/>
      <w:marLeft w:val="0"/>
      <w:marRight w:val="0"/>
      <w:marTop w:val="0"/>
      <w:marBottom w:val="0"/>
      <w:divBdr>
        <w:top w:val="none" w:sz="0" w:space="0" w:color="auto"/>
        <w:left w:val="none" w:sz="0" w:space="0" w:color="auto"/>
        <w:bottom w:val="none" w:sz="0" w:space="0" w:color="auto"/>
        <w:right w:val="none" w:sz="0" w:space="0" w:color="auto"/>
      </w:divBdr>
    </w:div>
    <w:div w:id="1520922379">
      <w:bodyDiv w:val="1"/>
      <w:marLeft w:val="0"/>
      <w:marRight w:val="0"/>
      <w:marTop w:val="0"/>
      <w:marBottom w:val="0"/>
      <w:divBdr>
        <w:top w:val="none" w:sz="0" w:space="0" w:color="auto"/>
        <w:left w:val="none" w:sz="0" w:space="0" w:color="auto"/>
        <w:bottom w:val="none" w:sz="0" w:space="0" w:color="auto"/>
        <w:right w:val="none" w:sz="0" w:space="0" w:color="auto"/>
      </w:divBdr>
    </w:div>
    <w:div w:id="1522815756">
      <w:bodyDiv w:val="1"/>
      <w:marLeft w:val="0"/>
      <w:marRight w:val="0"/>
      <w:marTop w:val="0"/>
      <w:marBottom w:val="0"/>
      <w:divBdr>
        <w:top w:val="none" w:sz="0" w:space="0" w:color="auto"/>
        <w:left w:val="none" w:sz="0" w:space="0" w:color="auto"/>
        <w:bottom w:val="none" w:sz="0" w:space="0" w:color="auto"/>
        <w:right w:val="none" w:sz="0" w:space="0" w:color="auto"/>
      </w:divBdr>
    </w:div>
    <w:div w:id="1523324296">
      <w:bodyDiv w:val="1"/>
      <w:marLeft w:val="0"/>
      <w:marRight w:val="0"/>
      <w:marTop w:val="0"/>
      <w:marBottom w:val="0"/>
      <w:divBdr>
        <w:top w:val="none" w:sz="0" w:space="0" w:color="auto"/>
        <w:left w:val="none" w:sz="0" w:space="0" w:color="auto"/>
        <w:bottom w:val="none" w:sz="0" w:space="0" w:color="auto"/>
        <w:right w:val="none" w:sz="0" w:space="0" w:color="auto"/>
      </w:divBdr>
    </w:div>
    <w:div w:id="1536431397">
      <w:bodyDiv w:val="1"/>
      <w:marLeft w:val="0"/>
      <w:marRight w:val="0"/>
      <w:marTop w:val="0"/>
      <w:marBottom w:val="0"/>
      <w:divBdr>
        <w:top w:val="none" w:sz="0" w:space="0" w:color="auto"/>
        <w:left w:val="none" w:sz="0" w:space="0" w:color="auto"/>
        <w:bottom w:val="none" w:sz="0" w:space="0" w:color="auto"/>
        <w:right w:val="none" w:sz="0" w:space="0" w:color="auto"/>
      </w:divBdr>
    </w:div>
    <w:div w:id="1545411322">
      <w:bodyDiv w:val="1"/>
      <w:marLeft w:val="0"/>
      <w:marRight w:val="0"/>
      <w:marTop w:val="0"/>
      <w:marBottom w:val="0"/>
      <w:divBdr>
        <w:top w:val="none" w:sz="0" w:space="0" w:color="auto"/>
        <w:left w:val="none" w:sz="0" w:space="0" w:color="auto"/>
        <w:bottom w:val="none" w:sz="0" w:space="0" w:color="auto"/>
        <w:right w:val="none" w:sz="0" w:space="0" w:color="auto"/>
      </w:divBdr>
    </w:div>
    <w:div w:id="1549949622">
      <w:bodyDiv w:val="1"/>
      <w:marLeft w:val="0"/>
      <w:marRight w:val="0"/>
      <w:marTop w:val="0"/>
      <w:marBottom w:val="0"/>
      <w:divBdr>
        <w:top w:val="none" w:sz="0" w:space="0" w:color="auto"/>
        <w:left w:val="none" w:sz="0" w:space="0" w:color="auto"/>
        <w:bottom w:val="none" w:sz="0" w:space="0" w:color="auto"/>
        <w:right w:val="none" w:sz="0" w:space="0" w:color="auto"/>
      </w:divBdr>
    </w:div>
    <w:div w:id="1553885491">
      <w:bodyDiv w:val="1"/>
      <w:marLeft w:val="0"/>
      <w:marRight w:val="0"/>
      <w:marTop w:val="0"/>
      <w:marBottom w:val="0"/>
      <w:divBdr>
        <w:top w:val="none" w:sz="0" w:space="0" w:color="auto"/>
        <w:left w:val="none" w:sz="0" w:space="0" w:color="auto"/>
        <w:bottom w:val="none" w:sz="0" w:space="0" w:color="auto"/>
        <w:right w:val="none" w:sz="0" w:space="0" w:color="auto"/>
      </w:divBdr>
    </w:div>
    <w:div w:id="1562593112">
      <w:bodyDiv w:val="1"/>
      <w:marLeft w:val="0"/>
      <w:marRight w:val="0"/>
      <w:marTop w:val="0"/>
      <w:marBottom w:val="0"/>
      <w:divBdr>
        <w:top w:val="none" w:sz="0" w:space="0" w:color="auto"/>
        <w:left w:val="none" w:sz="0" w:space="0" w:color="auto"/>
        <w:bottom w:val="none" w:sz="0" w:space="0" w:color="auto"/>
        <w:right w:val="none" w:sz="0" w:space="0" w:color="auto"/>
      </w:divBdr>
    </w:div>
    <w:div w:id="1566331832">
      <w:bodyDiv w:val="1"/>
      <w:marLeft w:val="0"/>
      <w:marRight w:val="0"/>
      <w:marTop w:val="0"/>
      <w:marBottom w:val="0"/>
      <w:divBdr>
        <w:top w:val="none" w:sz="0" w:space="0" w:color="auto"/>
        <w:left w:val="none" w:sz="0" w:space="0" w:color="auto"/>
        <w:bottom w:val="none" w:sz="0" w:space="0" w:color="auto"/>
        <w:right w:val="none" w:sz="0" w:space="0" w:color="auto"/>
      </w:divBdr>
    </w:div>
    <w:div w:id="1572807044">
      <w:bodyDiv w:val="1"/>
      <w:marLeft w:val="0"/>
      <w:marRight w:val="0"/>
      <w:marTop w:val="0"/>
      <w:marBottom w:val="0"/>
      <w:divBdr>
        <w:top w:val="none" w:sz="0" w:space="0" w:color="auto"/>
        <w:left w:val="none" w:sz="0" w:space="0" w:color="auto"/>
        <w:bottom w:val="none" w:sz="0" w:space="0" w:color="auto"/>
        <w:right w:val="none" w:sz="0" w:space="0" w:color="auto"/>
      </w:divBdr>
    </w:div>
    <w:div w:id="1574781409">
      <w:bodyDiv w:val="1"/>
      <w:marLeft w:val="0"/>
      <w:marRight w:val="0"/>
      <w:marTop w:val="0"/>
      <w:marBottom w:val="0"/>
      <w:divBdr>
        <w:top w:val="none" w:sz="0" w:space="0" w:color="auto"/>
        <w:left w:val="none" w:sz="0" w:space="0" w:color="auto"/>
        <w:bottom w:val="none" w:sz="0" w:space="0" w:color="auto"/>
        <w:right w:val="none" w:sz="0" w:space="0" w:color="auto"/>
      </w:divBdr>
    </w:div>
    <w:div w:id="1578859540">
      <w:bodyDiv w:val="1"/>
      <w:marLeft w:val="0"/>
      <w:marRight w:val="0"/>
      <w:marTop w:val="0"/>
      <w:marBottom w:val="0"/>
      <w:divBdr>
        <w:top w:val="none" w:sz="0" w:space="0" w:color="auto"/>
        <w:left w:val="none" w:sz="0" w:space="0" w:color="auto"/>
        <w:bottom w:val="none" w:sz="0" w:space="0" w:color="auto"/>
        <w:right w:val="none" w:sz="0" w:space="0" w:color="auto"/>
      </w:divBdr>
    </w:div>
    <w:div w:id="1588807377">
      <w:bodyDiv w:val="1"/>
      <w:marLeft w:val="0"/>
      <w:marRight w:val="0"/>
      <w:marTop w:val="0"/>
      <w:marBottom w:val="0"/>
      <w:divBdr>
        <w:top w:val="none" w:sz="0" w:space="0" w:color="auto"/>
        <w:left w:val="none" w:sz="0" w:space="0" w:color="auto"/>
        <w:bottom w:val="none" w:sz="0" w:space="0" w:color="auto"/>
        <w:right w:val="none" w:sz="0" w:space="0" w:color="auto"/>
      </w:divBdr>
    </w:div>
    <w:div w:id="1597668742">
      <w:bodyDiv w:val="1"/>
      <w:marLeft w:val="0"/>
      <w:marRight w:val="0"/>
      <w:marTop w:val="0"/>
      <w:marBottom w:val="0"/>
      <w:divBdr>
        <w:top w:val="none" w:sz="0" w:space="0" w:color="auto"/>
        <w:left w:val="none" w:sz="0" w:space="0" w:color="auto"/>
        <w:bottom w:val="none" w:sz="0" w:space="0" w:color="auto"/>
        <w:right w:val="none" w:sz="0" w:space="0" w:color="auto"/>
      </w:divBdr>
    </w:div>
    <w:div w:id="1625428913">
      <w:bodyDiv w:val="1"/>
      <w:marLeft w:val="0"/>
      <w:marRight w:val="0"/>
      <w:marTop w:val="0"/>
      <w:marBottom w:val="0"/>
      <w:divBdr>
        <w:top w:val="none" w:sz="0" w:space="0" w:color="auto"/>
        <w:left w:val="none" w:sz="0" w:space="0" w:color="auto"/>
        <w:bottom w:val="none" w:sz="0" w:space="0" w:color="auto"/>
        <w:right w:val="none" w:sz="0" w:space="0" w:color="auto"/>
      </w:divBdr>
    </w:div>
    <w:div w:id="1628001043">
      <w:bodyDiv w:val="1"/>
      <w:marLeft w:val="0"/>
      <w:marRight w:val="0"/>
      <w:marTop w:val="0"/>
      <w:marBottom w:val="0"/>
      <w:divBdr>
        <w:top w:val="none" w:sz="0" w:space="0" w:color="auto"/>
        <w:left w:val="none" w:sz="0" w:space="0" w:color="auto"/>
        <w:bottom w:val="none" w:sz="0" w:space="0" w:color="auto"/>
        <w:right w:val="none" w:sz="0" w:space="0" w:color="auto"/>
      </w:divBdr>
    </w:div>
    <w:div w:id="1634483822">
      <w:bodyDiv w:val="1"/>
      <w:marLeft w:val="0"/>
      <w:marRight w:val="0"/>
      <w:marTop w:val="0"/>
      <w:marBottom w:val="0"/>
      <w:divBdr>
        <w:top w:val="none" w:sz="0" w:space="0" w:color="auto"/>
        <w:left w:val="none" w:sz="0" w:space="0" w:color="auto"/>
        <w:bottom w:val="none" w:sz="0" w:space="0" w:color="auto"/>
        <w:right w:val="none" w:sz="0" w:space="0" w:color="auto"/>
      </w:divBdr>
    </w:div>
    <w:div w:id="1661080098">
      <w:bodyDiv w:val="1"/>
      <w:marLeft w:val="0"/>
      <w:marRight w:val="0"/>
      <w:marTop w:val="0"/>
      <w:marBottom w:val="0"/>
      <w:divBdr>
        <w:top w:val="none" w:sz="0" w:space="0" w:color="auto"/>
        <w:left w:val="none" w:sz="0" w:space="0" w:color="auto"/>
        <w:bottom w:val="none" w:sz="0" w:space="0" w:color="auto"/>
        <w:right w:val="none" w:sz="0" w:space="0" w:color="auto"/>
      </w:divBdr>
    </w:div>
    <w:div w:id="1694308150">
      <w:bodyDiv w:val="1"/>
      <w:marLeft w:val="0"/>
      <w:marRight w:val="0"/>
      <w:marTop w:val="0"/>
      <w:marBottom w:val="0"/>
      <w:divBdr>
        <w:top w:val="none" w:sz="0" w:space="0" w:color="auto"/>
        <w:left w:val="none" w:sz="0" w:space="0" w:color="auto"/>
        <w:bottom w:val="none" w:sz="0" w:space="0" w:color="auto"/>
        <w:right w:val="none" w:sz="0" w:space="0" w:color="auto"/>
      </w:divBdr>
    </w:div>
    <w:div w:id="1701857607">
      <w:bodyDiv w:val="1"/>
      <w:marLeft w:val="0"/>
      <w:marRight w:val="0"/>
      <w:marTop w:val="0"/>
      <w:marBottom w:val="0"/>
      <w:divBdr>
        <w:top w:val="none" w:sz="0" w:space="0" w:color="auto"/>
        <w:left w:val="none" w:sz="0" w:space="0" w:color="auto"/>
        <w:bottom w:val="none" w:sz="0" w:space="0" w:color="auto"/>
        <w:right w:val="none" w:sz="0" w:space="0" w:color="auto"/>
      </w:divBdr>
    </w:div>
    <w:div w:id="1707369223">
      <w:bodyDiv w:val="1"/>
      <w:marLeft w:val="0"/>
      <w:marRight w:val="0"/>
      <w:marTop w:val="0"/>
      <w:marBottom w:val="0"/>
      <w:divBdr>
        <w:top w:val="none" w:sz="0" w:space="0" w:color="auto"/>
        <w:left w:val="none" w:sz="0" w:space="0" w:color="auto"/>
        <w:bottom w:val="none" w:sz="0" w:space="0" w:color="auto"/>
        <w:right w:val="none" w:sz="0" w:space="0" w:color="auto"/>
      </w:divBdr>
    </w:div>
    <w:div w:id="1717973446">
      <w:bodyDiv w:val="1"/>
      <w:marLeft w:val="0"/>
      <w:marRight w:val="0"/>
      <w:marTop w:val="0"/>
      <w:marBottom w:val="0"/>
      <w:divBdr>
        <w:top w:val="none" w:sz="0" w:space="0" w:color="auto"/>
        <w:left w:val="none" w:sz="0" w:space="0" w:color="auto"/>
        <w:bottom w:val="none" w:sz="0" w:space="0" w:color="auto"/>
        <w:right w:val="none" w:sz="0" w:space="0" w:color="auto"/>
      </w:divBdr>
    </w:div>
    <w:div w:id="1745644194">
      <w:bodyDiv w:val="1"/>
      <w:marLeft w:val="0"/>
      <w:marRight w:val="0"/>
      <w:marTop w:val="0"/>
      <w:marBottom w:val="0"/>
      <w:divBdr>
        <w:top w:val="none" w:sz="0" w:space="0" w:color="auto"/>
        <w:left w:val="none" w:sz="0" w:space="0" w:color="auto"/>
        <w:bottom w:val="none" w:sz="0" w:space="0" w:color="auto"/>
        <w:right w:val="none" w:sz="0" w:space="0" w:color="auto"/>
      </w:divBdr>
    </w:div>
    <w:div w:id="1757092422">
      <w:bodyDiv w:val="1"/>
      <w:marLeft w:val="0"/>
      <w:marRight w:val="0"/>
      <w:marTop w:val="0"/>
      <w:marBottom w:val="0"/>
      <w:divBdr>
        <w:top w:val="none" w:sz="0" w:space="0" w:color="auto"/>
        <w:left w:val="none" w:sz="0" w:space="0" w:color="auto"/>
        <w:bottom w:val="none" w:sz="0" w:space="0" w:color="auto"/>
        <w:right w:val="none" w:sz="0" w:space="0" w:color="auto"/>
      </w:divBdr>
    </w:div>
    <w:div w:id="1767116361">
      <w:bodyDiv w:val="1"/>
      <w:marLeft w:val="0"/>
      <w:marRight w:val="0"/>
      <w:marTop w:val="0"/>
      <w:marBottom w:val="0"/>
      <w:divBdr>
        <w:top w:val="none" w:sz="0" w:space="0" w:color="auto"/>
        <w:left w:val="none" w:sz="0" w:space="0" w:color="auto"/>
        <w:bottom w:val="none" w:sz="0" w:space="0" w:color="auto"/>
        <w:right w:val="none" w:sz="0" w:space="0" w:color="auto"/>
      </w:divBdr>
    </w:div>
    <w:div w:id="1773235242">
      <w:bodyDiv w:val="1"/>
      <w:marLeft w:val="0"/>
      <w:marRight w:val="0"/>
      <w:marTop w:val="0"/>
      <w:marBottom w:val="0"/>
      <w:divBdr>
        <w:top w:val="none" w:sz="0" w:space="0" w:color="auto"/>
        <w:left w:val="none" w:sz="0" w:space="0" w:color="auto"/>
        <w:bottom w:val="none" w:sz="0" w:space="0" w:color="auto"/>
        <w:right w:val="none" w:sz="0" w:space="0" w:color="auto"/>
      </w:divBdr>
    </w:div>
    <w:div w:id="1774322052">
      <w:bodyDiv w:val="1"/>
      <w:marLeft w:val="0"/>
      <w:marRight w:val="0"/>
      <w:marTop w:val="0"/>
      <w:marBottom w:val="0"/>
      <w:divBdr>
        <w:top w:val="none" w:sz="0" w:space="0" w:color="auto"/>
        <w:left w:val="none" w:sz="0" w:space="0" w:color="auto"/>
        <w:bottom w:val="none" w:sz="0" w:space="0" w:color="auto"/>
        <w:right w:val="none" w:sz="0" w:space="0" w:color="auto"/>
      </w:divBdr>
    </w:div>
    <w:div w:id="1790466050">
      <w:bodyDiv w:val="1"/>
      <w:marLeft w:val="0"/>
      <w:marRight w:val="0"/>
      <w:marTop w:val="0"/>
      <w:marBottom w:val="0"/>
      <w:divBdr>
        <w:top w:val="none" w:sz="0" w:space="0" w:color="auto"/>
        <w:left w:val="none" w:sz="0" w:space="0" w:color="auto"/>
        <w:bottom w:val="none" w:sz="0" w:space="0" w:color="auto"/>
        <w:right w:val="none" w:sz="0" w:space="0" w:color="auto"/>
      </w:divBdr>
    </w:div>
    <w:div w:id="1792819366">
      <w:bodyDiv w:val="1"/>
      <w:marLeft w:val="0"/>
      <w:marRight w:val="0"/>
      <w:marTop w:val="0"/>
      <w:marBottom w:val="0"/>
      <w:divBdr>
        <w:top w:val="none" w:sz="0" w:space="0" w:color="auto"/>
        <w:left w:val="none" w:sz="0" w:space="0" w:color="auto"/>
        <w:bottom w:val="none" w:sz="0" w:space="0" w:color="auto"/>
        <w:right w:val="none" w:sz="0" w:space="0" w:color="auto"/>
      </w:divBdr>
    </w:div>
    <w:div w:id="1798717751">
      <w:bodyDiv w:val="1"/>
      <w:marLeft w:val="0"/>
      <w:marRight w:val="0"/>
      <w:marTop w:val="0"/>
      <w:marBottom w:val="0"/>
      <w:divBdr>
        <w:top w:val="none" w:sz="0" w:space="0" w:color="auto"/>
        <w:left w:val="none" w:sz="0" w:space="0" w:color="auto"/>
        <w:bottom w:val="none" w:sz="0" w:space="0" w:color="auto"/>
        <w:right w:val="none" w:sz="0" w:space="0" w:color="auto"/>
      </w:divBdr>
    </w:div>
    <w:div w:id="1814910955">
      <w:bodyDiv w:val="1"/>
      <w:marLeft w:val="0"/>
      <w:marRight w:val="0"/>
      <w:marTop w:val="0"/>
      <w:marBottom w:val="0"/>
      <w:divBdr>
        <w:top w:val="none" w:sz="0" w:space="0" w:color="auto"/>
        <w:left w:val="none" w:sz="0" w:space="0" w:color="auto"/>
        <w:bottom w:val="none" w:sz="0" w:space="0" w:color="auto"/>
        <w:right w:val="none" w:sz="0" w:space="0" w:color="auto"/>
      </w:divBdr>
    </w:div>
    <w:div w:id="1816216047">
      <w:bodyDiv w:val="1"/>
      <w:marLeft w:val="0"/>
      <w:marRight w:val="0"/>
      <w:marTop w:val="0"/>
      <w:marBottom w:val="0"/>
      <w:divBdr>
        <w:top w:val="none" w:sz="0" w:space="0" w:color="auto"/>
        <w:left w:val="none" w:sz="0" w:space="0" w:color="auto"/>
        <w:bottom w:val="none" w:sz="0" w:space="0" w:color="auto"/>
        <w:right w:val="none" w:sz="0" w:space="0" w:color="auto"/>
      </w:divBdr>
    </w:div>
    <w:div w:id="1821118978">
      <w:bodyDiv w:val="1"/>
      <w:marLeft w:val="0"/>
      <w:marRight w:val="0"/>
      <w:marTop w:val="0"/>
      <w:marBottom w:val="0"/>
      <w:divBdr>
        <w:top w:val="none" w:sz="0" w:space="0" w:color="auto"/>
        <w:left w:val="none" w:sz="0" w:space="0" w:color="auto"/>
        <w:bottom w:val="none" w:sz="0" w:space="0" w:color="auto"/>
        <w:right w:val="none" w:sz="0" w:space="0" w:color="auto"/>
      </w:divBdr>
    </w:div>
    <w:div w:id="1826897223">
      <w:bodyDiv w:val="1"/>
      <w:marLeft w:val="0"/>
      <w:marRight w:val="0"/>
      <w:marTop w:val="0"/>
      <w:marBottom w:val="0"/>
      <w:divBdr>
        <w:top w:val="none" w:sz="0" w:space="0" w:color="auto"/>
        <w:left w:val="none" w:sz="0" w:space="0" w:color="auto"/>
        <w:bottom w:val="none" w:sz="0" w:space="0" w:color="auto"/>
        <w:right w:val="none" w:sz="0" w:space="0" w:color="auto"/>
      </w:divBdr>
    </w:div>
    <w:div w:id="1847986606">
      <w:bodyDiv w:val="1"/>
      <w:marLeft w:val="0"/>
      <w:marRight w:val="0"/>
      <w:marTop w:val="0"/>
      <w:marBottom w:val="0"/>
      <w:divBdr>
        <w:top w:val="none" w:sz="0" w:space="0" w:color="auto"/>
        <w:left w:val="none" w:sz="0" w:space="0" w:color="auto"/>
        <w:bottom w:val="none" w:sz="0" w:space="0" w:color="auto"/>
        <w:right w:val="none" w:sz="0" w:space="0" w:color="auto"/>
      </w:divBdr>
    </w:div>
    <w:div w:id="1853564553">
      <w:bodyDiv w:val="1"/>
      <w:marLeft w:val="0"/>
      <w:marRight w:val="0"/>
      <w:marTop w:val="0"/>
      <w:marBottom w:val="0"/>
      <w:divBdr>
        <w:top w:val="none" w:sz="0" w:space="0" w:color="auto"/>
        <w:left w:val="none" w:sz="0" w:space="0" w:color="auto"/>
        <w:bottom w:val="none" w:sz="0" w:space="0" w:color="auto"/>
        <w:right w:val="none" w:sz="0" w:space="0" w:color="auto"/>
      </w:divBdr>
    </w:div>
    <w:div w:id="1858275593">
      <w:bodyDiv w:val="1"/>
      <w:marLeft w:val="0"/>
      <w:marRight w:val="0"/>
      <w:marTop w:val="0"/>
      <w:marBottom w:val="0"/>
      <w:divBdr>
        <w:top w:val="none" w:sz="0" w:space="0" w:color="auto"/>
        <w:left w:val="none" w:sz="0" w:space="0" w:color="auto"/>
        <w:bottom w:val="none" w:sz="0" w:space="0" w:color="auto"/>
        <w:right w:val="none" w:sz="0" w:space="0" w:color="auto"/>
      </w:divBdr>
    </w:div>
    <w:div w:id="1860965723">
      <w:bodyDiv w:val="1"/>
      <w:marLeft w:val="0"/>
      <w:marRight w:val="0"/>
      <w:marTop w:val="0"/>
      <w:marBottom w:val="0"/>
      <w:divBdr>
        <w:top w:val="none" w:sz="0" w:space="0" w:color="auto"/>
        <w:left w:val="none" w:sz="0" w:space="0" w:color="auto"/>
        <w:bottom w:val="none" w:sz="0" w:space="0" w:color="auto"/>
        <w:right w:val="none" w:sz="0" w:space="0" w:color="auto"/>
      </w:divBdr>
    </w:div>
    <w:div w:id="1866601159">
      <w:bodyDiv w:val="1"/>
      <w:marLeft w:val="0"/>
      <w:marRight w:val="0"/>
      <w:marTop w:val="0"/>
      <w:marBottom w:val="0"/>
      <w:divBdr>
        <w:top w:val="none" w:sz="0" w:space="0" w:color="auto"/>
        <w:left w:val="none" w:sz="0" w:space="0" w:color="auto"/>
        <w:bottom w:val="none" w:sz="0" w:space="0" w:color="auto"/>
        <w:right w:val="none" w:sz="0" w:space="0" w:color="auto"/>
      </w:divBdr>
    </w:div>
    <w:div w:id="1868327098">
      <w:bodyDiv w:val="1"/>
      <w:marLeft w:val="0"/>
      <w:marRight w:val="0"/>
      <w:marTop w:val="0"/>
      <w:marBottom w:val="0"/>
      <w:divBdr>
        <w:top w:val="none" w:sz="0" w:space="0" w:color="auto"/>
        <w:left w:val="none" w:sz="0" w:space="0" w:color="auto"/>
        <w:bottom w:val="none" w:sz="0" w:space="0" w:color="auto"/>
        <w:right w:val="none" w:sz="0" w:space="0" w:color="auto"/>
      </w:divBdr>
    </w:div>
    <w:div w:id="1876893133">
      <w:bodyDiv w:val="1"/>
      <w:marLeft w:val="0"/>
      <w:marRight w:val="0"/>
      <w:marTop w:val="0"/>
      <w:marBottom w:val="0"/>
      <w:divBdr>
        <w:top w:val="none" w:sz="0" w:space="0" w:color="auto"/>
        <w:left w:val="none" w:sz="0" w:space="0" w:color="auto"/>
        <w:bottom w:val="none" w:sz="0" w:space="0" w:color="auto"/>
        <w:right w:val="none" w:sz="0" w:space="0" w:color="auto"/>
      </w:divBdr>
    </w:div>
    <w:div w:id="1886286534">
      <w:bodyDiv w:val="1"/>
      <w:marLeft w:val="0"/>
      <w:marRight w:val="0"/>
      <w:marTop w:val="0"/>
      <w:marBottom w:val="0"/>
      <w:divBdr>
        <w:top w:val="none" w:sz="0" w:space="0" w:color="auto"/>
        <w:left w:val="none" w:sz="0" w:space="0" w:color="auto"/>
        <w:bottom w:val="none" w:sz="0" w:space="0" w:color="auto"/>
        <w:right w:val="none" w:sz="0" w:space="0" w:color="auto"/>
      </w:divBdr>
    </w:div>
    <w:div w:id="1889099740">
      <w:bodyDiv w:val="1"/>
      <w:marLeft w:val="0"/>
      <w:marRight w:val="0"/>
      <w:marTop w:val="0"/>
      <w:marBottom w:val="0"/>
      <w:divBdr>
        <w:top w:val="none" w:sz="0" w:space="0" w:color="auto"/>
        <w:left w:val="none" w:sz="0" w:space="0" w:color="auto"/>
        <w:bottom w:val="none" w:sz="0" w:space="0" w:color="auto"/>
        <w:right w:val="none" w:sz="0" w:space="0" w:color="auto"/>
      </w:divBdr>
    </w:div>
    <w:div w:id="1890267418">
      <w:bodyDiv w:val="1"/>
      <w:marLeft w:val="0"/>
      <w:marRight w:val="0"/>
      <w:marTop w:val="0"/>
      <w:marBottom w:val="0"/>
      <w:divBdr>
        <w:top w:val="none" w:sz="0" w:space="0" w:color="auto"/>
        <w:left w:val="none" w:sz="0" w:space="0" w:color="auto"/>
        <w:bottom w:val="none" w:sz="0" w:space="0" w:color="auto"/>
        <w:right w:val="none" w:sz="0" w:space="0" w:color="auto"/>
      </w:divBdr>
    </w:div>
    <w:div w:id="1894999468">
      <w:bodyDiv w:val="1"/>
      <w:marLeft w:val="0"/>
      <w:marRight w:val="0"/>
      <w:marTop w:val="0"/>
      <w:marBottom w:val="0"/>
      <w:divBdr>
        <w:top w:val="none" w:sz="0" w:space="0" w:color="auto"/>
        <w:left w:val="none" w:sz="0" w:space="0" w:color="auto"/>
        <w:bottom w:val="none" w:sz="0" w:space="0" w:color="auto"/>
        <w:right w:val="none" w:sz="0" w:space="0" w:color="auto"/>
      </w:divBdr>
    </w:div>
    <w:div w:id="1896308210">
      <w:bodyDiv w:val="1"/>
      <w:marLeft w:val="0"/>
      <w:marRight w:val="0"/>
      <w:marTop w:val="0"/>
      <w:marBottom w:val="0"/>
      <w:divBdr>
        <w:top w:val="none" w:sz="0" w:space="0" w:color="auto"/>
        <w:left w:val="none" w:sz="0" w:space="0" w:color="auto"/>
        <w:bottom w:val="none" w:sz="0" w:space="0" w:color="auto"/>
        <w:right w:val="none" w:sz="0" w:space="0" w:color="auto"/>
      </w:divBdr>
    </w:div>
    <w:div w:id="1900095850">
      <w:bodyDiv w:val="1"/>
      <w:marLeft w:val="0"/>
      <w:marRight w:val="0"/>
      <w:marTop w:val="0"/>
      <w:marBottom w:val="0"/>
      <w:divBdr>
        <w:top w:val="none" w:sz="0" w:space="0" w:color="auto"/>
        <w:left w:val="none" w:sz="0" w:space="0" w:color="auto"/>
        <w:bottom w:val="none" w:sz="0" w:space="0" w:color="auto"/>
        <w:right w:val="none" w:sz="0" w:space="0" w:color="auto"/>
      </w:divBdr>
    </w:div>
    <w:div w:id="1908222028">
      <w:bodyDiv w:val="1"/>
      <w:marLeft w:val="0"/>
      <w:marRight w:val="0"/>
      <w:marTop w:val="0"/>
      <w:marBottom w:val="0"/>
      <w:divBdr>
        <w:top w:val="none" w:sz="0" w:space="0" w:color="auto"/>
        <w:left w:val="none" w:sz="0" w:space="0" w:color="auto"/>
        <w:bottom w:val="none" w:sz="0" w:space="0" w:color="auto"/>
        <w:right w:val="none" w:sz="0" w:space="0" w:color="auto"/>
      </w:divBdr>
    </w:div>
    <w:div w:id="1908763455">
      <w:bodyDiv w:val="1"/>
      <w:marLeft w:val="0"/>
      <w:marRight w:val="0"/>
      <w:marTop w:val="0"/>
      <w:marBottom w:val="0"/>
      <w:divBdr>
        <w:top w:val="none" w:sz="0" w:space="0" w:color="auto"/>
        <w:left w:val="none" w:sz="0" w:space="0" w:color="auto"/>
        <w:bottom w:val="none" w:sz="0" w:space="0" w:color="auto"/>
        <w:right w:val="none" w:sz="0" w:space="0" w:color="auto"/>
      </w:divBdr>
    </w:div>
    <w:div w:id="1911621027">
      <w:bodyDiv w:val="1"/>
      <w:marLeft w:val="0"/>
      <w:marRight w:val="0"/>
      <w:marTop w:val="0"/>
      <w:marBottom w:val="0"/>
      <w:divBdr>
        <w:top w:val="none" w:sz="0" w:space="0" w:color="auto"/>
        <w:left w:val="none" w:sz="0" w:space="0" w:color="auto"/>
        <w:bottom w:val="none" w:sz="0" w:space="0" w:color="auto"/>
        <w:right w:val="none" w:sz="0" w:space="0" w:color="auto"/>
      </w:divBdr>
    </w:div>
    <w:div w:id="1921871222">
      <w:bodyDiv w:val="1"/>
      <w:marLeft w:val="0"/>
      <w:marRight w:val="0"/>
      <w:marTop w:val="0"/>
      <w:marBottom w:val="0"/>
      <w:divBdr>
        <w:top w:val="none" w:sz="0" w:space="0" w:color="auto"/>
        <w:left w:val="none" w:sz="0" w:space="0" w:color="auto"/>
        <w:bottom w:val="none" w:sz="0" w:space="0" w:color="auto"/>
        <w:right w:val="none" w:sz="0" w:space="0" w:color="auto"/>
      </w:divBdr>
    </w:div>
    <w:div w:id="1926185876">
      <w:bodyDiv w:val="1"/>
      <w:marLeft w:val="0"/>
      <w:marRight w:val="0"/>
      <w:marTop w:val="0"/>
      <w:marBottom w:val="0"/>
      <w:divBdr>
        <w:top w:val="none" w:sz="0" w:space="0" w:color="auto"/>
        <w:left w:val="none" w:sz="0" w:space="0" w:color="auto"/>
        <w:bottom w:val="none" w:sz="0" w:space="0" w:color="auto"/>
        <w:right w:val="none" w:sz="0" w:space="0" w:color="auto"/>
      </w:divBdr>
    </w:div>
    <w:div w:id="1933659729">
      <w:bodyDiv w:val="1"/>
      <w:marLeft w:val="0"/>
      <w:marRight w:val="0"/>
      <w:marTop w:val="0"/>
      <w:marBottom w:val="0"/>
      <w:divBdr>
        <w:top w:val="none" w:sz="0" w:space="0" w:color="auto"/>
        <w:left w:val="none" w:sz="0" w:space="0" w:color="auto"/>
        <w:bottom w:val="none" w:sz="0" w:space="0" w:color="auto"/>
        <w:right w:val="none" w:sz="0" w:space="0" w:color="auto"/>
      </w:divBdr>
    </w:div>
    <w:div w:id="1948348652">
      <w:bodyDiv w:val="1"/>
      <w:marLeft w:val="0"/>
      <w:marRight w:val="0"/>
      <w:marTop w:val="0"/>
      <w:marBottom w:val="0"/>
      <w:divBdr>
        <w:top w:val="none" w:sz="0" w:space="0" w:color="auto"/>
        <w:left w:val="none" w:sz="0" w:space="0" w:color="auto"/>
        <w:bottom w:val="none" w:sz="0" w:space="0" w:color="auto"/>
        <w:right w:val="none" w:sz="0" w:space="0" w:color="auto"/>
      </w:divBdr>
    </w:div>
    <w:div w:id="1953121737">
      <w:bodyDiv w:val="1"/>
      <w:marLeft w:val="0"/>
      <w:marRight w:val="0"/>
      <w:marTop w:val="0"/>
      <w:marBottom w:val="0"/>
      <w:divBdr>
        <w:top w:val="none" w:sz="0" w:space="0" w:color="auto"/>
        <w:left w:val="none" w:sz="0" w:space="0" w:color="auto"/>
        <w:bottom w:val="none" w:sz="0" w:space="0" w:color="auto"/>
        <w:right w:val="none" w:sz="0" w:space="0" w:color="auto"/>
      </w:divBdr>
    </w:div>
    <w:div w:id="1958949481">
      <w:bodyDiv w:val="1"/>
      <w:marLeft w:val="0"/>
      <w:marRight w:val="0"/>
      <w:marTop w:val="0"/>
      <w:marBottom w:val="0"/>
      <w:divBdr>
        <w:top w:val="none" w:sz="0" w:space="0" w:color="auto"/>
        <w:left w:val="none" w:sz="0" w:space="0" w:color="auto"/>
        <w:bottom w:val="none" w:sz="0" w:space="0" w:color="auto"/>
        <w:right w:val="none" w:sz="0" w:space="0" w:color="auto"/>
      </w:divBdr>
    </w:div>
    <w:div w:id="1964842224">
      <w:bodyDiv w:val="1"/>
      <w:marLeft w:val="0"/>
      <w:marRight w:val="0"/>
      <w:marTop w:val="0"/>
      <w:marBottom w:val="0"/>
      <w:divBdr>
        <w:top w:val="none" w:sz="0" w:space="0" w:color="auto"/>
        <w:left w:val="none" w:sz="0" w:space="0" w:color="auto"/>
        <w:bottom w:val="none" w:sz="0" w:space="0" w:color="auto"/>
        <w:right w:val="none" w:sz="0" w:space="0" w:color="auto"/>
      </w:divBdr>
    </w:div>
    <w:div w:id="1973515955">
      <w:bodyDiv w:val="1"/>
      <w:marLeft w:val="0"/>
      <w:marRight w:val="0"/>
      <w:marTop w:val="0"/>
      <w:marBottom w:val="0"/>
      <w:divBdr>
        <w:top w:val="none" w:sz="0" w:space="0" w:color="auto"/>
        <w:left w:val="none" w:sz="0" w:space="0" w:color="auto"/>
        <w:bottom w:val="none" w:sz="0" w:space="0" w:color="auto"/>
        <w:right w:val="none" w:sz="0" w:space="0" w:color="auto"/>
      </w:divBdr>
    </w:div>
    <w:div w:id="1976372895">
      <w:bodyDiv w:val="1"/>
      <w:marLeft w:val="0"/>
      <w:marRight w:val="0"/>
      <w:marTop w:val="0"/>
      <w:marBottom w:val="0"/>
      <w:divBdr>
        <w:top w:val="none" w:sz="0" w:space="0" w:color="auto"/>
        <w:left w:val="none" w:sz="0" w:space="0" w:color="auto"/>
        <w:bottom w:val="none" w:sz="0" w:space="0" w:color="auto"/>
        <w:right w:val="none" w:sz="0" w:space="0" w:color="auto"/>
      </w:divBdr>
    </w:div>
    <w:div w:id="1980189604">
      <w:bodyDiv w:val="1"/>
      <w:marLeft w:val="0"/>
      <w:marRight w:val="0"/>
      <w:marTop w:val="0"/>
      <w:marBottom w:val="0"/>
      <w:divBdr>
        <w:top w:val="none" w:sz="0" w:space="0" w:color="auto"/>
        <w:left w:val="none" w:sz="0" w:space="0" w:color="auto"/>
        <w:bottom w:val="none" w:sz="0" w:space="0" w:color="auto"/>
        <w:right w:val="none" w:sz="0" w:space="0" w:color="auto"/>
      </w:divBdr>
    </w:div>
    <w:div w:id="1980374730">
      <w:bodyDiv w:val="1"/>
      <w:marLeft w:val="0"/>
      <w:marRight w:val="0"/>
      <w:marTop w:val="0"/>
      <w:marBottom w:val="0"/>
      <w:divBdr>
        <w:top w:val="none" w:sz="0" w:space="0" w:color="auto"/>
        <w:left w:val="none" w:sz="0" w:space="0" w:color="auto"/>
        <w:bottom w:val="none" w:sz="0" w:space="0" w:color="auto"/>
        <w:right w:val="none" w:sz="0" w:space="0" w:color="auto"/>
      </w:divBdr>
    </w:div>
    <w:div w:id="1993026324">
      <w:bodyDiv w:val="1"/>
      <w:marLeft w:val="0"/>
      <w:marRight w:val="0"/>
      <w:marTop w:val="0"/>
      <w:marBottom w:val="0"/>
      <w:divBdr>
        <w:top w:val="none" w:sz="0" w:space="0" w:color="auto"/>
        <w:left w:val="none" w:sz="0" w:space="0" w:color="auto"/>
        <w:bottom w:val="none" w:sz="0" w:space="0" w:color="auto"/>
        <w:right w:val="none" w:sz="0" w:space="0" w:color="auto"/>
      </w:divBdr>
    </w:div>
    <w:div w:id="2011447747">
      <w:bodyDiv w:val="1"/>
      <w:marLeft w:val="0"/>
      <w:marRight w:val="0"/>
      <w:marTop w:val="0"/>
      <w:marBottom w:val="0"/>
      <w:divBdr>
        <w:top w:val="none" w:sz="0" w:space="0" w:color="auto"/>
        <w:left w:val="none" w:sz="0" w:space="0" w:color="auto"/>
        <w:bottom w:val="none" w:sz="0" w:space="0" w:color="auto"/>
        <w:right w:val="none" w:sz="0" w:space="0" w:color="auto"/>
      </w:divBdr>
    </w:div>
    <w:div w:id="2019500437">
      <w:bodyDiv w:val="1"/>
      <w:marLeft w:val="0"/>
      <w:marRight w:val="0"/>
      <w:marTop w:val="0"/>
      <w:marBottom w:val="0"/>
      <w:divBdr>
        <w:top w:val="none" w:sz="0" w:space="0" w:color="auto"/>
        <w:left w:val="none" w:sz="0" w:space="0" w:color="auto"/>
        <w:bottom w:val="none" w:sz="0" w:space="0" w:color="auto"/>
        <w:right w:val="none" w:sz="0" w:space="0" w:color="auto"/>
      </w:divBdr>
    </w:div>
    <w:div w:id="2019774226">
      <w:bodyDiv w:val="1"/>
      <w:marLeft w:val="0"/>
      <w:marRight w:val="0"/>
      <w:marTop w:val="0"/>
      <w:marBottom w:val="0"/>
      <w:divBdr>
        <w:top w:val="none" w:sz="0" w:space="0" w:color="auto"/>
        <w:left w:val="none" w:sz="0" w:space="0" w:color="auto"/>
        <w:bottom w:val="none" w:sz="0" w:space="0" w:color="auto"/>
        <w:right w:val="none" w:sz="0" w:space="0" w:color="auto"/>
      </w:divBdr>
    </w:div>
    <w:div w:id="2022662205">
      <w:bodyDiv w:val="1"/>
      <w:marLeft w:val="0"/>
      <w:marRight w:val="0"/>
      <w:marTop w:val="0"/>
      <w:marBottom w:val="0"/>
      <w:divBdr>
        <w:top w:val="none" w:sz="0" w:space="0" w:color="auto"/>
        <w:left w:val="none" w:sz="0" w:space="0" w:color="auto"/>
        <w:bottom w:val="none" w:sz="0" w:space="0" w:color="auto"/>
        <w:right w:val="none" w:sz="0" w:space="0" w:color="auto"/>
      </w:divBdr>
    </w:div>
    <w:div w:id="2035812135">
      <w:bodyDiv w:val="1"/>
      <w:marLeft w:val="0"/>
      <w:marRight w:val="0"/>
      <w:marTop w:val="0"/>
      <w:marBottom w:val="0"/>
      <w:divBdr>
        <w:top w:val="none" w:sz="0" w:space="0" w:color="auto"/>
        <w:left w:val="none" w:sz="0" w:space="0" w:color="auto"/>
        <w:bottom w:val="none" w:sz="0" w:space="0" w:color="auto"/>
        <w:right w:val="none" w:sz="0" w:space="0" w:color="auto"/>
      </w:divBdr>
    </w:div>
    <w:div w:id="2037346643">
      <w:bodyDiv w:val="1"/>
      <w:marLeft w:val="0"/>
      <w:marRight w:val="0"/>
      <w:marTop w:val="0"/>
      <w:marBottom w:val="0"/>
      <w:divBdr>
        <w:top w:val="none" w:sz="0" w:space="0" w:color="auto"/>
        <w:left w:val="none" w:sz="0" w:space="0" w:color="auto"/>
        <w:bottom w:val="none" w:sz="0" w:space="0" w:color="auto"/>
        <w:right w:val="none" w:sz="0" w:space="0" w:color="auto"/>
      </w:divBdr>
    </w:div>
    <w:div w:id="2039159070">
      <w:bodyDiv w:val="1"/>
      <w:marLeft w:val="0"/>
      <w:marRight w:val="0"/>
      <w:marTop w:val="0"/>
      <w:marBottom w:val="0"/>
      <w:divBdr>
        <w:top w:val="none" w:sz="0" w:space="0" w:color="auto"/>
        <w:left w:val="none" w:sz="0" w:space="0" w:color="auto"/>
        <w:bottom w:val="none" w:sz="0" w:space="0" w:color="auto"/>
        <w:right w:val="none" w:sz="0" w:space="0" w:color="auto"/>
      </w:divBdr>
    </w:div>
    <w:div w:id="2039427047">
      <w:bodyDiv w:val="1"/>
      <w:marLeft w:val="0"/>
      <w:marRight w:val="0"/>
      <w:marTop w:val="0"/>
      <w:marBottom w:val="0"/>
      <w:divBdr>
        <w:top w:val="none" w:sz="0" w:space="0" w:color="auto"/>
        <w:left w:val="none" w:sz="0" w:space="0" w:color="auto"/>
        <w:bottom w:val="none" w:sz="0" w:space="0" w:color="auto"/>
        <w:right w:val="none" w:sz="0" w:space="0" w:color="auto"/>
      </w:divBdr>
    </w:div>
    <w:div w:id="2064330246">
      <w:bodyDiv w:val="1"/>
      <w:marLeft w:val="0"/>
      <w:marRight w:val="0"/>
      <w:marTop w:val="0"/>
      <w:marBottom w:val="0"/>
      <w:divBdr>
        <w:top w:val="none" w:sz="0" w:space="0" w:color="auto"/>
        <w:left w:val="none" w:sz="0" w:space="0" w:color="auto"/>
        <w:bottom w:val="none" w:sz="0" w:space="0" w:color="auto"/>
        <w:right w:val="none" w:sz="0" w:space="0" w:color="auto"/>
      </w:divBdr>
    </w:div>
    <w:div w:id="2070838637">
      <w:bodyDiv w:val="1"/>
      <w:marLeft w:val="0"/>
      <w:marRight w:val="0"/>
      <w:marTop w:val="0"/>
      <w:marBottom w:val="0"/>
      <w:divBdr>
        <w:top w:val="none" w:sz="0" w:space="0" w:color="auto"/>
        <w:left w:val="none" w:sz="0" w:space="0" w:color="auto"/>
        <w:bottom w:val="none" w:sz="0" w:space="0" w:color="auto"/>
        <w:right w:val="none" w:sz="0" w:space="0" w:color="auto"/>
      </w:divBdr>
    </w:div>
    <w:div w:id="2081054833">
      <w:bodyDiv w:val="1"/>
      <w:marLeft w:val="0"/>
      <w:marRight w:val="0"/>
      <w:marTop w:val="0"/>
      <w:marBottom w:val="0"/>
      <w:divBdr>
        <w:top w:val="none" w:sz="0" w:space="0" w:color="auto"/>
        <w:left w:val="none" w:sz="0" w:space="0" w:color="auto"/>
        <w:bottom w:val="none" w:sz="0" w:space="0" w:color="auto"/>
        <w:right w:val="none" w:sz="0" w:space="0" w:color="auto"/>
      </w:divBdr>
    </w:div>
    <w:div w:id="2082216831">
      <w:bodyDiv w:val="1"/>
      <w:marLeft w:val="0"/>
      <w:marRight w:val="0"/>
      <w:marTop w:val="0"/>
      <w:marBottom w:val="0"/>
      <w:divBdr>
        <w:top w:val="none" w:sz="0" w:space="0" w:color="auto"/>
        <w:left w:val="none" w:sz="0" w:space="0" w:color="auto"/>
        <w:bottom w:val="none" w:sz="0" w:space="0" w:color="auto"/>
        <w:right w:val="none" w:sz="0" w:space="0" w:color="auto"/>
      </w:divBdr>
    </w:div>
    <w:div w:id="2089034008">
      <w:bodyDiv w:val="1"/>
      <w:marLeft w:val="0"/>
      <w:marRight w:val="0"/>
      <w:marTop w:val="0"/>
      <w:marBottom w:val="0"/>
      <w:divBdr>
        <w:top w:val="none" w:sz="0" w:space="0" w:color="auto"/>
        <w:left w:val="none" w:sz="0" w:space="0" w:color="auto"/>
        <w:bottom w:val="none" w:sz="0" w:space="0" w:color="auto"/>
        <w:right w:val="none" w:sz="0" w:space="0" w:color="auto"/>
      </w:divBdr>
    </w:div>
    <w:div w:id="2093162041">
      <w:bodyDiv w:val="1"/>
      <w:marLeft w:val="0"/>
      <w:marRight w:val="0"/>
      <w:marTop w:val="0"/>
      <w:marBottom w:val="0"/>
      <w:divBdr>
        <w:top w:val="none" w:sz="0" w:space="0" w:color="auto"/>
        <w:left w:val="none" w:sz="0" w:space="0" w:color="auto"/>
        <w:bottom w:val="none" w:sz="0" w:space="0" w:color="auto"/>
        <w:right w:val="none" w:sz="0" w:space="0" w:color="auto"/>
      </w:divBdr>
    </w:div>
    <w:div w:id="2102220581">
      <w:bodyDiv w:val="1"/>
      <w:marLeft w:val="0"/>
      <w:marRight w:val="0"/>
      <w:marTop w:val="0"/>
      <w:marBottom w:val="0"/>
      <w:divBdr>
        <w:top w:val="none" w:sz="0" w:space="0" w:color="auto"/>
        <w:left w:val="none" w:sz="0" w:space="0" w:color="auto"/>
        <w:bottom w:val="none" w:sz="0" w:space="0" w:color="auto"/>
        <w:right w:val="none" w:sz="0" w:space="0" w:color="auto"/>
      </w:divBdr>
    </w:div>
    <w:div w:id="2106152278">
      <w:bodyDiv w:val="1"/>
      <w:marLeft w:val="0"/>
      <w:marRight w:val="0"/>
      <w:marTop w:val="0"/>
      <w:marBottom w:val="0"/>
      <w:divBdr>
        <w:top w:val="none" w:sz="0" w:space="0" w:color="auto"/>
        <w:left w:val="none" w:sz="0" w:space="0" w:color="auto"/>
        <w:bottom w:val="none" w:sz="0" w:space="0" w:color="auto"/>
        <w:right w:val="none" w:sz="0" w:space="0" w:color="auto"/>
      </w:divBdr>
    </w:div>
    <w:div w:id="2108503761">
      <w:bodyDiv w:val="1"/>
      <w:marLeft w:val="0"/>
      <w:marRight w:val="0"/>
      <w:marTop w:val="0"/>
      <w:marBottom w:val="0"/>
      <w:divBdr>
        <w:top w:val="none" w:sz="0" w:space="0" w:color="auto"/>
        <w:left w:val="none" w:sz="0" w:space="0" w:color="auto"/>
        <w:bottom w:val="none" w:sz="0" w:space="0" w:color="auto"/>
        <w:right w:val="none" w:sz="0" w:space="0" w:color="auto"/>
      </w:divBdr>
    </w:div>
    <w:div w:id="2109499825">
      <w:bodyDiv w:val="1"/>
      <w:marLeft w:val="0"/>
      <w:marRight w:val="0"/>
      <w:marTop w:val="0"/>
      <w:marBottom w:val="0"/>
      <w:divBdr>
        <w:top w:val="none" w:sz="0" w:space="0" w:color="auto"/>
        <w:left w:val="none" w:sz="0" w:space="0" w:color="auto"/>
        <w:bottom w:val="none" w:sz="0" w:space="0" w:color="auto"/>
        <w:right w:val="none" w:sz="0" w:space="0" w:color="auto"/>
      </w:divBdr>
    </w:div>
    <w:div w:id="2109882398">
      <w:bodyDiv w:val="1"/>
      <w:marLeft w:val="0"/>
      <w:marRight w:val="0"/>
      <w:marTop w:val="0"/>
      <w:marBottom w:val="0"/>
      <w:divBdr>
        <w:top w:val="none" w:sz="0" w:space="0" w:color="auto"/>
        <w:left w:val="none" w:sz="0" w:space="0" w:color="auto"/>
        <w:bottom w:val="none" w:sz="0" w:space="0" w:color="auto"/>
        <w:right w:val="none" w:sz="0" w:space="0" w:color="auto"/>
      </w:divBdr>
    </w:div>
    <w:div w:id="212214458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yperlink" Target="http://www.osti.gov/" TargetMode="External"/><Relationship Id="rId324" Type="http://schemas.openxmlformats.org/officeDocument/2006/relationships/hyperlink" Target="https://doi.org/10.5194/gmd-11-3481-2018" TargetMode="External"/><Relationship Id="rId170" Type="http://schemas.openxmlformats.org/officeDocument/2006/relationships/image" Target="media/image126.png"/><Relationship Id="rId226" Type="http://schemas.openxmlformats.org/officeDocument/2006/relationships/image" Target="media/image182.png"/><Relationship Id="rId433" Type="http://schemas.openxmlformats.org/officeDocument/2006/relationships/footer" Target="footer6.xml"/><Relationship Id="rId268" Type="http://schemas.openxmlformats.org/officeDocument/2006/relationships/image" Target="media/image224.png"/><Relationship Id="rId475" Type="http://schemas.openxmlformats.org/officeDocument/2006/relationships/image" Target="media/image270.png"/><Relationship Id="rId74" Type="http://schemas.openxmlformats.org/officeDocument/2006/relationships/image" Target="media/image30.png"/><Relationship Id="rId128" Type="http://schemas.openxmlformats.org/officeDocument/2006/relationships/image" Target="media/image84.png"/><Relationship Id="rId335" Type="http://schemas.openxmlformats.org/officeDocument/2006/relationships/hyperlink" Target="https://doi.org/10.1016/j.energy.2016.05.118" TargetMode="External"/><Relationship Id="rId377" Type="http://schemas.openxmlformats.org/officeDocument/2006/relationships/hyperlink" Target="https://doi.org/10.1016/j.cliser.2017.11.003" TargetMode="External"/><Relationship Id="rId500" Type="http://schemas.openxmlformats.org/officeDocument/2006/relationships/image" Target="media/image293.png"/><Relationship Id="rId5" Type="http://schemas.openxmlformats.org/officeDocument/2006/relationships/customXml" Target="../customXml/item5.xml"/><Relationship Id="rId181" Type="http://schemas.openxmlformats.org/officeDocument/2006/relationships/image" Target="media/image137.jpg"/><Relationship Id="rId237" Type="http://schemas.openxmlformats.org/officeDocument/2006/relationships/image" Target="media/image193.png"/><Relationship Id="rId402" Type="http://schemas.openxmlformats.org/officeDocument/2006/relationships/hyperlink" Target="https://doi.org/10.1175/1520-0493(1989)117%3c1779:ACMFSF%3e2.0.CO;2" TargetMode="External"/><Relationship Id="rId279" Type="http://schemas.openxmlformats.org/officeDocument/2006/relationships/hyperlink" Target="https://doi.org/10.1029/2018WR023458" TargetMode="External"/><Relationship Id="rId444" Type="http://schemas.openxmlformats.org/officeDocument/2006/relationships/image" Target="media/image242.png"/><Relationship Id="rId486" Type="http://schemas.openxmlformats.org/officeDocument/2006/relationships/image" Target="media/image280.png"/><Relationship Id="rId43" Type="http://schemas.openxmlformats.org/officeDocument/2006/relationships/hyperlink" Target="https://prism.oregonstate.edu" TargetMode="External"/><Relationship Id="rId139" Type="http://schemas.openxmlformats.org/officeDocument/2006/relationships/image" Target="media/image95.png"/><Relationship Id="rId290" Type="http://schemas.openxmlformats.org/officeDocument/2006/relationships/hyperlink" Target="https://doi.org/10.1029/2011WR011533" TargetMode="External"/><Relationship Id="rId304" Type="http://schemas.openxmlformats.org/officeDocument/2006/relationships/hyperlink" Target="https://doi.org/10.1073/pnas.0506042102" TargetMode="External"/><Relationship Id="rId346" Type="http://schemas.openxmlformats.org/officeDocument/2006/relationships/hyperlink" Target="https://doi.org/10.1109/ICNN.1995.488968" TargetMode="External"/><Relationship Id="rId388" Type="http://schemas.openxmlformats.org/officeDocument/2006/relationships/hyperlink" Target="https://doi.org/10.1002/jgrd.50843" TargetMode="External"/><Relationship Id="rId511" Type="http://schemas.openxmlformats.org/officeDocument/2006/relationships/hyperlink" Target="https://doi.org/10.1029/2018WR023458" TargetMode="External"/><Relationship Id="rId85" Type="http://schemas.openxmlformats.org/officeDocument/2006/relationships/image" Target="media/image41.png"/><Relationship Id="rId150" Type="http://schemas.openxmlformats.org/officeDocument/2006/relationships/image" Target="media/image106.png"/><Relationship Id="rId192" Type="http://schemas.openxmlformats.org/officeDocument/2006/relationships/image" Target="media/image148.png"/><Relationship Id="rId206" Type="http://schemas.openxmlformats.org/officeDocument/2006/relationships/image" Target="media/image162.png"/><Relationship Id="rId413" Type="http://schemas.openxmlformats.org/officeDocument/2006/relationships/hyperlink" Target="https://doi.org/10.1007/s00382-009-0603-y" TargetMode="External"/><Relationship Id="rId248" Type="http://schemas.openxmlformats.org/officeDocument/2006/relationships/image" Target="media/image204.png"/><Relationship Id="rId455" Type="http://schemas.openxmlformats.org/officeDocument/2006/relationships/image" Target="media/image251.png"/><Relationship Id="rId497" Type="http://schemas.openxmlformats.org/officeDocument/2006/relationships/image" Target="media/image291.png"/><Relationship Id="rId12" Type="http://schemas.openxmlformats.org/officeDocument/2006/relationships/endnotes" Target="endnotes.xml"/><Relationship Id="rId108" Type="http://schemas.openxmlformats.org/officeDocument/2006/relationships/image" Target="media/image64.png"/><Relationship Id="rId315" Type="http://schemas.openxmlformats.org/officeDocument/2006/relationships/hyperlink" Target="https://doi.org/10.1175/BAMS-D-15-00224.1" TargetMode="External"/><Relationship Id="rId357" Type="http://schemas.openxmlformats.org/officeDocument/2006/relationships/hyperlink" Target="https://doi.org/10.1029/94JD00483" TargetMode="External"/><Relationship Id="rId522" Type="http://schemas.openxmlformats.org/officeDocument/2006/relationships/footer" Target="footer17.xml"/><Relationship Id="rId54" Type="http://schemas.openxmlformats.org/officeDocument/2006/relationships/image" Target="media/image10.png"/><Relationship Id="rId96" Type="http://schemas.openxmlformats.org/officeDocument/2006/relationships/image" Target="media/image52.png"/><Relationship Id="rId161" Type="http://schemas.openxmlformats.org/officeDocument/2006/relationships/image" Target="media/image117.png"/><Relationship Id="rId217" Type="http://schemas.openxmlformats.org/officeDocument/2006/relationships/image" Target="media/image173.png"/><Relationship Id="rId399" Type="http://schemas.openxmlformats.org/officeDocument/2006/relationships/hyperlink" Target="https://doi.org/10.1016/S0168-1923(98)00126-9" TargetMode="External"/><Relationship Id="rId259" Type="http://schemas.openxmlformats.org/officeDocument/2006/relationships/image" Target="media/image215.png"/><Relationship Id="rId424" Type="http://schemas.openxmlformats.org/officeDocument/2006/relationships/hyperlink" Target="https://doi.org/10.1029/2012JD017650" TargetMode="External"/><Relationship Id="rId466" Type="http://schemas.openxmlformats.org/officeDocument/2006/relationships/image" Target="media/image261.png"/><Relationship Id="rId23" Type="http://schemas.openxmlformats.org/officeDocument/2006/relationships/hyperlink" Target="https://www.osti.gov/" TargetMode="External"/><Relationship Id="rId119" Type="http://schemas.openxmlformats.org/officeDocument/2006/relationships/image" Target="media/image75.png"/><Relationship Id="rId270" Type="http://schemas.openxmlformats.org/officeDocument/2006/relationships/image" Target="media/image226.png"/><Relationship Id="rId326" Type="http://schemas.openxmlformats.org/officeDocument/2006/relationships/hyperlink" Target="https://doi.org/10.5194/hess-16-3989-2012" TargetMode="External"/><Relationship Id="rId65" Type="http://schemas.openxmlformats.org/officeDocument/2006/relationships/image" Target="media/image21.png"/><Relationship Id="rId130" Type="http://schemas.openxmlformats.org/officeDocument/2006/relationships/image" Target="media/image86.png"/><Relationship Id="rId368" Type="http://schemas.openxmlformats.org/officeDocument/2006/relationships/hyperlink" Target="https://doi.org/10.1175/JHM-D-13-036.1" TargetMode="External"/><Relationship Id="rId172" Type="http://schemas.openxmlformats.org/officeDocument/2006/relationships/image" Target="media/image128.png"/><Relationship Id="rId228" Type="http://schemas.openxmlformats.org/officeDocument/2006/relationships/image" Target="media/image184.png"/><Relationship Id="rId435" Type="http://schemas.openxmlformats.org/officeDocument/2006/relationships/footer" Target="footer8.xml"/><Relationship Id="rId477" Type="http://schemas.openxmlformats.org/officeDocument/2006/relationships/image" Target="media/image272.png"/><Relationship Id="rId281" Type="http://schemas.openxmlformats.org/officeDocument/2006/relationships/hyperlink" Target="https://doi.org/10.1002/essoar.10510589.1" TargetMode="External"/><Relationship Id="rId337" Type="http://schemas.openxmlformats.org/officeDocument/2006/relationships/hyperlink" Target="https://doi.org/10.1175/JHM-D-16-0012.1" TargetMode="External"/><Relationship Id="rId502" Type="http://schemas.openxmlformats.org/officeDocument/2006/relationships/image" Target="media/image294.png"/><Relationship Id="rId34" Type="http://schemas.openxmlformats.org/officeDocument/2006/relationships/image" Target="media/image6.png"/><Relationship Id="rId76" Type="http://schemas.openxmlformats.org/officeDocument/2006/relationships/image" Target="media/image32.png"/><Relationship Id="rId141" Type="http://schemas.openxmlformats.org/officeDocument/2006/relationships/image" Target="media/image97.png"/><Relationship Id="rId379" Type="http://schemas.openxmlformats.org/officeDocument/2006/relationships/hyperlink" Target="https://doi.org/10.5194/hess-18-67-2014" TargetMode="External"/><Relationship Id="rId7" Type="http://schemas.openxmlformats.org/officeDocument/2006/relationships/numbering" Target="numbering.xml"/><Relationship Id="rId183" Type="http://schemas.openxmlformats.org/officeDocument/2006/relationships/image" Target="media/image139.png"/><Relationship Id="rId239" Type="http://schemas.openxmlformats.org/officeDocument/2006/relationships/image" Target="media/image195.png"/><Relationship Id="rId390" Type="http://schemas.openxmlformats.org/officeDocument/2006/relationships/hyperlink" Target="https://doi.org/10.1175/JHM-D-13-0137.1" TargetMode="External"/><Relationship Id="rId404" Type="http://schemas.openxmlformats.org/officeDocument/2006/relationships/hyperlink" Target="https://doi.org/10.1016/j.jhydrol.2021.126843" TargetMode="External"/><Relationship Id="rId446" Type="http://schemas.openxmlformats.org/officeDocument/2006/relationships/image" Target="media/image244.png"/><Relationship Id="rId250" Type="http://schemas.openxmlformats.org/officeDocument/2006/relationships/image" Target="media/image206.png"/><Relationship Id="rId292" Type="http://schemas.openxmlformats.org/officeDocument/2006/relationships/hyperlink" Target="https://doi.org/10.1029/2018EF001047" TargetMode="External"/><Relationship Id="rId306" Type="http://schemas.openxmlformats.org/officeDocument/2006/relationships/hyperlink" Target="https://doi.org/10.1016/j.jog.2011.05.001" TargetMode="External"/><Relationship Id="rId488" Type="http://schemas.openxmlformats.org/officeDocument/2006/relationships/image" Target="media/image282.png"/><Relationship Id="rId45" Type="http://schemas.openxmlformats.org/officeDocument/2006/relationships/hyperlink" Target="https://waterdata.usgs.gov/nwis" TargetMode="External"/><Relationship Id="rId87" Type="http://schemas.openxmlformats.org/officeDocument/2006/relationships/image" Target="media/image43.png"/><Relationship Id="rId110" Type="http://schemas.openxmlformats.org/officeDocument/2006/relationships/image" Target="media/image66.png"/><Relationship Id="rId348" Type="http://schemas.openxmlformats.org/officeDocument/2006/relationships/hyperlink" Target="https://doi.org/10.1002/grl.50256" TargetMode="External"/><Relationship Id="rId513" Type="http://schemas.openxmlformats.org/officeDocument/2006/relationships/hyperlink" Target="https://doi.org/10.1175/JHM-D-15-0087.1" TargetMode="External"/><Relationship Id="rId152" Type="http://schemas.openxmlformats.org/officeDocument/2006/relationships/image" Target="media/image108.png"/><Relationship Id="rId194" Type="http://schemas.openxmlformats.org/officeDocument/2006/relationships/image" Target="media/image150.png"/><Relationship Id="rId208" Type="http://schemas.openxmlformats.org/officeDocument/2006/relationships/image" Target="media/image164.png"/><Relationship Id="rId415" Type="http://schemas.openxmlformats.org/officeDocument/2006/relationships/hyperlink" Target="https://doi.org/10.1038/s41561-018-0114-8" TargetMode="External"/><Relationship Id="rId457" Type="http://schemas.openxmlformats.org/officeDocument/2006/relationships/image" Target="media/image253.png"/><Relationship Id="rId261" Type="http://schemas.openxmlformats.org/officeDocument/2006/relationships/image" Target="media/image217.png"/><Relationship Id="rId499" Type="http://schemas.openxmlformats.org/officeDocument/2006/relationships/footer" Target="footer13.xml"/><Relationship Id="rId14" Type="http://schemas.openxmlformats.org/officeDocument/2006/relationships/header" Target="header1.xml"/><Relationship Id="rId56" Type="http://schemas.openxmlformats.org/officeDocument/2006/relationships/image" Target="media/image12.emf"/><Relationship Id="rId317" Type="http://schemas.openxmlformats.org/officeDocument/2006/relationships/hyperlink" Target="https://www.gao.gov/assets/gao-01-373.pdf" TargetMode="External"/><Relationship Id="rId359" Type="http://schemas.openxmlformats.org/officeDocument/2006/relationships/hyperlink" Target="https://doi.org/10.1080/02626669809492107" TargetMode="External"/><Relationship Id="rId524" Type="http://schemas.openxmlformats.org/officeDocument/2006/relationships/theme" Target="theme/theme1.xml"/><Relationship Id="rId98" Type="http://schemas.openxmlformats.org/officeDocument/2006/relationships/image" Target="media/image54.png"/><Relationship Id="rId121" Type="http://schemas.openxmlformats.org/officeDocument/2006/relationships/image" Target="media/image77.png"/><Relationship Id="rId163" Type="http://schemas.openxmlformats.org/officeDocument/2006/relationships/image" Target="media/image119.png"/><Relationship Id="rId219" Type="http://schemas.openxmlformats.org/officeDocument/2006/relationships/image" Target="media/image175.png"/><Relationship Id="rId370" Type="http://schemas.openxmlformats.org/officeDocument/2006/relationships/hyperlink" Target="https://doi.org/10.1007/s10584-010-9848-z" TargetMode="External"/><Relationship Id="rId426" Type="http://schemas.openxmlformats.org/officeDocument/2006/relationships/hyperlink" Target="https://doi.org/10.1029/2018GL078343" TargetMode="External"/><Relationship Id="rId230" Type="http://schemas.openxmlformats.org/officeDocument/2006/relationships/image" Target="media/image186.png"/><Relationship Id="rId468" Type="http://schemas.openxmlformats.org/officeDocument/2006/relationships/image" Target="media/image263.png"/><Relationship Id="rId25" Type="http://schemas.openxmlformats.org/officeDocument/2006/relationships/footer" Target="footer4.xml"/><Relationship Id="rId67" Type="http://schemas.openxmlformats.org/officeDocument/2006/relationships/image" Target="media/image23.png"/><Relationship Id="rId272" Type="http://schemas.openxmlformats.org/officeDocument/2006/relationships/image" Target="media/image228.png"/><Relationship Id="rId328" Type="http://schemas.openxmlformats.org/officeDocument/2006/relationships/hyperlink" Target="https://doi.org/10.5066/P9NM8K8W" TargetMode="External"/><Relationship Id="rId132" Type="http://schemas.openxmlformats.org/officeDocument/2006/relationships/image" Target="media/image88.png"/><Relationship Id="rId174" Type="http://schemas.openxmlformats.org/officeDocument/2006/relationships/image" Target="media/image130.png"/><Relationship Id="rId381" Type="http://schemas.openxmlformats.org/officeDocument/2006/relationships/hyperlink" Target="https://doi.org/10.1098/rspa.1948.0037" TargetMode="External"/><Relationship Id="rId241" Type="http://schemas.openxmlformats.org/officeDocument/2006/relationships/image" Target="media/image197.png"/><Relationship Id="rId437" Type="http://schemas.openxmlformats.org/officeDocument/2006/relationships/image" Target="media/image235.png"/><Relationship Id="rId479" Type="http://schemas.openxmlformats.org/officeDocument/2006/relationships/image" Target="media/image274.png"/><Relationship Id="rId36" Type="http://schemas.openxmlformats.org/officeDocument/2006/relationships/hyperlink" Target="https://hydrosource.ornl.gov" TargetMode="External"/><Relationship Id="rId283" Type="http://schemas.openxmlformats.org/officeDocument/2006/relationships/hyperlink" Target="https://doi.org/10.1029/2009JD012965" TargetMode="External"/><Relationship Id="rId339" Type="http://schemas.openxmlformats.org/officeDocument/2006/relationships/hyperlink" Target="https://doi.org/10.1038/sdata.2018.16" TargetMode="External"/><Relationship Id="rId490" Type="http://schemas.openxmlformats.org/officeDocument/2006/relationships/image" Target="media/image284.png"/><Relationship Id="rId504" Type="http://schemas.openxmlformats.org/officeDocument/2006/relationships/hyperlink" Target="https://www.ornl.gov/project/annual-markets-and-trends-report" TargetMode="External"/><Relationship Id="rId78" Type="http://schemas.openxmlformats.org/officeDocument/2006/relationships/image" Target="media/image34.png"/><Relationship Id="rId101" Type="http://schemas.openxmlformats.org/officeDocument/2006/relationships/image" Target="media/image57.png"/><Relationship Id="rId143" Type="http://schemas.openxmlformats.org/officeDocument/2006/relationships/image" Target="media/image99.png"/><Relationship Id="rId185" Type="http://schemas.openxmlformats.org/officeDocument/2006/relationships/image" Target="media/image141.png"/><Relationship Id="rId350" Type="http://schemas.openxmlformats.org/officeDocument/2006/relationships/hyperlink" Target="https://doi.org/10.3133/sir20195039" TargetMode="External"/><Relationship Id="rId406" Type="http://schemas.openxmlformats.org/officeDocument/2006/relationships/hyperlink" Target="https://doi.org/10.2172/1763453" TargetMode="External"/><Relationship Id="rId9" Type="http://schemas.openxmlformats.org/officeDocument/2006/relationships/settings" Target="settings.xml"/><Relationship Id="rId210" Type="http://schemas.openxmlformats.org/officeDocument/2006/relationships/image" Target="media/image166.png"/><Relationship Id="rId392" Type="http://schemas.openxmlformats.org/officeDocument/2006/relationships/hyperlink" Target="https://doi.org/10.5194/gmd-10-2379-2017" TargetMode="External"/><Relationship Id="rId448" Type="http://schemas.openxmlformats.org/officeDocument/2006/relationships/footer" Target="footer10.xml"/><Relationship Id="rId252" Type="http://schemas.openxmlformats.org/officeDocument/2006/relationships/image" Target="media/image208.png"/><Relationship Id="rId294" Type="http://schemas.openxmlformats.org/officeDocument/2006/relationships/hyperlink" Target="https://doi.org/10.1029/2011WR010602" TargetMode="External"/><Relationship Id="rId308" Type="http://schemas.openxmlformats.org/officeDocument/2006/relationships/hyperlink" Target="https://doi.org/10.1007/BF00464886" TargetMode="External"/><Relationship Id="rId515" Type="http://schemas.openxmlformats.org/officeDocument/2006/relationships/hyperlink" Target="https://doi.org/10.1029/2018WR023458" TargetMode="External"/><Relationship Id="rId47" Type="http://schemas.openxmlformats.org/officeDocument/2006/relationships/hyperlink" Target="https://waterwatch.usgs.gov" TargetMode="External"/><Relationship Id="rId89" Type="http://schemas.openxmlformats.org/officeDocument/2006/relationships/image" Target="media/image45.png"/><Relationship Id="rId112" Type="http://schemas.openxmlformats.org/officeDocument/2006/relationships/image" Target="media/image68.png"/><Relationship Id="rId154" Type="http://schemas.openxmlformats.org/officeDocument/2006/relationships/image" Target="media/image110.png"/><Relationship Id="rId361" Type="http://schemas.openxmlformats.org/officeDocument/2006/relationships/hyperlink" Target="https://doi.org/10.25810/3hcv-w477" TargetMode="External"/><Relationship Id="rId196" Type="http://schemas.openxmlformats.org/officeDocument/2006/relationships/image" Target="media/image152.png"/><Relationship Id="rId417" Type="http://schemas.openxmlformats.org/officeDocument/2006/relationships/hyperlink" Target="https://doi.org/10.1038/s41558-022-01290-z" TargetMode="External"/><Relationship Id="rId459" Type="http://schemas.openxmlformats.org/officeDocument/2006/relationships/image" Target="media/image255.png"/><Relationship Id="rId16" Type="http://schemas.openxmlformats.org/officeDocument/2006/relationships/footer" Target="footer2.xml"/><Relationship Id="rId221" Type="http://schemas.openxmlformats.org/officeDocument/2006/relationships/image" Target="media/image177.png"/><Relationship Id="rId263" Type="http://schemas.openxmlformats.org/officeDocument/2006/relationships/image" Target="media/image219.png"/><Relationship Id="rId319" Type="http://schemas.openxmlformats.org/officeDocument/2006/relationships/hyperlink" Target="https://doi.org/10.1007/s10584-018-2280-5" TargetMode="External"/><Relationship Id="rId470" Type="http://schemas.openxmlformats.org/officeDocument/2006/relationships/image" Target="media/image265.png"/><Relationship Id="rId58" Type="http://schemas.openxmlformats.org/officeDocument/2006/relationships/image" Target="media/image14.emf"/><Relationship Id="rId123" Type="http://schemas.openxmlformats.org/officeDocument/2006/relationships/image" Target="media/image79.png"/><Relationship Id="rId330" Type="http://schemas.openxmlformats.org/officeDocument/2006/relationships/hyperlink" Target="https://doi.org/10.1175/2010EI370.1" TargetMode="External"/><Relationship Id="rId165" Type="http://schemas.openxmlformats.org/officeDocument/2006/relationships/image" Target="media/image121.png"/><Relationship Id="rId372" Type="http://schemas.openxmlformats.org/officeDocument/2006/relationships/hyperlink" Target="https://doi.org/10.1038/s41612-018-0012-1" TargetMode="External"/><Relationship Id="rId428" Type="http://schemas.openxmlformats.org/officeDocument/2006/relationships/hyperlink" Target="https://doi.org/10.1088/1748-9326/abd78d" TargetMode="External"/><Relationship Id="rId232" Type="http://schemas.openxmlformats.org/officeDocument/2006/relationships/image" Target="media/image188.png"/><Relationship Id="rId274" Type="http://schemas.openxmlformats.org/officeDocument/2006/relationships/image" Target="media/image230.png"/><Relationship Id="rId481" Type="http://schemas.openxmlformats.org/officeDocument/2006/relationships/image" Target="media/image276.png"/><Relationship Id="rId27" Type="http://schemas.openxmlformats.org/officeDocument/2006/relationships/image" Target="media/image3.png"/><Relationship Id="rId69" Type="http://schemas.openxmlformats.org/officeDocument/2006/relationships/image" Target="media/image25.png"/><Relationship Id="rId134" Type="http://schemas.openxmlformats.org/officeDocument/2006/relationships/image" Target="media/image90.png"/><Relationship Id="rId80" Type="http://schemas.openxmlformats.org/officeDocument/2006/relationships/image" Target="media/image36.png"/><Relationship Id="rId176" Type="http://schemas.openxmlformats.org/officeDocument/2006/relationships/image" Target="media/image132.png"/><Relationship Id="rId341" Type="http://schemas.openxmlformats.org/officeDocument/2006/relationships/hyperlink" Target="https://doi.org/10.21951/EHA_FY2021/1782791" TargetMode="External"/><Relationship Id="rId383" Type="http://schemas.openxmlformats.org/officeDocument/2006/relationships/hyperlink" Target="https://doi.org/10.1175/JHM-D-14-0082.1" TargetMode="External"/><Relationship Id="rId439" Type="http://schemas.openxmlformats.org/officeDocument/2006/relationships/image" Target="media/image237.png"/><Relationship Id="rId201" Type="http://schemas.openxmlformats.org/officeDocument/2006/relationships/image" Target="media/image157.png"/><Relationship Id="rId243" Type="http://schemas.openxmlformats.org/officeDocument/2006/relationships/image" Target="media/image199.png"/><Relationship Id="rId285" Type="http://schemas.openxmlformats.org/officeDocument/2006/relationships/hyperlink" Target="https://doi.org/10.1073/pnas.1613193114" TargetMode="External"/><Relationship Id="rId450" Type="http://schemas.openxmlformats.org/officeDocument/2006/relationships/image" Target="media/image246.png"/><Relationship Id="rId506" Type="http://schemas.openxmlformats.org/officeDocument/2006/relationships/hyperlink" Target="https://doi.org/10.5194/hess-24-4601-2020" TargetMode="External"/><Relationship Id="rId38" Type="http://schemas.openxmlformats.org/officeDocument/2006/relationships/hyperlink" Target="http://globaldamwatch.org/grand" TargetMode="External"/><Relationship Id="rId103" Type="http://schemas.openxmlformats.org/officeDocument/2006/relationships/image" Target="media/image59.png"/><Relationship Id="rId310" Type="http://schemas.openxmlformats.org/officeDocument/2006/relationships/hyperlink" Target="https://doi.org/10.1175/JHM-D-13-083.1" TargetMode="External"/><Relationship Id="rId492" Type="http://schemas.openxmlformats.org/officeDocument/2006/relationships/image" Target="media/image286.png"/><Relationship Id="rId91" Type="http://schemas.openxmlformats.org/officeDocument/2006/relationships/image" Target="media/image47.png"/><Relationship Id="rId145" Type="http://schemas.openxmlformats.org/officeDocument/2006/relationships/image" Target="media/image101.png"/><Relationship Id="rId187" Type="http://schemas.openxmlformats.org/officeDocument/2006/relationships/image" Target="media/image143.png"/><Relationship Id="rId352" Type="http://schemas.openxmlformats.org/officeDocument/2006/relationships/hyperlink" Target="https://doi.org/10.1109/PSCE.2006.296295" TargetMode="External"/><Relationship Id="rId394" Type="http://schemas.openxmlformats.org/officeDocument/2006/relationships/hyperlink" Target="https://doi.org/10.1002/hyp.13735" TargetMode="External"/><Relationship Id="rId408" Type="http://schemas.openxmlformats.org/officeDocument/2006/relationships/hyperlink" Target="https://doi.org/10.1038/nclimate1546" TargetMode="External"/><Relationship Id="rId212" Type="http://schemas.openxmlformats.org/officeDocument/2006/relationships/image" Target="media/image168.png"/><Relationship Id="rId254" Type="http://schemas.openxmlformats.org/officeDocument/2006/relationships/image" Target="media/image210.png"/><Relationship Id="rId49" Type="http://schemas.openxmlformats.org/officeDocument/2006/relationships/hyperlink" Target="https://neea.org/resources/rbsa-ii-combined-database" TargetMode="External"/><Relationship Id="rId114" Type="http://schemas.openxmlformats.org/officeDocument/2006/relationships/image" Target="media/image70.png"/><Relationship Id="rId296" Type="http://schemas.openxmlformats.org/officeDocument/2006/relationships/hyperlink" Target="https://doi.org/10.1002/2015WR017198" TargetMode="External"/><Relationship Id="rId461" Type="http://schemas.openxmlformats.org/officeDocument/2006/relationships/image" Target="media/image257.png"/><Relationship Id="rId517" Type="http://schemas.openxmlformats.org/officeDocument/2006/relationships/hyperlink" Target="https://doi.org/10.1007/s00382-016-3418-7" TargetMode="External"/><Relationship Id="rId60" Type="http://schemas.openxmlformats.org/officeDocument/2006/relationships/image" Target="media/image16.png"/><Relationship Id="rId156" Type="http://schemas.openxmlformats.org/officeDocument/2006/relationships/image" Target="media/image112.png"/><Relationship Id="rId198" Type="http://schemas.openxmlformats.org/officeDocument/2006/relationships/image" Target="media/image154.png"/><Relationship Id="rId321" Type="http://schemas.openxmlformats.org/officeDocument/2006/relationships/hyperlink" Target="https://doi.org/10.1016/j.jhydrol.2009.08.003" TargetMode="External"/><Relationship Id="rId363" Type="http://schemas.openxmlformats.org/officeDocument/2006/relationships/hyperlink" Target="https://doi.org/10.3133/tm6B7" TargetMode="External"/><Relationship Id="rId419" Type="http://schemas.openxmlformats.org/officeDocument/2006/relationships/hyperlink" Target="https://doi.org/10.3389/feart.2019.00355" TargetMode="External"/><Relationship Id="rId223" Type="http://schemas.openxmlformats.org/officeDocument/2006/relationships/image" Target="media/image179.png"/><Relationship Id="rId430" Type="http://schemas.openxmlformats.org/officeDocument/2006/relationships/hyperlink" Target="https://doi.org/10.1175/JHM-D-15-0002.1" TargetMode="External"/><Relationship Id="rId18" Type="http://schemas.openxmlformats.org/officeDocument/2006/relationships/hyperlink" Target="http://www.osti.gov/" TargetMode="External"/><Relationship Id="rId265" Type="http://schemas.openxmlformats.org/officeDocument/2006/relationships/image" Target="media/image221.png"/><Relationship Id="rId472" Type="http://schemas.openxmlformats.org/officeDocument/2006/relationships/image" Target="media/image267.png"/><Relationship Id="rId125" Type="http://schemas.openxmlformats.org/officeDocument/2006/relationships/image" Target="media/image81.png"/><Relationship Id="rId167" Type="http://schemas.openxmlformats.org/officeDocument/2006/relationships/image" Target="media/image123.png"/><Relationship Id="rId332" Type="http://schemas.openxmlformats.org/officeDocument/2006/relationships/hyperlink" Target="https://doi.org/10.1073/pnas.1421675112" TargetMode="External"/><Relationship Id="rId374" Type="http://schemas.openxmlformats.org/officeDocument/2006/relationships/hyperlink" Target="https://doi.org/10.1016/j.gloplacha.2016.06.003" TargetMode="External"/><Relationship Id="rId71" Type="http://schemas.openxmlformats.org/officeDocument/2006/relationships/image" Target="media/image27.png"/><Relationship Id="rId234" Type="http://schemas.openxmlformats.org/officeDocument/2006/relationships/image" Target="media/image190.png"/><Relationship Id="rId2" Type="http://schemas.openxmlformats.org/officeDocument/2006/relationships/customXml" Target="../customXml/item2.xml"/><Relationship Id="rId29" Type="http://schemas.openxmlformats.org/officeDocument/2006/relationships/image" Target="media/image5.png"/><Relationship Id="rId276" Type="http://schemas.openxmlformats.org/officeDocument/2006/relationships/image" Target="media/image232.png"/><Relationship Id="rId441" Type="http://schemas.openxmlformats.org/officeDocument/2006/relationships/image" Target="media/image239.png"/><Relationship Id="rId483" Type="http://schemas.openxmlformats.org/officeDocument/2006/relationships/image" Target="media/image277.png"/><Relationship Id="rId40" Type="http://schemas.openxmlformats.org/officeDocument/2006/relationships/hyperlink" Target="https://www.eia.gov/electricity/data/eia861" TargetMode="External"/><Relationship Id="rId136" Type="http://schemas.openxmlformats.org/officeDocument/2006/relationships/image" Target="media/image92.png"/><Relationship Id="rId178" Type="http://schemas.openxmlformats.org/officeDocument/2006/relationships/image" Target="media/image134.png"/><Relationship Id="rId301" Type="http://schemas.openxmlformats.org/officeDocument/2006/relationships/hyperlink" Target="https://doi.org/10.3354/cr022099" TargetMode="External"/><Relationship Id="rId343" Type="http://schemas.openxmlformats.org/officeDocument/2006/relationships/hyperlink" Target="https://doi.org/10.2172/1340431" TargetMode="External"/><Relationship Id="rId82" Type="http://schemas.openxmlformats.org/officeDocument/2006/relationships/image" Target="media/image38.png"/><Relationship Id="rId203" Type="http://schemas.openxmlformats.org/officeDocument/2006/relationships/image" Target="media/image159.png"/><Relationship Id="rId385" Type="http://schemas.openxmlformats.org/officeDocument/2006/relationships/hyperlink" Target="https://doi.org/10.5194/hess-25-257-2021" TargetMode="External"/><Relationship Id="rId245" Type="http://schemas.openxmlformats.org/officeDocument/2006/relationships/image" Target="media/image201.png"/><Relationship Id="rId287" Type="http://schemas.openxmlformats.org/officeDocument/2006/relationships/hyperlink" Target="https://doi.org/10.1061/(ASCE)HE.1943-5584.0000993" TargetMode="External"/><Relationship Id="rId410" Type="http://schemas.openxmlformats.org/officeDocument/2006/relationships/hyperlink" Target="https://doi.org/10.5194/hess-17-3605-2013" TargetMode="External"/><Relationship Id="rId452" Type="http://schemas.openxmlformats.org/officeDocument/2006/relationships/image" Target="media/image248.png"/><Relationship Id="rId494" Type="http://schemas.openxmlformats.org/officeDocument/2006/relationships/image" Target="media/image288.png"/><Relationship Id="rId508" Type="http://schemas.openxmlformats.org/officeDocument/2006/relationships/hyperlink" Target="https://doi.org/10.1073/pnas.1613193114" TargetMode="External"/><Relationship Id="rId105" Type="http://schemas.openxmlformats.org/officeDocument/2006/relationships/image" Target="media/image61.png"/><Relationship Id="rId147" Type="http://schemas.openxmlformats.org/officeDocument/2006/relationships/image" Target="media/image103.png"/><Relationship Id="rId312" Type="http://schemas.openxmlformats.org/officeDocument/2006/relationships/hyperlink" Target="https://doi.org/10.1038/s41558-018-0355-y" TargetMode="External"/><Relationship Id="rId354" Type="http://schemas.openxmlformats.org/officeDocument/2006/relationships/hyperlink" Target="https://doi.org/10.1088/1748-9326/11/11/114003" TargetMode="External"/><Relationship Id="rId51" Type="http://schemas.openxmlformats.org/officeDocument/2006/relationships/image" Target="media/image7.png"/><Relationship Id="rId93" Type="http://schemas.openxmlformats.org/officeDocument/2006/relationships/image" Target="media/image49.png"/><Relationship Id="rId189" Type="http://schemas.openxmlformats.org/officeDocument/2006/relationships/image" Target="media/image145.png"/><Relationship Id="rId396" Type="http://schemas.openxmlformats.org/officeDocument/2006/relationships/hyperlink" Target="https://doi.org/10.1175/JCLI3321.1" TargetMode="External"/><Relationship Id="rId214" Type="http://schemas.openxmlformats.org/officeDocument/2006/relationships/image" Target="media/image170.png"/><Relationship Id="rId256" Type="http://schemas.openxmlformats.org/officeDocument/2006/relationships/image" Target="media/image212.png"/><Relationship Id="rId298" Type="http://schemas.openxmlformats.org/officeDocument/2006/relationships/hyperlink" Target="https://doi.org/10.1007/s40641-016-0034-x" TargetMode="External"/><Relationship Id="rId421" Type="http://schemas.openxmlformats.org/officeDocument/2006/relationships/hyperlink" Target="https://doi.org/10.1016/j.ejrh.2015.06.006" TargetMode="External"/><Relationship Id="rId463" Type="http://schemas.openxmlformats.org/officeDocument/2006/relationships/image" Target="media/image259.png"/><Relationship Id="rId519" Type="http://schemas.openxmlformats.org/officeDocument/2006/relationships/hyperlink" Target="https://atlantaregional.org/natural-resources/water/tri-state-water-wars-overview/" TargetMode="External"/><Relationship Id="rId116" Type="http://schemas.openxmlformats.org/officeDocument/2006/relationships/image" Target="media/image72.png"/><Relationship Id="rId158" Type="http://schemas.openxmlformats.org/officeDocument/2006/relationships/image" Target="media/image114.png"/><Relationship Id="rId323" Type="http://schemas.openxmlformats.org/officeDocument/2006/relationships/hyperlink" Target="https://doi.org/10.1002/2014WR015559" TargetMode="External"/><Relationship Id="rId20" Type="http://schemas.openxmlformats.org/officeDocument/2006/relationships/hyperlink" Target="https://www.osti.gov/" TargetMode="External"/><Relationship Id="rId62" Type="http://schemas.openxmlformats.org/officeDocument/2006/relationships/image" Target="media/image18.png"/><Relationship Id="rId365" Type="http://schemas.openxmlformats.org/officeDocument/2006/relationships/hyperlink" Target="https://doi.org/10.5194/hess-17-2147-2013" TargetMode="External"/><Relationship Id="rId225" Type="http://schemas.openxmlformats.org/officeDocument/2006/relationships/image" Target="media/image181.png"/><Relationship Id="rId267" Type="http://schemas.openxmlformats.org/officeDocument/2006/relationships/image" Target="media/image223.png"/><Relationship Id="rId432" Type="http://schemas.openxmlformats.org/officeDocument/2006/relationships/hyperlink" Target="https://doi.org/10.3390/su12083374" TargetMode="External"/><Relationship Id="rId474" Type="http://schemas.openxmlformats.org/officeDocument/2006/relationships/image" Target="media/image269.png"/><Relationship Id="rId127" Type="http://schemas.openxmlformats.org/officeDocument/2006/relationships/image" Target="media/image83.png"/><Relationship Id="rId73" Type="http://schemas.openxmlformats.org/officeDocument/2006/relationships/image" Target="media/image29.png"/><Relationship Id="rId169" Type="http://schemas.openxmlformats.org/officeDocument/2006/relationships/image" Target="media/image125.png"/><Relationship Id="rId334" Type="http://schemas.openxmlformats.org/officeDocument/2006/relationships/hyperlink" Target="https://doi.org/10.1175/1520-0493(1990)118%3c1561:Ahramt%3e2.0.Co;2" TargetMode="External"/><Relationship Id="rId376" Type="http://schemas.openxmlformats.org/officeDocument/2006/relationships/hyperlink" Target="https://doi.org/10.1175/JHM-D-16-0284.1" TargetMode="External"/><Relationship Id="rId4" Type="http://schemas.openxmlformats.org/officeDocument/2006/relationships/customXml" Target="../customXml/item4.xml"/><Relationship Id="rId180" Type="http://schemas.openxmlformats.org/officeDocument/2006/relationships/image" Target="media/image136.png"/><Relationship Id="rId236" Type="http://schemas.openxmlformats.org/officeDocument/2006/relationships/image" Target="media/image192.png"/><Relationship Id="rId278" Type="http://schemas.openxmlformats.org/officeDocument/2006/relationships/hyperlink" Target="https://doi.org/10.1002/joc.3413" TargetMode="External"/><Relationship Id="rId401" Type="http://schemas.openxmlformats.org/officeDocument/2006/relationships/hyperlink" Target="https://doi.org/10.5194/hess-16-3309-2012" TargetMode="External"/><Relationship Id="rId443" Type="http://schemas.openxmlformats.org/officeDocument/2006/relationships/image" Target="media/image241.png"/><Relationship Id="rId303" Type="http://schemas.openxmlformats.org/officeDocument/2006/relationships/hyperlink" Target="https://doi.org/10.1029/2010GL043888" TargetMode="External"/><Relationship Id="rId485" Type="http://schemas.openxmlformats.org/officeDocument/2006/relationships/image" Target="media/image279.png"/><Relationship Id="rId42" Type="http://schemas.openxmlformats.org/officeDocument/2006/relationships/hyperlink" Target="https://psl.noaa.gov/data/gridded/data.livneh.html" TargetMode="External"/><Relationship Id="rId84" Type="http://schemas.openxmlformats.org/officeDocument/2006/relationships/image" Target="media/image40.png"/><Relationship Id="rId138" Type="http://schemas.openxmlformats.org/officeDocument/2006/relationships/image" Target="media/image94.png"/><Relationship Id="rId345" Type="http://schemas.openxmlformats.org/officeDocument/2006/relationships/hyperlink" Target="https://doi.org/10.1061/(ASCE)HE.1943-5584.0001768" TargetMode="External"/><Relationship Id="rId387" Type="http://schemas.openxmlformats.org/officeDocument/2006/relationships/hyperlink" Target="https://doi.org/10.1016/j.envsoft.2018.09.023" TargetMode="External"/><Relationship Id="rId510" Type="http://schemas.openxmlformats.org/officeDocument/2006/relationships/hyperlink" Target="https://hydrosource.ornl.gov/" TargetMode="External"/><Relationship Id="rId191" Type="http://schemas.openxmlformats.org/officeDocument/2006/relationships/image" Target="media/image147.png"/><Relationship Id="rId205" Type="http://schemas.openxmlformats.org/officeDocument/2006/relationships/image" Target="media/image161.png"/><Relationship Id="rId247" Type="http://schemas.openxmlformats.org/officeDocument/2006/relationships/image" Target="media/image203.png"/><Relationship Id="rId412" Type="http://schemas.openxmlformats.org/officeDocument/2006/relationships/hyperlink" Target="https://doi.org/10.1002/2016WR019767" TargetMode="External"/><Relationship Id="rId107" Type="http://schemas.openxmlformats.org/officeDocument/2006/relationships/image" Target="media/image63.png"/><Relationship Id="rId289" Type="http://schemas.openxmlformats.org/officeDocument/2006/relationships/hyperlink" Target="https://doi.org/10.1016/j.agrformet.2013.03.003" TargetMode="External"/><Relationship Id="rId454" Type="http://schemas.openxmlformats.org/officeDocument/2006/relationships/image" Target="media/image250.png"/><Relationship Id="rId496" Type="http://schemas.openxmlformats.org/officeDocument/2006/relationships/image" Target="media/image290.png"/><Relationship Id="rId11" Type="http://schemas.openxmlformats.org/officeDocument/2006/relationships/footnotes" Target="footnotes.xml"/><Relationship Id="rId53" Type="http://schemas.openxmlformats.org/officeDocument/2006/relationships/image" Target="media/image9.png"/><Relationship Id="rId149" Type="http://schemas.openxmlformats.org/officeDocument/2006/relationships/image" Target="media/image105.png"/><Relationship Id="rId314" Type="http://schemas.openxmlformats.org/officeDocument/2006/relationships/hyperlink" Target="https://doi.org/10.1029/2009GB003593" TargetMode="External"/><Relationship Id="rId356" Type="http://schemas.openxmlformats.org/officeDocument/2006/relationships/hyperlink" Target="https://doi.org/10.1016/j.eneco.2018.03.010" TargetMode="External"/><Relationship Id="rId398" Type="http://schemas.openxmlformats.org/officeDocument/2006/relationships/hyperlink" Target="https://doi.org/10.1029/2010JD014333" TargetMode="External"/><Relationship Id="rId521" Type="http://schemas.openxmlformats.org/officeDocument/2006/relationships/footer" Target="footer16.xml"/><Relationship Id="rId95" Type="http://schemas.openxmlformats.org/officeDocument/2006/relationships/image" Target="media/image51.png"/><Relationship Id="rId160" Type="http://schemas.openxmlformats.org/officeDocument/2006/relationships/image" Target="media/image116.png"/><Relationship Id="rId216" Type="http://schemas.openxmlformats.org/officeDocument/2006/relationships/image" Target="media/image172.png"/><Relationship Id="rId423" Type="http://schemas.openxmlformats.org/officeDocument/2006/relationships/hyperlink" Target="https://doi.org/10.1016/S0022-1694(01)00418-8" TargetMode="External"/><Relationship Id="rId258" Type="http://schemas.openxmlformats.org/officeDocument/2006/relationships/image" Target="media/image214.png"/><Relationship Id="rId465" Type="http://schemas.openxmlformats.org/officeDocument/2006/relationships/footer" Target="footer11.xml"/><Relationship Id="rId22" Type="http://schemas.openxmlformats.org/officeDocument/2006/relationships/hyperlink" Target="http://classic.ntis.gov/" TargetMode="External"/><Relationship Id="rId64" Type="http://schemas.openxmlformats.org/officeDocument/2006/relationships/image" Target="media/image20.png"/><Relationship Id="rId118" Type="http://schemas.openxmlformats.org/officeDocument/2006/relationships/image" Target="media/image74.png"/><Relationship Id="rId325" Type="http://schemas.openxmlformats.org/officeDocument/2006/relationships/hyperlink" Target="https://doi.org/10.1016/j.jhydrol.2005.11.011" TargetMode="External"/><Relationship Id="rId367" Type="http://schemas.openxmlformats.org/officeDocument/2006/relationships/hyperlink" Target="https://doi.org/10.1175/BAMS-87-3-343" TargetMode="External"/><Relationship Id="rId171" Type="http://schemas.openxmlformats.org/officeDocument/2006/relationships/image" Target="media/image127.png"/><Relationship Id="rId227" Type="http://schemas.openxmlformats.org/officeDocument/2006/relationships/image" Target="media/image183.png"/><Relationship Id="rId269" Type="http://schemas.openxmlformats.org/officeDocument/2006/relationships/image" Target="media/image225.emf"/><Relationship Id="rId434" Type="http://schemas.openxmlformats.org/officeDocument/2006/relationships/footer" Target="footer7.xml"/><Relationship Id="rId476" Type="http://schemas.openxmlformats.org/officeDocument/2006/relationships/image" Target="media/image271.png"/><Relationship Id="rId129" Type="http://schemas.openxmlformats.org/officeDocument/2006/relationships/image" Target="media/image85.png"/><Relationship Id="rId280" Type="http://schemas.openxmlformats.org/officeDocument/2006/relationships/hyperlink" Target="https://doi.org/10.1007/s41748-021-00199-5" TargetMode="External"/><Relationship Id="rId336" Type="http://schemas.openxmlformats.org/officeDocument/2006/relationships/hyperlink" Target="https://doi.org/10.1175/JCLI-D-16-0673.1" TargetMode="External"/><Relationship Id="rId501" Type="http://schemas.openxmlformats.org/officeDocument/2006/relationships/footer" Target="footer14.xml"/><Relationship Id="rId75" Type="http://schemas.openxmlformats.org/officeDocument/2006/relationships/image" Target="media/image31.png"/><Relationship Id="rId140" Type="http://schemas.openxmlformats.org/officeDocument/2006/relationships/image" Target="media/image96.png"/><Relationship Id="rId182" Type="http://schemas.openxmlformats.org/officeDocument/2006/relationships/image" Target="media/image138.png"/><Relationship Id="rId378" Type="http://schemas.openxmlformats.org/officeDocument/2006/relationships/hyperlink" Target="https://doi.org/10.5194/gmd-9-3461-2016" TargetMode="External"/><Relationship Id="rId403" Type="http://schemas.openxmlformats.org/officeDocument/2006/relationships/hyperlink" Target="https://doi.org/10.1111/jawr.12199" TargetMode="External"/><Relationship Id="rId6" Type="http://schemas.openxmlformats.org/officeDocument/2006/relationships/customXml" Target="../customXml/item6.xml"/><Relationship Id="rId238" Type="http://schemas.openxmlformats.org/officeDocument/2006/relationships/image" Target="media/image194.png"/><Relationship Id="rId445" Type="http://schemas.openxmlformats.org/officeDocument/2006/relationships/image" Target="media/image243.png"/><Relationship Id="rId487" Type="http://schemas.openxmlformats.org/officeDocument/2006/relationships/image" Target="media/image281.png"/><Relationship Id="rId291" Type="http://schemas.openxmlformats.org/officeDocument/2006/relationships/hyperlink" Target="https://doi.org/10.1111/j.1752-1688.2011.00578.x" TargetMode="External"/><Relationship Id="rId305" Type="http://schemas.openxmlformats.org/officeDocument/2006/relationships/hyperlink" Target="https://doi.org/10.1029/2011JD016458" TargetMode="External"/><Relationship Id="rId347" Type="http://schemas.openxmlformats.org/officeDocument/2006/relationships/hyperlink" Target="https://doi.org/10.1175/1520-0442(1998)011%3c1131:Tncfar%3e2.0.Co;2" TargetMode="External"/><Relationship Id="rId512" Type="http://schemas.openxmlformats.org/officeDocument/2006/relationships/hyperlink" Target="https://www.ntsg.umt.edu/project/mt-clim.php" TargetMode="External"/><Relationship Id="rId44" Type="http://schemas.openxmlformats.org/officeDocument/2006/relationships/hyperlink" Target="https://www.esrl.noaa.gov/psd/data/gridded/data.narr.html" TargetMode="External"/><Relationship Id="rId86" Type="http://schemas.openxmlformats.org/officeDocument/2006/relationships/image" Target="media/image42.png"/><Relationship Id="rId151" Type="http://schemas.openxmlformats.org/officeDocument/2006/relationships/image" Target="media/image107.png"/><Relationship Id="rId389" Type="http://schemas.openxmlformats.org/officeDocument/2006/relationships/hyperlink" Target="https://doi.org/10.1007/s00382-016-3418-7" TargetMode="External"/><Relationship Id="rId193" Type="http://schemas.openxmlformats.org/officeDocument/2006/relationships/image" Target="media/image149.png"/><Relationship Id="rId207" Type="http://schemas.openxmlformats.org/officeDocument/2006/relationships/image" Target="media/image163.png"/><Relationship Id="rId249" Type="http://schemas.openxmlformats.org/officeDocument/2006/relationships/image" Target="media/image205.png"/><Relationship Id="rId414" Type="http://schemas.openxmlformats.org/officeDocument/2006/relationships/hyperlink" Target="https://doi.org/10.1175/JCLI-D-17-0410.1" TargetMode="External"/><Relationship Id="rId456" Type="http://schemas.openxmlformats.org/officeDocument/2006/relationships/image" Target="media/image252.png"/><Relationship Id="rId498" Type="http://schemas.openxmlformats.org/officeDocument/2006/relationships/image" Target="media/image292.png"/><Relationship Id="rId13" Type="http://schemas.openxmlformats.org/officeDocument/2006/relationships/image" Target="media/image1.png"/><Relationship Id="rId109" Type="http://schemas.openxmlformats.org/officeDocument/2006/relationships/image" Target="media/image65.png"/><Relationship Id="rId260" Type="http://schemas.openxmlformats.org/officeDocument/2006/relationships/image" Target="media/image216.png"/><Relationship Id="rId316" Type="http://schemas.openxmlformats.org/officeDocument/2006/relationships/hyperlink" Target="https://doi.org/10.1038/s41598-020-59806-6" TargetMode="External"/><Relationship Id="rId523" Type="http://schemas.openxmlformats.org/officeDocument/2006/relationships/fontTable" Target="fontTable.xml"/><Relationship Id="rId55" Type="http://schemas.openxmlformats.org/officeDocument/2006/relationships/image" Target="media/image11.emf"/><Relationship Id="rId97" Type="http://schemas.openxmlformats.org/officeDocument/2006/relationships/image" Target="media/image53.png"/><Relationship Id="rId120" Type="http://schemas.openxmlformats.org/officeDocument/2006/relationships/image" Target="media/image76.png"/><Relationship Id="rId358" Type="http://schemas.openxmlformats.org/officeDocument/2006/relationships/hyperlink" Target="https://doi.org/10.1038/sdata.2015.42" TargetMode="External"/><Relationship Id="rId162" Type="http://schemas.openxmlformats.org/officeDocument/2006/relationships/image" Target="media/image118.png"/><Relationship Id="rId218" Type="http://schemas.openxmlformats.org/officeDocument/2006/relationships/image" Target="media/image174.png"/><Relationship Id="rId425" Type="http://schemas.openxmlformats.org/officeDocument/2006/relationships/hyperlink" Target="https://doi.org/10.1029/2019GL085782" TargetMode="External"/><Relationship Id="rId467" Type="http://schemas.openxmlformats.org/officeDocument/2006/relationships/image" Target="media/image262.png"/><Relationship Id="rId271" Type="http://schemas.openxmlformats.org/officeDocument/2006/relationships/image" Target="media/image227.png"/><Relationship Id="rId24" Type="http://schemas.openxmlformats.org/officeDocument/2006/relationships/footer" Target="footer3.xml"/><Relationship Id="rId66" Type="http://schemas.openxmlformats.org/officeDocument/2006/relationships/image" Target="media/image22.png"/><Relationship Id="rId131" Type="http://schemas.openxmlformats.org/officeDocument/2006/relationships/image" Target="media/image87.png"/><Relationship Id="rId327" Type="http://schemas.openxmlformats.org/officeDocument/2006/relationships/hyperlink" Target="https://doi.org/10.1088/1748-9326/aa9938" TargetMode="External"/><Relationship Id="rId369" Type="http://schemas.openxmlformats.org/officeDocument/2006/relationships/hyperlink" Target="https://doi.org/10.5066/F79C6VG3" TargetMode="External"/><Relationship Id="rId173" Type="http://schemas.openxmlformats.org/officeDocument/2006/relationships/image" Target="media/image129.png"/><Relationship Id="rId229" Type="http://schemas.openxmlformats.org/officeDocument/2006/relationships/image" Target="media/image185.png"/><Relationship Id="rId380" Type="http://schemas.openxmlformats.org/officeDocument/2006/relationships/hyperlink" Target="https://doi.org/10.1029/2000JD900415" TargetMode="External"/><Relationship Id="rId436" Type="http://schemas.openxmlformats.org/officeDocument/2006/relationships/image" Target="media/image234.tif"/><Relationship Id="rId240" Type="http://schemas.openxmlformats.org/officeDocument/2006/relationships/image" Target="media/image196.png"/><Relationship Id="rId478" Type="http://schemas.openxmlformats.org/officeDocument/2006/relationships/image" Target="media/image273.png"/><Relationship Id="rId35" Type="http://schemas.openxmlformats.org/officeDocument/2006/relationships/footer" Target="footer5.xml"/><Relationship Id="rId77" Type="http://schemas.openxmlformats.org/officeDocument/2006/relationships/image" Target="media/image33.png"/><Relationship Id="rId100" Type="http://schemas.openxmlformats.org/officeDocument/2006/relationships/image" Target="media/image56.png"/><Relationship Id="rId282" Type="http://schemas.openxmlformats.org/officeDocument/2006/relationships/hyperlink" Target="https://doi.org/10.1002/2016JD025285" TargetMode="External"/><Relationship Id="rId338" Type="http://schemas.openxmlformats.org/officeDocument/2006/relationships/hyperlink" Target="https://doi.org/10.1016/j.amc.2007.03.047" TargetMode="External"/><Relationship Id="rId503" Type="http://schemas.openxmlformats.org/officeDocument/2006/relationships/footer" Target="footer15.xml"/><Relationship Id="rId8" Type="http://schemas.openxmlformats.org/officeDocument/2006/relationships/styles" Target="styles.xml"/><Relationship Id="rId142" Type="http://schemas.openxmlformats.org/officeDocument/2006/relationships/image" Target="media/image98.png"/><Relationship Id="rId184" Type="http://schemas.openxmlformats.org/officeDocument/2006/relationships/image" Target="media/image140.png"/><Relationship Id="rId391" Type="http://schemas.openxmlformats.org/officeDocument/2006/relationships/hyperlink" Target="https://doi.org/10.2172/1220238" TargetMode="External"/><Relationship Id="rId405" Type="http://schemas.openxmlformats.org/officeDocument/2006/relationships/hyperlink" Target="https://doi.org/10.1002/2016WR019638" TargetMode="External"/><Relationship Id="rId447" Type="http://schemas.openxmlformats.org/officeDocument/2006/relationships/footer" Target="footer9.xml"/><Relationship Id="rId251" Type="http://schemas.openxmlformats.org/officeDocument/2006/relationships/image" Target="media/image207.png"/><Relationship Id="rId489" Type="http://schemas.openxmlformats.org/officeDocument/2006/relationships/image" Target="media/image283.png"/><Relationship Id="rId46" Type="http://schemas.openxmlformats.org/officeDocument/2006/relationships/hyperlink" Target="https://www.canada.ca/en/environment-climate-change/services/water-overview/quantity/monitoring/survey/data-products-services/national-archive-hydat.html" TargetMode="External"/><Relationship Id="rId293" Type="http://schemas.openxmlformats.org/officeDocument/2006/relationships/hyperlink" Target="https://doi.org/10.1088/1748-9326/ab986f" TargetMode="External"/><Relationship Id="rId307" Type="http://schemas.openxmlformats.org/officeDocument/2006/relationships/hyperlink" Target="https://doi.org/10.1007/BF00939380" TargetMode="External"/><Relationship Id="rId349" Type="http://schemas.openxmlformats.org/officeDocument/2006/relationships/hyperlink" Target="https://doi.org/10.1175/2009JCLI3361.1" TargetMode="External"/><Relationship Id="rId514" Type="http://schemas.openxmlformats.org/officeDocument/2006/relationships/hyperlink" Target="https://doi.org/10.1007/s00382-016-3418-7" TargetMode="External"/><Relationship Id="rId88" Type="http://schemas.openxmlformats.org/officeDocument/2006/relationships/image" Target="media/image44.png"/><Relationship Id="rId111" Type="http://schemas.openxmlformats.org/officeDocument/2006/relationships/image" Target="media/image67.png"/><Relationship Id="rId153" Type="http://schemas.openxmlformats.org/officeDocument/2006/relationships/image" Target="media/image109.png"/><Relationship Id="rId195" Type="http://schemas.openxmlformats.org/officeDocument/2006/relationships/image" Target="media/image151.png"/><Relationship Id="rId209" Type="http://schemas.openxmlformats.org/officeDocument/2006/relationships/image" Target="media/image165.png"/><Relationship Id="rId360" Type="http://schemas.openxmlformats.org/officeDocument/2006/relationships/hyperlink" Target="https://doi.org/10.3402/tellusa.v48i5.12200" TargetMode="External"/><Relationship Id="rId416" Type="http://schemas.openxmlformats.org/officeDocument/2006/relationships/hyperlink" Target="https://doi.org/10.5194/hess-20-1483-2016" TargetMode="External"/><Relationship Id="rId220" Type="http://schemas.openxmlformats.org/officeDocument/2006/relationships/image" Target="media/image176.png"/><Relationship Id="rId458" Type="http://schemas.openxmlformats.org/officeDocument/2006/relationships/image" Target="media/image254.png"/><Relationship Id="rId15" Type="http://schemas.openxmlformats.org/officeDocument/2006/relationships/footer" Target="footer1.xml"/><Relationship Id="rId57" Type="http://schemas.openxmlformats.org/officeDocument/2006/relationships/image" Target="media/image13.emf"/><Relationship Id="rId262" Type="http://schemas.openxmlformats.org/officeDocument/2006/relationships/image" Target="media/image218.png"/><Relationship Id="rId318" Type="http://schemas.openxmlformats.org/officeDocument/2006/relationships/hyperlink" Target="https://doi.org/10.3354/cr01018" TargetMode="External"/><Relationship Id="rId99" Type="http://schemas.openxmlformats.org/officeDocument/2006/relationships/image" Target="media/image55.png"/><Relationship Id="rId122" Type="http://schemas.openxmlformats.org/officeDocument/2006/relationships/image" Target="media/image78.png"/><Relationship Id="rId164" Type="http://schemas.openxmlformats.org/officeDocument/2006/relationships/image" Target="media/image120.png"/><Relationship Id="rId371" Type="http://schemas.openxmlformats.org/officeDocument/2006/relationships/hyperlink" Target="https://doi.org/10.1175/BAMS-86-1-39" TargetMode="External"/><Relationship Id="rId427" Type="http://schemas.openxmlformats.org/officeDocument/2006/relationships/hyperlink" Target="https://doi.org/10.1016/j.rse.2019.03.015" TargetMode="External"/><Relationship Id="rId469" Type="http://schemas.openxmlformats.org/officeDocument/2006/relationships/image" Target="media/image264.png"/><Relationship Id="rId26" Type="http://schemas.openxmlformats.org/officeDocument/2006/relationships/image" Target="media/image2.png"/><Relationship Id="rId231" Type="http://schemas.openxmlformats.org/officeDocument/2006/relationships/image" Target="media/image187.png"/><Relationship Id="rId273" Type="http://schemas.openxmlformats.org/officeDocument/2006/relationships/image" Target="media/image229.png"/><Relationship Id="rId329" Type="http://schemas.openxmlformats.org/officeDocument/2006/relationships/hyperlink" Target="https://doi.org/10.5066/P9PGZE0S" TargetMode="External"/><Relationship Id="rId480" Type="http://schemas.openxmlformats.org/officeDocument/2006/relationships/image" Target="media/image275.png"/><Relationship Id="rId68" Type="http://schemas.openxmlformats.org/officeDocument/2006/relationships/image" Target="media/image24.png"/><Relationship Id="rId133" Type="http://schemas.openxmlformats.org/officeDocument/2006/relationships/image" Target="media/image89.png"/><Relationship Id="rId175" Type="http://schemas.openxmlformats.org/officeDocument/2006/relationships/image" Target="media/image131.png"/><Relationship Id="rId340" Type="http://schemas.openxmlformats.org/officeDocument/2006/relationships/hyperlink" Target="https://doi.org/10.21951/EHA_Capacity_FY2020/1721365" TargetMode="External"/><Relationship Id="rId200" Type="http://schemas.openxmlformats.org/officeDocument/2006/relationships/image" Target="media/image156.png"/><Relationship Id="rId382" Type="http://schemas.openxmlformats.org/officeDocument/2006/relationships/hyperlink" Target="https://doi.org/10.1007/s10584-020-02882-4" TargetMode="External"/><Relationship Id="rId438" Type="http://schemas.openxmlformats.org/officeDocument/2006/relationships/image" Target="media/image236.png"/><Relationship Id="rId242" Type="http://schemas.openxmlformats.org/officeDocument/2006/relationships/image" Target="media/image198.png"/><Relationship Id="rId284" Type="http://schemas.openxmlformats.org/officeDocument/2006/relationships/hyperlink" Target="https://doi.org/10.1002/jgrd.50816" TargetMode="External"/><Relationship Id="rId491" Type="http://schemas.openxmlformats.org/officeDocument/2006/relationships/image" Target="media/image285.png"/><Relationship Id="rId505" Type="http://schemas.openxmlformats.org/officeDocument/2006/relationships/hyperlink" Target="https://hydrosource.ornl.gov/dataset/EHA2021" TargetMode="External"/><Relationship Id="rId37" Type="http://schemas.openxmlformats.org/officeDocument/2006/relationships/hyperlink" Target="https://nid.sec.usace.army.mil" TargetMode="External"/><Relationship Id="rId79" Type="http://schemas.openxmlformats.org/officeDocument/2006/relationships/image" Target="media/image35.png"/><Relationship Id="rId102" Type="http://schemas.openxmlformats.org/officeDocument/2006/relationships/image" Target="media/image58.png"/><Relationship Id="rId144" Type="http://schemas.openxmlformats.org/officeDocument/2006/relationships/image" Target="media/image100.png"/><Relationship Id="rId90" Type="http://schemas.openxmlformats.org/officeDocument/2006/relationships/image" Target="media/image46.png"/><Relationship Id="rId186" Type="http://schemas.openxmlformats.org/officeDocument/2006/relationships/image" Target="media/image142.png"/><Relationship Id="rId351" Type="http://schemas.openxmlformats.org/officeDocument/2006/relationships/hyperlink" Target="https://doi.org/10.3133/wri834238" TargetMode="External"/><Relationship Id="rId393" Type="http://schemas.openxmlformats.org/officeDocument/2006/relationships/hyperlink" Target="https://doi.org/10.1002/hyp.9661" TargetMode="External"/><Relationship Id="rId407" Type="http://schemas.openxmlformats.org/officeDocument/2006/relationships/hyperlink" Target="https://doi.org/10.21951/1515038" TargetMode="External"/><Relationship Id="rId449" Type="http://schemas.openxmlformats.org/officeDocument/2006/relationships/image" Target="media/image245.png"/><Relationship Id="rId211" Type="http://schemas.openxmlformats.org/officeDocument/2006/relationships/image" Target="media/image167.png"/><Relationship Id="rId253" Type="http://schemas.openxmlformats.org/officeDocument/2006/relationships/image" Target="media/image209.png"/><Relationship Id="rId295" Type="http://schemas.openxmlformats.org/officeDocument/2006/relationships/hyperlink" Target="https://doi.org/10.1029/2017JD028026" TargetMode="External"/><Relationship Id="rId309" Type="http://schemas.openxmlformats.org/officeDocument/2006/relationships/hyperlink" Target="http://www.eia.gov/electricity/data/eia923/" TargetMode="External"/><Relationship Id="rId460" Type="http://schemas.openxmlformats.org/officeDocument/2006/relationships/image" Target="media/image256.png"/><Relationship Id="rId516" Type="http://schemas.openxmlformats.org/officeDocument/2006/relationships/hyperlink" Target="https://doi.org/10.1007/s10584-010-9848-z" TargetMode="External"/><Relationship Id="rId48" Type="http://schemas.openxmlformats.org/officeDocument/2006/relationships/hyperlink" Target="https://apps.bea.gov/regional/downloadzip.cfm" TargetMode="External"/><Relationship Id="rId113" Type="http://schemas.openxmlformats.org/officeDocument/2006/relationships/image" Target="media/image69.png"/><Relationship Id="rId320" Type="http://schemas.openxmlformats.org/officeDocument/2006/relationships/hyperlink" Target="https://doi.org/10.1175/1520-0493(1993)121%3c0764:Peoaub%3e2.0.Co;2" TargetMode="External"/><Relationship Id="rId155" Type="http://schemas.openxmlformats.org/officeDocument/2006/relationships/image" Target="media/image111.png"/><Relationship Id="rId197" Type="http://schemas.openxmlformats.org/officeDocument/2006/relationships/image" Target="media/image153.png"/><Relationship Id="rId362" Type="http://schemas.openxmlformats.org/officeDocument/2006/relationships/hyperlink" Target="https://doi.org/10.5194/hess-20-4655-2016" TargetMode="External"/><Relationship Id="rId418" Type="http://schemas.openxmlformats.org/officeDocument/2006/relationships/hyperlink" Target="https://doi.org/10.1023/B:CLIM.0000013685.99609.9e" TargetMode="External"/><Relationship Id="rId222" Type="http://schemas.openxmlformats.org/officeDocument/2006/relationships/image" Target="media/image178.png"/><Relationship Id="rId264" Type="http://schemas.openxmlformats.org/officeDocument/2006/relationships/image" Target="media/image220.png"/><Relationship Id="rId471" Type="http://schemas.openxmlformats.org/officeDocument/2006/relationships/image" Target="media/image266.png"/><Relationship Id="rId17" Type="http://schemas.openxmlformats.org/officeDocument/2006/relationships/hyperlink" Target="https://creativecommons.org/licenses/by-sa/2.0/legalcode" TargetMode="External"/><Relationship Id="rId59" Type="http://schemas.openxmlformats.org/officeDocument/2006/relationships/image" Target="media/image15.emf"/><Relationship Id="rId124" Type="http://schemas.openxmlformats.org/officeDocument/2006/relationships/image" Target="media/image80.png"/><Relationship Id="rId70" Type="http://schemas.openxmlformats.org/officeDocument/2006/relationships/image" Target="media/image26.png"/><Relationship Id="rId166" Type="http://schemas.openxmlformats.org/officeDocument/2006/relationships/image" Target="media/image122.png"/><Relationship Id="rId331" Type="http://schemas.openxmlformats.org/officeDocument/2006/relationships/hyperlink" Target="https://doi.org/10.1029/2020EF001657" TargetMode="External"/><Relationship Id="rId373" Type="http://schemas.openxmlformats.org/officeDocument/2006/relationships/hyperlink" Target="https://doi.org/10.1002/hyp.8043" TargetMode="External"/><Relationship Id="rId429" Type="http://schemas.openxmlformats.org/officeDocument/2006/relationships/hyperlink" Target="https://doi.org/10.1002/essoar.10512358.1" TargetMode="External"/><Relationship Id="rId1" Type="http://schemas.openxmlformats.org/officeDocument/2006/relationships/customXml" Target="../customXml/item1.xml"/><Relationship Id="rId233" Type="http://schemas.openxmlformats.org/officeDocument/2006/relationships/image" Target="media/image189.png"/><Relationship Id="rId440" Type="http://schemas.openxmlformats.org/officeDocument/2006/relationships/image" Target="media/image238.png"/><Relationship Id="rId28" Type="http://schemas.openxmlformats.org/officeDocument/2006/relationships/image" Target="media/image4.png"/><Relationship Id="rId275" Type="http://schemas.openxmlformats.org/officeDocument/2006/relationships/image" Target="media/image231.png"/><Relationship Id="rId300" Type="http://schemas.openxmlformats.org/officeDocument/2006/relationships/hyperlink" Target="https://doi.org/10.1029/2002JD003316" TargetMode="External"/><Relationship Id="rId482" Type="http://schemas.openxmlformats.org/officeDocument/2006/relationships/footer" Target="footer12.xml"/><Relationship Id="rId81" Type="http://schemas.openxmlformats.org/officeDocument/2006/relationships/image" Target="media/image37.png"/><Relationship Id="rId135" Type="http://schemas.openxmlformats.org/officeDocument/2006/relationships/image" Target="media/image91.png"/><Relationship Id="rId177" Type="http://schemas.openxmlformats.org/officeDocument/2006/relationships/image" Target="media/image133.png"/><Relationship Id="rId342" Type="http://schemas.openxmlformats.org/officeDocument/2006/relationships/hyperlink" Target="https://doi.org/10.1175/1520-0477(1996)077%3c0437:TNYRP%3e2.0.CO;2" TargetMode="External"/><Relationship Id="rId384" Type="http://schemas.openxmlformats.org/officeDocument/2006/relationships/hyperlink" Target="https://doi.org/10.1175/JHM-D-20-0212.1" TargetMode="External"/><Relationship Id="rId202" Type="http://schemas.openxmlformats.org/officeDocument/2006/relationships/image" Target="media/image158.png"/><Relationship Id="rId244" Type="http://schemas.openxmlformats.org/officeDocument/2006/relationships/image" Target="media/image200.png"/><Relationship Id="rId39" Type="http://schemas.openxmlformats.org/officeDocument/2006/relationships/hyperlink" Target="https://www.eia.gov/electricity/data/eia923" TargetMode="External"/><Relationship Id="rId286" Type="http://schemas.openxmlformats.org/officeDocument/2006/relationships/hyperlink" Target="https://doi.org/10.1029/2020WR027158" TargetMode="External"/><Relationship Id="rId451" Type="http://schemas.openxmlformats.org/officeDocument/2006/relationships/image" Target="media/image247.png"/><Relationship Id="rId493" Type="http://schemas.openxmlformats.org/officeDocument/2006/relationships/image" Target="media/image287.png"/><Relationship Id="rId507" Type="http://schemas.openxmlformats.org/officeDocument/2006/relationships/hyperlink" Target="https://doi.org/10.1029/2017WR022040" TargetMode="External"/><Relationship Id="rId50" Type="http://schemas.openxmlformats.org/officeDocument/2006/relationships/hyperlink" Target="https://www.census.gov/geo/maps-data/data/tiger.html" TargetMode="External"/><Relationship Id="rId104" Type="http://schemas.openxmlformats.org/officeDocument/2006/relationships/image" Target="media/image60.png"/><Relationship Id="rId146" Type="http://schemas.openxmlformats.org/officeDocument/2006/relationships/image" Target="media/image102.png"/><Relationship Id="rId188" Type="http://schemas.openxmlformats.org/officeDocument/2006/relationships/image" Target="media/image144.png"/><Relationship Id="rId311" Type="http://schemas.openxmlformats.org/officeDocument/2006/relationships/hyperlink" Target="https://doi.org/10.5194/essd-11-797-2019" TargetMode="External"/><Relationship Id="rId353" Type="http://schemas.openxmlformats.org/officeDocument/2006/relationships/hyperlink" Target="https://doi.org/10.1890/100125" TargetMode="External"/><Relationship Id="rId395" Type="http://schemas.openxmlformats.org/officeDocument/2006/relationships/hyperlink" Target="https://doi.org/10.1175/JHM-D-15-0087.1" TargetMode="External"/><Relationship Id="rId409" Type="http://schemas.openxmlformats.org/officeDocument/2006/relationships/hyperlink" Target="https://doi.org/10.5066/F7542KMD" TargetMode="External"/><Relationship Id="rId92" Type="http://schemas.openxmlformats.org/officeDocument/2006/relationships/image" Target="media/image48.png"/><Relationship Id="rId213" Type="http://schemas.openxmlformats.org/officeDocument/2006/relationships/image" Target="media/image169.png"/><Relationship Id="rId420" Type="http://schemas.openxmlformats.org/officeDocument/2006/relationships/hyperlink" Target="https://doi.org/10.1029/2018WR023153" TargetMode="External"/><Relationship Id="rId255" Type="http://schemas.openxmlformats.org/officeDocument/2006/relationships/image" Target="media/image211.png"/><Relationship Id="rId297" Type="http://schemas.openxmlformats.org/officeDocument/2006/relationships/hyperlink" Target="https://doi.org/10.1002/2015WR017200" TargetMode="External"/><Relationship Id="rId462" Type="http://schemas.openxmlformats.org/officeDocument/2006/relationships/image" Target="media/image258.png"/><Relationship Id="rId518" Type="http://schemas.openxmlformats.org/officeDocument/2006/relationships/hyperlink" Target="https://doi.org/10.1088/1748-9326/ab986f" TargetMode="External"/><Relationship Id="rId115" Type="http://schemas.openxmlformats.org/officeDocument/2006/relationships/image" Target="media/image71.png"/><Relationship Id="rId157" Type="http://schemas.openxmlformats.org/officeDocument/2006/relationships/image" Target="media/image113.png"/><Relationship Id="rId322" Type="http://schemas.openxmlformats.org/officeDocument/2006/relationships/hyperlink" Target="https://doi.org/10.1155/2014/805380" TargetMode="External"/><Relationship Id="rId364" Type="http://schemas.openxmlformats.org/officeDocument/2006/relationships/hyperlink" Target="https://doi.org/10.5194/hess-14-1125-2010" TargetMode="External"/><Relationship Id="rId61" Type="http://schemas.openxmlformats.org/officeDocument/2006/relationships/image" Target="media/image17.png"/><Relationship Id="rId199" Type="http://schemas.openxmlformats.org/officeDocument/2006/relationships/image" Target="media/image155.png"/><Relationship Id="rId19" Type="http://schemas.openxmlformats.org/officeDocument/2006/relationships/hyperlink" Target="http://classic.ntis.gov/" TargetMode="External"/><Relationship Id="rId224" Type="http://schemas.openxmlformats.org/officeDocument/2006/relationships/image" Target="media/image180.png"/><Relationship Id="rId266" Type="http://schemas.openxmlformats.org/officeDocument/2006/relationships/image" Target="media/image222.png"/><Relationship Id="rId431" Type="http://schemas.openxmlformats.org/officeDocument/2006/relationships/hyperlink" Target="https://doi.org/10.1088/1748-9326/aad19f" TargetMode="External"/><Relationship Id="rId473" Type="http://schemas.openxmlformats.org/officeDocument/2006/relationships/image" Target="media/image268.png"/><Relationship Id="rId126" Type="http://schemas.openxmlformats.org/officeDocument/2006/relationships/image" Target="media/image82.png"/><Relationship Id="rId168" Type="http://schemas.openxmlformats.org/officeDocument/2006/relationships/image" Target="media/image124.png"/><Relationship Id="rId333" Type="http://schemas.openxmlformats.org/officeDocument/2006/relationships/hyperlink" Target="https://doi.org/10.1080/02626667.2018.1441531" TargetMode="External"/><Relationship Id="rId72" Type="http://schemas.openxmlformats.org/officeDocument/2006/relationships/image" Target="media/image28.png"/><Relationship Id="rId375" Type="http://schemas.openxmlformats.org/officeDocument/2006/relationships/hyperlink" Target="https://doi.org/10.1016/j.jhydrol.2017.11.027" TargetMode="External"/><Relationship Id="rId3" Type="http://schemas.openxmlformats.org/officeDocument/2006/relationships/customXml" Target="../customXml/item3.xml"/><Relationship Id="rId235" Type="http://schemas.openxmlformats.org/officeDocument/2006/relationships/image" Target="media/image191.png"/><Relationship Id="rId277" Type="http://schemas.openxmlformats.org/officeDocument/2006/relationships/image" Target="media/image233.png"/><Relationship Id="rId400" Type="http://schemas.openxmlformats.org/officeDocument/2006/relationships/hyperlink" Target="https://doi.org/10.1038/s41597-021-00973-0" TargetMode="External"/><Relationship Id="rId442" Type="http://schemas.openxmlformats.org/officeDocument/2006/relationships/image" Target="media/image240.png"/><Relationship Id="rId484" Type="http://schemas.openxmlformats.org/officeDocument/2006/relationships/image" Target="media/image278.png"/><Relationship Id="rId137" Type="http://schemas.openxmlformats.org/officeDocument/2006/relationships/image" Target="media/image93.png"/><Relationship Id="rId302" Type="http://schemas.openxmlformats.org/officeDocument/2006/relationships/hyperlink" Target="https://doi.org/10.1049/pi-c.1959.0007" TargetMode="External"/><Relationship Id="rId344" Type="http://schemas.openxmlformats.org/officeDocument/2006/relationships/hyperlink" Target="https://doi.org/10.1016/j.energy.2014.11.066" TargetMode="External"/><Relationship Id="rId41" Type="http://schemas.openxmlformats.org/officeDocument/2006/relationships/hyperlink" Target="https://daymet.ornl.gov" TargetMode="External"/><Relationship Id="rId83" Type="http://schemas.openxmlformats.org/officeDocument/2006/relationships/image" Target="media/image39.png"/><Relationship Id="rId179" Type="http://schemas.openxmlformats.org/officeDocument/2006/relationships/image" Target="media/image135.png"/><Relationship Id="rId386" Type="http://schemas.openxmlformats.org/officeDocument/2006/relationships/hyperlink" Target="https://doi.org/10.1029/2022EF002734" TargetMode="External"/><Relationship Id="rId190" Type="http://schemas.openxmlformats.org/officeDocument/2006/relationships/image" Target="media/image146.png"/><Relationship Id="rId204" Type="http://schemas.openxmlformats.org/officeDocument/2006/relationships/image" Target="media/image160.png"/><Relationship Id="rId246" Type="http://schemas.openxmlformats.org/officeDocument/2006/relationships/image" Target="media/image202.png"/><Relationship Id="rId288" Type="http://schemas.openxmlformats.org/officeDocument/2006/relationships/hyperlink" Target="https://doi.org/10.1029/2009WR008929" TargetMode="External"/><Relationship Id="rId411" Type="http://schemas.openxmlformats.org/officeDocument/2006/relationships/hyperlink" Target="https://doi.org/10.5194/hess-17-4555-2013" TargetMode="External"/><Relationship Id="rId453" Type="http://schemas.openxmlformats.org/officeDocument/2006/relationships/image" Target="media/image249.png"/><Relationship Id="rId509" Type="http://schemas.openxmlformats.org/officeDocument/2006/relationships/hyperlink" Target="https://doi.org/10.1073/pnas.1423558112" TargetMode="External"/><Relationship Id="rId106" Type="http://schemas.openxmlformats.org/officeDocument/2006/relationships/image" Target="media/image62.png"/><Relationship Id="rId313" Type="http://schemas.openxmlformats.org/officeDocument/2006/relationships/hyperlink" Target="https://doi.org/10.5194/gmd-9-1937-2016" TargetMode="External"/><Relationship Id="rId495" Type="http://schemas.openxmlformats.org/officeDocument/2006/relationships/image" Target="media/image289.png"/><Relationship Id="rId10" Type="http://schemas.openxmlformats.org/officeDocument/2006/relationships/webSettings" Target="webSettings.xml"/><Relationship Id="rId52" Type="http://schemas.openxmlformats.org/officeDocument/2006/relationships/image" Target="media/image8.png"/><Relationship Id="rId94" Type="http://schemas.openxmlformats.org/officeDocument/2006/relationships/image" Target="media/image50.png"/><Relationship Id="rId148" Type="http://schemas.openxmlformats.org/officeDocument/2006/relationships/image" Target="media/image104.png"/><Relationship Id="rId355" Type="http://schemas.openxmlformats.org/officeDocument/2006/relationships/hyperlink" Target="https://doi.org/10.1175/JHM-D-12-015.1" TargetMode="External"/><Relationship Id="rId397" Type="http://schemas.openxmlformats.org/officeDocument/2006/relationships/hyperlink" Target="https://doi.org/10.1029/2018JD030140" TargetMode="External"/><Relationship Id="rId520" Type="http://schemas.openxmlformats.org/officeDocument/2006/relationships/hyperlink" Target="https://doi.org/10.2307/1240576" TargetMode="External"/><Relationship Id="rId215" Type="http://schemas.openxmlformats.org/officeDocument/2006/relationships/image" Target="media/image171.png"/><Relationship Id="rId257" Type="http://schemas.openxmlformats.org/officeDocument/2006/relationships/image" Target="media/image213.png"/><Relationship Id="rId422" Type="http://schemas.openxmlformats.org/officeDocument/2006/relationships/hyperlink" Target="https://doi.org/10.1002/2017WR021290" TargetMode="External"/><Relationship Id="rId464" Type="http://schemas.openxmlformats.org/officeDocument/2006/relationships/image" Target="media/image260.png"/><Relationship Id="rId299" Type="http://schemas.openxmlformats.org/officeDocument/2006/relationships/hyperlink" Target="https://www.bpa.gov/Finance/FinancialPublicProcesses/2028/doc2028/Focus%202028_Federal%20Hydro.pdf" TargetMode="External"/><Relationship Id="rId63" Type="http://schemas.openxmlformats.org/officeDocument/2006/relationships/image" Target="media/image19.png"/><Relationship Id="rId159" Type="http://schemas.openxmlformats.org/officeDocument/2006/relationships/image" Target="media/image115.png"/><Relationship Id="rId366" Type="http://schemas.openxmlformats.org/officeDocument/2006/relationships/hyperlink" Target="https://doi.org/10.5194/hess-21-4245-2017"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climatedataguide.ucar.edu/climate-data" TargetMode="External"/><Relationship Id="rId2" Type="http://schemas.openxmlformats.org/officeDocument/2006/relationships/hyperlink" Target="https://www.ncl.ucar.edu/Document/Functions/Contributed/stat_dispersion.shtml" TargetMode="External"/><Relationship Id="rId1" Type="http://schemas.openxmlformats.org/officeDocument/2006/relationships/hyperlink" Target="https://esgf-node.llnl.gov/search/cmip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FD6F13CEE2E74DBC3414FB8B1C68EC" ma:contentTypeVersion="15" ma:contentTypeDescription="Create a new document." ma:contentTypeScope="" ma:versionID="4ebd21c3016c153c8b540accbdd2852c">
  <xsd:schema xmlns:xsd="http://www.w3.org/2001/XMLSchema" xmlns:xs="http://www.w3.org/2001/XMLSchema" xmlns:p="http://schemas.microsoft.com/office/2006/metadata/properties" xmlns:ns2="c6d9b406-8ab6-4e35-b189-c607f551e6ff" targetNamespace="http://schemas.microsoft.com/office/2006/metadata/properties" ma:root="true" ma:fieldsID="10d26a04f77feb415d95ea365d8a02d4" ns2:_="">
    <xsd:import namespace="c6d9b406-8ab6-4e35-b189-c607f551e6ff"/>
    <xsd:element name="properties">
      <xsd:complexType>
        <xsd:sequence>
          <xsd:element name="documentManagement">
            <xsd:complexType>
              <xsd:all>
                <xsd:element ref="ns2:_dlc_DocId" minOccurs="0"/>
                <xsd:element ref="ns2:_dlc_DocIdUrl" minOccurs="0"/>
                <xsd:element ref="ns2:_dlc_DocIdPersistId"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d9b406-8ab6-4e35-b189-c607f551e6f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1" nillable="true" ma:displayName="Taxonomy Catch All Column" ma:hidden="true" ma:list="{5d91edc2-e9bb-4d04-8b8b-617b8bb14fcd}" ma:internalName="TaxCatchAll" ma:showField="CatchAllData" ma:web="1edff54f-6e24-4b31-832c-dc05988f7c89">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d91edc2-e9bb-4d04-8b8b-617b8bb14fcd}" ma:internalName="TaxCatchAllLabel" ma:readOnly="true" ma:showField="CatchAllDataLabel" ma:web="1edff54f-6e24-4b31-832c-dc05988f7c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7bbd8d32-57eb-4c25-a7af-abe0816fa3e8" ContentTypeId="0x0101" PreviousValue="false"/>
</file>

<file path=customXml/item3.xml><?xml version="1.0" encoding="utf-8"?>
<p:properties xmlns:p="http://schemas.microsoft.com/office/2006/metadata/properties" xmlns:xsi="http://www.w3.org/2001/XMLSchema-instance" xmlns:pc="http://schemas.microsoft.com/office/infopath/2007/PartnerControls">
  <documentManagement>
    <TaxCatchAll xmlns="c6d9b406-8ab6-4e35-b189-c607f551e6f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A040D76-DF4F-469B-9FE2-60D85CA33B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d9b406-8ab6-4e35-b189-c607f551e6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CD65D1-4928-42E8-B8A7-AEDD3DB32D97}">
  <ds:schemaRefs>
    <ds:schemaRef ds:uri="Microsoft.SharePoint.Taxonomy.ContentTypeSync"/>
  </ds:schemaRefs>
</ds:datastoreItem>
</file>

<file path=customXml/itemProps3.xml><?xml version="1.0" encoding="utf-8"?>
<ds:datastoreItem xmlns:ds="http://schemas.openxmlformats.org/officeDocument/2006/customXml" ds:itemID="{E465F62A-848D-45CF-9CFD-063F4E4FD5F0}">
  <ds:schemaRefs>
    <ds:schemaRef ds:uri="http://schemas.microsoft.com/office/2006/metadata/properties"/>
    <ds:schemaRef ds:uri="http://schemas.microsoft.com/office/infopath/2007/PartnerControls"/>
    <ds:schemaRef ds:uri="c6d9b406-8ab6-4e35-b189-c607f551e6ff"/>
  </ds:schemaRefs>
</ds:datastoreItem>
</file>

<file path=customXml/itemProps4.xml><?xml version="1.0" encoding="utf-8"?>
<ds:datastoreItem xmlns:ds="http://schemas.openxmlformats.org/officeDocument/2006/customXml" ds:itemID="{0A7AE5F4-3C98-4007-AF42-AB4A10E3F317}">
  <ds:schemaRefs>
    <ds:schemaRef ds:uri="http://schemas.openxmlformats.org/officeDocument/2006/bibliography"/>
  </ds:schemaRefs>
</ds:datastoreItem>
</file>

<file path=customXml/itemProps5.xml><?xml version="1.0" encoding="utf-8"?>
<ds:datastoreItem xmlns:ds="http://schemas.openxmlformats.org/officeDocument/2006/customXml" ds:itemID="{66292F2C-9CCE-4700-8EEF-8378DBE4D5AF}">
  <ds:schemaRefs>
    <ds:schemaRef ds:uri="http://schemas.microsoft.com/sharepoint/events"/>
  </ds:schemaRefs>
</ds:datastoreItem>
</file>

<file path=customXml/itemProps6.xml><?xml version="1.0" encoding="utf-8"?>
<ds:datastoreItem xmlns:ds="http://schemas.openxmlformats.org/officeDocument/2006/customXml" ds:itemID="{1A806967-DBAA-4B5A-BA57-B147C62048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1068</TotalTime>
  <Pages>310</Pages>
  <Words>107928</Words>
  <Characters>615193</Characters>
  <Application>Microsoft Office Word</Application>
  <DocSecurity>0</DocSecurity>
  <Lines>5126</Lines>
  <Paragraphs>1443</Paragraphs>
  <ScaleCrop>false</ScaleCrop>
  <HeadingPairs>
    <vt:vector size="2" baseType="variant">
      <vt:variant>
        <vt:lpstr>Title</vt:lpstr>
      </vt:variant>
      <vt:variant>
        <vt:i4>1</vt:i4>
      </vt:variant>
    </vt:vector>
  </HeadingPairs>
  <TitlesOfParts>
    <vt:vector size="1" baseType="lpstr">
      <vt:lpstr>NSD Methodology Report</vt:lpstr>
    </vt:vector>
  </TitlesOfParts>
  <Company>ORNL</Company>
  <LinksUpToDate>false</LinksUpToDate>
  <CharactersWithSpaces>721678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NSD Methodology Report</dc:title>
  <dc:subject/>
  <dc:creator>Jones, Kathy</dc:creator>
  <cp:keywords/>
  <cp:lastModifiedBy>Kao, Shih-Chieh</cp:lastModifiedBy>
  <cp:revision>126</cp:revision>
  <cp:lastPrinted>2022-09-10T15:17:00Z</cp:lastPrinted>
  <dcterms:created xsi:type="dcterms:W3CDTF">2022-06-22T15:08:00Z</dcterms:created>
  <dcterms:modified xsi:type="dcterms:W3CDTF">2022-09-10T15:17:00Z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0x010100FAFD6F13CEE2E74DBC3414FB8B1C68EC</vt:lpwstr>
  </property>
  <property fmtid="{D5CDD505-2E9C-101B-9397-08002B2CF9AE}" pid="3" name="_dlc_DocIdItemGuid">
    <vt:lpwstr>b0480776-9d40-48ee-bffc-04ea79464a0b</vt:lpwstr>
  </property>
  <property fmtid="{D5CDD505-2E9C-101B-9397-08002B2CF9AE}" pid="4" name="_dlc_DocId">
    <vt:lpwstr>TT3EPYAPNV7Z-89-163</vt:lpwstr>
  </property>
  <property fmtid="{D5CDD505-2E9C-101B-9397-08002B2CF9AE}" pid="5" name="_dlc_DocIdUrl">
    <vt:lpwstr>https://eeredocman.ee.doe.gov/offices/EE-4W/Tech/CH/_layouts/DocIdRedir.aspx?ID=TT3EPYAPNV7Z-89-163, TT3EPYAPNV7Z-89-163</vt:lpwstr>
  </property>
</Properties>
</file>